
<file path=[Content_Types].xml><?xml version="1.0" encoding="utf-8"?>
<Types xmlns="http://schemas.openxmlformats.org/package/2006/content-types">
  <Default Extension="xml" ContentType="application/xml"/>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720733CB">
      <w:pPr>
        <w:rPr>
          <w:rFonts w:hint="eastAsia" w:ascii="仿宋_GB2312" w:hAnsi="仿宋_GB2312" w:eastAsia="仿宋_GB2312" w:cs="仿宋_GB2312"/>
          <w:color w:val="auto"/>
          <w:sz w:val="36"/>
          <w:szCs w:val="36"/>
          <w:lang w:eastAsia="zh-CN"/>
        </w:rPr>
      </w:pPr>
      <w:r>
        <w:rPr>
          <w:rFonts w:hint="eastAsia" w:ascii="仿宋_GB2312" w:hAnsi="仿宋_GB2312" w:eastAsia="仿宋_GB2312" w:cs="仿宋_GB2312"/>
          <w:sz w:val="36"/>
          <w:szCs w:val="36"/>
          <w:lang w:eastAsia="zh-CN"/>
        </w:rPr>
        <w:drawing>
          <wp:anchor distT="0" distB="0" distL="114300" distR="114300" simplePos="0" relativeHeight="251669504" behindDoc="0" locked="0" layoutInCell="1" allowOverlap="1">
            <wp:simplePos x="0" y="0"/>
            <wp:positionH relativeFrom="column">
              <wp:posOffset>0</wp:posOffset>
            </wp:positionH>
            <wp:positionV relativeFrom="paragraph">
              <wp:posOffset>0</wp:posOffset>
            </wp:positionV>
            <wp:extent cx="6069330" cy="8348980"/>
            <wp:effectExtent l="0" t="0" r="7620" b="13970"/>
            <wp:wrapNone/>
            <wp:docPr id="5" name="图片 271" descr="2025-08-04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71" descr="2025-08-04_07"/>
                    <pic:cNvPicPr>
                      <a:picLocks noChangeAspect="1"/>
                    </pic:cNvPicPr>
                  </pic:nvPicPr>
                  <pic:blipFill>
                    <a:blip r:embed="rId9"/>
                    <a:srcRect r="1288" b="4039"/>
                    <a:stretch>
                      <a:fillRect/>
                    </a:stretch>
                  </pic:blipFill>
                  <pic:spPr>
                    <a:xfrm>
                      <a:off x="0" y="0"/>
                      <a:ext cx="6069330" cy="8348980"/>
                    </a:xfrm>
                    <a:prstGeom prst="rect">
                      <a:avLst/>
                    </a:prstGeom>
                    <a:noFill/>
                    <a:ln>
                      <a:noFill/>
                    </a:ln>
                  </pic:spPr>
                </pic:pic>
              </a:graphicData>
            </a:graphic>
          </wp:anchor>
        </w:drawing>
      </w:r>
    </w:p>
    <w:p w14:paraId="65123F1E">
      <w:pPr>
        <w:rPr>
          <w:rFonts w:hint="eastAsia" w:ascii="仿宋_GB2312" w:hAnsi="仿宋_GB2312" w:eastAsia="仿宋_GB2312" w:cs="仿宋_GB2312"/>
          <w:color w:val="auto"/>
          <w:sz w:val="36"/>
          <w:szCs w:val="36"/>
          <w:lang w:eastAsia="zh-CN"/>
        </w:rPr>
      </w:pPr>
    </w:p>
    <w:p w14:paraId="1D3A498C">
      <w:pPr>
        <w:rPr>
          <w:rFonts w:ascii="仿宋_GB2312" w:hAnsi="仿宋_GB2312" w:eastAsia="仿宋_GB2312" w:cs="仿宋_GB2312"/>
          <w:color w:val="auto"/>
          <w:sz w:val="36"/>
          <w:szCs w:val="36"/>
        </w:rPr>
      </w:pPr>
    </w:p>
    <w:p w14:paraId="3BB2E4AD">
      <w:pPr>
        <w:rPr>
          <w:rFonts w:ascii="仿宋_GB2312" w:hAnsi="仿宋_GB2312" w:eastAsia="仿宋_GB2312" w:cs="仿宋_GB2312"/>
          <w:color w:val="auto"/>
          <w:sz w:val="36"/>
          <w:szCs w:val="36"/>
        </w:rPr>
      </w:pPr>
    </w:p>
    <w:p w14:paraId="7729B2D6">
      <w:pPr>
        <w:rPr>
          <w:rFonts w:ascii="仿宋_GB2312" w:hAnsi="仿宋_GB2312" w:eastAsia="仿宋_GB2312" w:cs="仿宋_GB2312"/>
          <w:color w:val="auto"/>
          <w:sz w:val="36"/>
          <w:szCs w:val="36"/>
        </w:rPr>
      </w:pPr>
    </w:p>
    <w:p w14:paraId="2A25670E">
      <w:pPr>
        <w:rPr>
          <w:rFonts w:hint="eastAsia" w:ascii="仿宋_GB2312" w:hAnsi="仿宋_GB2312" w:eastAsia="仿宋_GB2312" w:cs="仿宋_GB2312"/>
          <w:color w:val="auto"/>
          <w:sz w:val="36"/>
          <w:szCs w:val="36"/>
        </w:rPr>
      </w:pPr>
    </w:p>
    <w:p w14:paraId="174B552C">
      <w:pPr>
        <w:jc w:val="center"/>
        <w:outlineLvl w:val="0"/>
        <w:rPr>
          <w:rFonts w:hint="eastAsia" w:ascii="方正小标宋_GBK" w:eastAsia="方正小标宋_GBK"/>
          <w:bCs/>
          <w:color w:val="auto"/>
          <w:sz w:val="72"/>
          <w:szCs w:val="72"/>
        </w:rPr>
      </w:pPr>
      <w:r>
        <w:rPr>
          <w:rFonts w:hint="eastAsia" w:ascii="方正小标宋_GBK" w:eastAsia="方正小标宋_GBK"/>
          <w:bCs/>
          <w:color w:val="auto"/>
          <w:sz w:val="72"/>
          <w:szCs w:val="72"/>
        </w:rPr>
        <w:t>建设项目环境影响报告表</w:t>
      </w:r>
    </w:p>
    <w:p w14:paraId="25DA3EC9">
      <w:pPr>
        <w:spacing w:before="192"/>
        <w:jc w:val="center"/>
        <w:rPr>
          <w:rFonts w:hint="eastAsia" w:ascii="楷体_GB2312" w:eastAsia="楷体_GB2312"/>
          <w:bCs/>
          <w:color w:val="auto"/>
          <w:sz w:val="48"/>
          <w:szCs w:val="48"/>
        </w:rPr>
      </w:pPr>
      <w:r>
        <w:rPr>
          <w:rFonts w:hint="eastAsia" w:ascii="楷体_GB2312" w:eastAsia="楷体_GB2312"/>
          <w:bCs/>
          <w:color w:val="auto"/>
          <w:sz w:val="48"/>
          <w:szCs w:val="48"/>
        </w:rPr>
        <w:t>（污染影响类）</w:t>
      </w:r>
    </w:p>
    <w:p w14:paraId="6AE5E26B">
      <w:pPr>
        <w:spacing w:line="288" w:lineRule="auto"/>
        <w:jc w:val="center"/>
        <w:outlineLvl w:val="0"/>
        <w:rPr>
          <w:rFonts w:ascii="华文仿宋" w:hAnsi="华文仿宋" w:eastAsia="华文仿宋" w:cs="华文仿宋"/>
          <w:color w:val="auto"/>
          <w:sz w:val="44"/>
          <w:szCs w:val="44"/>
        </w:rPr>
      </w:pPr>
    </w:p>
    <w:p w14:paraId="084EBB42">
      <w:pPr>
        <w:jc w:val="center"/>
        <w:rPr>
          <w:rFonts w:eastAsia="仿宋"/>
          <w:color w:val="auto"/>
          <w:sz w:val="52"/>
          <w:szCs w:val="52"/>
        </w:rPr>
      </w:pPr>
    </w:p>
    <w:p w14:paraId="4D3598B4">
      <w:pPr>
        <w:ind w:firstLine="1040"/>
        <w:rPr>
          <w:rFonts w:eastAsia="仿宋"/>
          <w:color w:val="auto"/>
          <w:sz w:val="44"/>
          <w:szCs w:val="44"/>
        </w:rPr>
      </w:pPr>
    </w:p>
    <w:p w14:paraId="2C52CF64">
      <w:pPr>
        <w:ind w:firstLine="1040"/>
        <w:rPr>
          <w:rFonts w:eastAsia="仿宋"/>
          <w:color w:val="auto"/>
          <w:sz w:val="44"/>
          <w:szCs w:val="44"/>
        </w:rPr>
      </w:pPr>
    </w:p>
    <w:p w14:paraId="325359D8">
      <w:pPr>
        <w:ind w:firstLine="1040"/>
        <w:rPr>
          <w:rFonts w:eastAsia="仿宋"/>
          <w:color w:val="auto"/>
          <w:sz w:val="44"/>
          <w:szCs w:val="44"/>
        </w:rPr>
      </w:pPr>
    </w:p>
    <w:p w14:paraId="5E06A048">
      <w:pPr>
        <w:ind w:firstLine="1040"/>
        <w:rPr>
          <w:rFonts w:eastAsia="仿宋"/>
          <w:color w:val="auto"/>
          <w:sz w:val="44"/>
          <w:szCs w:val="44"/>
        </w:rPr>
      </w:pPr>
    </w:p>
    <w:p w14:paraId="664C907F">
      <w:pPr>
        <w:spacing w:line="288" w:lineRule="auto"/>
        <w:ind w:firstLine="1040"/>
        <w:rPr>
          <w:rFonts w:hint="eastAsia" w:eastAsia="仿宋_GB2312"/>
          <w:color w:val="auto"/>
          <w:sz w:val="36"/>
          <w:szCs w:val="36"/>
          <w:u w:val="single"/>
          <w:lang w:eastAsia="zh-CN"/>
        </w:rPr>
      </w:pPr>
      <w:r>
        <w:rPr>
          <w:rFonts w:hint="eastAsia" w:ascii="仿宋_GB2312" w:eastAsia="仿宋_GB2312"/>
          <w:color w:val="auto"/>
          <w:sz w:val="36"/>
          <w:szCs w:val="36"/>
        </w:rPr>
        <w:t>项目名称：</w:t>
      </w:r>
      <w:r>
        <w:rPr>
          <w:rFonts w:hint="eastAsia" w:eastAsia="仿宋_GB2312"/>
          <w:color w:val="auto"/>
          <w:sz w:val="36"/>
          <w:szCs w:val="36"/>
          <w:u w:val="single"/>
          <w:lang w:eastAsia="zh-CN"/>
        </w:rPr>
        <w:t>福州铭辰光电有限公司年产20万片</w:t>
      </w:r>
    </w:p>
    <w:p w14:paraId="65BC71E0">
      <w:pPr>
        <w:spacing w:line="288" w:lineRule="auto"/>
        <w:ind w:firstLine="1040"/>
        <w:jc w:val="center"/>
        <w:rPr>
          <w:rFonts w:hint="eastAsia" w:eastAsia="仿宋_GB2312"/>
          <w:color w:val="auto"/>
          <w:sz w:val="36"/>
          <w:szCs w:val="36"/>
          <w:u w:val="single"/>
          <w:lang w:eastAsia="zh-CN"/>
        </w:rPr>
      </w:pPr>
      <w:r>
        <w:rPr>
          <w:rFonts w:hint="eastAsia" w:eastAsia="仿宋_GB2312"/>
          <w:color w:val="auto"/>
          <w:sz w:val="36"/>
          <w:szCs w:val="36"/>
          <w:u w:val="single"/>
          <w:lang w:eastAsia="zh-CN"/>
        </w:rPr>
        <w:t>光学镜片、10万个光学镜头项目</w:t>
      </w:r>
    </w:p>
    <w:p w14:paraId="1C51E758">
      <w:pPr>
        <w:spacing w:line="288" w:lineRule="auto"/>
        <w:ind w:firstLine="1040"/>
        <w:rPr>
          <w:rFonts w:hint="eastAsia" w:eastAsia="仿宋_GB2312"/>
          <w:color w:val="auto"/>
          <w:sz w:val="36"/>
          <w:szCs w:val="36"/>
          <w:u w:val="single"/>
          <w:lang w:eastAsia="zh-CN"/>
        </w:rPr>
      </w:pPr>
      <w:r>
        <w:rPr>
          <w:rFonts w:hint="eastAsia" w:ascii="仿宋_GB2312" w:eastAsia="仿宋_GB2312"/>
          <w:color w:val="auto"/>
          <w:sz w:val="36"/>
          <w:szCs w:val="36"/>
        </w:rPr>
        <w:t>建设单位（盖章）：</w:t>
      </w:r>
      <w:r>
        <w:rPr>
          <w:rFonts w:hint="eastAsia" w:eastAsia="仿宋_GB2312"/>
          <w:color w:val="auto"/>
          <w:sz w:val="36"/>
          <w:szCs w:val="36"/>
          <w:u w:val="single"/>
          <w:lang w:eastAsia="zh-CN"/>
        </w:rPr>
        <w:t>福州铭辰光电有限公司</w:t>
      </w:r>
    </w:p>
    <w:p w14:paraId="2E8D0364">
      <w:pPr>
        <w:spacing w:line="288" w:lineRule="auto"/>
        <w:ind w:firstLine="1040"/>
        <w:rPr>
          <w:rFonts w:hint="eastAsia" w:ascii="仿宋_GB2312" w:eastAsia="仿宋_GB2312"/>
          <w:color w:val="auto"/>
          <w:sz w:val="36"/>
          <w:szCs w:val="36"/>
          <w:u w:val="single"/>
        </w:rPr>
      </w:pPr>
      <w:r>
        <w:rPr>
          <w:rFonts w:hint="eastAsia" w:ascii="仿宋_GB2312" w:eastAsia="仿宋_GB2312"/>
          <w:color w:val="auto"/>
          <w:sz w:val="36"/>
          <w:szCs w:val="36"/>
        </w:rPr>
        <w:t>编制日期：</w:t>
      </w:r>
      <w:r>
        <w:rPr>
          <w:rFonts w:hint="eastAsia" w:ascii="Times New Roman" w:hAnsi="Times New Roman" w:eastAsia="仿宋_GB2312"/>
          <w:color w:val="auto"/>
          <w:sz w:val="36"/>
          <w:szCs w:val="36"/>
          <w:u w:val="single"/>
        </w:rPr>
        <w:t xml:space="preserve"> </w:t>
      </w:r>
      <w:r>
        <w:rPr>
          <w:rFonts w:hint="eastAsia" w:ascii="Times New Roman" w:hAnsi="Times New Roman" w:eastAsia="仿宋_GB2312"/>
          <w:color w:val="auto"/>
          <w:sz w:val="36"/>
          <w:szCs w:val="36"/>
          <w:u w:val="single"/>
          <w:lang w:val="en-US" w:eastAsia="zh-CN"/>
        </w:rPr>
        <w:t xml:space="preserve">       2025年</w:t>
      </w:r>
      <w:r>
        <w:rPr>
          <w:rFonts w:hint="eastAsia" w:eastAsia="仿宋_GB2312"/>
          <w:color w:val="auto"/>
          <w:sz w:val="36"/>
          <w:szCs w:val="36"/>
          <w:u w:val="single"/>
          <w:lang w:val="en-US" w:eastAsia="zh-CN"/>
        </w:rPr>
        <w:t>8</w:t>
      </w:r>
      <w:r>
        <w:rPr>
          <w:rFonts w:hint="eastAsia" w:ascii="Times New Roman" w:hAnsi="Times New Roman" w:eastAsia="仿宋_GB2312"/>
          <w:color w:val="auto"/>
          <w:sz w:val="36"/>
          <w:szCs w:val="36"/>
          <w:u w:val="single"/>
          <w:lang w:val="en-US" w:eastAsia="zh-CN"/>
        </w:rPr>
        <w:t>月</w:t>
      </w:r>
      <w:r>
        <w:rPr>
          <w:rFonts w:ascii="Times New Roman" w:hAnsi="Times New Roman" w:eastAsia="仿宋_GB2312"/>
          <w:color w:val="auto"/>
          <w:sz w:val="36"/>
          <w:szCs w:val="36"/>
          <w:u w:val="single"/>
        </w:rPr>
        <w:t xml:space="preserve">          </w:t>
      </w:r>
    </w:p>
    <w:p w14:paraId="6DDF0001">
      <w:pPr>
        <w:spacing w:line="288" w:lineRule="auto"/>
        <w:ind w:firstLine="1040"/>
        <w:rPr>
          <w:rFonts w:ascii="仿宋_GB2312" w:eastAsia="仿宋_GB2312"/>
          <w:color w:val="auto"/>
          <w:sz w:val="36"/>
          <w:szCs w:val="36"/>
          <w:u w:val="single"/>
        </w:rPr>
      </w:pPr>
      <w:bookmarkStart w:id="0" w:name="_Hlk57884087"/>
    </w:p>
    <w:p w14:paraId="14C8D000">
      <w:pPr>
        <w:spacing w:line="288" w:lineRule="auto"/>
        <w:ind w:firstLine="1040"/>
        <w:rPr>
          <w:rFonts w:ascii="仿宋_GB2312" w:eastAsia="仿宋_GB2312"/>
          <w:color w:val="auto"/>
          <w:sz w:val="36"/>
          <w:szCs w:val="36"/>
        </w:rPr>
      </w:pPr>
    </w:p>
    <w:p w14:paraId="655DE6FE">
      <w:pPr>
        <w:spacing w:line="288" w:lineRule="auto"/>
        <w:rPr>
          <w:rFonts w:hint="eastAsia" w:ascii="仿宋_GB2312" w:eastAsia="仿宋_GB2312"/>
          <w:color w:val="auto"/>
          <w:sz w:val="36"/>
          <w:szCs w:val="36"/>
        </w:rPr>
      </w:pPr>
    </w:p>
    <w:p w14:paraId="400A1D68">
      <w:pPr>
        <w:spacing w:line="288" w:lineRule="auto"/>
        <w:ind w:firstLine="1040"/>
        <w:rPr>
          <w:rFonts w:hint="eastAsia" w:ascii="仿宋_GB2312" w:eastAsia="仿宋_GB2312"/>
          <w:color w:val="auto"/>
          <w:sz w:val="36"/>
          <w:szCs w:val="36"/>
        </w:rPr>
      </w:pPr>
    </w:p>
    <w:bookmarkEnd w:id="0"/>
    <w:p w14:paraId="49675867">
      <w:pPr>
        <w:spacing w:line="288" w:lineRule="auto"/>
        <w:jc w:val="center"/>
        <w:rPr>
          <w:rFonts w:hint="eastAsia" w:ascii="楷体_GB2312" w:eastAsia="楷体_GB2312"/>
          <w:color w:val="auto"/>
          <w:sz w:val="36"/>
          <w:szCs w:val="36"/>
        </w:rPr>
      </w:pPr>
      <w:r>
        <w:rPr>
          <w:rFonts w:hint="eastAsia" w:ascii="楷体_GB2312" w:eastAsia="楷体_GB2312"/>
          <w:color w:val="auto"/>
          <w:sz w:val="36"/>
          <w:szCs w:val="36"/>
        </w:rPr>
        <w:t>中华人民共和国生态环境部制</w:t>
      </w:r>
    </w:p>
    <w:p w14:paraId="63464F93">
      <w:pPr>
        <w:spacing w:line="288" w:lineRule="auto"/>
        <w:rPr>
          <w:rFonts w:hint="eastAsia" w:ascii="仿宋_GB2312" w:eastAsia="仿宋_GB2312"/>
          <w:color w:val="auto"/>
          <w:sz w:val="36"/>
          <w:szCs w:val="36"/>
          <w:lang w:eastAsia="zh-CN"/>
        </w:rPr>
      </w:pPr>
    </w:p>
    <w:p w14:paraId="73F58353">
      <w:pPr>
        <w:spacing w:line="288" w:lineRule="auto"/>
        <w:rPr>
          <w:rFonts w:hint="eastAsia" w:ascii="仿宋_GB2312" w:eastAsia="仿宋_GB2312"/>
          <w:color w:val="auto"/>
          <w:sz w:val="36"/>
          <w:szCs w:val="36"/>
          <w:lang w:eastAsia="zh-CN"/>
        </w:rPr>
        <w:sectPr>
          <w:footerReference r:id="rId3" w:type="default"/>
          <w:footerReference r:id="rId4" w:type="even"/>
          <w:pgSz w:w="11906" w:h="16838" w:orient="landscape"/>
          <w:pgMar w:top="1701" w:right="1531" w:bottom="1701" w:left="1531" w:header="851" w:footer="1077" w:gutter="0"/>
          <w:pgBorders>
            <w:top w:val="none" w:sz="0" w:space="0"/>
            <w:left w:val="none" w:sz="0" w:space="0"/>
            <w:bottom w:val="none" w:sz="0" w:space="0"/>
            <w:right w:val="none" w:sz="0" w:space="0"/>
          </w:pgBorders>
          <w:pgNumType w:start="3"/>
          <w:cols w:space="720" w:num="1"/>
        </w:sectPr>
      </w:pPr>
      <w:r>
        <w:rPr>
          <w:rFonts w:hint="eastAsia" w:ascii="仿宋_GB2312" w:eastAsia="仿宋_GB2312"/>
          <w:color w:val="auto"/>
          <w:sz w:val="36"/>
          <w:szCs w:val="36"/>
          <w:lang w:eastAsia="zh-CN"/>
        </w:rPr>
        <w:drawing>
          <wp:inline distT="0" distB="0" distL="114300" distR="114300">
            <wp:extent cx="5603875" cy="7481570"/>
            <wp:effectExtent l="0" t="0" r="15875" b="5080"/>
            <wp:docPr id="119" name="图片 119" descr="doc0028792025081310442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doc00287920250813104423_01"/>
                    <pic:cNvPicPr>
                      <a:picLocks noChangeAspect="1"/>
                    </pic:cNvPicPr>
                  </pic:nvPicPr>
                  <pic:blipFill>
                    <a:blip r:embed="rId10"/>
                    <a:srcRect r="215" b="5804"/>
                    <a:stretch>
                      <a:fillRect/>
                    </a:stretch>
                  </pic:blipFill>
                  <pic:spPr>
                    <a:xfrm>
                      <a:off x="0" y="0"/>
                      <a:ext cx="5603875" cy="7481570"/>
                    </a:xfrm>
                    <a:prstGeom prst="rect">
                      <a:avLst/>
                    </a:prstGeom>
                  </pic:spPr>
                </pic:pic>
              </a:graphicData>
            </a:graphic>
          </wp:inline>
        </w:drawing>
      </w:r>
    </w:p>
    <w:p w14:paraId="4834E514">
      <w:pPr>
        <w:spacing w:line="288" w:lineRule="auto"/>
        <w:rPr>
          <w:rFonts w:ascii="仿宋_GB2312" w:eastAsia="仿宋_GB2312"/>
          <w:color w:val="auto"/>
          <w:sz w:val="36"/>
          <w:szCs w:val="36"/>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sectPr>
      </w:pPr>
      <w:r>
        <w:rPr>
          <w:rFonts w:ascii="Times New Roman" w:hAnsi="Times New Roman"/>
          <w:color w:val="auto"/>
        </w:rPr>
        <w:drawing>
          <wp:inline distT="0" distB="0" distL="114300" distR="114300">
            <wp:extent cx="5615305" cy="7942580"/>
            <wp:effectExtent l="0" t="0" r="4445" b="1270"/>
            <wp:docPr id="104" name="图片 104" descr="启光 资质页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启光 资质页_02"/>
                    <pic:cNvPicPr>
                      <a:picLocks noChangeAspect="1"/>
                    </pic:cNvPicPr>
                  </pic:nvPicPr>
                  <pic:blipFill>
                    <a:blip r:embed="rId11"/>
                    <a:stretch>
                      <a:fillRect/>
                    </a:stretch>
                  </pic:blipFill>
                  <pic:spPr>
                    <a:xfrm>
                      <a:off x="0" y="0"/>
                      <a:ext cx="5615305" cy="7942580"/>
                    </a:xfrm>
                    <a:prstGeom prst="rect">
                      <a:avLst/>
                    </a:prstGeom>
                  </pic:spPr>
                </pic:pic>
              </a:graphicData>
            </a:graphic>
          </wp:inline>
        </w:drawing>
      </w:r>
    </w:p>
    <w:p w14:paraId="5E9E511C">
      <w:pPr>
        <w:spacing w:line="288" w:lineRule="auto"/>
        <w:rPr>
          <w:rFonts w:hint="eastAsia" w:ascii="Times New Roman" w:hAnsi="Times New Roman" w:eastAsia="宋体"/>
          <w:color w:val="auto"/>
          <w:lang w:eastAsia="zh-CN"/>
        </w:rPr>
        <w:sectPr>
          <w:pgSz w:w="11906" w:h="16838" w:orient="landscape"/>
          <w:pgMar w:top="1701" w:right="1531" w:bottom="1701" w:left="1531" w:header="851" w:footer="1077" w:gutter="0"/>
          <w:pgBorders>
            <w:top w:val="none" w:sz="0" w:space="0"/>
            <w:left w:val="none" w:sz="0" w:space="0"/>
            <w:bottom w:val="none" w:sz="0" w:space="0"/>
            <w:right w:val="none" w:sz="0" w:space="0"/>
          </w:pgBorders>
          <w:pgNumType w:start="3"/>
          <w:cols w:space="720" w:num="1"/>
        </w:sectPr>
      </w:pPr>
      <w:r>
        <w:rPr>
          <w:rFonts w:ascii="Times New Roman" w:hAnsi="Times New Roman"/>
          <w:color w:val="auto"/>
        </w:rPr>
        <w:drawing>
          <wp:inline distT="0" distB="0" distL="114300" distR="114300">
            <wp:extent cx="5615305" cy="7942580"/>
            <wp:effectExtent l="0" t="0" r="4445" b="1270"/>
            <wp:docPr id="105" name="图片 105" descr="启光 资质页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启光 资质页_03"/>
                    <pic:cNvPicPr>
                      <a:picLocks noChangeAspect="1"/>
                    </pic:cNvPicPr>
                  </pic:nvPicPr>
                  <pic:blipFill>
                    <a:blip r:embed="rId12"/>
                    <a:stretch>
                      <a:fillRect/>
                    </a:stretch>
                  </pic:blipFill>
                  <pic:spPr>
                    <a:xfrm>
                      <a:off x="0" y="0"/>
                      <a:ext cx="5615305" cy="7942580"/>
                    </a:xfrm>
                    <a:prstGeom prst="rect">
                      <a:avLst/>
                    </a:prstGeom>
                  </pic:spPr>
                </pic:pic>
              </a:graphicData>
            </a:graphic>
          </wp:inline>
        </w:drawing>
      </w:r>
      <w:r>
        <w:rPr>
          <w:rFonts w:hint="eastAsia" w:ascii="Times New Roman" w:hAnsi="Times New Roman" w:eastAsia="宋体"/>
          <w:color w:val="auto"/>
          <w:sz w:val="36"/>
          <w:szCs w:val="36"/>
          <w:lang w:eastAsia="zh-CN"/>
        </w:rPr>
        <w:drawing>
          <wp:inline distT="0" distB="0" distL="114300" distR="114300">
            <wp:extent cx="5603875" cy="7474585"/>
            <wp:effectExtent l="0" t="0" r="15875" b="12065"/>
            <wp:docPr id="149" name="图片 149" descr="92ad6b917d71ceb7c0beb62f5223d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92ad6b917d71ceb7c0beb62f5223d42"/>
                    <pic:cNvPicPr>
                      <a:picLocks noChangeAspect="1"/>
                    </pic:cNvPicPr>
                  </pic:nvPicPr>
                  <pic:blipFill>
                    <a:blip r:embed="rId13"/>
                    <a:stretch>
                      <a:fillRect/>
                    </a:stretch>
                  </pic:blipFill>
                  <pic:spPr>
                    <a:xfrm>
                      <a:off x="0" y="0"/>
                      <a:ext cx="5603875" cy="7474585"/>
                    </a:xfrm>
                    <a:prstGeom prst="rect">
                      <a:avLst/>
                    </a:prstGeom>
                  </pic:spPr>
                </pic:pic>
              </a:graphicData>
            </a:graphic>
          </wp:inline>
        </w:drawing>
      </w:r>
    </w:p>
    <w:p w14:paraId="2F5E0C0E">
      <w:pPr>
        <w:spacing w:line="288" w:lineRule="auto"/>
        <w:rPr>
          <w:rFonts w:hint="eastAsia" w:ascii="Times New Roman" w:hAnsi="Times New Roman" w:eastAsia="宋体"/>
          <w:color w:val="auto"/>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sectPr>
      </w:pPr>
      <w:r>
        <w:rPr>
          <w:rFonts w:hint="eastAsia" w:ascii="Times New Roman" w:hAnsi="Times New Roman" w:eastAsia="宋体"/>
          <w:color w:val="auto"/>
          <w:lang w:eastAsia="zh-CN"/>
        </w:rPr>
        <w:drawing>
          <wp:inline distT="0" distB="0" distL="114300" distR="114300">
            <wp:extent cx="5615940" cy="7942580"/>
            <wp:effectExtent l="0" t="0" r="3810" b="1270"/>
            <wp:docPr id="106" name="图片 106" descr="铭辰 承诺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铭辰 承诺书_01"/>
                    <pic:cNvPicPr>
                      <a:picLocks noChangeAspect="1"/>
                    </pic:cNvPicPr>
                  </pic:nvPicPr>
                  <pic:blipFill>
                    <a:blip r:embed="rId14"/>
                    <a:stretch>
                      <a:fillRect/>
                    </a:stretch>
                  </pic:blipFill>
                  <pic:spPr>
                    <a:xfrm>
                      <a:off x="0" y="0"/>
                      <a:ext cx="5615940" cy="7942580"/>
                    </a:xfrm>
                    <a:prstGeom prst="rect">
                      <a:avLst/>
                    </a:prstGeom>
                  </pic:spPr>
                </pic:pic>
              </a:graphicData>
            </a:graphic>
          </wp:inline>
        </w:drawing>
      </w:r>
    </w:p>
    <w:p w14:paraId="3590A380">
      <w:pPr>
        <w:spacing w:before="0" w:beforeLines="0" w:after="0" w:afterLines="0" w:line="240" w:lineRule="auto"/>
        <w:ind w:left="0" w:leftChars="0" w:right="0" w:rightChars="0" w:firstLine="0" w:firstLineChars="0"/>
        <w:jc w:val="center"/>
        <w:rPr>
          <w:rFonts w:hint="eastAsia" w:ascii="Times New Roman" w:hAnsi="Times New Roman" w:eastAsia="宋体"/>
          <w:color w:val="auto"/>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sectPr>
      </w:pPr>
      <w:r>
        <w:rPr>
          <w:rFonts w:hint="eastAsia" w:ascii="Times New Roman" w:hAnsi="Times New Roman" w:eastAsia="宋体"/>
          <w:color w:val="auto"/>
          <w:lang w:eastAsia="zh-CN"/>
        </w:rPr>
        <w:drawing>
          <wp:inline distT="0" distB="0" distL="114300" distR="114300">
            <wp:extent cx="5615940" cy="7942580"/>
            <wp:effectExtent l="0" t="0" r="3810" b="1270"/>
            <wp:docPr id="107" name="图片 107" descr="doc00287820250813100058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doc00287820250813100058_01"/>
                    <pic:cNvPicPr>
                      <a:picLocks noChangeAspect="1"/>
                    </pic:cNvPicPr>
                  </pic:nvPicPr>
                  <pic:blipFill>
                    <a:blip r:embed="rId15"/>
                    <a:stretch>
                      <a:fillRect/>
                    </a:stretch>
                  </pic:blipFill>
                  <pic:spPr>
                    <a:xfrm>
                      <a:off x="0" y="0"/>
                      <a:ext cx="5615940" cy="7942580"/>
                    </a:xfrm>
                    <a:prstGeom prst="rect">
                      <a:avLst/>
                    </a:prstGeom>
                  </pic:spPr>
                </pic:pic>
              </a:graphicData>
            </a:graphic>
          </wp:inline>
        </w:drawing>
      </w:r>
      <w:r>
        <w:rPr>
          <w:rFonts w:hint="eastAsia" w:ascii="Times New Roman" w:hAnsi="Times New Roman" w:eastAsia="宋体"/>
          <w:color w:val="auto"/>
          <w:lang w:eastAsia="zh-CN"/>
        </w:rPr>
        <w:drawing>
          <wp:inline distT="0" distB="0" distL="114300" distR="114300">
            <wp:extent cx="5615940" cy="7942580"/>
            <wp:effectExtent l="0" t="0" r="3810" b="1270"/>
            <wp:docPr id="122" name="图片 122" descr="doc00287820250813100058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doc00287820250813100058_04"/>
                    <pic:cNvPicPr>
                      <a:picLocks noChangeAspect="1"/>
                    </pic:cNvPicPr>
                  </pic:nvPicPr>
                  <pic:blipFill>
                    <a:blip r:embed="rId16"/>
                    <a:stretch>
                      <a:fillRect/>
                    </a:stretch>
                  </pic:blipFill>
                  <pic:spPr>
                    <a:xfrm>
                      <a:off x="0" y="0"/>
                      <a:ext cx="5615940" cy="7942580"/>
                    </a:xfrm>
                    <a:prstGeom prst="rect">
                      <a:avLst/>
                    </a:prstGeom>
                  </pic:spPr>
                </pic:pic>
              </a:graphicData>
            </a:graphic>
          </wp:inline>
        </w:drawing>
      </w:r>
      <w:r>
        <w:rPr>
          <w:rFonts w:hint="eastAsia" w:ascii="Times New Roman" w:hAnsi="Times New Roman" w:eastAsia="宋体"/>
          <w:color w:val="auto"/>
          <w:lang w:eastAsia="zh-CN"/>
        </w:rPr>
        <w:drawing>
          <wp:inline distT="0" distB="0" distL="114300" distR="114300">
            <wp:extent cx="5615940" cy="7942580"/>
            <wp:effectExtent l="0" t="0" r="3810" b="1270"/>
            <wp:docPr id="108" name="图片 108" descr="doc00287820250813100058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doc00287820250813100058_05"/>
                    <pic:cNvPicPr>
                      <a:picLocks noChangeAspect="1"/>
                    </pic:cNvPicPr>
                  </pic:nvPicPr>
                  <pic:blipFill>
                    <a:blip r:embed="rId17"/>
                    <a:stretch>
                      <a:fillRect/>
                    </a:stretch>
                  </pic:blipFill>
                  <pic:spPr>
                    <a:xfrm>
                      <a:off x="0" y="0"/>
                      <a:ext cx="5615940" cy="7942580"/>
                    </a:xfrm>
                    <a:prstGeom prst="rect">
                      <a:avLst/>
                    </a:prstGeom>
                  </pic:spPr>
                </pic:pic>
              </a:graphicData>
            </a:graphic>
          </wp:inline>
        </w:drawing>
      </w:r>
      <w:r>
        <w:rPr>
          <w:rFonts w:hint="eastAsia" w:ascii="Times New Roman" w:hAnsi="Times New Roman" w:eastAsia="宋体"/>
          <w:color w:val="auto"/>
          <w:lang w:eastAsia="zh-CN"/>
        </w:rPr>
        <w:drawing>
          <wp:inline distT="0" distB="0" distL="114300" distR="114300">
            <wp:extent cx="5615940" cy="7942580"/>
            <wp:effectExtent l="0" t="0" r="3810" b="1270"/>
            <wp:docPr id="116" name="图片 116" descr="doc00287820250813100058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doc00287820250813100058_06"/>
                    <pic:cNvPicPr>
                      <a:picLocks noChangeAspect="1"/>
                    </pic:cNvPicPr>
                  </pic:nvPicPr>
                  <pic:blipFill>
                    <a:blip r:embed="rId18"/>
                    <a:stretch>
                      <a:fillRect/>
                    </a:stretch>
                  </pic:blipFill>
                  <pic:spPr>
                    <a:xfrm>
                      <a:off x="0" y="0"/>
                      <a:ext cx="5615940" cy="7942580"/>
                    </a:xfrm>
                    <a:prstGeom prst="rect">
                      <a:avLst/>
                    </a:prstGeom>
                  </pic:spPr>
                </pic:pic>
              </a:graphicData>
            </a:graphic>
          </wp:inline>
        </w:drawing>
      </w:r>
      <w:r>
        <w:rPr>
          <w:rFonts w:hint="eastAsia" w:ascii="Times New Roman" w:hAnsi="Times New Roman" w:eastAsia="宋体"/>
          <w:color w:val="auto"/>
          <w:lang w:eastAsia="zh-CN"/>
        </w:rPr>
        <w:drawing>
          <wp:inline distT="0" distB="0" distL="114300" distR="114300">
            <wp:extent cx="5612130" cy="3968115"/>
            <wp:effectExtent l="0" t="0" r="7620" b="13335"/>
            <wp:docPr id="124" name="图片 124" descr="黄巧萍 高佳顺社保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黄巧萍 高佳顺社保_01"/>
                    <pic:cNvPicPr>
                      <a:picLocks noChangeAspect="1"/>
                    </pic:cNvPicPr>
                  </pic:nvPicPr>
                  <pic:blipFill>
                    <a:blip r:embed="rId19"/>
                    <a:stretch>
                      <a:fillRect/>
                    </a:stretch>
                  </pic:blipFill>
                  <pic:spPr>
                    <a:xfrm>
                      <a:off x="0" y="0"/>
                      <a:ext cx="5612130" cy="3968115"/>
                    </a:xfrm>
                    <a:prstGeom prst="rect">
                      <a:avLst/>
                    </a:prstGeom>
                  </pic:spPr>
                </pic:pic>
              </a:graphicData>
            </a:graphic>
          </wp:inline>
        </w:drawing>
      </w:r>
      <w:r>
        <w:rPr>
          <w:rFonts w:hint="eastAsia" w:ascii="Times New Roman" w:hAnsi="Times New Roman" w:eastAsia="宋体"/>
          <w:color w:val="auto"/>
          <w:lang w:eastAsia="zh-CN"/>
        </w:rPr>
        <w:drawing>
          <wp:inline distT="0" distB="0" distL="114300" distR="114300">
            <wp:extent cx="5612130" cy="3968115"/>
            <wp:effectExtent l="0" t="0" r="7620" b="13335"/>
            <wp:docPr id="125" name="图片 125" descr="黄巧萍 高佳顺社保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黄巧萍 高佳顺社保_02"/>
                    <pic:cNvPicPr>
                      <a:picLocks noChangeAspect="1"/>
                    </pic:cNvPicPr>
                  </pic:nvPicPr>
                  <pic:blipFill>
                    <a:blip r:embed="rId20"/>
                    <a:stretch>
                      <a:fillRect/>
                    </a:stretch>
                  </pic:blipFill>
                  <pic:spPr>
                    <a:xfrm>
                      <a:off x="0" y="0"/>
                      <a:ext cx="5612130" cy="3968115"/>
                    </a:xfrm>
                    <a:prstGeom prst="rect">
                      <a:avLst/>
                    </a:prstGeom>
                  </pic:spPr>
                </pic:pic>
              </a:graphicData>
            </a:graphic>
          </wp:inline>
        </w:drawing>
      </w:r>
      <w:r>
        <w:rPr>
          <w:rFonts w:hint="eastAsia" w:ascii="Times New Roman" w:hAnsi="Times New Roman" w:eastAsia="宋体"/>
          <w:color w:val="auto"/>
          <w:lang w:eastAsia="zh-CN"/>
        </w:rPr>
        <w:drawing>
          <wp:inline distT="0" distB="0" distL="114300" distR="114300">
            <wp:extent cx="5612130" cy="3968115"/>
            <wp:effectExtent l="0" t="0" r="7620" b="13335"/>
            <wp:docPr id="126" name="图片 126" descr="黄巧萍 高佳顺社保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黄巧萍 高佳顺社保_03"/>
                    <pic:cNvPicPr>
                      <a:picLocks noChangeAspect="1"/>
                    </pic:cNvPicPr>
                  </pic:nvPicPr>
                  <pic:blipFill>
                    <a:blip r:embed="rId21"/>
                    <a:stretch>
                      <a:fillRect/>
                    </a:stretch>
                  </pic:blipFill>
                  <pic:spPr>
                    <a:xfrm>
                      <a:off x="0" y="0"/>
                      <a:ext cx="5612130" cy="3968115"/>
                    </a:xfrm>
                    <a:prstGeom prst="rect">
                      <a:avLst/>
                    </a:prstGeom>
                  </pic:spPr>
                </pic:pic>
              </a:graphicData>
            </a:graphic>
          </wp:inline>
        </w:drawing>
      </w:r>
    </w:p>
    <w:p w14:paraId="04163742">
      <w:pPr>
        <w:spacing w:before="0" w:beforeLines="0" w:after="0" w:afterLines="0" w:line="240" w:lineRule="auto"/>
        <w:ind w:left="0" w:leftChars="0" w:right="0" w:rightChars="0" w:firstLine="0" w:firstLineChars="0"/>
        <w:jc w:val="center"/>
        <w:rPr>
          <w:rFonts w:hint="eastAsia" w:ascii="Times New Roman" w:hAnsi="Times New Roman" w:eastAsia="宋体"/>
          <w:color w:val="auto"/>
          <w:lang w:eastAsia="zh-CN"/>
        </w:rPr>
      </w:pPr>
    </w:p>
    <w:sdt>
      <w:sdtPr>
        <w:rPr>
          <w:rFonts w:hint="default" w:ascii="宋体" w:hAnsi="宋体" w:eastAsia="宋体" w:cs="Times New Roman"/>
          <w:sz w:val="21"/>
          <w:szCs w:val="24"/>
          <w:lang w:val="en-US" w:eastAsia="zh-CN" w:bidi="ar-SA"/>
        </w:rPr>
        <w:id w:val="147478373"/>
        <w15:color w:val="DBDBDB"/>
        <w:docPartObj>
          <w:docPartGallery w:val="Table of Contents"/>
          <w:docPartUnique/>
        </w:docPartObj>
      </w:sdtPr>
      <w:sdtEndPr>
        <w:rPr>
          <w:rFonts w:hint="eastAsia" w:ascii="Times New Roman" w:hAnsi="Times New Roman" w:eastAsia="宋体" w:cs="Times New Roman"/>
          <w:color w:val="auto"/>
          <w:sz w:val="21"/>
          <w:szCs w:val="24"/>
          <w:lang w:val="en-US" w:eastAsia="zh-CN" w:bidi="ar-SA"/>
        </w:rPr>
      </w:sdtEndPr>
      <w:sdtContent>
        <w:p w14:paraId="311A9F08">
          <w:pPr>
            <w:spacing w:before="0" w:beforeLines="0" w:after="0" w:afterLines="0" w:line="240" w:lineRule="auto"/>
            <w:ind w:left="0" w:leftChars="0" w:right="0" w:rightChars="0" w:firstLine="0" w:firstLineChars="0"/>
            <w:jc w:val="center"/>
          </w:pPr>
          <w:r>
            <w:rPr>
              <w:rFonts w:ascii="宋体" w:hAnsi="宋体" w:eastAsia="宋体"/>
              <w:sz w:val="21"/>
            </w:rPr>
            <w:t>目录</w:t>
          </w:r>
        </w:p>
        <w:p w14:paraId="21E4579B">
          <w:pPr>
            <w:pStyle w:val="27"/>
            <w:tabs>
              <w:tab w:val="right" w:leader="dot" w:pos="8844"/>
            </w:tabs>
          </w:pPr>
          <w:r>
            <w:rPr>
              <w:rFonts w:hint="eastAsia" w:ascii="Times New Roman" w:hAnsi="Times New Roman" w:eastAsia="宋体" w:cs="Times New Roman"/>
              <w:color w:val="auto"/>
              <w:sz w:val="21"/>
              <w:szCs w:val="24"/>
              <w:lang w:val="en-US" w:eastAsia="zh-CN" w:bidi="ar-SA"/>
            </w:rPr>
            <w:fldChar w:fldCharType="begin"/>
          </w:r>
          <w:r>
            <w:rPr>
              <w:rFonts w:hint="eastAsia" w:ascii="Times New Roman" w:hAnsi="Times New Roman" w:eastAsia="宋体" w:cs="Times New Roman"/>
              <w:color w:val="auto"/>
              <w:sz w:val="21"/>
              <w:szCs w:val="24"/>
              <w:lang w:val="en-US" w:eastAsia="zh-CN" w:bidi="ar-SA"/>
            </w:rPr>
            <w:instrText xml:space="preserve">TOC \o "1-3" \h \u </w:instrText>
          </w:r>
          <w:r>
            <w:rPr>
              <w:rFonts w:hint="eastAsia" w:ascii="Times New Roman" w:hAnsi="Times New Roman" w:eastAsia="宋体" w:cs="Times New Roman"/>
              <w:color w:val="auto"/>
              <w:sz w:val="21"/>
              <w:szCs w:val="24"/>
              <w:lang w:val="en-US" w:eastAsia="zh-CN" w:bidi="ar-SA"/>
            </w:rPr>
            <w:fldChar w:fldCharType="separate"/>
          </w: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_Toc182 </w:instrText>
          </w:r>
          <w:r>
            <w:rPr>
              <w:rFonts w:hint="eastAsia" w:ascii="Times New Roman" w:hAnsi="Times New Roman" w:eastAsia="宋体" w:cs="Times New Roman"/>
              <w:szCs w:val="24"/>
              <w:lang w:val="en-US" w:eastAsia="zh-CN" w:bidi="ar-SA"/>
            </w:rPr>
            <w:fldChar w:fldCharType="separate"/>
          </w:r>
          <w:r>
            <w:rPr>
              <w:rFonts w:hint="eastAsia" w:ascii="黑体" w:hAnsi="黑体" w:eastAsia="黑体"/>
              <w:szCs w:val="30"/>
            </w:rPr>
            <w:t>一、建设项目基本情况</w:t>
          </w:r>
          <w:r>
            <w:tab/>
          </w:r>
          <w:r>
            <w:fldChar w:fldCharType="begin"/>
          </w:r>
          <w:r>
            <w:instrText xml:space="preserve"> PAGEREF _Toc182 \h </w:instrText>
          </w:r>
          <w:r>
            <w:fldChar w:fldCharType="separate"/>
          </w:r>
          <w:r>
            <w:t>1</w:t>
          </w:r>
          <w:r>
            <w:fldChar w:fldCharType="end"/>
          </w:r>
          <w:r>
            <w:rPr>
              <w:rFonts w:hint="eastAsia" w:ascii="Times New Roman" w:hAnsi="Times New Roman" w:eastAsia="宋体" w:cs="Times New Roman"/>
              <w:color w:val="auto"/>
              <w:szCs w:val="24"/>
              <w:lang w:val="en-US" w:eastAsia="zh-CN" w:bidi="ar-SA"/>
            </w:rPr>
            <w:fldChar w:fldCharType="end"/>
          </w:r>
        </w:p>
        <w:p w14:paraId="1863F898">
          <w:pPr>
            <w:pStyle w:val="34"/>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_Toc31679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bCs/>
              <w:kern w:val="2"/>
              <w:szCs w:val="28"/>
              <w:lang w:val="en-US" w:eastAsia="zh-CN" w:bidi="ar-SA"/>
            </w:rPr>
            <w:t>1.1专项评价设置情况说明</w:t>
          </w:r>
          <w:r>
            <w:tab/>
          </w:r>
          <w:r>
            <w:fldChar w:fldCharType="begin"/>
          </w:r>
          <w:r>
            <w:instrText xml:space="preserve"> PAGEREF _Toc31679 \h </w:instrText>
          </w:r>
          <w:r>
            <w:fldChar w:fldCharType="separate"/>
          </w:r>
          <w:r>
            <w:t>1</w:t>
          </w:r>
          <w:r>
            <w:fldChar w:fldCharType="end"/>
          </w:r>
          <w:r>
            <w:rPr>
              <w:rFonts w:hint="eastAsia" w:ascii="Times New Roman" w:hAnsi="Times New Roman" w:eastAsia="宋体" w:cs="Times New Roman"/>
              <w:color w:val="auto"/>
              <w:szCs w:val="24"/>
              <w:lang w:val="en-US" w:eastAsia="zh-CN" w:bidi="ar-SA"/>
            </w:rPr>
            <w:fldChar w:fldCharType="end"/>
          </w:r>
        </w:p>
        <w:p w14:paraId="25630573">
          <w:pPr>
            <w:pStyle w:val="34"/>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_Toc24109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bCs/>
              <w:kern w:val="2"/>
              <w:szCs w:val="28"/>
              <w:lang w:val="en-US" w:eastAsia="zh-CN" w:bidi="ar-SA"/>
            </w:rPr>
            <w:t>1.2与《闽侯经济技术开发区规划提升（控制性详细规划和城市设计）》符合性分析</w:t>
          </w:r>
          <w:r>
            <w:tab/>
          </w:r>
          <w:r>
            <w:fldChar w:fldCharType="begin"/>
          </w:r>
          <w:r>
            <w:instrText xml:space="preserve"> PAGEREF _Toc24109 \h </w:instrText>
          </w:r>
          <w:r>
            <w:fldChar w:fldCharType="separate"/>
          </w:r>
          <w:r>
            <w:t>2</w:t>
          </w:r>
          <w:r>
            <w:fldChar w:fldCharType="end"/>
          </w:r>
          <w:r>
            <w:rPr>
              <w:rFonts w:hint="eastAsia" w:ascii="Times New Roman" w:hAnsi="Times New Roman" w:eastAsia="宋体" w:cs="Times New Roman"/>
              <w:color w:val="auto"/>
              <w:szCs w:val="24"/>
              <w:lang w:val="en-US" w:eastAsia="zh-CN" w:bidi="ar-SA"/>
            </w:rPr>
            <w:fldChar w:fldCharType="end"/>
          </w:r>
        </w:p>
        <w:p w14:paraId="29A85C12">
          <w:pPr>
            <w:pStyle w:val="34"/>
            <w:tabs>
              <w:tab w:val="right" w:leader="dot" w:pos="8844"/>
            </w:tabs>
            <w:rPr>
              <w:rFonts w:hint="eastAsia" w:ascii="Times New Roman" w:hAnsi="Times New Roman" w:eastAsia="宋体" w:cs="Times New Roman"/>
              <w:color w:val="auto"/>
              <w:szCs w:val="24"/>
              <w:lang w:val="en-US" w:eastAsia="zh-CN" w:bidi="ar-SA"/>
            </w:rPr>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_Toc30328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bCs/>
              <w:kern w:val="2"/>
              <w:szCs w:val="28"/>
              <w:lang w:val="en-US" w:eastAsia="zh-CN" w:bidi="ar-SA"/>
            </w:rPr>
            <w:t>1.3与《闽侯县国土空间总体规划（2022-2035年）》符合性分析</w:t>
          </w:r>
          <w:r>
            <w:tab/>
          </w:r>
          <w:r>
            <w:fldChar w:fldCharType="begin"/>
          </w:r>
          <w:r>
            <w:instrText xml:space="preserve"> PAGEREF _Toc30328 \h </w:instrText>
          </w:r>
          <w:r>
            <w:fldChar w:fldCharType="separate"/>
          </w:r>
          <w:r>
            <w:t>3</w:t>
          </w:r>
          <w:r>
            <w:fldChar w:fldCharType="end"/>
          </w:r>
          <w:r>
            <w:rPr>
              <w:rFonts w:hint="eastAsia" w:ascii="Times New Roman" w:hAnsi="Times New Roman" w:eastAsia="宋体" w:cs="Times New Roman"/>
              <w:color w:val="auto"/>
              <w:szCs w:val="24"/>
              <w:lang w:val="en-US" w:eastAsia="zh-CN" w:bidi="ar-SA"/>
            </w:rPr>
            <w:fldChar w:fldCharType="end"/>
          </w:r>
        </w:p>
        <w:p w14:paraId="3B7F47E9">
          <w:pPr>
            <w:pStyle w:val="34"/>
            <w:tabs>
              <w:tab w:val="right" w:leader="dot" w:pos="8844"/>
            </w:tabs>
            <w:rPr>
              <w:rFonts w:hint="eastAsia" w:ascii="Times New Roman" w:hAnsi="Times New Roman" w:eastAsia="宋体" w:cs="Times New Roman"/>
              <w:color w:val="auto"/>
              <w:szCs w:val="24"/>
              <w:lang w:val="en-US" w:eastAsia="zh-CN" w:bidi="ar-SA"/>
            </w:rPr>
          </w:pPr>
          <w:r>
            <w:rPr>
              <w:rFonts w:hint="eastAsia" w:ascii="Times New Roman" w:hAnsi="Times New Roman" w:eastAsia="宋体" w:cs="Times New Roman"/>
              <w:color w:val="auto"/>
              <w:szCs w:val="24"/>
              <w:lang w:val="en-US" w:eastAsia="zh-CN" w:bidi="ar-SA"/>
            </w:rPr>
            <w:t>1.4产业政策符合性分析...........................................................................................................</w:t>
          </w:r>
          <w:r>
            <w:rPr>
              <w:rFonts w:hint="eastAsia" w:cs="Times New Roman"/>
              <w:color w:val="auto"/>
              <w:szCs w:val="24"/>
              <w:lang w:val="en-US" w:eastAsia="zh-CN" w:bidi="ar-SA"/>
            </w:rPr>
            <w:t>..........</w:t>
          </w:r>
          <w:r>
            <w:rPr>
              <w:rFonts w:hint="eastAsia" w:ascii="Times New Roman" w:hAnsi="Times New Roman" w:eastAsia="宋体" w:cs="Times New Roman"/>
              <w:color w:val="auto"/>
              <w:szCs w:val="24"/>
              <w:lang w:val="en-US" w:eastAsia="zh-CN" w:bidi="ar-SA"/>
            </w:rPr>
            <w:t>..3</w:t>
          </w:r>
        </w:p>
        <w:p w14:paraId="58C1D73B">
          <w:pPr>
            <w:pStyle w:val="34"/>
            <w:tabs>
              <w:tab w:val="right" w:leader="dot" w:pos="8844"/>
            </w:tabs>
            <w:rPr>
              <w:rFonts w:hint="default" w:ascii="Times New Roman" w:hAnsi="Times New Roman" w:eastAsia="宋体" w:cs="Times New Roman"/>
              <w:color w:val="auto"/>
              <w:szCs w:val="24"/>
              <w:lang w:val="en-US" w:eastAsia="zh-CN" w:bidi="ar-SA"/>
            </w:rPr>
          </w:pPr>
          <w:r>
            <w:rPr>
              <w:rFonts w:hint="eastAsia" w:ascii="Times New Roman" w:hAnsi="Times New Roman" w:eastAsia="宋体" w:cs="Times New Roman"/>
              <w:color w:val="auto"/>
              <w:szCs w:val="24"/>
              <w:lang w:val="en-US" w:eastAsia="zh-CN" w:bidi="ar-SA"/>
            </w:rPr>
            <w:t>1.5选址可行性分析..................................................................................................................</w:t>
          </w:r>
          <w:r>
            <w:rPr>
              <w:rFonts w:hint="eastAsia" w:cs="Times New Roman"/>
              <w:color w:val="auto"/>
              <w:szCs w:val="24"/>
              <w:lang w:val="en-US" w:eastAsia="zh-CN" w:bidi="ar-SA"/>
            </w:rPr>
            <w:t>......</w:t>
          </w:r>
          <w:r>
            <w:rPr>
              <w:rFonts w:hint="eastAsia" w:ascii="Times New Roman" w:hAnsi="Times New Roman" w:eastAsia="宋体" w:cs="Times New Roman"/>
              <w:color w:val="auto"/>
              <w:szCs w:val="24"/>
              <w:lang w:val="en-US" w:eastAsia="zh-CN" w:bidi="ar-SA"/>
            </w:rPr>
            <w:t>..</w:t>
          </w:r>
          <w:r>
            <w:rPr>
              <w:rFonts w:hint="eastAsia" w:cs="Times New Roman"/>
              <w:color w:val="auto"/>
              <w:szCs w:val="24"/>
              <w:lang w:val="en-US" w:eastAsia="zh-CN" w:bidi="ar-SA"/>
            </w:rPr>
            <w:t>..</w:t>
          </w:r>
          <w:r>
            <w:rPr>
              <w:rFonts w:hint="eastAsia" w:ascii="Times New Roman" w:hAnsi="Times New Roman" w:eastAsia="宋体" w:cs="Times New Roman"/>
              <w:color w:val="auto"/>
              <w:szCs w:val="24"/>
              <w:lang w:val="en-US" w:eastAsia="zh-CN" w:bidi="ar-SA"/>
            </w:rPr>
            <w:t>...3</w:t>
          </w:r>
        </w:p>
        <w:p w14:paraId="53D48D5D">
          <w:pPr>
            <w:pStyle w:val="34"/>
            <w:tabs>
              <w:tab w:val="right" w:leader="dot" w:pos="8844"/>
            </w:tabs>
            <w:rPr>
              <w:rFonts w:hint="default" w:ascii="Times New Roman" w:hAnsi="Times New Roman" w:eastAsia="宋体" w:cs="Times New Roman"/>
              <w:color w:val="auto"/>
              <w:szCs w:val="24"/>
              <w:lang w:val="en-US" w:eastAsia="zh-CN" w:bidi="ar-SA"/>
            </w:rPr>
          </w:pPr>
          <w:r>
            <w:rPr>
              <w:rFonts w:hint="eastAsia" w:ascii="Times New Roman" w:hAnsi="Times New Roman" w:eastAsia="宋体" w:cs="Times New Roman"/>
              <w:color w:val="auto"/>
              <w:szCs w:val="24"/>
              <w:lang w:val="en-US" w:eastAsia="zh-CN" w:bidi="ar-SA"/>
            </w:rPr>
            <w:t>1.6、园区平面布置合理性分析.................................................................................................</w:t>
          </w:r>
          <w:r>
            <w:rPr>
              <w:rFonts w:hint="eastAsia" w:cs="Times New Roman"/>
              <w:color w:val="auto"/>
              <w:szCs w:val="24"/>
              <w:lang w:val="en-US" w:eastAsia="zh-CN" w:bidi="ar-SA"/>
            </w:rPr>
            <w:t>.....</w:t>
          </w:r>
          <w:r>
            <w:rPr>
              <w:rFonts w:hint="eastAsia" w:ascii="Times New Roman" w:hAnsi="Times New Roman" w:eastAsia="宋体" w:cs="Times New Roman"/>
              <w:color w:val="auto"/>
              <w:szCs w:val="24"/>
              <w:lang w:val="en-US" w:eastAsia="zh-CN" w:bidi="ar-SA"/>
            </w:rPr>
            <w:t>.</w:t>
          </w:r>
          <w:r>
            <w:rPr>
              <w:rFonts w:hint="eastAsia" w:cs="Times New Roman"/>
              <w:color w:val="auto"/>
              <w:szCs w:val="24"/>
              <w:lang w:val="en-US" w:eastAsia="zh-CN" w:bidi="ar-SA"/>
            </w:rPr>
            <w:t>.</w:t>
          </w:r>
          <w:r>
            <w:rPr>
              <w:rFonts w:hint="eastAsia" w:ascii="Times New Roman" w:hAnsi="Times New Roman" w:eastAsia="宋体" w:cs="Times New Roman"/>
              <w:color w:val="auto"/>
              <w:szCs w:val="24"/>
              <w:lang w:val="en-US" w:eastAsia="zh-CN" w:bidi="ar-SA"/>
            </w:rPr>
            <w:t>....3</w:t>
          </w:r>
        </w:p>
        <w:p w14:paraId="0EFE10A9">
          <w:pPr>
            <w:pStyle w:val="34"/>
            <w:tabs>
              <w:tab w:val="right" w:leader="dot" w:pos="8844"/>
            </w:tabs>
            <w:rPr>
              <w:rFonts w:hint="default" w:ascii="Times New Roman" w:hAnsi="Times New Roman" w:eastAsia="宋体" w:cs="Times New Roman"/>
              <w:color w:val="auto"/>
              <w:szCs w:val="24"/>
              <w:lang w:val="en-US" w:eastAsia="zh-CN" w:bidi="ar-SA"/>
            </w:rPr>
          </w:pPr>
          <w:r>
            <w:rPr>
              <w:rFonts w:hint="default" w:ascii="Times New Roman" w:hAnsi="Times New Roman" w:eastAsia="宋体" w:cs="Times New Roman"/>
              <w:color w:val="auto"/>
              <w:szCs w:val="24"/>
              <w:lang w:val="en-US" w:eastAsia="zh-CN" w:bidi="ar-SA"/>
            </w:rPr>
            <w:t>1.</w:t>
          </w:r>
          <w:r>
            <w:rPr>
              <w:rFonts w:hint="eastAsia" w:ascii="Times New Roman" w:hAnsi="Times New Roman" w:eastAsia="宋体" w:cs="Times New Roman"/>
              <w:color w:val="auto"/>
              <w:szCs w:val="24"/>
              <w:lang w:val="en-US" w:eastAsia="zh-CN" w:bidi="ar-SA"/>
            </w:rPr>
            <w:t>7与《闽侯县国土空间总体规划（2022-2035）》符合性分析</w:t>
          </w:r>
          <w:r>
            <w:rPr>
              <w:rFonts w:hint="eastAsia" w:cs="Times New Roman"/>
              <w:color w:val="auto"/>
              <w:szCs w:val="24"/>
              <w:lang w:val="en-US" w:eastAsia="zh-CN" w:bidi="ar-SA"/>
            </w:rPr>
            <w:t>.....................................................4</w:t>
          </w:r>
        </w:p>
        <w:p w14:paraId="36DB8035">
          <w:pPr>
            <w:pStyle w:val="34"/>
            <w:tabs>
              <w:tab w:val="right" w:leader="dot" w:pos="8844"/>
            </w:tabs>
            <w:rPr>
              <w:rFonts w:hint="default" w:ascii="Times New Roman" w:hAnsi="Times New Roman" w:eastAsia="宋体" w:cs="Times New Roman"/>
              <w:color w:val="auto"/>
              <w:szCs w:val="24"/>
              <w:lang w:val="en-US" w:eastAsia="zh-CN" w:bidi="ar-SA"/>
            </w:rPr>
          </w:pPr>
          <w:r>
            <w:rPr>
              <w:rFonts w:hint="eastAsia" w:ascii="Times New Roman" w:hAnsi="Times New Roman" w:eastAsia="宋体" w:cs="Times New Roman"/>
              <w:color w:val="auto"/>
              <w:szCs w:val="24"/>
              <w:lang w:val="en-US" w:eastAsia="zh-CN" w:bidi="ar-SA"/>
            </w:rPr>
            <w:t>1.8项目与环境功能区划符合性分析</w:t>
          </w:r>
          <w:r>
            <w:rPr>
              <w:rFonts w:hint="eastAsia" w:cs="Times New Roman"/>
              <w:color w:val="auto"/>
              <w:szCs w:val="24"/>
              <w:lang w:val="en-US" w:eastAsia="zh-CN" w:bidi="ar-SA"/>
            </w:rPr>
            <w:t>...................................................................................................5</w:t>
          </w:r>
        </w:p>
        <w:p w14:paraId="4CC564D1">
          <w:pPr>
            <w:pStyle w:val="34"/>
            <w:tabs>
              <w:tab w:val="right" w:leader="dot" w:pos="8844"/>
            </w:tabs>
            <w:rPr>
              <w:rFonts w:hint="default" w:ascii="Times New Roman" w:hAnsi="Times New Roman" w:eastAsia="宋体" w:cs="Times New Roman"/>
              <w:color w:val="auto"/>
              <w:szCs w:val="24"/>
              <w:lang w:val="en-US" w:eastAsia="zh-CN" w:bidi="ar-SA"/>
            </w:rPr>
          </w:pPr>
          <w:r>
            <w:rPr>
              <w:rFonts w:hint="eastAsia" w:ascii="Times New Roman" w:hAnsi="Times New Roman" w:eastAsia="宋体" w:cs="Times New Roman"/>
              <w:color w:val="auto"/>
              <w:szCs w:val="24"/>
              <w:lang w:val="en-US" w:eastAsia="zh-CN" w:bidi="ar-SA"/>
            </w:rPr>
            <w:t>1.9生态环境分区管控要求符合性分析</w:t>
          </w:r>
          <w:r>
            <w:rPr>
              <w:rFonts w:hint="eastAsia" w:cs="Times New Roman"/>
              <w:color w:val="auto"/>
              <w:szCs w:val="24"/>
              <w:lang w:val="en-US" w:eastAsia="zh-CN" w:bidi="ar-SA"/>
            </w:rPr>
            <w:t>...............................................................................................5</w:t>
          </w:r>
        </w:p>
        <w:p w14:paraId="4C084B54">
          <w:pPr>
            <w:pStyle w:val="34"/>
            <w:tabs>
              <w:tab w:val="right" w:leader="dot" w:pos="8844"/>
            </w:tabs>
            <w:rPr>
              <w:rFonts w:hint="default" w:ascii="Times New Roman" w:hAnsi="Times New Roman" w:eastAsia="宋体" w:cs="Times New Roman"/>
              <w:color w:val="auto"/>
              <w:szCs w:val="24"/>
              <w:lang w:val="en-US" w:eastAsia="zh-CN" w:bidi="ar-SA"/>
            </w:rPr>
          </w:pPr>
          <w:r>
            <w:rPr>
              <w:rFonts w:hint="eastAsia" w:ascii="Times New Roman" w:hAnsi="Times New Roman" w:eastAsia="宋体" w:cs="Times New Roman"/>
              <w:color w:val="auto"/>
              <w:szCs w:val="24"/>
              <w:lang w:val="en-US" w:eastAsia="zh-CN" w:bidi="ar-SA"/>
            </w:rPr>
            <w:t>1.10项目与《闽江流域产业布局规划》符合性分析</w:t>
          </w:r>
          <w:r>
            <w:rPr>
              <w:rFonts w:hint="eastAsia" w:cs="Times New Roman"/>
              <w:color w:val="auto"/>
              <w:szCs w:val="24"/>
              <w:lang w:val="en-US" w:eastAsia="zh-CN" w:bidi="ar-SA"/>
            </w:rPr>
            <w:t>.......................................................................10</w:t>
          </w:r>
        </w:p>
        <w:p w14:paraId="47541CC5">
          <w:pPr>
            <w:pStyle w:val="34"/>
            <w:tabs>
              <w:tab w:val="right" w:leader="dot" w:pos="8844"/>
            </w:tabs>
            <w:rPr>
              <w:rFonts w:hint="default" w:ascii="Times New Roman" w:hAnsi="Times New Roman" w:eastAsia="宋体" w:cs="Times New Roman"/>
              <w:color w:val="auto"/>
              <w:szCs w:val="24"/>
              <w:lang w:val="en-US" w:eastAsia="zh-CN" w:bidi="ar-SA"/>
            </w:rPr>
          </w:pPr>
          <w:r>
            <w:rPr>
              <w:rFonts w:hint="eastAsia" w:ascii="Times New Roman" w:hAnsi="Times New Roman" w:eastAsia="宋体" w:cs="Times New Roman"/>
              <w:color w:val="auto"/>
              <w:szCs w:val="24"/>
              <w:lang w:val="en-US" w:eastAsia="zh-CN" w:bidi="ar-SA"/>
            </w:rPr>
            <w:t>1.11项目与《2021年福州市提升空气质量行动计划》的通知（榕环委办〔2021〕23号）《2022年度福州市蓝天保卫战行动计划》符合性分析</w:t>
          </w:r>
          <w:r>
            <w:rPr>
              <w:rFonts w:hint="eastAsia" w:cs="Times New Roman"/>
              <w:color w:val="auto"/>
              <w:szCs w:val="24"/>
              <w:lang w:val="en-US" w:eastAsia="zh-CN" w:bidi="ar-SA"/>
            </w:rPr>
            <w:t>..................................................................11</w:t>
          </w:r>
        </w:p>
        <w:p w14:paraId="24A4367C">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_Toc71 </w:instrText>
          </w:r>
          <w:r>
            <w:rPr>
              <w:rFonts w:hint="eastAsia" w:ascii="Times New Roman" w:hAnsi="Times New Roman" w:eastAsia="宋体" w:cs="Times New Roman"/>
              <w:szCs w:val="24"/>
              <w:lang w:val="en-US" w:eastAsia="zh-CN" w:bidi="ar-SA"/>
            </w:rPr>
            <w:fldChar w:fldCharType="separate"/>
          </w:r>
          <w:r>
            <w:rPr>
              <w:rFonts w:hint="eastAsia" w:ascii="黑体" w:hAnsi="黑体" w:eastAsia="黑体"/>
              <w:szCs w:val="30"/>
            </w:rPr>
            <w:t>二、建设项目工程分析</w:t>
          </w:r>
          <w:r>
            <w:tab/>
          </w:r>
          <w:r>
            <w:fldChar w:fldCharType="begin"/>
          </w:r>
          <w:r>
            <w:instrText xml:space="preserve"> PAGEREF _Toc71 \h </w:instrText>
          </w:r>
          <w:r>
            <w:fldChar w:fldCharType="separate"/>
          </w:r>
          <w:r>
            <w:t>12</w:t>
          </w:r>
          <w:r>
            <w:fldChar w:fldCharType="end"/>
          </w:r>
          <w:r>
            <w:rPr>
              <w:rFonts w:hint="eastAsia" w:ascii="Times New Roman" w:hAnsi="Times New Roman" w:eastAsia="宋体" w:cs="Times New Roman"/>
              <w:color w:val="auto"/>
              <w:szCs w:val="24"/>
              <w:lang w:val="en-US" w:eastAsia="zh-CN" w:bidi="ar-SA"/>
            </w:rPr>
            <w:fldChar w:fldCharType="end"/>
          </w:r>
        </w:p>
        <w:p w14:paraId="5B410AEB">
          <w:pPr>
            <w:pStyle w:val="34"/>
            <w:tabs>
              <w:tab w:val="right" w:leader="dot" w:pos="8844"/>
            </w:tabs>
            <w:rPr>
              <w:rFonts w:hint="default" w:ascii="Times New Roman" w:hAnsi="Times New Roman" w:eastAsia="宋体" w:cs="Times New Roman"/>
              <w:color w:val="auto"/>
              <w:szCs w:val="24"/>
              <w:lang w:val="en-US" w:eastAsia="zh-CN" w:bidi="ar-SA"/>
            </w:rPr>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color w:val="auto"/>
              <w:szCs w:val="24"/>
              <w:lang w:val="en-US" w:eastAsia="zh-CN" w:bidi="ar-SA"/>
            </w:rPr>
            <w:instrText xml:space="preserve"> HYPERLINK \l _Toc30332 </w:instrText>
          </w:r>
          <w:r>
            <w:rPr>
              <w:rFonts w:hint="eastAsia" w:ascii="Times New Roman" w:hAnsi="Times New Roman" w:eastAsia="宋体" w:cs="Times New Roman"/>
              <w:color w:val="auto"/>
              <w:szCs w:val="24"/>
              <w:lang w:val="en-US" w:eastAsia="zh-CN" w:bidi="ar-SA"/>
            </w:rPr>
            <w:fldChar w:fldCharType="separate"/>
          </w:r>
          <w:r>
            <w:rPr>
              <w:rFonts w:hint="default" w:ascii="Times New Roman" w:hAnsi="Times New Roman" w:eastAsia="宋体" w:cs="Times New Roman"/>
              <w:color w:val="auto"/>
              <w:szCs w:val="24"/>
              <w:lang w:val="en-US" w:eastAsia="zh-CN" w:bidi="ar-SA"/>
            </w:rPr>
            <w:t>2.1项目基本情况</w:t>
          </w:r>
          <w:r>
            <w:rPr>
              <w:rFonts w:hint="default" w:ascii="Times New Roman" w:hAnsi="Times New Roman" w:eastAsia="宋体" w:cs="Times New Roman"/>
              <w:color w:val="auto"/>
              <w:szCs w:val="24"/>
              <w:lang w:val="en-US" w:eastAsia="zh-CN" w:bidi="ar-SA"/>
            </w:rPr>
            <w:tab/>
          </w:r>
          <w:r>
            <w:rPr>
              <w:rFonts w:hint="default" w:ascii="Times New Roman" w:hAnsi="Times New Roman" w:eastAsia="宋体" w:cs="Times New Roman"/>
              <w:color w:val="auto"/>
              <w:szCs w:val="24"/>
              <w:lang w:val="en-US" w:eastAsia="zh-CN" w:bidi="ar-SA"/>
            </w:rPr>
            <w:fldChar w:fldCharType="begin"/>
          </w:r>
          <w:r>
            <w:rPr>
              <w:rFonts w:hint="default" w:ascii="Times New Roman" w:hAnsi="Times New Roman" w:eastAsia="宋体" w:cs="Times New Roman"/>
              <w:color w:val="auto"/>
              <w:szCs w:val="24"/>
              <w:lang w:val="en-US" w:eastAsia="zh-CN" w:bidi="ar-SA"/>
            </w:rPr>
            <w:instrText xml:space="preserve"> PAGEREF _Toc30332 \h </w:instrText>
          </w:r>
          <w:r>
            <w:rPr>
              <w:rFonts w:hint="default" w:ascii="Times New Roman" w:hAnsi="Times New Roman" w:eastAsia="宋体" w:cs="Times New Roman"/>
              <w:color w:val="auto"/>
              <w:szCs w:val="24"/>
              <w:lang w:val="en-US" w:eastAsia="zh-CN" w:bidi="ar-SA"/>
            </w:rPr>
            <w:fldChar w:fldCharType="separate"/>
          </w:r>
          <w:r>
            <w:rPr>
              <w:rFonts w:hint="default" w:ascii="Times New Roman" w:hAnsi="Times New Roman" w:eastAsia="宋体" w:cs="Times New Roman"/>
              <w:color w:val="auto"/>
              <w:szCs w:val="24"/>
              <w:lang w:val="en-US" w:eastAsia="zh-CN" w:bidi="ar-SA"/>
            </w:rPr>
            <w:t>12</w:t>
          </w:r>
          <w:r>
            <w:rPr>
              <w:rFonts w:hint="default" w:ascii="Times New Roman" w:hAnsi="Times New Roman" w:eastAsia="宋体" w:cs="Times New Roman"/>
              <w:color w:val="auto"/>
              <w:szCs w:val="24"/>
              <w:lang w:val="en-US" w:eastAsia="zh-CN" w:bidi="ar-SA"/>
            </w:rPr>
            <w:fldChar w:fldCharType="end"/>
          </w:r>
          <w:r>
            <w:rPr>
              <w:rFonts w:hint="eastAsia" w:ascii="Times New Roman" w:hAnsi="Times New Roman" w:eastAsia="宋体" w:cs="Times New Roman"/>
              <w:color w:val="auto"/>
              <w:szCs w:val="24"/>
              <w:lang w:val="en-US" w:eastAsia="zh-CN" w:bidi="ar-SA"/>
            </w:rPr>
            <w:fldChar w:fldCharType="end"/>
          </w:r>
        </w:p>
        <w:p w14:paraId="3F30613E">
          <w:pPr>
            <w:pStyle w:val="34"/>
            <w:tabs>
              <w:tab w:val="right" w:leader="dot" w:pos="8844"/>
            </w:tabs>
            <w:rPr>
              <w:rFonts w:hint="default" w:ascii="Times New Roman" w:hAnsi="Times New Roman" w:eastAsia="宋体" w:cs="Times New Roman"/>
              <w:color w:val="auto"/>
              <w:szCs w:val="24"/>
              <w:lang w:val="en-US" w:eastAsia="zh-CN" w:bidi="ar-SA"/>
            </w:rPr>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color w:val="auto"/>
              <w:szCs w:val="24"/>
              <w:lang w:val="en-US" w:eastAsia="zh-CN" w:bidi="ar-SA"/>
            </w:rPr>
            <w:instrText xml:space="preserve"> HYPERLINK \l _Toc22574 </w:instrText>
          </w:r>
          <w:r>
            <w:rPr>
              <w:rFonts w:hint="eastAsia" w:ascii="Times New Roman" w:hAnsi="Times New Roman" w:eastAsia="宋体" w:cs="Times New Roman"/>
              <w:color w:val="auto"/>
              <w:szCs w:val="24"/>
              <w:lang w:val="en-US" w:eastAsia="zh-CN" w:bidi="ar-SA"/>
            </w:rPr>
            <w:fldChar w:fldCharType="separate"/>
          </w:r>
          <w:r>
            <w:rPr>
              <w:rFonts w:hint="default" w:ascii="Times New Roman" w:hAnsi="Times New Roman" w:eastAsia="宋体" w:cs="Times New Roman"/>
              <w:color w:val="auto"/>
              <w:szCs w:val="24"/>
              <w:lang w:val="en-US" w:eastAsia="zh-CN" w:bidi="ar-SA"/>
            </w:rPr>
            <w:t>2.2生产工艺流程及产污环节</w:t>
          </w:r>
          <w:r>
            <w:rPr>
              <w:rFonts w:hint="default" w:ascii="Times New Roman" w:hAnsi="Times New Roman" w:eastAsia="宋体" w:cs="Times New Roman"/>
              <w:color w:val="auto"/>
              <w:szCs w:val="24"/>
              <w:lang w:val="en-US" w:eastAsia="zh-CN" w:bidi="ar-SA"/>
            </w:rPr>
            <w:tab/>
          </w:r>
          <w:r>
            <w:rPr>
              <w:rFonts w:hint="default" w:ascii="Times New Roman" w:hAnsi="Times New Roman" w:eastAsia="宋体" w:cs="Times New Roman"/>
              <w:color w:val="auto"/>
              <w:szCs w:val="24"/>
              <w:lang w:val="en-US" w:eastAsia="zh-CN" w:bidi="ar-SA"/>
            </w:rPr>
            <w:fldChar w:fldCharType="begin"/>
          </w:r>
          <w:r>
            <w:rPr>
              <w:rFonts w:hint="default" w:ascii="Times New Roman" w:hAnsi="Times New Roman" w:eastAsia="宋体" w:cs="Times New Roman"/>
              <w:color w:val="auto"/>
              <w:szCs w:val="24"/>
              <w:lang w:val="en-US" w:eastAsia="zh-CN" w:bidi="ar-SA"/>
            </w:rPr>
            <w:instrText xml:space="preserve"> PAGEREF _Toc22574 \h </w:instrText>
          </w:r>
          <w:r>
            <w:rPr>
              <w:rFonts w:hint="default" w:ascii="Times New Roman" w:hAnsi="Times New Roman" w:eastAsia="宋体" w:cs="Times New Roman"/>
              <w:color w:val="auto"/>
              <w:szCs w:val="24"/>
              <w:lang w:val="en-US" w:eastAsia="zh-CN" w:bidi="ar-SA"/>
            </w:rPr>
            <w:fldChar w:fldCharType="separate"/>
          </w:r>
          <w:r>
            <w:rPr>
              <w:rFonts w:hint="default" w:ascii="Times New Roman" w:hAnsi="Times New Roman" w:eastAsia="宋体" w:cs="Times New Roman"/>
              <w:color w:val="auto"/>
              <w:szCs w:val="24"/>
              <w:lang w:val="en-US" w:eastAsia="zh-CN" w:bidi="ar-SA"/>
            </w:rPr>
            <w:t>19</w:t>
          </w:r>
          <w:r>
            <w:rPr>
              <w:rFonts w:hint="default" w:ascii="Times New Roman" w:hAnsi="Times New Roman" w:eastAsia="宋体" w:cs="Times New Roman"/>
              <w:color w:val="auto"/>
              <w:szCs w:val="24"/>
              <w:lang w:val="en-US" w:eastAsia="zh-CN" w:bidi="ar-SA"/>
            </w:rPr>
            <w:fldChar w:fldCharType="end"/>
          </w:r>
          <w:r>
            <w:rPr>
              <w:rFonts w:hint="eastAsia" w:ascii="Times New Roman" w:hAnsi="Times New Roman" w:eastAsia="宋体" w:cs="Times New Roman"/>
              <w:color w:val="auto"/>
              <w:szCs w:val="24"/>
              <w:lang w:val="en-US" w:eastAsia="zh-CN" w:bidi="ar-SA"/>
            </w:rPr>
            <w:fldChar w:fldCharType="end"/>
          </w:r>
        </w:p>
        <w:p w14:paraId="2A0EB7EA">
          <w:pPr>
            <w:pStyle w:val="34"/>
            <w:tabs>
              <w:tab w:val="right" w:leader="dot" w:pos="8844"/>
            </w:tabs>
            <w:rPr>
              <w:rFonts w:hint="default" w:ascii="Times New Roman" w:hAnsi="Times New Roman" w:eastAsia="宋体" w:cs="Times New Roman"/>
              <w:color w:val="auto"/>
              <w:szCs w:val="24"/>
              <w:lang w:val="en-US" w:eastAsia="zh-CN" w:bidi="ar-SA"/>
            </w:rPr>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color w:val="auto"/>
              <w:szCs w:val="24"/>
              <w:lang w:val="en-US" w:eastAsia="zh-CN" w:bidi="ar-SA"/>
            </w:rPr>
            <w:instrText xml:space="preserve"> HYPERLINK \l _Toc9849 </w:instrText>
          </w:r>
          <w:r>
            <w:rPr>
              <w:rFonts w:hint="eastAsia" w:ascii="Times New Roman" w:hAnsi="Times New Roman" w:eastAsia="宋体" w:cs="Times New Roman"/>
              <w:color w:val="auto"/>
              <w:szCs w:val="24"/>
              <w:lang w:val="en-US" w:eastAsia="zh-CN" w:bidi="ar-SA"/>
            </w:rPr>
            <w:fldChar w:fldCharType="separate"/>
          </w:r>
          <w:r>
            <w:rPr>
              <w:rFonts w:hint="default" w:ascii="Times New Roman" w:hAnsi="Times New Roman" w:eastAsia="宋体" w:cs="Times New Roman"/>
              <w:color w:val="auto"/>
              <w:szCs w:val="24"/>
              <w:lang w:val="en-US" w:eastAsia="zh-CN" w:bidi="ar-SA"/>
            </w:rPr>
            <w:t>2.</w:t>
          </w:r>
          <w:r>
            <w:rPr>
              <w:rFonts w:hint="eastAsia" w:cs="Times New Roman"/>
              <w:color w:val="auto"/>
              <w:szCs w:val="24"/>
              <w:lang w:val="en-US" w:eastAsia="zh-CN" w:bidi="ar-SA"/>
            </w:rPr>
            <w:t>3</w:t>
          </w:r>
          <w:r>
            <w:rPr>
              <w:rFonts w:hint="eastAsia" w:ascii="Times New Roman" w:hAnsi="Times New Roman" w:eastAsia="宋体" w:cs="Times New Roman"/>
              <w:color w:val="auto"/>
              <w:szCs w:val="24"/>
              <w:lang w:val="en-US" w:eastAsia="zh-CN" w:bidi="ar-SA"/>
            </w:rPr>
            <w:t>出租方建设项目基本情况</w:t>
          </w:r>
          <w:r>
            <w:rPr>
              <w:rFonts w:hint="default" w:ascii="Times New Roman" w:hAnsi="Times New Roman" w:eastAsia="宋体" w:cs="Times New Roman"/>
              <w:color w:val="auto"/>
              <w:szCs w:val="24"/>
              <w:lang w:val="en-US" w:eastAsia="zh-CN" w:bidi="ar-SA"/>
            </w:rPr>
            <w:tab/>
          </w:r>
          <w:r>
            <w:rPr>
              <w:rFonts w:hint="eastAsia" w:cs="Times New Roman"/>
              <w:color w:val="auto"/>
              <w:szCs w:val="24"/>
              <w:lang w:val="en-US" w:eastAsia="zh-CN" w:bidi="ar-SA"/>
            </w:rPr>
            <w:t>2</w:t>
          </w:r>
          <w:r>
            <w:rPr>
              <w:rFonts w:hint="eastAsia" w:ascii="Times New Roman" w:hAnsi="Times New Roman" w:eastAsia="宋体" w:cs="Times New Roman"/>
              <w:color w:val="auto"/>
              <w:szCs w:val="24"/>
              <w:lang w:val="en-US" w:eastAsia="zh-CN" w:bidi="ar-SA"/>
            </w:rPr>
            <w:fldChar w:fldCharType="end"/>
          </w:r>
          <w:r>
            <w:rPr>
              <w:rFonts w:hint="eastAsia" w:cs="Times New Roman"/>
              <w:color w:val="auto"/>
              <w:szCs w:val="24"/>
              <w:lang w:val="en-US" w:eastAsia="zh-CN" w:bidi="ar-SA"/>
            </w:rPr>
            <w:t>3</w:t>
          </w:r>
        </w:p>
        <w:p w14:paraId="479D305D">
          <w:pPr>
            <w:pStyle w:val="34"/>
            <w:tabs>
              <w:tab w:val="right" w:leader="dot" w:pos="8844"/>
            </w:tabs>
            <w:rPr>
              <w:rFonts w:hint="default" w:ascii="Times New Roman" w:hAnsi="Times New Roman" w:eastAsia="宋体" w:cs="Times New Roman"/>
              <w:color w:val="auto"/>
              <w:szCs w:val="24"/>
              <w:lang w:val="en-US" w:eastAsia="zh-CN" w:bidi="ar-SA"/>
            </w:rPr>
          </w:pPr>
          <w:r>
            <w:rPr>
              <w:rFonts w:hint="eastAsia" w:ascii="Times New Roman" w:hAnsi="Times New Roman" w:eastAsia="宋体" w:cs="Times New Roman"/>
              <w:color w:val="auto"/>
              <w:szCs w:val="24"/>
              <w:lang w:val="en-US" w:eastAsia="zh-CN" w:bidi="ar-SA"/>
            </w:rPr>
            <w:t>2.4现有环境污染问题</w:t>
          </w:r>
          <w:r>
            <w:rPr>
              <w:rFonts w:hint="eastAsia" w:cs="Times New Roman"/>
              <w:color w:val="auto"/>
              <w:szCs w:val="24"/>
              <w:lang w:val="en-US" w:eastAsia="zh-CN" w:bidi="ar-SA"/>
            </w:rPr>
            <w:t>.........................................................................................................................24</w:t>
          </w:r>
        </w:p>
        <w:p w14:paraId="3C303818">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_Toc19557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黑体"/>
              <w:szCs w:val="30"/>
            </w:rPr>
            <w:t>三、区域环境质量现状、环境保护目标及评价标准</w:t>
          </w:r>
          <w:r>
            <w:tab/>
          </w:r>
          <w:r>
            <w:fldChar w:fldCharType="begin"/>
          </w:r>
          <w:r>
            <w:instrText xml:space="preserve"> PAGEREF _Toc19557 \h </w:instrText>
          </w:r>
          <w:r>
            <w:fldChar w:fldCharType="separate"/>
          </w:r>
          <w:r>
            <w:t>25</w:t>
          </w:r>
          <w:r>
            <w:fldChar w:fldCharType="end"/>
          </w:r>
          <w:r>
            <w:rPr>
              <w:rFonts w:hint="eastAsia" w:ascii="Times New Roman" w:hAnsi="Times New Roman" w:eastAsia="宋体" w:cs="Times New Roman"/>
              <w:color w:val="auto"/>
              <w:szCs w:val="24"/>
              <w:lang w:val="en-US" w:eastAsia="zh-CN" w:bidi="ar-SA"/>
            </w:rPr>
            <w:fldChar w:fldCharType="end"/>
          </w:r>
        </w:p>
        <w:p w14:paraId="1BD4CE90">
          <w:pPr>
            <w:pStyle w:val="34"/>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_Toc27267 </w:instrText>
          </w:r>
          <w:r>
            <w:rPr>
              <w:rFonts w:hint="eastAsia" w:ascii="Times New Roman" w:hAnsi="Times New Roman" w:eastAsia="宋体" w:cs="Times New Roman"/>
              <w:szCs w:val="24"/>
              <w:lang w:val="en-US" w:eastAsia="zh-CN" w:bidi="ar-SA"/>
            </w:rPr>
            <w:fldChar w:fldCharType="separate"/>
          </w:r>
          <w:r>
            <w:rPr>
              <w:rFonts w:hint="default" w:ascii="Times New Roman" w:hAnsi="Times New Roman" w:eastAsia="宋体" w:cs="Times New Roman"/>
              <w:bCs/>
              <w:kern w:val="2"/>
              <w:szCs w:val="28"/>
              <w:lang w:val="en-US" w:eastAsia="zh-CN" w:bidi="ar-SA"/>
            </w:rPr>
            <w:t>3.1</w:t>
          </w:r>
          <w:r>
            <w:rPr>
              <w:rFonts w:hint="eastAsia" w:ascii="Times New Roman" w:hAnsi="Times New Roman" w:eastAsia="宋体"/>
              <w:bCs/>
              <w:szCs w:val="28"/>
              <w:highlight w:val="none"/>
            </w:rPr>
            <w:t>区域环境质量现状</w:t>
          </w:r>
          <w:r>
            <w:tab/>
          </w:r>
          <w:r>
            <w:fldChar w:fldCharType="begin"/>
          </w:r>
          <w:r>
            <w:instrText xml:space="preserve"> PAGEREF _Toc27267 \h </w:instrText>
          </w:r>
          <w:r>
            <w:fldChar w:fldCharType="separate"/>
          </w:r>
          <w:r>
            <w:t>25</w:t>
          </w:r>
          <w:r>
            <w:fldChar w:fldCharType="end"/>
          </w:r>
          <w:r>
            <w:rPr>
              <w:rFonts w:hint="eastAsia" w:ascii="Times New Roman" w:hAnsi="Times New Roman" w:eastAsia="宋体" w:cs="Times New Roman"/>
              <w:color w:val="auto"/>
              <w:szCs w:val="24"/>
              <w:lang w:val="en-US" w:eastAsia="zh-CN" w:bidi="ar-SA"/>
            </w:rPr>
            <w:fldChar w:fldCharType="end"/>
          </w:r>
        </w:p>
        <w:p w14:paraId="58745BB0">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_Toc22389 </w:instrText>
          </w:r>
          <w:r>
            <w:rPr>
              <w:rFonts w:hint="eastAsia" w:ascii="Times New Roman" w:hAnsi="Times New Roman" w:eastAsia="宋体" w:cs="Times New Roman"/>
              <w:szCs w:val="24"/>
              <w:lang w:val="en-US" w:eastAsia="zh-CN" w:bidi="ar-SA"/>
            </w:rPr>
            <w:fldChar w:fldCharType="separate"/>
          </w:r>
          <w:r>
            <w:rPr>
              <w:rFonts w:hint="default" w:ascii="Times New Roman" w:hAnsi="Times New Roman" w:eastAsia="宋体" w:cs="Times New Roman"/>
              <w:bCs/>
              <w:kern w:val="2"/>
              <w:szCs w:val="24"/>
              <w:lang w:val="en-US" w:eastAsia="zh-CN" w:bidi="ar-SA"/>
            </w:rPr>
            <w:t>3.1.1</w:t>
          </w:r>
          <w:r>
            <w:rPr>
              <w:rFonts w:hint="eastAsia" w:ascii="Times New Roman" w:hAnsi="Times New Roman" w:eastAsia="宋体"/>
              <w:bCs/>
              <w:szCs w:val="24"/>
              <w:highlight w:val="none"/>
              <w:lang w:val="en-US" w:eastAsia="zh-CN"/>
            </w:rPr>
            <w:t>地表水环境质量现状</w:t>
          </w:r>
          <w:r>
            <w:tab/>
          </w:r>
          <w:r>
            <w:fldChar w:fldCharType="begin"/>
          </w:r>
          <w:r>
            <w:instrText xml:space="preserve"> PAGEREF _Toc22389 \h </w:instrText>
          </w:r>
          <w:r>
            <w:fldChar w:fldCharType="separate"/>
          </w:r>
          <w:r>
            <w:t>25</w:t>
          </w:r>
          <w:r>
            <w:fldChar w:fldCharType="end"/>
          </w:r>
          <w:r>
            <w:rPr>
              <w:rFonts w:hint="eastAsia" w:ascii="Times New Roman" w:hAnsi="Times New Roman" w:eastAsia="宋体" w:cs="Times New Roman"/>
              <w:color w:val="auto"/>
              <w:szCs w:val="24"/>
              <w:lang w:val="en-US" w:eastAsia="zh-CN" w:bidi="ar-SA"/>
            </w:rPr>
            <w:fldChar w:fldCharType="end"/>
          </w:r>
        </w:p>
        <w:p w14:paraId="6DA14341">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_Toc18606 </w:instrText>
          </w:r>
          <w:r>
            <w:rPr>
              <w:rFonts w:hint="eastAsia" w:ascii="Times New Roman" w:hAnsi="Times New Roman" w:eastAsia="宋体" w:cs="Times New Roman"/>
              <w:szCs w:val="24"/>
              <w:lang w:val="en-US" w:eastAsia="zh-CN" w:bidi="ar-SA"/>
            </w:rPr>
            <w:fldChar w:fldCharType="separate"/>
          </w:r>
          <w:r>
            <w:rPr>
              <w:rFonts w:hint="default" w:ascii="Times New Roman" w:hAnsi="Times New Roman" w:eastAsia="宋体" w:cs="Times New Roman"/>
              <w:bCs/>
              <w:kern w:val="2"/>
              <w:szCs w:val="28"/>
              <w:lang w:val="en-US" w:eastAsia="zh-CN" w:bidi="ar-SA"/>
            </w:rPr>
            <w:t>3.1.2</w:t>
          </w:r>
          <w:r>
            <w:rPr>
              <w:rFonts w:hint="eastAsia" w:ascii="Times New Roman" w:hAnsi="Times New Roman" w:eastAsia="宋体"/>
              <w:bCs/>
              <w:szCs w:val="28"/>
              <w:highlight w:val="none"/>
              <w:lang w:val="en-US" w:eastAsia="zh-CN"/>
            </w:rPr>
            <w:t>大气环境质量现状</w:t>
          </w:r>
          <w:r>
            <w:tab/>
          </w:r>
          <w:r>
            <w:fldChar w:fldCharType="begin"/>
          </w:r>
          <w:r>
            <w:instrText xml:space="preserve"> PAGEREF _Toc18606 \h </w:instrText>
          </w:r>
          <w:r>
            <w:fldChar w:fldCharType="separate"/>
          </w:r>
          <w:r>
            <w:t>26</w:t>
          </w:r>
          <w:r>
            <w:fldChar w:fldCharType="end"/>
          </w:r>
          <w:r>
            <w:rPr>
              <w:rFonts w:hint="eastAsia" w:ascii="Times New Roman" w:hAnsi="Times New Roman" w:eastAsia="宋体" w:cs="Times New Roman"/>
              <w:color w:val="auto"/>
              <w:szCs w:val="24"/>
              <w:lang w:val="en-US" w:eastAsia="zh-CN" w:bidi="ar-SA"/>
            </w:rPr>
            <w:fldChar w:fldCharType="end"/>
          </w:r>
        </w:p>
        <w:p w14:paraId="7E473A12">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_Toc25348 </w:instrText>
          </w:r>
          <w:r>
            <w:rPr>
              <w:rFonts w:hint="eastAsia" w:ascii="Times New Roman" w:hAnsi="Times New Roman" w:eastAsia="宋体" w:cs="Times New Roman"/>
              <w:szCs w:val="24"/>
              <w:lang w:val="en-US" w:eastAsia="zh-CN" w:bidi="ar-SA"/>
            </w:rPr>
            <w:fldChar w:fldCharType="separate"/>
          </w:r>
          <w:r>
            <w:rPr>
              <w:rFonts w:hint="default" w:ascii="Times New Roman" w:hAnsi="Times New Roman" w:eastAsia="宋体" w:cs="Times New Roman"/>
              <w:bCs/>
              <w:kern w:val="2"/>
              <w:szCs w:val="24"/>
              <w:lang w:val="en-US" w:eastAsia="zh-CN" w:bidi="ar-SA"/>
            </w:rPr>
            <w:t>3.1.</w:t>
          </w:r>
          <w:r>
            <w:rPr>
              <w:rFonts w:hint="eastAsia" w:ascii="Times New Roman" w:hAnsi="Times New Roman" w:eastAsia="宋体" w:cs="Times New Roman"/>
              <w:bCs/>
              <w:kern w:val="2"/>
              <w:szCs w:val="24"/>
              <w:lang w:val="en-US" w:eastAsia="zh-CN" w:bidi="ar-SA"/>
            </w:rPr>
            <w:t>2.1</w:t>
          </w:r>
          <w:r>
            <w:rPr>
              <w:rFonts w:hint="default" w:ascii="Times New Roman" w:hAnsi="Times New Roman" w:eastAsia="宋体"/>
              <w:bCs/>
              <w:szCs w:val="24"/>
              <w:highlight w:val="none"/>
              <w:lang w:val="en-US" w:eastAsia="zh-CN"/>
            </w:rPr>
            <w:t>区域达标判断</w:t>
          </w:r>
          <w:r>
            <w:tab/>
          </w:r>
          <w:r>
            <w:fldChar w:fldCharType="begin"/>
          </w:r>
          <w:r>
            <w:instrText xml:space="preserve"> PAGEREF _Toc25348 \h </w:instrText>
          </w:r>
          <w:r>
            <w:fldChar w:fldCharType="separate"/>
          </w:r>
          <w:r>
            <w:t>26</w:t>
          </w:r>
          <w:r>
            <w:fldChar w:fldCharType="end"/>
          </w:r>
          <w:r>
            <w:rPr>
              <w:rFonts w:hint="eastAsia" w:ascii="Times New Roman" w:hAnsi="Times New Roman" w:eastAsia="宋体" w:cs="Times New Roman"/>
              <w:color w:val="auto"/>
              <w:szCs w:val="24"/>
              <w:lang w:val="en-US" w:eastAsia="zh-CN" w:bidi="ar-SA"/>
            </w:rPr>
            <w:fldChar w:fldCharType="end"/>
          </w:r>
        </w:p>
        <w:p w14:paraId="0D52C6D4">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_Toc18320 </w:instrText>
          </w:r>
          <w:r>
            <w:rPr>
              <w:rFonts w:hint="eastAsia" w:ascii="Times New Roman" w:hAnsi="Times New Roman" w:eastAsia="宋体" w:cs="Times New Roman"/>
              <w:szCs w:val="24"/>
              <w:lang w:val="en-US" w:eastAsia="zh-CN" w:bidi="ar-SA"/>
            </w:rPr>
            <w:fldChar w:fldCharType="separate"/>
          </w:r>
          <w:r>
            <w:rPr>
              <w:rFonts w:hint="default" w:ascii="Times New Roman" w:hAnsi="Times New Roman" w:eastAsia="宋体" w:cs="Times New Roman"/>
              <w:bCs/>
              <w:kern w:val="2"/>
              <w:szCs w:val="28"/>
              <w:lang w:val="en-US" w:eastAsia="zh-CN" w:bidi="ar-SA"/>
            </w:rPr>
            <w:t>3.1.3</w:t>
          </w:r>
          <w:r>
            <w:rPr>
              <w:rFonts w:hint="eastAsia" w:ascii="Times New Roman" w:hAnsi="Times New Roman" w:eastAsia="宋体" w:cs="Times New Roman"/>
              <w:bCs/>
              <w:kern w:val="2"/>
              <w:szCs w:val="28"/>
              <w:lang w:val="en-US" w:eastAsia="zh-CN" w:bidi="ar-SA"/>
            </w:rPr>
            <w:t>声环境质量现状</w:t>
          </w:r>
          <w:r>
            <w:tab/>
          </w:r>
          <w:r>
            <w:fldChar w:fldCharType="begin"/>
          </w:r>
          <w:r>
            <w:instrText xml:space="preserve"> PAGEREF _Toc18320 \h </w:instrText>
          </w:r>
          <w:r>
            <w:fldChar w:fldCharType="separate"/>
          </w:r>
          <w:r>
            <w:t>27</w:t>
          </w:r>
          <w:r>
            <w:fldChar w:fldCharType="end"/>
          </w:r>
          <w:r>
            <w:rPr>
              <w:rFonts w:hint="eastAsia" w:ascii="Times New Roman" w:hAnsi="Times New Roman" w:eastAsia="宋体" w:cs="Times New Roman"/>
              <w:color w:val="auto"/>
              <w:szCs w:val="24"/>
              <w:lang w:val="en-US" w:eastAsia="zh-CN" w:bidi="ar-SA"/>
            </w:rPr>
            <w:fldChar w:fldCharType="end"/>
          </w:r>
        </w:p>
        <w:p w14:paraId="74EF99FE">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_Toc10226 </w:instrText>
          </w:r>
          <w:r>
            <w:rPr>
              <w:rFonts w:hint="eastAsia" w:ascii="Times New Roman" w:hAnsi="Times New Roman" w:eastAsia="宋体" w:cs="Times New Roman"/>
              <w:szCs w:val="24"/>
              <w:lang w:val="en-US" w:eastAsia="zh-CN" w:bidi="ar-SA"/>
            </w:rPr>
            <w:fldChar w:fldCharType="separate"/>
          </w:r>
          <w:r>
            <w:rPr>
              <w:rFonts w:hint="default" w:ascii="Times New Roman" w:hAnsi="Times New Roman" w:eastAsia="宋体" w:cs="Times New Roman"/>
              <w:bCs/>
              <w:kern w:val="2"/>
              <w:szCs w:val="28"/>
              <w:lang w:val="en-US" w:eastAsia="zh-CN" w:bidi="ar-SA"/>
            </w:rPr>
            <w:t>3.1.4</w:t>
          </w:r>
          <w:r>
            <w:rPr>
              <w:rFonts w:hint="eastAsia" w:ascii="Times New Roman" w:hAnsi="Times New Roman" w:eastAsia="宋体" w:cs="Times New Roman"/>
              <w:bCs/>
              <w:kern w:val="2"/>
              <w:szCs w:val="28"/>
              <w:lang w:val="en-US" w:eastAsia="zh-CN" w:bidi="ar-SA"/>
            </w:rPr>
            <w:t>生态环境</w:t>
          </w:r>
          <w:r>
            <w:tab/>
          </w:r>
          <w:r>
            <w:fldChar w:fldCharType="begin"/>
          </w:r>
          <w:r>
            <w:instrText xml:space="preserve"> PAGEREF _Toc10226 \h </w:instrText>
          </w:r>
          <w:r>
            <w:fldChar w:fldCharType="separate"/>
          </w:r>
          <w:r>
            <w:t>28</w:t>
          </w:r>
          <w:r>
            <w:fldChar w:fldCharType="end"/>
          </w:r>
          <w:r>
            <w:rPr>
              <w:rFonts w:hint="eastAsia" w:ascii="Times New Roman" w:hAnsi="Times New Roman" w:eastAsia="宋体" w:cs="Times New Roman"/>
              <w:color w:val="auto"/>
              <w:szCs w:val="24"/>
              <w:lang w:val="en-US" w:eastAsia="zh-CN" w:bidi="ar-SA"/>
            </w:rPr>
            <w:fldChar w:fldCharType="end"/>
          </w:r>
        </w:p>
        <w:p w14:paraId="40B53FC6">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_Toc27069 </w:instrText>
          </w:r>
          <w:r>
            <w:rPr>
              <w:rFonts w:hint="eastAsia" w:ascii="Times New Roman" w:hAnsi="Times New Roman" w:eastAsia="宋体" w:cs="Times New Roman"/>
              <w:szCs w:val="24"/>
              <w:lang w:val="en-US" w:eastAsia="zh-CN" w:bidi="ar-SA"/>
            </w:rPr>
            <w:fldChar w:fldCharType="separate"/>
          </w:r>
          <w:r>
            <w:rPr>
              <w:rFonts w:hint="default" w:ascii="Times New Roman" w:hAnsi="Times New Roman" w:eastAsia="宋体" w:cs="Times New Roman"/>
              <w:bCs/>
              <w:kern w:val="2"/>
              <w:szCs w:val="28"/>
              <w:lang w:val="en-US" w:eastAsia="zh-CN" w:bidi="ar-SA"/>
            </w:rPr>
            <w:t>3.1.5</w:t>
          </w:r>
          <w:r>
            <w:rPr>
              <w:rFonts w:hint="eastAsia" w:ascii="Times New Roman" w:hAnsi="Times New Roman" w:eastAsia="宋体" w:cs="Times New Roman"/>
              <w:bCs/>
              <w:kern w:val="2"/>
              <w:szCs w:val="28"/>
              <w:lang w:val="en-US" w:eastAsia="zh-CN" w:bidi="ar-SA"/>
            </w:rPr>
            <w:t>地下水、土壤环境</w:t>
          </w:r>
          <w:r>
            <w:tab/>
          </w:r>
          <w:r>
            <w:fldChar w:fldCharType="begin"/>
          </w:r>
          <w:r>
            <w:instrText xml:space="preserve"> PAGEREF _Toc27069 \h </w:instrText>
          </w:r>
          <w:r>
            <w:fldChar w:fldCharType="separate"/>
          </w:r>
          <w:r>
            <w:t>28</w:t>
          </w:r>
          <w:r>
            <w:fldChar w:fldCharType="end"/>
          </w:r>
          <w:r>
            <w:rPr>
              <w:rFonts w:hint="eastAsia" w:ascii="Times New Roman" w:hAnsi="Times New Roman" w:eastAsia="宋体" w:cs="Times New Roman"/>
              <w:color w:val="auto"/>
              <w:szCs w:val="24"/>
              <w:lang w:val="en-US" w:eastAsia="zh-CN" w:bidi="ar-SA"/>
            </w:rPr>
            <w:fldChar w:fldCharType="end"/>
          </w:r>
        </w:p>
        <w:p w14:paraId="2C6EAA9B">
          <w:pPr>
            <w:pStyle w:val="34"/>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_Toc11255 </w:instrText>
          </w:r>
          <w:r>
            <w:rPr>
              <w:rFonts w:hint="eastAsia" w:ascii="Times New Roman" w:hAnsi="Times New Roman" w:eastAsia="宋体" w:cs="Times New Roman"/>
              <w:szCs w:val="24"/>
              <w:lang w:val="en-US" w:eastAsia="zh-CN" w:bidi="ar-SA"/>
            </w:rPr>
            <w:fldChar w:fldCharType="separate"/>
          </w:r>
          <w:r>
            <w:rPr>
              <w:rFonts w:hint="default" w:ascii="Times New Roman" w:hAnsi="Times New Roman" w:eastAsia="宋体" w:cs="Times New Roman"/>
              <w:bCs/>
              <w:kern w:val="2"/>
              <w:szCs w:val="28"/>
              <w:lang w:val="en-US" w:eastAsia="zh-CN" w:bidi="ar-SA"/>
            </w:rPr>
            <w:t>3.2</w:t>
          </w:r>
          <w:r>
            <w:rPr>
              <w:rFonts w:hint="eastAsia" w:ascii="Times New Roman" w:hAnsi="Times New Roman" w:eastAsia="宋体" w:cs="Times New Roman"/>
              <w:bCs/>
              <w:kern w:val="2"/>
              <w:szCs w:val="28"/>
              <w:lang w:val="en-US" w:eastAsia="zh-CN" w:bidi="ar-SA"/>
            </w:rPr>
            <w:t>环境保护目标</w:t>
          </w:r>
          <w:r>
            <w:tab/>
          </w:r>
          <w:r>
            <w:fldChar w:fldCharType="begin"/>
          </w:r>
          <w:r>
            <w:instrText xml:space="preserve"> PAGEREF _Toc11255 \h </w:instrText>
          </w:r>
          <w:r>
            <w:fldChar w:fldCharType="separate"/>
          </w:r>
          <w:r>
            <w:t>29</w:t>
          </w:r>
          <w:r>
            <w:fldChar w:fldCharType="end"/>
          </w:r>
          <w:r>
            <w:rPr>
              <w:rFonts w:hint="eastAsia" w:ascii="Times New Roman" w:hAnsi="Times New Roman" w:eastAsia="宋体" w:cs="Times New Roman"/>
              <w:color w:val="auto"/>
              <w:szCs w:val="24"/>
              <w:lang w:val="en-US" w:eastAsia="zh-CN" w:bidi="ar-SA"/>
            </w:rPr>
            <w:fldChar w:fldCharType="end"/>
          </w:r>
        </w:p>
        <w:p w14:paraId="044A8111">
          <w:pPr>
            <w:pStyle w:val="34"/>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_Toc32039 </w:instrText>
          </w:r>
          <w:r>
            <w:rPr>
              <w:rFonts w:hint="eastAsia" w:ascii="Times New Roman" w:hAnsi="Times New Roman" w:eastAsia="宋体" w:cs="Times New Roman"/>
              <w:szCs w:val="24"/>
              <w:lang w:val="en-US" w:eastAsia="zh-CN" w:bidi="ar-SA"/>
            </w:rPr>
            <w:fldChar w:fldCharType="separate"/>
          </w:r>
          <w:r>
            <w:rPr>
              <w:rFonts w:hint="default" w:ascii="Times New Roman" w:hAnsi="Times New Roman" w:eastAsia="宋体" w:cs="Times New Roman"/>
              <w:bCs/>
              <w:kern w:val="2"/>
              <w:szCs w:val="28"/>
              <w:lang w:val="en-US" w:eastAsia="zh-CN" w:bidi="ar-SA"/>
            </w:rPr>
            <w:t>3.3</w:t>
          </w:r>
          <w:r>
            <w:rPr>
              <w:rFonts w:hint="eastAsia" w:ascii="Times New Roman" w:hAnsi="Times New Roman" w:eastAsia="宋体" w:cs="Times New Roman"/>
              <w:bCs/>
              <w:kern w:val="2"/>
              <w:szCs w:val="28"/>
              <w:lang w:val="en-US" w:eastAsia="zh-CN" w:bidi="ar-SA"/>
            </w:rPr>
            <w:t>污染物排放控制标准</w:t>
          </w:r>
          <w:r>
            <w:tab/>
          </w:r>
          <w:r>
            <w:fldChar w:fldCharType="begin"/>
          </w:r>
          <w:r>
            <w:instrText xml:space="preserve"> PAGEREF _Toc32039 \h </w:instrText>
          </w:r>
          <w:r>
            <w:fldChar w:fldCharType="separate"/>
          </w:r>
          <w:r>
            <w:t>29</w:t>
          </w:r>
          <w:r>
            <w:fldChar w:fldCharType="end"/>
          </w:r>
          <w:r>
            <w:rPr>
              <w:rFonts w:hint="eastAsia" w:ascii="Times New Roman" w:hAnsi="Times New Roman" w:eastAsia="宋体" w:cs="Times New Roman"/>
              <w:color w:val="auto"/>
              <w:szCs w:val="24"/>
              <w:lang w:val="en-US" w:eastAsia="zh-CN" w:bidi="ar-SA"/>
            </w:rPr>
            <w:fldChar w:fldCharType="end"/>
          </w:r>
        </w:p>
        <w:p w14:paraId="37022095">
          <w:pPr>
            <w:pStyle w:val="21"/>
            <w:tabs>
              <w:tab w:val="right" w:leader="dot" w:pos="8844"/>
            </w:tabs>
            <w:rPr>
              <w:rFonts w:hint="eastAsia" w:ascii="Times New Roman" w:hAnsi="Times New Roman" w:eastAsia="宋体" w:cs="Times New Roman"/>
              <w:color w:val="auto"/>
              <w:szCs w:val="24"/>
              <w:lang w:val="en-US" w:eastAsia="zh-CN" w:bidi="ar-SA"/>
            </w:rPr>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color w:val="auto"/>
              <w:szCs w:val="24"/>
              <w:lang w:val="en-US" w:eastAsia="zh-CN" w:bidi="ar-SA"/>
            </w:rPr>
            <w:instrText xml:space="preserve"> HYPERLINK \l _Toc30194 </w:instrText>
          </w:r>
          <w:r>
            <w:rPr>
              <w:rFonts w:hint="eastAsia" w:ascii="Times New Roman" w:hAnsi="Times New Roman" w:eastAsia="宋体" w:cs="Times New Roman"/>
              <w:color w:val="auto"/>
              <w:szCs w:val="24"/>
              <w:lang w:val="en-US" w:eastAsia="zh-CN" w:bidi="ar-SA"/>
            </w:rPr>
            <w:fldChar w:fldCharType="separate"/>
          </w:r>
          <w:r>
            <w:rPr>
              <w:rFonts w:hint="default" w:ascii="Times New Roman" w:hAnsi="Times New Roman" w:eastAsia="宋体" w:cs="Times New Roman"/>
              <w:color w:val="auto"/>
              <w:szCs w:val="24"/>
              <w:lang w:val="en-US" w:eastAsia="zh-CN" w:bidi="ar-SA"/>
            </w:rPr>
            <w:t>3.3.1</w:t>
          </w:r>
          <w:r>
            <w:rPr>
              <w:rFonts w:hint="eastAsia" w:ascii="Times New Roman" w:hAnsi="Times New Roman" w:eastAsia="宋体" w:cs="Times New Roman"/>
              <w:color w:val="auto"/>
              <w:szCs w:val="24"/>
              <w:lang w:val="en-US" w:eastAsia="zh-CN" w:bidi="ar-SA"/>
            </w:rPr>
            <w:t>废气排放标准</w:t>
          </w:r>
          <w:r>
            <w:rPr>
              <w:rFonts w:hint="eastAsia" w:ascii="Times New Roman" w:hAnsi="Times New Roman" w:eastAsia="宋体" w:cs="Times New Roman"/>
              <w:color w:val="auto"/>
              <w:szCs w:val="24"/>
              <w:lang w:val="en-US" w:eastAsia="zh-CN" w:bidi="ar-SA"/>
            </w:rPr>
            <w:tab/>
          </w: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color w:val="auto"/>
              <w:szCs w:val="24"/>
              <w:lang w:val="en-US" w:eastAsia="zh-CN" w:bidi="ar-SA"/>
            </w:rPr>
            <w:instrText xml:space="preserve"> PAGEREF _Toc30194 \h </w:instrText>
          </w:r>
          <w:r>
            <w:rPr>
              <w:rFonts w:hint="eastAsia" w:ascii="Times New Roman" w:hAnsi="Times New Roman" w:eastAsia="宋体" w:cs="Times New Roman"/>
              <w:color w:val="auto"/>
              <w:szCs w:val="24"/>
              <w:lang w:val="en-US" w:eastAsia="zh-CN" w:bidi="ar-SA"/>
            </w:rPr>
            <w:fldChar w:fldCharType="separate"/>
          </w:r>
          <w:r>
            <w:rPr>
              <w:rFonts w:hint="eastAsia" w:ascii="Times New Roman" w:hAnsi="Times New Roman" w:eastAsia="宋体" w:cs="Times New Roman"/>
              <w:color w:val="auto"/>
              <w:szCs w:val="24"/>
              <w:lang w:val="en-US" w:eastAsia="zh-CN" w:bidi="ar-SA"/>
            </w:rPr>
            <w:t>29</w:t>
          </w:r>
          <w:r>
            <w:rPr>
              <w:rFonts w:hint="eastAsia" w:ascii="Times New Roman" w:hAnsi="Times New Roman" w:eastAsia="宋体" w:cs="Times New Roman"/>
              <w:color w:val="auto"/>
              <w:szCs w:val="24"/>
              <w:lang w:val="en-US" w:eastAsia="zh-CN" w:bidi="ar-SA"/>
            </w:rPr>
            <w:fldChar w:fldCharType="end"/>
          </w:r>
          <w:r>
            <w:rPr>
              <w:rFonts w:hint="eastAsia" w:ascii="Times New Roman" w:hAnsi="Times New Roman" w:eastAsia="宋体" w:cs="Times New Roman"/>
              <w:color w:val="auto"/>
              <w:szCs w:val="24"/>
              <w:lang w:val="en-US" w:eastAsia="zh-CN" w:bidi="ar-SA"/>
            </w:rPr>
            <w:fldChar w:fldCharType="end"/>
          </w:r>
        </w:p>
        <w:p w14:paraId="2B9D05AA">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color w:val="auto"/>
              <w:szCs w:val="24"/>
              <w:lang w:val="en-US" w:eastAsia="zh-CN" w:bidi="ar-SA"/>
            </w:rPr>
            <w:instrText xml:space="preserve"> HYPERLINK \l _Toc27310 </w:instrText>
          </w:r>
          <w:r>
            <w:rPr>
              <w:rFonts w:hint="eastAsia" w:ascii="Times New Roman" w:hAnsi="Times New Roman" w:eastAsia="宋体" w:cs="Times New Roman"/>
              <w:color w:val="auto"/>
              <w:szCs w:val="24"/>
              <w:lang w:val="en-US" w:eastAsia="zh-CN" w:bidi="ar-SA"/>
            </w:rPr>
            <w:fldChar w:fldCharType="separate"/>
          </w:r>
          <w:r>
            <w:rPr>
              <w:rFonts w:hint="default" w:ascii="Times New Roman" w:hAnsi="Times New Roman" w:eastAsia="宋体" w:cs="Times New Roman"/>
              <w:color w:val="auto"/>
              <w:szCs w:val="24"/>
              <w:lang w:val="en-US" w:eastAsia="zh-CN" w:bidi="ar-SA"/>
            </w:rPr>
            <w:t>3.3.2</w:t>
          </w:r>
          <w:r>
            <w:rPr>
              <w:rFonts w:hint="eastAsia" w:ascii="Times New Roman" w:hAnsi="Times New Roman" w:eastAsia="宋体" w:cs="Times New Roman"/>
              <w:color w:val="auto"/>
              <w:szCs w:val="24"/>
              <w:lang w:val="en-US" w:eastAsia="zh-CN" w:bidi="ar-SA"/>
            </w:rPr>
            <w:t>废水排放标准</w:t>
          </w:r>
          <w:r>
            <w:rPr>
              <w:rFonts w:hint="eastAsia" w:ascii="Times New Roman" w:hAnsi="Times New Roman" w:eastAsia="宋体" w:cs="Times New Roman"/>
              <w:color w:val="auto"/>
              <w:szCs w:val="24"/>
              <w:lang w:val="en-US" w:eastAsia="zh-CN" w:bidi="ar-SA"/>
            </w:rPr>
            <w:tab/>
          </w: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color w:val="auto"/>
              <w:szCs w:val="24"/>
              <w:lang w:val="en-US" w:eastAsia="zh-CN" w:bidi="ar-SA"/>
            </w:rPr>
            <w:instrText xml:space="preserve"> PAGEREF _Toc27310 \h </w:instrText>
          </w:r>
          <w:r>
            <w:rPr>
              <w:rFonts w:hint="eastAsia" w:ascii="Times New Roman" w:hAnsi="Times New Roman" w:eastAsia="宋体" w:cs="Times New Roman"/>
              <w:color w:val="auto"/>
              <w:szCs w:val="24"/>
              <w:lang w:val="en-US" w:eastAsia="zh-CN" w:bidi="ar-SA"/>
            </w:rPr>
            <w:fldChar w:fldCharType="separate"/>
          </w:r>
          <w:r>
            <w:rPr>
              <w:rFonts w:hint="eastAsia" w:ascii="Times New Roman" w:hAnsi="Times New Roman" w:eastAsia="宋体" w:cs="Times New Roman"/>
              <w:color w:val="auto"/>
              <w:szCs w:val="24"/>
              <w:lang w:val="en-US" w:eastAsia="zh-CN" w:bidi="ar-SA"/>
            </w:rPr>
            <w:t>30</w:t>
          </w:r>
          <w:r>
            <w:rPr>
              <w:rFonts w:hint="eastAsia" w:ascii="Times New Roman" w:hAnsi="Times New Roman" w:eastAsia="宋体" w:cs="Times New Roman"/>
              <w:color w:val="auto"/>
              <w:szCs w:val="24"/>
              <w:lang w:val="en-US" w:eastAsia="zh-CN" w:bidi="ar-SA"/>
            </w:rPr>
            <w:fldChar w:fldCharType="end"/>
          </w:r>
          <w:r>
            <w:rPr>
              <w:rFonts w:hint="eastAsia" w:ascii="Times New Roman" w:hAnsi="Times New Roman" w:eastAsia="宋体" w:cs="Times New Roman"/>
              <w:color w:val="auto"/>
              <w:szCs w:val="24"/>
              <w:lang w:val="en-US" w:eastAsia="zh-CN" w:bidi="ar-SA"/>
            </w:rPr>
            <w:fldChar w:fldCharType="end"/>
          </w:r>
        </w:p>
        <w:p w14:paraId="783A20AF">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_Toc17041 </w:instrText>
          </w:r>
          <w:r>
            <w:rPr>
              <w:rFonts w:hint="eastAsia" w:ascii="Times New Roman" w:hAnsi="Times New Roman" w:eastAsia="宋体" w:cs="Times New Roman"/>
              <w:szCs w:val="24"/>
              <w:lang w:val="en-US" w:eastAsia="zh-CN" w:bidi="ar-SA"/>
            </w:rPr>
            <w:fldChar w:fldCharType="separate"/>
          </w:r>
          <w:r>
            <w:rPr>
              <w:rFonts w:hint="default" w:ascii="Times New Roman" w:hAnsi="Times New Roman" w:eastAsia="宋体" w:cs="Times New Roman"/>
              <w:bCs/>
              <w:kern w:val="2"/>
              <w:szCs w:val="24"/>
              <w:lang w:val="en-US" w:eastAsia="zh-CN" w:bidi="ar-SA"/>
            </w:rPr>
            <w:t>3.3.3</w:t>
          </w:r>
          <w:r>
            <w:rPr>
              <w:rFonts w:hint="eastAsia" w:ascii="Times New Roman" w:hAnsi="Times New Roman" w:eastAsia="宋体" w:cs="Times New Roman"/>
              <w:bCs/>
              <w:kern w:val="2"/>
              <w:szCs w:val="24"/>
              <w:lang w:val="en-US" w:eastAsia="zh-CN" w:bidi="ar-SA"/>
            </w:rPr>
            <w:t>噪声排放标准</w:t>
          </w:r>
          <w:r>
            <w:tab/>
          </w:r>
          <w:r>
            <w:fldChar w:fldCharType="begin"/>
          </w:r>
          <w:r>
            <w:instrText xml:space="preserve"> PAGEREF _Toc17041 \h </w:instrText>
          </w:r>
          <w:r>
            <w:fldChar w:fldCharType="separate"/>
          </w:r>
          <w:r>
            <w:t>31</w:t>
          </w:r>
          <w:r>
            <w:fldChar w:fldCharType="end"/>
          </w:r>
          <w:r>
            <w:rPr>
              <w:rFonts w:hint="eastAsia" w:ascii="Times New Roman" w:hAnsi="Times New Roman" w:eastAsia="宋体" w:cs="Times New Roman"/>
              <w:color w:val="auto"/>
              <w:szCs w:val="24"/>
              <w:lang w:val="en-US" w:eastAsia="zh-CN" w:bidi="ar-SA"/>
            </w:rPr>
            <w:fldChar w:fldCharType="end"/>
          </w:r>
        </w:p>
        <w:p w14:paraId="19B24B48">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_Toc24149 </w:instrText>
          </w:r>
          <w:r>
            <w:rPr>
              <w:rFonts w:hint="eastAsia" w:ascii="Times New Roman" w:hAnsi="Times New Roman" w:eastAsia="宋体" w:cs="Times New Roman"/>
              <w:szCs w:val="24"/>
              <w:lang w:val="en-US" w:eastAsia="zh-CN" w:bidi="ar-SA"/>
            </w:rPr>
            <w:fldChar w:fldCharType="separate"/>
          </w:r>
          <w:r>
            <w:rPr>
              <w:rFonts w:hint="default" w:ascii="Times New Roman" w:hAnsi="Times New Roman" w:eastAsia="宋体" w:cs="Times New Roman"/>
              <w:bCs/>
              <w:kern w:val="2"/>
              <w:szCs w:val="24"/>
              <w:lang w:val="en-US" w:eastAsia="zh-CN" w:bidi="ar-SA"/>
            </w:rPr>
            <w:t>3.3.4</w:t>
          </w:r>
          <w:r>
            <w:rPr>
              <w:rFonts w:hint="eastAsia" w:ascii="Times New Roman" w:hAnsi="Times New Roman" w:eastAsia="宋体" w:cs="Times New Roman"/>
              <w:bCs/>
              <w:kern w:val="2"/>
              <w:szCs w:val="24"/>
              <w:lang w:val="en-US" w:eastAsia="zh-CN" w:bidi="ar-SA"/>
            </w:rPr>
            <w:t>固体废物执行标准</w:t>
          </w:r>
          <w:r>
            <w:tab/>
          </w:r>
          <w:r>
            <w:fldChar w:fldCharType="begin"/>
          </w:r>
          <w:r>
            <w:instrText xml:space="preserve"> PAGEREF _Toc24149 \h </w:instrText>
          </w:r>
          <w:r>
            <w:fldChar w:fldCharType="separate"/>
          </w:r>
          <w:r>
            <w:t>31</w:t>
          </w:r>
          <w:r>
            <w:fldChar w:fldCharType="end"/>
          </w:r>
          <w:r>
            <w:rPr>
              <w:rFonts w:hint="eastAsia" w:ascii="Times New Roman" w:hAnsi="Times New Roman" w:eastAsia="宋体" w:cs="Times New Roman"/>
              <w:color w:val="auto"/>
              <w:szCs w:val="24"/>
              <w:lang w:val="en-US" w:eastAsia="zh-CN" w:bidi="ar-SA"/>
            </w:rPr>
            <w:fldChar w:fldCharType="end"/>
          </w:r>
        </w:p>
        <w:p w14:paraId="05C9D224">
          <w:pPr>
            <w:pStyle w:val="34"/>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_Toc4013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bCs/>
              <w:kern w:val="2"/>
              <w:szCs w:val="28"/>
              <w:lang w:val="en-US" w:eastAsia="zh-CN" w:bidi="ar-SA"/>
            </w:rPr>
            <w:t>3.4总量控制</w:t>
          </w:r>
          <w:r>
            <w:tab/>
          </w:r>
          <w:r>
            <w:fldChar w:fldCharType="begin"/>
          </w:r>
          <w:r>
            <w:instrText xml:space="preserve"> PAGEREF _Toc4013 \h </w:instrText>
          </w:r>
          <w:r>
            <w:fldChar w:fldCharType="separate"/>
          </w:r>
          <w:r>
            <w:t>32</w:t>
          </w:r>
          <w:r>
            <w:fldChar w:fldCharType="end"/>
          </w:r>
          <w:r>
            <w:rPr>
              <w:rFonts w:hint="eastAsia" w:ascii="Times New Roman" w:hAnsi="Times New Roman" w:eastAsia="宋体" w:cs="Times New Roman"/>
              <w:color w:val="auto"/>
              <w:szCs w:val="24"/>
              <w:lang w:val="en-US" w:eastAsia="zh-CN" w:bidi="ar-SA"/>
            </w:rPr>
            <w:fldChar w:fldCharType="end"/>
          </w:r>
        </w:p>
        <w:p w14:paraId="0E91E362">
          <w:pPr>
            <w:pStyle w:val="21"/>
            <w:tabs>
              <w:tab w:val="right" w:leader="dot" w:pos="8844"/>
            </w:tabs>
            <w:rPr>
              <w:rFonts w:hint="eastAsia" w:ascii="Times New Roman" w:hAnsi="Times New Roman" w:eastAsia="宋体" w:cs="Times New Roman"/>
              <w:color w:val="auto"/>
              <w:szCs w:val="24"/>
              <w:lang w:val="en-US" w:eastAsia="zh-CN" w:bidi="ar-SA"/>
            </w:rPr>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color w:val="auto"/>
              <w:szCs w:val="24"/>
              <w:lang w:val="en-US" w:eastAsia="zh-CN" w:bidi="ar-SA"/>
            </w:rPr>
            <w:instrText xml:space="preserve"> HYPERLINK \l _Toc24813 </w:instrText>
          </w:r>
          <w:r>
            <w:rPr>
              <w:rFonts w:hint="eastAsia" w:ascii="Times New Roman" w:hAnsi="Times New Roman" w:eastAsia="宋体" w:cs="Times New Roman"/>
              <w:color w:val="auto"/>
              <w:szCs w:val="24"/>
              <w:lang w:val="en-US" w:eastAsia="zh-CN" w:bidi="ar-SA"/>
            </w:rPr>
            <w:fldChar w:fldCharType="separate"/>
          </w:r>
          <w:r>
            <w:rPr>
              <w:rFonts w:hint="eastAsia" w:ascii="Times New Roman" w:hAnsi="Times New Roman" w:eastAsia="宋体" w:cs="Times New Roman"/>
              <w:color w:val="auto"/>
              <w:szCs w:val="24"/>
              <w:lang w:val="en-US" w:eastAsia="zh-CN" w:bidi="ar-SA"/>
            </w:rPr>
            <w:t>3.4.1废水总量</w:t>
          </w:r>
          <w:r>
            <w:rPr>
              <w:rFonts w:hint="eastAsia" w:ascii="Times New Roman" w:hAnsi="Times New Roman" w:eastAsia="宋体" w:cs="Times New Roman"/>
              <w:color w:val="auto"/>
              <w:szCs w:val="24"/>
              <w:lang w:val="en-US" w:eastAsia="zh-CN" w:bidi="ar-SA"/>
            </w:rPr>
            <w:tab/>
          </w: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color w:val="auto"/>
              <w:szCs w:val="24"/>
              <w:lang w:val="en-US" w:eastAsia="zh-CN" w:bidi="ar-SA"/>
            </w:rPr>
            <w:instrText xml:space="preserve"> PAGEREF _Toc24813 \h </w:instrText>
          </w:r>
          <w:r>
            <w:rPr>
              <w:rFonts w:hint="eastAsia" w:ascii="Times New Roman" w:hAnsi="Times New Roman" w:eastAsia="宋体" w:cs="Times New Roman"/>
              <w:color w:val="auto"/>
              <w:szCs w:val="24"/>
              <w:lang w:val="en-US" w:eastAsia="zh-CN" w:bidi="ar-SA"/>
            </w:rPr>
            <w:fldChar w:fldCharType="separate"/>
          </w:r>
          <w:r>
            <w:rPr>
              <w:rFonts w:hint="eastAsia" w:ascii="Times New Roman" w:hAnsi="Times New Roman" w:eastAsia="宋体" w:cs="Times New Roman"/>
              <w:color w:val="auto"/>
              <w:szCs w:val="24"/>
              <w:lang w:val="en-US" w:eastAsia="zh-CN" w:bidi="ar-SA"/>
            </w:rPr>
            <w:t>32</w:t>
          </w:r>
          <w:r>
            <w:rPr>
              <w:rFonts w:hint="eastAsia" w:ascii="Times New Roman" w:hAnsi="Times New Roman" w:eastAsia="宋体" w:cs="Times New Roman"/>
              <w:color w:val="auto"/>
              <w:szCs w:val="24"/>
              <w:lang w:val="en-US" w:eastAsia="zh-CN" w:bidi="ar-SA"/>
            </w:rPr>
            <w:fldChar w:fldCharType="end"/>
          </w:r>
          <w:r>
            <w:rPr>
              <w:rFonts w:hint="eastAsia" w:ascii="Times New Roman" w:hAnsi="Times New Roman" w:eastAsia="宋体" w:cs="Times New Roman"/>
              <w:color w:val="auto"/>
              <w:szCs w:val="24"/>
              <w:lang w:val="en-US" w:eastAsia="zh-CN" w:bidi="ar-SA"/>
            </w:rPr>
            <w:fldChar w:fldCharType="end"/>
          </w:r>
        </w:p>
        <w:p w14:paraId="56625D19">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color w:val="auto"/>
              <w:szCs w:val="24"/>
              <w:lang w:val="en-US" w:eastAsia="zh-CN" w:bidi="ar-SA"/>
            </w:rPr>
            <w:instrText xml:space="preserve"> HYPERLINK \l _Toc9160 </w:instrText>
          </w:r>
          <w:r>
            <w:rPr>
              <w:rFonts w:hint="eastAsia" w:ascii="Times New Roman" w:hAnsi="Times New Roman" w:eastAsia="宋体" w:cs="Times New Roman"/>
              <w:color w:val="auto"/>
              <w:szCs w:val="24"/>
              <w:lang w:val="en-US" w:eastAsia="zh-CN" w:bidi="ar-SA"/>
            </w:rPr>
            <w:fldChar w:fldCharType="separate"/>
          </w:r>
          <w:r>
            <w:rPr>
              <w:rFonts w:hint="eastAsia" w:ascii="Times New Roman" w:hAnsi="Times New Roman" w:eastAsia="宋体" w:cs="Times New Roman"/>
              <w:color w:val="auto"/>
              <w:szCs w:val="24"/>
              <w:lang w:val="en-US" w:eastAsia="zh-CN" w:bidi="ar-SA"/>
            </w:rPr>
            <w:t>3.4.2废气总量</w:t>
          </w:r>
          <w:r>
            <w:rPr>
              <w:rFonts w:hint="eastAsia" w:ascii="Times New Roman" w:hAnsi="Times New Roman" w:eastAsia="宋体" w:cs="Times New Roman"/>
              <w:color w:val="auto"/>
              <w:szCs w:val="24"/>
              <w:lang w:val="en-US" w:eastAsia="zh-CN" w:bidi="ar-SA"/>
            </w:rPr>
            <w:tab/>
          </w: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color w:val="auto"/>
              <w:szCs w:val="24"/>
              <w:lang w:val="en-US" w:eastAsia="zh-CN" w:bidi="ar-SA"/>
            </w:rPr>
            <w:instrText xml:space="preserve"> PAGEREF _Toc9160 \h </w:instrText>
          </w:r>
          <w:r>
            <w:rPr>
              <w:rFonts w:hint="eastAsia" w:ascii="Times New Roman" w:hAnsi="Times New Roman" w:eastAsia="宋体" w:cs="Times New Roman"/>
              <w:color w:val="auto"/>
              <w:szCs w:val="24"/>
              <w:lang w:val="en-US" w:eastAsia="zh-CN" w:bidi="ar-SA"/>
            </w:rPr>
            <w:fldChar w:fldCharType="separate"/>
          </w:r>
          <w:r>
            <w:rPr>
              <w:rFonts w:hint="eastAsia" w:ascii="Times New Roman" w:hAnsi="Times New Roman" w:eastAsia="宋体" w:cs="Times New Roman"/>
              <w:color w:val="auto"/>
              <w:szCs w:val="24"/>
              <w:lang w:val="en-US" w:eastAsia="zh-CN" w:bidi="ar-SA"/>
            </w:rPr>
            <w:t>33</w:t>
          </w:r>
          <w:r>
            <w:rPr>
              <w:rFonts w:hint="eastAsia" w:ascii="Times New Roman" w:hAnsi="Times New Roman" w:eastAsia="宋体" w:cs="Times New Roman"/>
              <w:color w:val="auto"/>
              <w:szCs w:val="24"/>
              <w:lang w:val="en-US" w:eastAsia="zh-CN" w:bidi="ar-SA"/>
            </w:rPr>
            <w:fldChar w:fldCharType="end"/>
          </w:r>
          <w:r>
            <w:rPr>
              <w:rFonts w:hint="eastAsia" w:ascii="Times New Roman" w:hAnsi="Times New Roman" w:eastAsia="宋体" w:cs="Times New Roman"/>
              <w:color w:val="auto"/>
              <w:szCs w:val="24"/>
              <w:lang w:val="en-US" w:eastAsia="zh-CN" w:bidi="ar-SA"/>
            </w:rPr>
            <w:fldChar w:fldCharType="end"/>
          </w:r>
        </w:p>
        <w:p w14:paraId="4EF273EF">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_Toc17429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黑体"/>
              <w:szCs w:val="30"/>
            </w:rPr>
            <w:t>四、主要环境影响和保护措施</w:t>
          </w:r>
          <w:r>
            <w:tab/>
          </w:r>
          <w:r>
            <w:fldChar w:fldCharType="begin"/>
          </w:r>
          <w:r>
            <w:instrText xml:space="preserve"> PAGEREF _Toc17429 \h </w:instrText>
          </w:r>
          <w:r>
            <w:fldChar w:fldCharType="separate"/>
          </w:r>
          <w:r>
            <w:t>34</w:t>
          </w:r>
          <w:r>
            <w:fldChar w:fldCharType="end"/>
          </w:r>
          <w:r>
            <w:rPr>
              <w:rFonts w:hint="eastAsia" w:ascii="Times New Roman" w:hAnsi="Times New Roman" w:eastAsia="宋体" w:cs="Times New Roman"/>
              <w:color w:val="auto"/>
              <w:szCs w:val="24"/>
              <w:lang w:val="en-US" w:eastAsia="zh-CN" w:bidi="ar-SA"/>
            </w:rPr>
            <w:fldChar w:fldCharType="end"/>
          </w:r>
        </w:p>
        <w:p w14:paraId="4A249E97">
          <w:pPr>
            <w:pStyle w:val="34"/>
            <w:tabs>
              <w:tab w:val="right" w:leader="dot" w:pos="8844"/>
            </w:tabs>
            <w:rPr>
              <w:rFonts w:hint="eastAsia" w:ascii="Times New Roman" w:hAnsi="Times New Roman" w:eastAsia="宋体" w:cs="Times New Roman"/>
              <w:color w:val="auto"/>
              <w:szCs w:val="24"/>
              <w:lang w:val="en-US" w:eastAsia="zh-CN" w:bidi="ar-SA"/>
            </w:rPr>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color w:val="auto"/>
              <w:szCs w:val="24"/>
              <w:lang w:val="en-US" w:eastAsia="zh-CN" w:bidi="ar-SA"/>
            </w:rPr>
            <w:instrText xml:space="preserve"> HYPERLINK \l _Toc17028 </w:instrText>
          </w:r>
          <w:r>
            <w:rPr>
              <w:rFonts w:hint="eastAsia" w:ascii="Times New Roman" w:hAnsi="Times New Roman" w:eastAsia="宋体" w:cs="Times New Roman"/>
              <w:color w:val="auto"/>
              <w:szCs w:val="24"/>
              <w:lang w:val="en-US" w:eastAsia="zh-CN" w:bidi="ar-SA"/>
            </w:rPr>
            <w:fldChar w:fldCharType="separate"/>
          </w:r>
          <w:r>
            <w:rPr>
              <w:rFonts w:hint="eastAsia" w:ascii="Times New Roman" w:hAnsi="Times New Roman" w:eastAsia="宋体" w:cs="Times New Roman"/>
              <w:color w:val="auto"/>
              <w:szCs w:val="24"/>
              <w:lang w:val="en-US" w:eastAsia="zh-CN" w:bidi="ar-SA"/>
            </w:rPr>
            <w:t>4.1运营期水环境影响分析和污染防治措施</w:t>
          </w:r>
          <w:r>
            <w:rPr>
              <w:rFonts w:hint="eastAsia" w:ascii="Times New Roman" w:hAnsi="Times New Roman" w:eastAsia="宋体" w:cs="Times New Roman"/>
              <w:color w:val="auto"/>
              <w:szCs w:val="24"/>
              <w:lang w:val="en-US" w:eastAsia="zh-CN" w:bidi="ar-SA"/>
            </w:rPr>
            <w:tab/>
          </w: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color w:val="auto"/>
              <w:szCs w:val="24"/>
              <w:lang w:val="en-US" w:eastAsia="zh-CN" w:bidi="ar-SA"/>
            </w:rPr>
            <w:instrText xml:space="preserve"> PAGEREF _Toc17028 \h </w:instrText>
          </w:r>
          <w:r>
            <w:rPr>
              <w:rFonts w:hint="eastAsia" w:ascii="Times New Roman" w:hAnsi="Times New Roman" w:eastAsia="宋体" w:cs="Times New Roman"/>
              <w:color w:val="auto"/>
              <w:szCs w:val="24"/>
              <w:lang w:val="en-US" w:eastAsia="zh-CN" w:bidi="ar-SA"/>
            </w:rPr>
            <w:fldChar w:fldCharType="separate"/>
          </w:r>
          <w:r>
            <w:rPr>
              <w:rFonts w:hint="eastAsia" w:ascii="Times New Roman" w:hAnsi="Times New Roman" w:eastAsia="宋体" w:cs="Times New Roman"/>
              <w:color w:val="auto"/>
              <w:szCs w:val="24"/>
              <w:lang w:val="en-US" w:eastAsia="zh-CN" w:bidi="ar-SA"/>
            </w:rPr>
            <w:t>35</w:t>
          </w:r>
          <w:r>
            <w:rPr>
              <w:rFonts w:hint="eastAsia" w:ascii="Times New Roman" w:hAnsi="Times New Roman" w:eastAsia="宋体" w:cs="Times New Roman"/>
              <w:color w:val="auto"/>
              <w:szCs w:val="24"/>
              <w:lang w:val="en-US" w:eastAsia="zh-CN" w:bidi="ar-SA"/>
            </w:rPr>
            <w:fldChar w:fldCharType="end"/>
          </w:r>
          <w:r>
            <w:rPr>
              <w:rFonts w:hint="eastAsia" w:ascii="Times New Roman" w:hAnsi="Times New Roman" w:eastAsia="宋体" w:cs="Times New Roman"/>
              <w:color w:val="auto"/>
              <w:szCs w:val="24"/>
              <w:lang w:val="en-US" w:eastAsia="zh-CN" w:bidi="ar-SA"/>
            </w:rPr>
            <w:fldChar w:fldCharType="end"/>
          </w:r>
        </w:p>
        <w:p w14:paraId="63FA6396">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_Toc7012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bCs/>
              <w:kern w:val="2"/>
              <w:szCs w:val="24"/>
              <w:lang w:val="en-US" w:eastAsia="zh-CN" w:bidi="ar-SA"/>
            </w:rPr>
            <w:t>4.1.1运营期废水源强核算</w:t>
          </w:r>
          <w:r>
            <w:tab/>
          </w:r>
          <w:r>
            <w:fldChar w:fldCharType="begin"/>
          </w:r>
          <w:r>
            <w:instrText xml:space="preserve"> PAGEREF _Toc7012 \h </w:instrText>
          </w:r>
          <w:r>
            <w:fldChar w:fldCharType="separate"/>
          </w:r>
          <w:r>
            <w:t>35</w:t>
          </w:r>
          <w:r>
            <w:fldChar w:fldCharType="end"/>
          </w:r>
          <w:r>
            <w:rPr>
              <w:rFonts w:hint="eastAsia" w:ascii="Times New Roman" w:hAnsi="Times New Roman" w:eastAsia="宋体" w:cs="Times New Roman"/>
              <w:color w:val="auto"/>
              <w:szCs w:val="24"/>
              <w:lang w:val="en-US" w:eastAsia="zh-CN" w:bidi="ar-SA"/>
            </w:rPr>
            <w:fldChar w:fldCharType="end"/>
          </w:r>
        </w:p>
        <w:p w14:paraId="230F1606">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_Toc32177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bCs/>
              <w:kern w:val="2"/>
              <w:szCs w:val="24"/>
              <w:lang w:val="en-US" w:eastAsia="zh-CN" w:bidi="ar-SA"/>
            </w:rPr>
            <w:t>4.1.2运营期水环境影响及污染防治措施可行性分析</w:t>
          </w:r>
          <w:r>
            <w:tab/>
          </w:r>
          <w:r>
            <w:fldChar w:fldCharType="begin"/>
          </w:r>
          <w:r>
            <w:instrText xml:space="preserve"> PAGEREF _Toc32177 \h </w:instrText>
          </w:r>
          <w:r>
            <w:fldChar w:fldCharType="separate"/>
          </w:r>
          <w:r>
            <w:t>37</w:t>
          </w:r>
          <w:r>
            <w:fldChar w:fldCharType="end"/>
          </w:r>
          <w:r>
            <w:rPr>
              <w:rFonts w:hint="eastAsia" w:ascii="Times New Roman" w:hAnsi="Times New Roman" w:eastAsia="宋体" w:cs="Times New Roman"/>
              <w:color w:val="auto"/>
              <w:szCs w:val="24"/>
              <w:lang w:val="en-US" w:eastAsia="zh-CN" w:bidi="ar-SA"/>
            </w:rPr>
            <w:fldChar w:fldCharType="end"/>
          </w:r>
        </w:p>
        <w:p w14:paraId="79324FD8">
          <w:pPr>
            <w:pStyle w:val="34"/>
            <w:tabs>
              <w:tab w:val="right" w:leader="dot" w:pos="8844"/>
            </w:tabs>
            <w:rPr>
              <w:rFonts w:hint="eastAsia" w:ascii="Times New Roman" w:hAnsi="Times New Roman" w:eastAsia="宋体" w:cs="Times New Roman"/>
              <w:color w:val="auto"/>
              <w:szCs w:val="24"/>
              <w:lang w:val="en-US" w:eastAsia="zh-CN" w:bidi="ar-SA"/>
            </w:rPr>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color w:val="auto"/>
              <w:szCs w:val="24"/>
              <w:lang w:val="en-US" w:eastAsia="zh-CN" w:bidi="ar-SA"/>
            </w:rPr>
            <w:instrText xml:space="preserve"> HYPERLINK \l _Toc5043 </w:instrText>
          </w:r>
          <w:r>
            <w:rPr>
              <w:rFonts w:hint="eastAsia" w:ascii="Times New Roman" w:hAnsi="Times New Roman" w:eastAsia="宋体" w:cs="Times New Roman"/>
              <w:color w:val="auto"/>
              <w:szCs w:val="24"/>
              <w:lang w:val="en-US" w:eastAsia="zh-CN" w:bidi="ar-SA"/>
            </w:rPr>
            <w:fldChar w:fldCharType="separate"/>
          </w:r>
          <w:r>
            <w:rPr>
              <w:rFonts w:hint="eastAsia" w:ascii="Times New Roman" w:hAnsi="Times New Roman" w:eastAsia="宋体" w:cs="Times New Roman"/>
              <w:color w:val="auto"/>
              <w:szCs w:val="24"/>
              <w:lang w:val="en-US" w:eastAsia="zh-CN" w:bidi="ar-SA"/>
            </w:rPr>
            <w:t>4.2运营期大气环境影响分析和污染防控措施</w:t>
          </w:r>
          <w:r>
            <w:rPr>
              <w:rFonts w:hint="eastAsia" w:ascii="Times New Roman" w:hAnsi="Times New Roman" w:eastAsia="宋体" w:cs="Times New Roman"/>
              <w:color w:val="auto"/>
              <w:szCs w:val="24"/>
              <w:lang w:val="en-US" w:eastAsia="zh-CN" w:bidi="ar-SA"/>
            </w:rPr>
            <w:tab/>
          </w: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color w:val="auto"/>
              <w:szCs w:val="24"/>
              <w:lang w:val="en-US" w:eastAsia="zh-CN" w:bidi="ar-SA"/>
            </w:rPr>
            <w:instrText xml:space="preserve"> PAGEREF _Toc5043 \h </w:instrText>
          </w:r>
          <w:r>
            <w:rPr>
              <w:rFonts w:hint="eastAsia" w:ascii="Times New Roman" w:hAnsi="Times New Roman" w:eastAsia="宋体" w:cs="Times New Roman"/>
              <w:color w:val="auto"/>
              <w:szCs w:val="24"/>
              <w:lang w:val="en-US" w:eastAsia="zh-CN" w:bidi="ar-SA"/>
            </w:rPr>
            <w:fldChar w:fldCharType="separate"/>
          </w:r>
          <w:r>
            <w:rPr>
              <w:rFonts w:hint="eastAsia" w:ascii="Times New Roman" w:hAnsi="Times New Roman" w:eastAsia="宋体" w:cs="Times New Roman"/>
              <w:color w:val="auto"/>
              <w:szCs w:val="24"/>
              <w:lang w:val="en-US" w:eastAsia="zh-CN" w:bidi="ar-SA"/>
            </w:rPr>
            <w:t>40</w:t>
          </w:r>
          <w:r>
            <w:rPr>
              <w:rFonts w:hint="eastAsia" w:ascii="Times New Roman" w:hAnsi="Times New Roman" w:eastAsia="宋体" w:cs="Times New Roman"/>
              <w:color w:val="auto"/>
              <w:szCs w:val="24"/>
              <w:lang w:val="en-US" w:eastAsia="zh-CN" w:bidi="ar-SA"/>
            </w:rPr>
            <w:fldChar w:fldCharType="end"/>
          </w:r>
          <w:r>
            <w:rPr>
              <w:rFonts w:hint="eastAsia" w:ascii="Times New Roman" w:hAnsi="Times New Roman" w:eastAsia="宋体" w:cs="Times New Roman"/>
              <w:color w:val="auto"/>
              <w:szCs w:val="24"/>
              <w:lang w:val="en-US" w:eastAsia="zh-CN" w:bidi="ar-SA"/>
            </w:rPr>
            <w:fldChar w:fldCharType="end"/>
          </w:r>
        </w:p>
        <w:p w14:paraId="08C92DE4">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_Toc20451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bCs/>
              <w:kern w:val="2"/>
              <w:szCs w:val="28"/>
              <w:lang w:val="en-US" w:eastAsia="zh-CN" w:bidi="ar-SA"/>
            </w:rPr>
            <w:t>4.2.1运营期废气源强核算</w:t>
          </w:r>
          <w:r>
            <w:tab/>
          </w:r>
          <w:r>
            <w:fldChar w:fldCharType="begin"/>
          </w:r>
          <w:r>
            <w:instrText xml:space="preserve"> PAGEREF _Toc20451 \h </w:instrText>
          </w:r>
          <w:r>
            <w:fldChar w:fldCharType="separate"/>
          </w:r>
          <w:r>
            <w:t>40</w:t>
          </w:r>
          <w:r>
            <w:fldChar w:fldCharType="end"/>
          </w:r>
          <w:r>
            <w:rPr>
              <w:rFonts w:hint="eastAsia" w:ascii="Times New Roman" w:hAnsi="Times New Roman" w:eastAsia="宋体" w:cs="Times New Roman"/>
              <w:color w:val="auto"/>
              <w:szCs w:val="24"/>
              <w:lang w:val="en-US" w:eastAsia="zh-CN" w:bidi="ar-SA"/>
            </w:rPr>
            <w:fldChar w:fldCharType="end"/>
          </w:r>
        </w:p>
        <w:p w14:paraId="4157E839">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_Toc7849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bCs/>
              <w:kern w:val="2"/>
              <w:szCs w:val="28"/>
              <w:lang w:val="en-US" w:eastAsia="zh-CN" w:bidi="ar-SA"/>
            </w:rPr>
            <w:t>4.2.2运营期废气治理措施及达标分析</w:t>
          </w:r>
          <w:r>
            <w:tab/>
          </w:r>
          <w:r>
            <w:fldChar w:fldCharType="begin"/>
          </w:r>
          <w:r>
            <w:instrText xml:space="preserve"> PAGEREF _Toc7849 \h </w:instrText>
          </w:r>
          <w:r>
            <w:fldChar w:fldCharType="separate"/>
          </w:r>
          <w:r>
            <w:t>42</w:t>
          </w:r>
          <w:r>
            <w:fldChar w:fldCharType="end"/>
          </w:r>
          <w:r>
            <w:rPr>
              <w:rFonts w:hint="eastAsia" w:ascii="Times New Roman" w:hAnsi="Times New Roman" w:eastAsia="宋体" w:cs="Times New Roman"/>
              <w:color w:val="auto"/>
              <w:szCs w:val="24"/>
              <w:lang w:val="en-US" w:eastAsia="zh-CN" w:bidi="ar-SA"/>
            </w:rPr>
            <w:fldChar w:fldCharType="end"/>
          </w:r>
        </w:p>
        <w:p w14:paraId="7527F51F">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_Toc10903 </w:instrText>
          </w:r>
          <w:r>
            <w:rPr>
              <w:rFonts w:hint="eastAsia" w:ascii="Times New Roman" w:hAnsi="Times New Roman" w:eastAsia="宋体" w:cs="Times New Roman"/>
              <w:szCs w:val="24"/>
              <w:lang w:val="en-US" w:eastAsia="zh-CN" w:bidi="ar-SA"/>
            </w:rPr>
            <w:fldChar w:fldCharType="separate"/>
          </w:r>
          <w:r>
            <w:rPr>
              <w:rFonts w:hint="default" w:ascii="Times New Roman" w:hAnsi="Times New Roman" w:eastAsia="宋体" w:cs="Times New Roman"/>
              <w:kern w:val="2"/>
              <w:szCs w:val="24"/>
              <w:lang w:val="en-US" w:eastAsia="zh-CN" w:bidi="ar-SA"/>
            </w:rPr>
            <w:t>4.2.3非正常工况排放量核算</w:t>
          </w:r>
          <w:r>
            <w:tab/>
          </w:r>
          <w:r>
            <w:fldChar w:fldCharType="begin"/>
          </w:r>
          <w:r>
            <w:instrText xml:space="preserve"> PAGEREF _Toc10903 \h </w:instrText>
          </w:r>
          <w:r>
            <w:fldChar w:fldCharType="separate"/>
          </w:r>
          <w:r>
            <w:t>43</w:t>
          </w:r>
          <w:r>
            <w:fldChar w:fldCharType="end"/>
          </w:r>
          <w:r>
            <w:rPr>
              <w:rFonts w:hint="eastAsia" w:ascii="Times New Roman" w:hAnsi="Times New Roman" w:eastAsia="宋体" w:cs="Times New Roman"/>
              <w:color w:val="auto"/>
              <w:szCs w:val="24"/>
              <w:lang w:val="en-US" w:eastAsia="zh-CN" w:bidi="ar-SA"/>
            </w:rPr>
            <w:fldChar w:fldCharType="end"/>
          </w:r>
        </w:p>
        <w:p w14:paraId="21770C91">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_Toc20608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kern w:val="2"/>
              <w:szCs w:val="24"/>
              <w:lang w:val="en-US" w:eastAsia="zh-CN" w:bidi="ar-SA"/>
            </w:rPr>
            <w:t>4.2.4运营期废气自行监测计划</w:t>
          </w:r>
          <w:r>
            <w:tab/>
          </w:r>
          <w:r>
            <w:fldChar w:fldCharType="begin"/>
          </w:r>
          <w:r>
            <w:instrText xml:space="preserve"> PAGEREF _Toc20608 \h </w:instrText>
          </w:r>
          <w:r>
            <w:fldChar w:fldCharType="separate"/>
          </w:r>
          <w:r>
            <w:t>44</w:t>
          </w:r>
          <w:r>
            <w:fldChar w:fldCharType="end"/>
          </w:r>
          <w:r>
            <w:rPr>
              <w:rFonts w:hint="eastAsia" w:ascii="Times New Roman" w:hAnsi="Times New Roman" w:eastAsia="宋体" w:cs="Times New Roman"/>
              <w:color w:val="auto"/>
              <w:szCs w:val="24"/>
              <w:lang w:val="en-US" w:eastAsia="zh-CN" w:bidi="ar-SA"/>
            </w:rPr>
            <w:fldChar w:fldCharType="end"/>
          </w:r>
        </w:p>
        <w:p w14:paraId="7A568148">
          <w:pPr>
            <w:pStyle w:val="34"/>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_Toc6171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kern w:val="2"/>
              <w:szCs w:val="24"/>
              <w:lang w:val="en-US" w:eastAsia="zh-CN" w:bidi="ar-SA"/>
            </w:rPr>
            <w:t>4.3运营期声环境影响分析和污染防控措施</w:t>
          </w:r>
          <w:r>
            <w:tab/>
          </w:r>
          <w:r>
            <w:fldChar w:fldCharType="begin"/>
          </w:r>
          <w:r>
            <w:instrText xml:space="preserve"> PAGEREF _Toc6171 \h </w:instrText>
          </w:r>
          <w:r>
            <w:fldChar w:fldCharType="separate"/>
          </w:r>
          <w:r>
            <w:t>45</w:t>
          </w:r>
          <w:r>
            <w:fldChar w:fldCharType="end"/>
          </w:r>
          <w:r>
            <w:rPr>
              <w:rFonts w:hint="eastAsia" w:ascii="Times New Roman" w:hAnsi="Times New Roman" w:eastAsia="宋体" w:cs="Times New Roman"/>
              <w:color w:val="auto"/>
              <w:szCs w:val="24"/>
              <w:lang w:val="en-US" w:eastAsia="zh-CN" w:bidi="ar-SA"/>
            </w:rPr>
            <w:fldChar w:fldCharType="end"/>
          </w:r>
        </w:p>
        <w:p w14:paraId="32A76C4A">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_Toc4597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kern w:val="2"/>
              <w:szCs w:val="24"/>
              <w:lang w:val="en-US" w:eastAsia="zh-CN" w:bidi="ar-SA"/>
            </w:rPr>
            <w:t>4.3.1声环境污染源分析</w:t>
          </w:r>
          <w:r>
            <w:tab/>
          </w:r>
          <w:r>
            <w:fldChar w:fldCharType="begin"/>
          </w:r>
          <w:r>
            <w:instrText xml:space="preserve"> PAGEREF _Toc4597 \h </w:instrText>
          </w:r>
          <w:r>
            <w:fldChar w:fldCharType="separate"/>
          </w:r>
          <w:r>
            <w:t>45</w:t>
          </w:r>
          <w:r>
            <w:fldChar w:fldCharType="end"/>
          </w:r>
          <w:r>
            <w:rPr>
              <w:rFonts w:hint="eastAsia" w:ascii="Times New Roman" w:hAnsi="Times New Roman" w:eastAsia="宋体" w:cs="Times New Roman"/>
              <w:color w:val="auto"/>
              <w:szCs w:val="24"/>
              <w:lang w:val="en-US" w:eastAsia="zh-CN" w:bidi="ar-SA"/>
            </w:rPr>
            <w:fldChar w:fldCharType="end"/>
          </w:r>
        </w:p>
        <w:p w14:paraId="5F3D662D">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_Toc31832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kern w:val="2"/>
              <w:szCs w:val="24"/>
              <w:lang w:val="en-US" w:eastAsia="zh-CN" w:bidi="ar-SA"/>
            </w:rPr>
            <w:t>4.3.2声环境影响分析</w:t>
          </w:r>
          <w:r>
            <w:tab/>
          </w:r>
          <w:r>
            <w:fldChar w:fldCharType="begin"/>
          </w:r>
          <w:r>
            <w:instrText xml:space="preserve"> PAGEREF _Toc31832 \h </w:instrText>
          </w:r>
          <w:r>
            <w:fldChar w:fldCharType="separate"/>
          </w:r>
          <w:r>
            <w:t>45</w:t>
          </w:r>
          <w:r>
            <w:fldChar w:fldCharType="end"/>
          </w:r>
          <w:r>
            <w:rPr>
              <w:rFonts w:hint="eastAsia" w:ascii="Times New Roman" w:hAnsi="Times New Roman" w:eastAsia="宋体" w:cs="Times New Roman"/>
              <w:color w:val="auto"/>
              <w:szCs w:val="24"/>
              <w:lang w:val="en-US" w:eastAsia="zh-CN" w:bidi="ar-SA"/>
            </w:rPr>
            <w:fldChar w:fldCharType="end"/>
          </w:r>
        </w:p>
        <w:p w14:paraId="27A961B8">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_Toc6025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bCs/>
              <w:szCs w:val="28"/>
              <w:lang w:val="en-US" w:eastAsia="zh-CN"/>
            </w:rPr>
            <w:t>4.3.3声环境预测结果分析</w:t>
          </w:r>
          <w:r>
            <w:tab/>
          </w:r>
          <w:r>
            <w:fldChar w:fldCharType="begin"/>
          </w:r>
          <w:r>
            <w:instrText xml:space="preserve"> PAGEREF _Toc6025 \h </w:instrText>
          </w:r>
          <w:r>
            <w:fldChar w:fldCharType="separate"/>
          </w:r>
          <w:r>
            <w:t>49</w:t>
          </w:r>
          <w:r>
            <w:fldChar w:fldCharType="end"/>
          </w:r>
          <w:r>
            <w:rPr>
              <w:rFonts w:hint="eastAsia" w:ascii="Times New Roman" w:hAnsi="Times New Roman" w:eastAsia="宋体" w:cs="Times New Roman"/>
              <w:color w:val="auto"/>
              <w:szCs w:val="24"/>
              <w:lang w:val="en-US" w:eastAsia="zh-CN" w:bidi="ar-SA"/>
            </w:rPr>
            <w:fldChar w:fldCharType="end"/>
          </w:r>
        </w:p>
        <w:p w14:paraId="0B8D2A5E">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_Toc20574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bCs/>
              <w:lang w:val="en-US" w:eastAsia="zh-CN"/>
            </w:rPr>
            <w:t>4.3.4声环境防治措施</w:t>
          </w:r>
          <w:r>
            <w:tab/>
          </w:r>
          <w:r>
            <w:fldChar w:fldCharType="begin"/>
          </w:r>
          <w:r>
            <w:instrText xml:space="preserve"> PAGEREF _Toc20574 \h </w:instrText>
          </w:r>
          <w:r>
            <w:fldChar w:fldCharType="separate"/>
          </w:r>
          <w:r>
            <w:t>50</w:t>
          </w:r>
          <w:r>
            <w:fldChar w:fldCharType="end"/>
          </w:r>
          <w:r>
            <w:rPr>
              <w:rFonts w:hint="eastAsia" w:ascii="Times New Roman" w:hAnsi="Times New Roman" w:eastAsia="宋体" w:cs="Times New Roman"/>
              <w:color w:val="auto"/>
              <w:szCs w:val="24"/>
              <w:lang w:val="en-US" w:eastAsia="zh-CN" w:bidi="ar-SA"/>
            </w:rPr>
            <w:fldChar w:fldCharType="end"/>
          </w:r>
        </w:p>
        <w:p w14:paraId="7FFCCD78">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_Toc31315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kern w:val="2"/>
              <w:szCs w:val="24"/>
              <w:lang w:val="en-US" w:eastAsia="zh-CN" w:bidi="ar-SA"/>
            </w:rPr>
            <w:t>4.3.5噪声自行监测计划</w:t>
          </w:r>
          <w:r>
            <w:tab/>
          </w:r>
          <w:r>
            <w:fldChar w:fldCharType="begin"/>
          </w:r>
          <w:r>
            <w:instrText xml:space="preserve"> PAGEREF _Toc31315 \h </w:instrText>
          </w:r>
          <w:r>
            <w:fldChar w:fldCharType="separate"/>
          </w:r>
          <w:r>
            <w:t>50</w:t>
          </w:r>
          <w:r>
            <w:fldChar w:fldCharType="end"/>
          </w:r>
          <w:r>
            <w:rPr>
              <w:rFonts w:hint="eastAsia" w:ascii="Times New Roman" w:hAnsi="Times New Roman" w:eastAsia="宋体" w:cs="Times New Roman"/>
              <w:color w:val="auto"/>
              <w:szCs w:val="24"/>
              <w:lang w:val="en-US" w:eastAsia="zh-CN" w:bidi="ar-SA"/>
            </w:rPr>
            <w:fldChar w:fldCharType="end"/>
          </w:r>
        </w:p>
        <w:p w14:paraId="3C345A3A">
          <w:pPr>
            <w:pStyle w:val="34"/>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_Toc25607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kern w:val="2"/>
              <w:szCs w:val="24"/>
              <w:lang w:val="en-US" w:eastAsia="zh-CN" w:bidi="ar-SA"/>
            </w:rPr>
            <w:t>4.4运营期固体废物影响分析和污染防治措施</w:t>
          </w:r>
          <w:r>
            <w:tab/>
          </w:r>
          <w:r>
            <w:fldChar w:fldCharType="begin"/>
          </w:r>
          <w:r>
            <w:instrText xml:space="preserve"> PAGEREF _Toc25607 \h </w:instrText>
          </w:r>
          <w:r>
            <w:fldChar w:fldCharType="separate"/>
          </w:r>
          <w:r>
            <w:t>51</w:t>
          </w:r>
          <w:r>
            <w:fldChar w:fldCharType="end"/>
          </w:r>
          <w:r>
            <w:rPr>
              <w:rFonts w:hint="eastAsia" w:ascii="Times New Roman" w:hAnsi="Times New Roman" w:eastAsia="宋体" w:cs="Times New Roman"/>
              <w:color w:val="auto"/>
              <w:szCs w:val="24"/>
              <w:lang w:val="en-US" w:eastAsia="zh-CN" w:bidi="ar-SA"/>
            </w:rPr>
            <w:fldChar w:fldCharType="end"/>
          </w:r>
        </w:p>
        <w:p w14:paraId="1EE2D4B6">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_Toc355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kern w:val="2"/>
              <w:szCs w:val="24"/>
              <w:lang w:val="en-US" w:eastAsia="zh-CN" w:bidi="ar-SA"/>
            </w:rPr>
            <w:t>4.4.</w:t>
          </w:r>
          <w:r>
            <w:rPr>
              <w:rFonts w:hint="eastAsia" w:ascii="Times New Roman" w:hAnsi="Times New Roman" w:cs="Times New Roman"/>
              <w:kern w:val="2"/>
              <w:szCs w:val="24"/>
              <w:lang w:val="en-US" w:eastAsia="zh-CN" w:bidi="ar-SA"/>
            </w:rPr>
            <w:t>1</w:t>
          </w:r>
          <w:r>
            <w:rPr>
              <w:rFonts w:hint="eastAsia" w:ascii="Times New Roman" w:hAnsi="Times New Roman" w:eastAsia="宋体" w:cs="Times New Roman"/>
              <w:kern w:val="2"/>
              <w:szCs w:val="24"/>
              <w:lang w:val="en-US" w:eastAsia="zh-CN" w:bidi="ar-SA"/>
            </w:rPr>
            <w:t>固体废物源强核算</w:t>
          </w:r>
          <w:r>
            <w:tab/>
          </w:r>
          <w:r>
            <w:fldChar w:fldCharType="begin"/>
          </w:r>
          <w:r>
            <w:instrText xml:space="preserve"> PAGEREF _Toc355 \h </w:instrText>
          </w:r>
          <w:r>
            <w:fldChar w:fldCharType="separate"/>
          </w:r>
          <w:r>
            <w:t>51</w:t>
          </w:r>
          <w:r>
            <w:fldChar w:fldCharType="end"/>
          </w:r>
          <w:r>
            <w:rPr>
              <w:rFonts w:hint="eastAsia" w:ascii="Times New Roman" w:hAnsi="Times New Roman" w:eastAsia="宋体" w:cs="Times New Roman"/>
              <w:color w:val="auto"/>
              <w:szCs w:val="24"/>
              <w:lang w:val="en-US" w:eastAsia="zh-CN" w:bidi="ar-SA"/>
            </w:rPr>
            <w:fldChar w:fldCharType="end"/>
          </w:r>
        </w:p>
        <w:p w14:paraId="5C67DF98">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_Toc9814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kern w:val="2"/>
              <w:szCs w:val="24"/>
              <w:lang w:val="en-US" w:eastAsia="zh-CN" w:bidi="ar-SA"/>
            </w:rPr>
            <w:t>4.4.3固体废物管理措施及环境影响分析</w:t>
          </w:r>
          <w:r>
            <w:tab/>
          </w:r>
          <w:r>
            <w:fldChar w:fldCharType="begin"/>
          </w:r>
          <w:r>
            <w:instrText xml:space="preserve"> PAGEREF _Toc9814 \h </w:instrText>
          </w:r>
          <w:r>
            <w:fldChar w:fldCharType="separate"/>
          </w:r>
          <w:r>
            <w:t>54</w:t>
          </w:r>
          <w:r>
            <w:fldChar w:fldCharType="end"/>
          </w:r>
          <w:r>
            <w:rPr>
              <w:rFonts w:hint="eastAsia" w:ascii="Times New Roman" w:hAnsi="Times New Roman" w:eastAsia="宋体" w:cs="Times New Roman"/>
              <w:color w:val="auto"/>
              <w:szCs w:val="24"/>
              <w:lang w:val="en-US" w:eastAsia="zh-CN" w:bidi="ar-SA"/>
            </w:rPr>
            <w:fldChar w:fldCharType="end"/>
          </w:r>
        </w:p>
        <w:p w14:paraId="2C680CAD">
          <w:pPr>
            <w:pStyle w:val="34"/>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_Toc23319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kern w:val="2"/>
              <w:szCs w:val="24"/>
              <w:lang w:val="en-US" w:eastAsia="zh-CN" w:bidi="ar-SA"/>
            </w:rPr>
            <w:t>4.5运营期地下水、土壤环境影响和保护措施</w:t>
          </w:r>
          <w:r>
            <w:tab/>
          </w:r>
          <w:r>
            <w:fldChar w:fldCharType="begin"/>
          </w:r>
          <w:r>
            <w:instrText xml:space="preserve"> PAGEREF _Toc23319 \h </w:instrText>
          </w:r>
          <w:r>
            <w:fldChar w:fldCharType="separate"/>
          </w:r>
          <w:r>
            <w:t>58</w:t>
          </w:r>
          <w:r>
            <w:fldChar w:fldCharType="end"/>
          </w:r>
          <w:r>
            <w:rPr>
              <w:rFonts w:hint="eastAsia" w:ascii="Times New Roman" w:hAnsi="Times New Roman" w:eastAsia="宋体" w:cs="Times New Roman"/>
              <w:color w:val="auto"/>
              <w:szCs w:val="24"/>
              <w:lang w:val="en-US" w:eastAsia="zh-CN" w:bidi="ar-SA"/>
            </w:rPr>
            <w:fldChar w:fldCharType="end"/>
          </w:r>
        </w:p>
        <w:p w14:paraId="06AAA2EB">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_Toc16882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kern w:val="2"/>
              <w:szCs w:val="24"/>
              <w:lang w:val="en-US" w:eastAsia="zh-CN" w:bidi="ar-SA"/>
            </w:rPr>
            <w:t>4.5.1</w:t>
          </w:r>
          <w:r>
            <w:rPr>
              <w:rFonts w:ascii="Times New Roman" w:hAnsi="Times New Roman" w:eastAsia="宋体" w:cs="Times New Roman"/>
              <w:kern w:val="2"/>
              <w:szCs w:val="24"/>
              <w:lang w:val="en-US" w:eastAsia="zh-CN" w:bidi="ar-SA"/>
            </w:rPr>
            <w:t>地下水、土壤环境影响分析</w:t>
          </w:r>
          <w:r>
            <w:tab/>
          </w:r>
          <w:r>
            <w:fldChar w:fldCharType="begin"/>
          </w:r>
          <w:r>
            <w:instrText xml:space="preserve"> PAGEREF _Toc16882 \h </w:instrText>
          </w:r>
          <w:r>
            <w:fldChar w:fldCharType="separate"/>
          </w:r>
          <w:r>
            <w:t>58</w:t>
          </w:r>
          <w:r>
            <w:fldChar w:fldCharType="end"/>
          </w:r>
          <w:r>
            <w:rPr>
              <w:rFonts w:hint="eastAsia" w:ascii="Times New Roman" w:hAnsi="Times New Roman" w:eastAsia="宋体" w:cs="Times New Roman"/>
              <w:color w:val="auto"/>
              <w:szCs w:val="24"/>
              <w:lang w:val="en-US" w:eastAsia="zh-CN" w:bidi="ar-SA"/>
            </w:rPr>
            <w:fldChar w:fldCharType="end"/>
          </w:r>
        </w:p>
        <w:p w14:paraId="3AF84B90">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_Toc28215 </w:instrText>
          </w:r>
          <w:r>
            <w:rPr>
              <w:rFonts w:hint="eastAsia" w:ascii="Times New Roman" w:hAnsi="Times New Roman" w:eastAsia="宋体" w:cs="Times New Roman"/>
              <w:szCs w:val="24"/>
              <w:lang w:val="en-US" w:eastAsia="zh-CN" w:bidi="ar-SA"/>
            </w:rPr>
            <w:fldChar w:fldCharType="separate"/>
          </w:r>
          <w:r>
            <w:rPr>
              <w:rFonts w:ascii="Times New Roman" w:hAnsi="Times New Roman" w:eastAsia="宋体" w:cs="Times New Roman"/>
              <w:kern w:val="2"/>
              <w:szCs w:val="24"/>
              <w:lang w:val="en-US" w:eastAsia="zh-CN" w:bidi="ar-SA"/>
            </w:rPr>
            <w:t>4.</w:t>
          </w:r>
          <w:r>
            <w:rPr>
              <w:rFonts w:hint="eastAsia" w:ascii="Times New Roman" w:hAnsi="Times New Roman" w:eastAsia="宋体" w:cs="Times New Roman"/>
              <w:kern w:val="2"/>
              <w:szCs w:val="24"/>
              <w:lang w:val="en-US" w:eastAsia="zh-CN" w:bidi="ar-SA"/>
            </w:rPr>
            <w:t>5</w:t>
          </w:r>
          <w:r>
            <w:rPr>
              <w:rFonts w:ascii="Times New Roman" w:hAnsi="Times New Roman" w:eastAsia="宋体" w:cs="Times New Roman"/>
              <w:kern w:val="2"/>
              <w:szCs w:val="24"/>
              <w:lang w:val="en-US" w:eastAsia="zh-CN" w:bidi="ar-SA"/>
            </w:rPr>
            <w:t>.2地下水、土壤环境防控措施</w:t>
          </w:r>
          <w:r>
            <w:tab/>
          </w:r>
          <w:r>
            <w:fldChar w:fldCharType="begin"/>
          </w:r>
          <w:r>
            <w:instrText xml:space="preserve"> PAGEREF _Toc28215 \h </w:instrText>
          </w:r>
          <w:r>
            <w:fldChar w:fldCharType="separate"/>
          </w:r>
          <w:r>
            <w:t>58</w:t>
          </w:r>
          <w:r>
            <w:fldChar w:fldCharType="end"/>
          </w:r>
          <w:r>
            <w:rPr>
              <w:rFonts w:hint="eastAsia" w:ascii="Times New Roman" w:hAnsi="Times New Roman" w:eastAsia="宋体" w:cs="Times New Roman"/>
              <w:color w:val="auto"/>
              <w:szCs w:val="24"/>
              <w:lang w:val="en-US" w:eastAsia="zh-CN" w:bidi="ar-SA"/>
            </w:rPr>
            <w:fldChar w:fldCharType="end"/>
          </w:r>
        </w:p>
        <w:p w14:paraId="51F13523">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_Toc13912 </w:instrText>
          </w:r>
          <w:r>
            <w:rPr>
              <w:rFonts w:hint="eastAsia" w:ascii="Times New Roman" w:hAnsi="Times New Roman" w:eastAsia="宋体" w:cs="Times New Roman"/>
              <w:szCs w:val="24"/>
              <w:lang w:val="en-US" w:eastAsia="zh-CN" w:bidi="ar-SA"/>
            </w:rPr>
            <w:fldChar w:fldCharType="separate"/>
          </w:r>
          <w:r>
            <w:rPr>
              <w:rFonts w:ascii="Times New Roman" w:hAnsi="Times New Roman" w:eastAsia="宋体"/>
              <w:szCs w:val="24"/>
              <w:lang w:val="en-US" w:eastAsia="zh-CN"/>
            </w:rPr>
            <w:t>4.</w:t>
          </w:r>
          <w:r>
            <w:rPr>
              <w:rFonts w:hint="eastAsia" w:ascii="Times New Roman" w:hAnsi="Times New Roman" w:eastAsia="宋体"/>
              <w:szCs w:val="24"/>
              <w:lang w:val="en-US" w:eastAsia="zh-CN"/>
            </w:rPr>
            <w:t>5</w:t>
          </w:r>
          <w:r>
            <w:rPr>
              <w:rFonts w:ascii="Times New Roman" w:hAnsi="Times New Roman" w:eastAsia="宋体"/>
              <w:szCs w:val="24"/>
              <w:lang w:val="en-US" w:eastAsia="zh-CN"/>
            </w:rPr>
            <w:t>.3监测要求</w:t>
          </w:r>
          <w:r>
            <w:tab/>
          </w:r>
          <w:r>
            <w:fldChar w:fldCharType="begin"/>
          </w:r>
          <w:r>
            <w:instrText xml:space="preserve"> PAGEREF _Toc13912 \h </w:instrText>
          </w:r>
          <w:r>
            <w:fldChar w:fldCharType="separate"/>
          </w:r>
          <w:r>
            <w:t>60</w:t>
          </w:r>
          <w:r>
            <w:fldChar w:fldCharType="end"/>
          </w:r>
          <w:r>
            <w:rPr>
              <w:rFonts w:hint="eastAsia" w:ascii="Times New Roman" w:hAnsi="Times New Roman" w:eastAsia="宋体" w:cs="Times New Roman"/>
              <w:color w:val="auto"/>
              <w:szCs w:val="24"/>
              <w:lang w:val="en-US" w:eastAsia="zh-CN" w:bidi="ar-SA"/>
            </w:rPr>
            <w:fldChar w:fldCharType="end"/>
          </w:r>
        </w:p>
        <w:p w14:paraId="4D8A085F">
          <w:pPr>
            <w:pStyle w:val="34"/>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_Toc26836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kern w:val="2"/>
              <w:szCs w:val="24"/>
              <w:lang w:val="en-US" w:eastAsia="zh-CN" w:bidi="ar-SA"/>
            </w:rPr>
            <w:t>4.6运营期环境风险影响和保护措施</w:t>
          </w:r>
          <w:r>
            <w:tab/>
          </w:r>
          <w:r>
            <w:fldChar w:fldCharType="begin"/>
          </w:r>
          <w:r>
            <w:instrText xml:space="preserve"> PAGEREF _Toc26836 \h </w:instrText>
          </w:r>
          <w:r>
            <w:fldChar w:fldCharType="separate"/>
          </w:r>
          <w:r>
            <w:t>61</w:t>
          </w:r>
          <w:r>
            <w:fldChar w:fldCharType="end"/>
          </w:r>
          <w:r>
            <w:rPr>
              <w:rFonts w:hint="eastAsia" w:ascii="Times New Roman" w:hAnsi="Times New Roman" w:eastAsia="宋体" w:cs="Times New Roman"/>
              <w:color w:val="auto"/>
              <w:szCs w:val="24"/>
              <w:lang w:val="en-US" w:eastAsia="zh-CN" w:bidi="ar-SA"/>
            </w:rPr>
            <w:fldChar w:fldCharType="end"/>
          </w:r>
        </w:p>
        <w:p w14:paraId="6A3DE7D0">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_Toc7095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kern w:val="2"/>
              <w:szCs w:val="24"/>
              <w:lang w:val="en-US" w:eastAsia="zh-CN" w:bidi="ar-SA"/>
            </w:rPr>
            <w:t>4.6.1风险调查</w:t>
          </w:r>
          <w:r>
            <w:tab/>
          </w:r>
          <w:r>
            <w:fldChar w:fldCharType="begin"/>
          </w:r>
          <w:r>
            <w:instrText xml:space="preserve"> PAGEREF _Toc7095 \h </w:instrText>
          </w:r>
          <w:r>
            <w:fldChar w:fldCharType="separate"/>
          </w:r>
          <w:r>
            <w:t>61</w:t>
          </w:r>
          <w:r>
            <w:fldChar w:fldCharType="end"/>
          </w:r>
          <w:r>
            <w:rPr>
              <w:rFonts w:hint="eastAsia" w:ascii="Times New Roman" w:hAnsi="Times New Roman" w:eastAsia="宋体" w:cs="Times New Roman"/>
              <w:color w:val="auto"/>
              <w:szCs w:val="24"/>
              <w:lang w:val="en-US" w:eastAsia="zh-CN" w:bidi="ar-SA"/>
            </w:rPr>
            <w:fldChar w:fldCharType="end"/>
          </w:r>
        </w:p>
        <w:p w14:paraId="5DA5DE0A">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_Toc9019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kern w:val="2"/>
              <w:szCs w:val="24"/>
              <w:lang w:val="en-US" w:eastAsia="zh-CN" w:bidi="ar-SA"/>
            </w:rPr>
            <w:t>4.6.2环境风险潜势初判</w:t>
          </w:r>
          <w:r>
            <w:tab/>
          </w:r>
          <w:r>
            <w:fldChar w:fldCharType="begin"/>
          </w:r>
          <w:r>
            <w:instrText xml:space="preserve"> PAGEREF _Toc9019 \h </w:instrText>
          </w:r>
          <w:r>
            <w:fldChar w:fldCharType="separate"/>
          </w:r>
          <w:r>
            <w:t>62</w:t>
          </w:r>
          <w:r>
            <w:fldChar w:fldCharType="end"/>
          </w:r>
          <w:r>
            <w:rPr>
              <w:rFonts w:hint="eastAsia" w:ascii="Times New Roman" w:hAnsi="Times New Roman" w:eastAsia="宋体" w:cs="Times New Roman"/>
              <w:color w:val="auto"/>
              <w:szCs w:val="24"/>
              <w:lang w:val="en-US" w:eastAsia="zh-CN" w:bidi="ar-SA"/>
            </w:rPr>
            <w:fldChar w:fldCharType="end"/>
          </w:r>
        </w:p>
        <w:p w14:paraId="61E45F30">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_Toc28308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kern w:val="2"/>
              <w:szCs w:val="24"/>
              <w:lang w:val="en-US" w:eastAsia="zh-CN" w:bidi="ar-SA"/>
            </w:rPr>
            <w:t>4.6.3环境风险识别</w:t>
          </w:r>
          <w:r>
            <w:tab/>
          </w:r>
          <w:r>
            <w:fldChar w:fldCharType="begin"/>
          </w:r>
          <w:r>
            <w:instrText xml:space="preserve"> PAGEREF _Toc28308 \h </w:instrText>
          </w:r>
          <w:r>
            <w:fldChar w:fldCharType="separate"/>
          </w:r>
          <w:r>
            <w:t>62</w:t>
          </w:r>
          <w:r>
            <w:fldChar w:fldCharType="end"/>
          </w:r>
          <w:r>
            <w:rPr>
              <w:rFonts w:hint="eastAsia" w:ascii="Times New Roman" w:hAnsi="Times New Roman" w:eastAsia="宋体" w:cs="Times New Roman"/>
              <w:color w:val="auto"/>
              <w:szCs w:val="24"/>
              <w:lang w:val="en-US" w:eastAsia="zh-CN" w:bidi="ar-SA"/>
            </w:rPr>
            <w:fldChar w:fldCharType="end"/>
          </w:r>
        </w:p>
        <w:p w14:paraId="32D89DE2">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_Toc24455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kern w:val="2"/>
              <w:szCs w:val="24"/>
              <w:lang w:val="en-US" w:eastAsia="zh-CN" w:bidi="ar-SA"/>
            </w:rPr>
            <w:t>4.6.4环境风险分析</w:t>
          </w:r>
          <w:r>
            <w:tab/>
          </w:r>
          <w:r>
            <w:fldChar w:fldCharType="begin"/>
          </w:r>
          <w:r>
            <w:instrText xml:space="preserve"> PAGEREF _Toc24455 \h </w:instrText>
          </w:r>
          <w:r>
            <w:fldChar w:fldCharType="separate"/>
          </w:r>
          <w:r>
            <w:t>62</w:t>
          </w:r>
          <w:r>
            <w:fldChar w:fldCharType="end"/>
          </w:r>
          <w:r>
            <w:rPr>
              <w:rFonts w:hint="eastAsia" w:ascii="Times New Roman" w:hAnsi="Times New Roman" w:eastAsia="宋体" w:cs="Times New Roman"/>
              <w:color w:val="auto"/>
              <w:szCs w:val="24"/>
              <w:lang w:val="en-US" w:eastAsia="zh-CN" w:bidi="ar-SA"/>
            </w:rPr>
            <w:fldChar w:fldCharType="end"/>
          </w:r>
        </w:p>
        <w:p w14:paraId="394113E7">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_Toc27049 </w:instrText>
          </w:r>
          <w:r>
            <w:rPr>
              <w:rFonts w:hint="eastAsia" w:ascii="Times New Roman" w:hAnsi="Times New Roman" w:eastAsia="宋体" w:cs="Times New Roman"/>
              <w:szCs w:val="24"/>
              <w:lang w:val="en-US" w:eastAsia="zh-CN" w:bidi="ar-SA"/>
            </w:rPr>
            <w:fldChar w:fldCharType="separate"/>
          </w:r>
          <w:r>
            <w:rPr>
              <w:rFonts w:hint="default" w:ascii="Times New Roman" w:hAnsi="Times New Roman" w:eastAsia="宋体" w:cs="Times New Roman"/>
              <w:kern w:val="2"/>
              <w:szCs w:val="24"/>
              <w:lang w:val="en-US" w:eastAsia="zh-CN" w:bidi="ar-SA"/>
            </w:rPr>
            <w:t>4.6.</w:t>
          </w:r>
          <w:r>
            <w:rPr>
              <w:rFonts w:hint="eastAsia" w:ascii="Times New Roman" w:hAnsi="Times New Roman" w:eastAsia="宋体" w:cs="Times New Roman"/>
              <w:kern w:val="2"/>
              <w:szCs w:val="24"/>
              <w:lang w:val="en-US" w:eastAsia="zh-CN" w:bidi="ar-SA"/>
            </w:rPr>
            <w:t>5</w:t>
          </w:r>
          <w:r>
            <w:rPr>
              <w:rFonts w:hint="default" w:ascii="Times New Roman" w:hAnsi="Times New Roman" w:eastAsia="宋体" w:cs="Times New Roman"/>
              <w:kern w:val="2"/>
              <w:szCs w:val="24"/>
              <w:lang w:val="en-US" w:eastAsia="zh-CN" w:bidi="ar-SA"/>
            </w:rPr>
            <w:t>环境风险防范措施和事故应急措施</w:t>
          </w:r>
          <w:r>
            <w:tab/>
          </w:r>
          <w:r>
            <w:fldChar w:fldCharType="begin"/>
          </w:r>
          <w:r>
            <w:instrText xml:space="preserve"> PAGEREF _Toc27049 \h </w:instrText>
          </w:r>
          <w:r>
            <w:fldChar w:fldCharType="separate"/>
          </w:r>
          <w:r>
            <w:t>63</w:t>
          </w:r>
          <w:r>
            <w:fldChar w:fldCharType="end"/>
          </w:r>
          <w:r>
            <w:rPr>
              <w:rFonts w:hint="eastAsia" w:ascii="Times New Roman" w:hAnsi="Times New Roman" w:eastAsia="宋体" w:cs="Times New Roman"/>
              <w:color w:val="auto"/>
              <w:szCs w:val="24"/>
              <w:lang w:val="en-US" w:eastAsia="zh-CN" w:bidi="ar-SA"/>
            </w:rPr>
            <w:fldChar w:fldCharType="end"/>
          </w:r>
        </w:p>
        <w:p w14:paraId="19FF393D">
          <w:pPr>
            <w:pStyle w:val="34"/>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_Toc29317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kern w:val="2"/>
              <w:szCs w:val="24"/>
              <w:lang w:val="en-US" w:eastAsia="zh-CN" w:bidi="ar-SA"/>
            </w:rPr>
            <w:t>4.7环保投资估算</w:t>
          </w:r>
          <w:r>
            <w:tab/>
          </w:r>
          <w:r>
            <w:fldChar w:fldCharType="begin"/>
          </w:r>
          <w:r>
            <w:instrText xml:space="preserve"> PAGEREF _Toc29317 \h </w:instrText>
          </w:r>
          <w:r>
            <w:fldChar w:fldCharType="separate"/>
          </w:r>
          <w:r>
            <w:t>64</w:t>
          </w:r>
          <w:r>
            <w:fldChar w:fldCharType="end"/>
          </w:r>
          <w:r>
            <w:rPr>
              <w:rFonts w:hint="eastAsia" w:ascii="Times New Roman" w:hAnsi="Times New Roman" w:eastAsia="宋体" w:cs="Times New Roman"/>
              <w:color w:val="auto"/>
              <w:szCs w:val="24"/>
              <w:lang w:val="en-US" w:eastAsia="zh-CN" w:bidi="ar-SA"/>
            </w:rPr>
            <w:fldChar w:fldCharType="end"/>
          </w:r>
        </w:p>
        <w:p w14:paraId="14E53DDE">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_Toc26522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黑体"/>
              <w:szCs w:val="30"/>
            </w:rPr>
            <w:t>五、环境保护措施监督检查清单</w:t>
          </w:r>
          <w:r>
            <w:tab/>
          </w:r>
          <w:r>
            <w:fldChar w:fldCharType="begin"/>
          </w:r>
          <w:r>
            <w:instrText xml:space="preserve"> PAGEREF _Toc26522 \h </w:instrText>
          </w:r>
          <w:r>
            <w:fldChar w:fldCharType="separate"/>
          </w:r>
          <w:r>
            <w:t>66</w:t>
          </w:r>
          <w:r>
            <w:fldChar w:fldCharType="end"/>
          </w:r>
          <w:r>
            <w:rPr>
              <w:rFonts w:hint="eastAsia" w:ascii="Times New Roman" w:hAnsi="Times New Roman" w:eastAsia="宋体" w:cs="Times New Roman"/>
              <w:color w:val="auto"/>
              <w:szCs w:val="24"/>
              <w:lang w:val="en-US" w:eastAsia="zh-CN" w:bidi="ar-SA"/>
            </w:rPr>
            <w:fldChar w:fldCharType="end"/>
          </w:r>
        </w:p>
        <w:p w14:paraId="6629EBEB">
          <w:pPr>
            <w:pStyle w:val="34"/>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_Toc2321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宋体"/>
              <w:bCs/>
              <w:szCs w:val="28"/>
              <w:lang w:val="en-US" w:eastAsia="zh-CN"/>
            </w:rPr>
            <w:t>5.1</w:t>
          </w:r>
          <w:r>
            <w:rPr>
              <w:rFonts w:hint="eastAsia" w:ascii="Times New Roman" w:hAnsi="Times New Roman" w:eastAsia="宋体" w:cs="宋体"/>
              <w:bCs/>
              <w:szCs w:val="28"/>
              <w:lang w:val="en-US" w:eastAsia="zh-CN" w:bidi="ar-SA"/>
            </w:rPr>
            <w:t>环境管理</w:t>
          </w:r>
          <w:r>
            <w:tab/>
          </w:r>
          <w:r>
            <w:fldChar w:fldCharType="begin"/>
          </w:r>
          <w:r>
            <w:instrText xml:space="preserve"> PAGEREF _Toc2321 \h </w:instrText>
          </w:r>
          <w:r>
            <w:fldChar w:fldCharType="separate"/>
          </w:r>
          <w:r>
            <w:t>69</w:t>
          </w:r>
          <w:r>
            <w:fldChar w:fldCharType="end"/>
          </w:r>
          <w:r>
            <w:rPr>
              <w:rFonts w:hint="eastAsia" w:ascii="Times New Roman" w:hAnsi="Times New Roman" w:eastAsia="宋体" w:cs="Times New Roman"/>
              <w:color w:val="auto"/>
              <w:szCs w:val="24"/>
              <w:lang w:val="en-US" w:eastAsia="zh-CN" w:bidi="ar-SA"/>
            </w:rPr>
            <w:fldChar w:fldCharType="end"/>
          </w:r>
        </w:p>
        <w:p w14:paraId="2B8485A3">
          <w:pPr>
            <w:pStyle w:val="21"/>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_Toc21365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宋体"/>
              <w:bCs/>
              <w:szCs w:val="24"/>
              <w:lang w:val="en-US" w:eastAsia="zh-CN" w:bidi="ar-SA"/>
            </w:rPr>
            <w:t>5.1.1环境管理制度</w:t>
          </w:r>
          <w:r>
            <w:tab/>
          </w:r>
          <w:r>
            <w:fldChar w:fldCharType="begin"/>
          </w:r>
          <w:r>
            <w:instrText xml:space="preserve"> PAGEREF _Toc21365 \h </w:instrText>
          </w:r>
          <w:r>
            <w:fldChar w:fldCharType="separate"/>
          </w:r>
          <w:r>
            <w:t>69</w:t>
          </w:r>
          <w:r>
            <w:fldChar w:fldCharType="end"/>
          </w:r>
          <w:r>
            <w:rPr>
              <w:rFonts w:hint="eastAsia" w:ascii="Times New Roman" w:hAnsi="Times New Roman" w:eastAsia="宋体" w:cs="Times New Roman"/>
              <w:color w:val="auto"/>
              <w:szCs w:val="24"/>
              <w:lang w:val="en-US" w:eastAsia="zh-CN" w:bidi="ar-SA"/>
            </w:rPr>
            <w:fldChar w:fldCharType="end"/>
          </w:r>
        </w:p>
        <w:p w14:paraId="5F2AD773">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_Toc5405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黑体"/>
              <w:szCs w:val="30"/>
            </w:rPr>
            <w:t>六、 结论</w:t>
          </w:r>
          <w:r>
            <w:tab/>
          </w:r>
          <w:r>
            <w:fldChar w:fldCharType="begin"/>
          </w:r>
          <w:r>
            <w:instrText xml:space="preserve"> PAGEREF _Toc5405 \h </w:instrText>
          </w:r>
          <w:r>
            <w:fldChar w:fldCharType="separate"/>
          </w:r>
          <w:r>
            <w:t>72</w:t>
          </w:r>
          <w:r>
            <w:fldChar w:fldCharType="end"/>
          </w:r>
          <w:r>
            <w:rPr>
              <w:rFonts w:hint="eastAsia" w:ascii="Times New Roman" w:hAnsi="Times New Roman" w:eastAsia="宋体" w:cs="Times New Roman"/>
              <w:color w:val="auto"/>
              <w:szCs w:val="24"/>
              <w:lang w:val="en-US" w:eastAsia="zh-CN" w:bidi="ar-SA"/>
            </w:rPr>
            <w:fldChar w:fldCharType="end"/>
          </w:r>
        </w:p>
        <w:p w14:paraId="2E6DD00D">
          <w:pPr>
            <w:pStyle w:val="34"/>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_Toc9757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Times New Roman"/>
              <w:kern w:val="2"/>
              <w:szCs w:val="24"/>
              <w:lang w:val="en-US" w:eastAsia="zh-CN" w:bidi="ar-SA"/>
            </w:rPr>
            <w:t>6.1总结论</w:t>
          </w:r>
          <w:r>
            <w:tab/>
          </w:r>
          <w:r>
            <w:fldChar w:fldCharType="begin"/>
          </w:r>
          <w:r>
            <w:instrText xml:space="preserve"> PAGEREF _Toc9757 \h </w:instrText>
          </w:r>
          <w:r>
            <w:fldChar w:fldCharType="separate"/>
          </w:r>
          <w:r>
            <w:t>72</w:t>
          </w:r>
          <w:r>
            <w:fldChar w:fldCharType="end"/>
          </w:r>
          <w:r>
            <w:rPr>
              <w:rFonts w:hint="eastAsia" w:ascii="Times New Roman" w:hAnsi="Times New Roman" w:eastAsia="宋体" w:cs="Times New Roman"/>
              <w:color w:val="auto"/>
              <w:szCs w:val="24"/>
              <w:lang w:val="en-US" w:eastAsia="zh-CN" w:bidi="ar-SA"/>
            </w:rPr>
            <w:fldChar w:fldCharType="end"/>
          </w:r>
        </w:p>
        <w:p w14:paraId="05CFE7C6">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_Toc2027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黑体"/>
              <w:szCs w:val="32"/>
            </w:rPr>
            <w:t>附表</w:t>
          </w:r>
          <w:r>
            <w:tab/>
          </w:r>
          <w:r>
            <w:fldChar w:fldCharType="begin"/>
          </w:r>
          <w:r>
            <w:instrText xml:space="preserve"> PAGEREF _Toc2027 \h </w:instrText>
          </w:r>
          <w:r>
            <w:fldChar w:fldCharType="separate"/>
          </w:r>
          <w:r>
            <w:t>73</w:t>
          </w:r>
          <w:r>
            <w:fldChar w:fldCharType="end"/>
          </w:r>
          <w:r>
            <w:rPr>
              <w:rFonts w:hint="eastAsia" w:ascii="Times New Roman" w:hAnsi="Times New Roman" w:eastAsia="宋体" w:cs="Times New Roman"/>
              <w:color w:val="auto"/>
              <w:szCs w:val="24"/>
              <w:lang w:val="en-US" w:eastAsia="zh-CN" w:bidi="ar-SA"/>
            </w:rPr>
            <w:fldChar w:fldCharType="end"/>
          </w:r>
        </w:p>
        <w:p w14:paraId="49286DE2">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_Toc8198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方正小标宋_GBK"/>
              <w:szCs w:val="38"/>
            </w:rPr>
            <w:t>建设项目污染物排放量汇总表</w:t>
          </w:r>
          <w:r>
            <w:tab/>
          </w:r>
          <w:r>
            <w:fldChar w:fldCharType="begin"/>
          </w:r>
          <w:r>
            <w:instrText xml:space="preserve"> PAGEREF _Toc8198 \h </w:instrText>
          </w:r>
          <w:r>
            <w:fldChar w:fldCharType="separate"/>
          </w:r>
          <w:r>
            <w:t>73</w:t>
          </w:r>
          <w:r>
            <w:fldChar w:fldCharType="end"/>
          </w:r>
          <w:r>
            <w:rPr>
              <w:rFonts w:hint="eastAsia" w:ascii="Times New Roman" w:hAnsi="Times New Roman" w:eastAsia="宋体" w:cs="Times New Roman"/>
              <w:color w:val="auto"/>
              <w:szCs w:val="24"/>
              <w:lang w:val="en-US" w:eastAsia="zh-CN" w:bidi="ar-SA"/>
            </w:rPr>
            <w:fldChar w:fldCharType="end"/>
          </w:r>
        </w:p>
        <w:p w14:paraId="2BEC7B27">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_Toc27477 </w:instrText>
          </w:r>
          <w:r>
            <w:rPr>
              <w:rFonts w:hint="eastAsia" w:ascii="Times New Roman" w:hAnsi="Times New Roman" w:eastAsia="宋体" w:cs="Times New Roman"/>
              <w:szCs w:val="24"/>
              <w:lang w:val="en-US" w:eastAsia="zh-CN" w:bidi="ar-SA"/>
            </w:rPr>
            <w:fldChar w:fldCharType="separate"/>
          </w:r>
          <w:r>
            <w:rPr>
              <w:rFonts w:hint="eastAsia"/>
              <w:lang w:val="en-US" w:eastAsia="zh-CN"/>
            </w:rPr>
            <w:t>附图一：项目地理位置图</w:t>
          </w:r>
          <w:r>
            <w:tab/>
          </w:r>
          <w:r>
            <w:fldChar w:fldCharType="begin"/>
          </w:r>
          <w:r>
            <w:instrText xml:space="preserve"> PAGEREF _Toc27477 \h </w:instrText>
          </w:r>
          <w:r>
            <w:fldChar w:fldCharType="separate"/>
          </w:r>
          <w:r>
            <w:t>75</w:t>
          </w:r>
          <w:r>
            <w:fldChar w:fldCharType="end"/>
          </w:r>
          <w:r>
            <w:rPr>
              <w:rFonts w:hint="eastAsia" w:ascii="Times New Roman" w:hAnsi="Times New Roman" w:eastAsia="宋体" w:cs="Times New Roman"/>
              <w:color w:val="auto"/>
              <w:szCs w:val="24"/>
              <w:lang w:val="en-US" w:eastAsia="zh-CN" w:bidi="ar-SA"/>
            </w:rPr>
            <w:fldChar w:fldCharType="end"/>
          </w:r>
        </w:p>
        <w:p w14:paraId="0254E091">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_Toc10742 </w:instrText>
          </w:r>
          <w:r>
            <w:rPr>
              <w:rFonts w:hint="eastAsia" w:ascii="Times New Roman" w:hAnsi="Times New Roman" w:eastAsia="宋体" w:cs="Times New Roman"/>
              <w:szCs w:val="24"/>
              <w:lang w:val="en-US" w:eastAsia="zh-CN" w:bidi="ar-SA"/>
            </w:rPr>
            <w:fldChar w:fldCharType="separate"/>
          </w:r>
          <w:r>
            <w:rPr>
              <w:rFonts w:hint="eastAsia"/>
              <w:lang w:val="en-US" w:eastAsia="zh-CN"/>
            </w:rPr>
            <w:t>附图二：项目周边环境示意图</w:t>
          </w:r>
          <w:r>
            <w:tab/>
          </w:r>
          <w:r>
            <w:fldChar w:fldCharType="begin"/>
          </w:r>
          <w:r>
            <w:instrText xml:space="preserve"> PAGEREF _Toc10742 \h </w:instrText>
          </w:r>
          <w:r>
            <w:fldChar w:fldCharType="separate"/>
          </w:r>
          <w:r>
            <w:t>76</w:t>
          </w:r>
          <w:r>
            <w:fldChar w:fldCharType="end"/>
          </w:r>
          <w:r>
            <w:rPr>
              <w:rFonts w:hint="eastAsia" w:ascii="Times New Roman" w:hAnsi="Times New Roman" w:eastAsia="宋体" w:cs="Times New Roman"/>
              <w:color w:val="auto"/>
              <w:szCs w:val="24"/>
              <w:lang w:val="en-US" w:eastAsia="zh-CN" w:bidi="ar-SA"/>
            </w:rPr>
            <w:fldChar w:fldCharType="end"/>
          </w:r>
        </w:p>
        <w:p w14:paraId="17DDC665">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_Toc23717 </w:instrText>
          </w:r>
          <w:r>
            <w:rPr>
              <w:rFonts w:hint="eastAsia" w:ascii="Times New Roman" w:hAnsi="Times New Roman" w:eastAsia="宋体" w:cs="Times New Roman"/>
              <w:szCs w:val="24"/>
              <w:lang w:val="en-US" w:eastAsia="zh-CN" w:bidi="ar-SA"/>
            </w:rPr>
            <w:fldChar w:fldCharType="separate"/>
          </w:r>
          <w:r>
            <w:rPr>
              <w:rFonts w:hint="eastAsia"/>
              <w:lang w:val="en-US" w:eastAsia="zh-CN"/>
            </w:rPr>
            <w:t>附图三：项目周边环境现状图</w:t>
          </w:r>
          <w:r>
            <w:tab/>
          </w:r>
          <w:r>
            <w:fldChar w:fldCharType="begin"/>
          </w:r>
          <w:r>
            <w:instrText xml:space="preserve"> PAGEREF _Toc23717 \h </w:instrText>
          </w:r>
          <w:r>
            <w:fldChar w:fldCharType="separate"/>
          </w:r>
          <w:r>
            <w:t>77</w:t>
          </w:r>
          <w:r>
            <w:fldChar w:fldCharType="end"/>
          </w:r>
          <w:r>
            <w:rPr>
              <w:rFonts w:hint="eastAsia" w:ascii="Times New Roman" w:hAnsi="Times New Roman" w:eastAsia="宋体" w:cs="Times New Roman"/>
              <w:color w:val="auto"/>
              <w:szCs w:val="24"/>
              <w:lang w:val="en-US" w:eastAsia="zh-CN" w:bidi="ar-SA"/>
            </w:rPr>
            <w:fldChar w:fldCharType="end"/>
          </w:r>
        </w:p>
        <w:p w14:paraId="57487C65">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_Toc5981 </w:instrText>
          </w:r>
          <w:r>
            <w:rPr>
              <w:rFonts w:hint="eastAsia" w:ascii="Times New Roman" w:hAnsi="Times New Roman" w:eastAsia="宋体" w:cs="Times New Roman"/>
              <w:szCs w:val="24"/>
              <w:lang w:val="en-US" w:eastAsia="zh-CN" w:bidi="ar-SA"/>
            </w:rPr>
            <w:fldChar w:fldCharType="separate"/>
          </w:r>
          <w:r>
            <w:rPr>
              <w:rFonts w:hint="eastAsia"/>
              <w:lang w:val="en-US" w:eastAsia="zh-CN"/>
            </w:rPr>
            <w:t>附件四：项目总平图</w:t>
          </w:r>
          <w:r>
            <w:tab/>
          </w:r>
          <w:r>
            <w:fldChar w:fldCharType="begin"/>
          </w:r>
          <w:r>
            <w:instrText xml:space="preserve"> PAGEREF _Toc5981 \h </w:instrText>
          </w:r>
          <w:r>
            <w:fldChar w:fldCharType="separate"/>
          </w:r>
          <w:r>
            <w:t>79</w:t>
          </w:r>
          <w:r>
            <w:fldChar w:fldCharType="end"/>
          </w:r>
          <w:r>
            <w:rPr>
              <w:rFonts w:hint="eastAsia" w:ascii="Times New Roman" w:hAnsi="Times New Roman" w:eastAsia="宋体" w:cs="Times New Roman"/>
              <w:color w:val="auto"/>
              <w:szCs w:val="24"/>
              <w:lang w:val="en-US" w:eastAsia="zh-CN" w:bidi="ar-SA"/>
            </w:rPr>
            <w:fldChar w:fldCharType="end"/>
          </w:r>
        </w:p>
        <w:p w14:paraId="2BB58536">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_Toc18511 </w:instrText>
          </w:r>
          <w:r>
            <w:rPr>
              <w:rFonts w:hint="eastAsia" w:ascii="Times New Roman" w:hAnsi="Times New Roman" w:eastAsia="宋体" w:cs="Times New Roman"/>
              <w:szCs w:val="24"/>
              <w:lang w:val="en-US" w:eastAsia="zh-CN" w:bidi="ar-SA"/>
            </w:rPr>
            <w:fldChar w:fldCharType="separate"/>
          </w:r>
          <w:r>
            <w:rPr>
              <w:rFonts w:hint="eastAsia"/>
              <w:lang w:val="en-US" w:eastAsia="zh-CN"/>
            </w:rPr>
            <w:t>附图五：项目车间平面布置图</w:t>
          </w:r>
          <w:r>
            <w:tab/>
          </w:r>
          <w:r>
            <w:fldChar w:fldCharType="begin"/>
          </w:r>
          <w:r>
            <w:instrText xml:space="preserve"> PAGEREF _Toc18511 \h </w:instrText>
          </w:r>
          <w:r>
            <w:fldChar w:fldCharType="separate"/>
          </w:r>
          <w:r>
            <w:t>80</w:t>
          </w:r>
          <w:r>
            <w:fldChar w:fldCharType="end"/>
          </w:r>
          <w:r>
            <w:rPr>
              <w:rFonts w:hint="eastAsia" w:ascii="Times New Roman" w:hAnsi="Times New Roman" w:eastAsia="宋体" w:cs="Times New Roman"/>
              <w:color w:val="auto"/>
              <w:szCs w:val="24"/>
              <w:lang w:val="en-US" w:eastAsia="zh-CN" w:bidi="ar-SA"/>
            </w:rPr>
            <w:fldChar w:fldCharType="end"/>
          </w:r>
        </w:p>
        <w:p w14:paraId="2292CFA7">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_Toc32613 </w:instrText>
          </w:r>
          <w:r>
            <w:rPr>
              <w:rFonts w:hint="eastAsia" w:ascii="Times New Roman" w:hAnsi="Times New Roman" w:eastAsia="宋体" w:cs="Times New Roman"/>
              <w:szCs w:val="24"/>
              <w:lang w:val="en-US" w:eastAsia="zh-CN" w:bidi="ar-SA"/>
            </w:rPr>
            <w:fldChar w:fldCharType="separate"/>
          </w:r>
          <w:r>
            <w:rPr>
              <w:rFonts w:hint="eastAsia"/>
              <w:lang w:val="en-US" w:eastAsia="zh-CN"/>
            </w:rPr>
            <w:t>附图六：雨污管线示意图</w:t>
          </w:r>
          <w:r>
            <w:tab/>
          </w:r>
          <w:r>
            <w:fldChar w:fldCharType="begin"/>
          </w:r>
          <w:r>
            <w:instrText xml:space="preserve"> PAGEREF _Toc32613 \h </w:instrText>
          </w:r>
          <w:r>
            <w:fldChar w:fldCharType="separate"/>
          </w:r>
          <w:r>
            <w:t>81</w:t>
          </w:r>
          <w:r>
            <w:fldChar w:fldCharType="end"/>
          </w:r>
          <w:r>
            <w:rPr>
              <w:rFonts w:hint="eastAsia" w:ascii="Times New Roman" w:hAnsi="Times New Roman" w:eastAsia="宋体" w:cs="Times New Roman"/>
              <w:color w:val="auto"/>
              <w:szCs w:val="24"/>
              <w:lang w:val="en-US" w:eastAsia="zh-CN" w:bidi="ar-SA"/>
            </w:rPr>
            <w:fldChar w:fldCharType="end"/>
          </w:r>
        </w:p>
        <w:p w14:paraId="2E7F335F">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_Toc16306 </w:instrText>
          </w:r>
          <w:r>
            <w:rPr>
              <w:rFonts w:hint="eastAsia" w:ascii="Times New Roman" w:hAnsi="Times New Roman" w:eastAsia="宋体" w:cs="Times New Roman"/>
              <w:szCs w:val="24"/>
              <w:lang w:val="en-US" w:eastAsia="zh-CN" w:bidi="ar-SA"/>
            </w:rPr>
            <w:fldChar w:fldCharType="separate"/>
          </w:r>
          <w:r>
            <w:rPr>
              <w:rFonts w:hint="eastAsia" w:cs="仿宋_GB2312"/>
              <w:kern w:val="2"/>
              <w:szCs w:val="36"/>
              <w:lang w:val="en-US" w:eastAsia="zh-CN" w:bidi="ar-SA"/>
            </w:rPr>
            <w:t>附图七：土地利用规划图</w:t>
          </w:r>
          <w:r>
            <w:tab/>
          </w:r>
          <w:r>
            <w:fldChar w:fldCharType="begin"/>
          </w:r>
          <w:r>
            <w:instrText xml:space="preserve"> PAGEREF _Toc16306 \h </w:instrText>
          </w:r>
          <w:r>
            <w:fldChar w:fldCharType="separate"/>
          </w:r>
          <w:r>
            <w:t>82</w:t>
          </w:r>
          <w:r>
            <w:fldChar w:fldCharType="end"/>
          </w:r>
          <w:r>
            <w:rPr>
              <w:rFonts w:hint="eastAsia" w:ascii="Times New Roman" w:hAnsi="Times New Roman" w:eastAsia="宋体" w:cs="Times New Roman"/>
              <w:color w:val="auto"/>
              <w:szCs w:val="24"/>
              <w:lang w:val="en-US" w:eastAsia="zh-CN" w:bidi="ar-SA"/>
            </w:rPr>
            <w:fldChar w:fldCharType="end"/>
          </w:r>
        </w:p>
        <w:p w14:paraId="4B6F690C">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_Toc13708 </w:instrText>
          </w:r>
          <w:r>
            <w:rPr>
              <w:rFonts w:hint="eastAsia" w:ascii="Times New Roman" w:hAnsi="Times New Roman" w:eastAsia="宋体" w:cs="Times New Roman"/>
              <w:szCs w:val="24"/>
              <w:lang w:val="en-US" w:eastAsia="zh-CN" w:bidi="ar-SA"/>
            </w:rPr>
            <w:fldChar w:fldCharType="separate"/>
          </w:r>
          <w:r>
            <w:rPr>
              <w:rFonts w:hint="eastAsia"/>
              <w:lang w:val="en-US" w:eastAsia="zh-CN"/>
            </w:rPr>
            <w:t>附件一：建设项目环境影响评价委托书</w:t>
          </w:r>
          <w:r>
            <w:tab/>
          </w:r>
          <w:r>
            <w:fldChar w:fldCharType="begin"/>
          </w:r>
          <w:r>
            <w:instrText xml:space="preserve"> PAGEREF _Toc13708 \h </w:instrText>
          </w:r>
          <w:r>
            <w:fldChar w:fldCharType="separate"/>
          </w:r>
          <w:r>
            <w:t>83</w:t>
          </w:r>
          <w:r>
            <w:fldChar w:fldCharType="end"/>
          </w:r>
          <w:r>
            <w:rPr>
              <w:rFonts w:hint="eastAsia" w:ascii="Times New Roman" w:hAnsi="Times New Roman" w:eastAsia="宋体" w:cs="Times New Roman"/>
              <w:color w:val="auto"/>
              <w:szCs w:val="24"/>
              <w:lang w:val="en-US" w:eastAsia="zh-CN" w:bidi="ar-SA"/>
            </w:rPr>
            <w:fldChar w:fldCharType="end"/>
          </w:r>
        </w:p>
        <w:p w14:paraId="2D0FE771">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_Toc14871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仿宋_GB2312"/>
              <w:kern w:val="2"/>
              <w:szCs w:val="36"/>
              <w:lang w:val="en-US" w:eastAsia="zh-CN" w:bidi="ar-SA"/>
            </w:rPr>
            <w:t>附件二：投资项目备案证明（内资）</w:t>
          </w:r>
          <w:r>
            <w:tab/>
          </w:r>
          <w:r>
            <w:fldChar w:fldCharType="begin"/>
          </w:r>
          <w:r>
            <w:instrText xml:space="preserve"> PAGEREF _Toc14871 \h </w:instrText>
          </w:r>
          <w:r>
            <w:fldChar w:fldCharType="separate"/>
          </w:r>
          <w:r>
            <w:t>84</w:t>
          </w:r>
          <w:r>
            <w:fldChar w:fldCharType="end"/>
          </w:r>
          <w:r>
            <w:rPr>
              <w:rFonts w:hint="eastAsia" w:ascii="Times New Roman" w:hAnsi="Times New Roman" w:eastAsia="宋体" w:cs="Times New Roman"/>
              <w:color w:val="auto"/>
              <w:szCs w:val="24"/>
              <w:lang w:val="en-US" w:eastAsia="zh-CN" w:bidi="ar-SA"/>
            </w:rPr>
            <w:fldChar w:fldCharType="end"/>
          </w:r>
        </w:p>
        <w:p w14:paraId="7D3D9FBD">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_Toc676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仿宋_GB2312"/>
              <w:kern w:val="2"/>
              <w:szCs w:val="36"/>
              <w:lang w:val="en-US" w:eastAsia="zh-CN" w:bidi="ar-SA"/>
            </w:rPr>
            <w:t>附件三：建设单位营业执照</w:t>
          </w:r>
          <w:r>
            <w:tab/>
          </w:r>
          <w:r>
            <w:fldChar w:fldCharType="begin"/>
          </w:r>
          <w:r>
            <w:instrText xml:space="preserve"> PAGEREF _Toc676 \h </w:instrText>
          </w:r>
          <w:r>
            <w:fldChar w:fldCharType="separate"/>
          </w:r>
          <w:r>
            <w:t>85</w:t>
          </w:r>
          <w:r>
            <w:fldChar w:fldCharType="end"/>
          </w:r>
          <w:r>
            <w:rPr>
              <w:rFonts w:hint="eastAsia" w:ascii="Times New Roman" w:hAnsi="Times New Roman" w:eastAsia="宋体" w:cs="Times New Roman"/>
              <w:color w:val="auto"/>
              <w:szCs w:val="24"/>
              <w:lang w:val="en-US" w:eastAsia="zh-CN" w:bidi="ar-SA"/>
            </w:rPr>
            <w:fldChar w:fldCharType="end"/>
          </w:r>
        </w:p>
        <w:p w14:paraId="03EFBB67">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_Toc26744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仿宋_GB2312"/>
              <w:kern w:val="2"/>
              <w:szCs w:val="36"/>
              <w:lang w:val="en-US" w:eastAsia="zh-CN" w:bidi="ar-SA"/>
            </w:rPr>
            <w:t>附件四：厂房租赁合同</w:t>
          </w:r>
          <w:r>
            <w:tab/>
          </w:r>
          <w:r>
            <w:fldChar w:fldCharType="begin"/>
          </w:r>
          <w:r>
            <w:instrText xml:space="preserve"> PAGEREF _Toc26744 \h </w:instrText>
          </w:r>
          <w:r>
            <w:fldChar w:fldCharType="separate"/>
          </w:r>
          <w:r>
            <w:t>86</w:t>
          </w:r>
          <w:r>
            <w:fldChar w:fldCharType="end"/>
          </w:r>
          <w:r>
            <w:rPr>
              <w:rFonts w:hint="eastAsia" w:ascii="Times New Roman" w:hAnsi="Times New Roman" w:eastAsia="宋体" w:cs="Times New Roman"/>
              <w:color w:val="auto"/>
              <w:szCs w:val="24"/>
              <w:lang w:val="en-US" w:eastAsia="zh-CN" w:bidi="ar-SA"/>
            </w:rPr>
            <w:fldChar w:fldCharType="end"/>
          </w:r>
        </w:p>
        <w:p w14:paraId="229C4825">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_Toc27943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仿宋_GB2312"/>
              <w:kern w:val="2"/>
              <w:szCs w:val="36"/>
              <w:lang w:val="en-US" w:eastAsia="zh-CN" w:bidi="ar-SA"/>
            </w:rPr>
            <w:t>附件五：</w:t>
          </w:r>
          <w:r>
            <w:rPr>
              <w:rFonts w:hint="eastAsia" w:cs="仿宋_GB2312"/>
              <w:kern w:val="2"/>
              <w:szCs w:val="36"/>
              <w:lang w:val="en-US" w:eastAsia="zh-CN" w:bidi="ar-SA"/>
            </w:rPr>
            <w:t>不动</w:t>
          </w:r>
          <w:r>
            <w:rPr>
              <w:rFonts w:hint="eastAsia" w:ascii="Times New Roman" w:hAnsi="Times New Roman" w:eastAsia="宋体" w:cs="仿宋_GB2312"/>
              <w:kern w:val="2"/>
              <w:szCs w:val="36"/>
              <w:lang w:val="en-US" w:eastAsia="zh-CN" w:bidi="ar-SA"/>
            </w:rPr>
            <w:t>产权证</w:t>
          </w:r>
          <w:r>
            <w:tab/>
          </w:r>
          <w:r>
            <w:fldChar w:fldCharType="begin"/>
          </w:r>
          <w:r>
            <w:instrText xml:space="preserve"> PAGEREF _Toc27943 \h </w:instrText>
          </w:r>
          <w:r>
            <w:fldChar w:fldCharType="separate"/>
          </w:r>
          <w:r>
            <w:t>93</w:t>
          </w:r>
          <w:r>
            <w:fldChar w:fldCharType="end"/>
          </w:r>
          <w:r>
            <w:rPr>
              <w:rFonts w:hint="eastAsia" w:ascii="Times New Roman" w:hAnsi="Times New Roman" w:eastAsia="宋体" w:cs="Times New Roman"/>
              <w:color w:val="auto"/>
              <w:szCs w:val="24"/>
              <w:lang w:val="en-US" w:eastAsia="zh-CN" w:bidi="ar-SA"/>
            </w:rPr>
            <w:fldChar w:fldCharType="end"/>
          </w:r>
        </w:p>
        <w:p w14:paraId="20455C6E">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_Toc1032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仿宋_GB2312"/>
              <w:kern w:val="2"/>
              <w:szCs w:val="36"/>
              <w:lang w:val="en-US" w:eastAsia="zh-CN" w:bidi="ar-SA"/>
            </w:rPr>
            <w:t>附件六：关于公开建设项目环评文件等信息情况的说明</w:t>
          </w:r>
          <w:r>
            <w:tab/>
          </w:r>
          <w:r>
            <w:fldChar w:fldCharType="begin"/>
          </w:r>
          <w:r>
            <w:instrText xml:space="preserve"> PAGEREF _Toc1032 \h </w:instrText>
          </w:r>
          <w:r>
            <w:fldChar w:fldCharType="separate"/>
          </w:r>
          <w:r>
            <w:t>97</w:t>
          </w:r>
          <w:r>
            <w:fldChar w:fldCharType="end"/>
          </w:r>
          <w:r>
            <w:rPr>
              <w:rFonts w:hint="eastAsia" w:ascii="Times New Roman" w:hAnsi="Times New Roman" w:eastAsia="宋体" w:cs="Times New Roman"/>
              <w:color w:val="auto"/>
              <w:szCs w:val="24"/>
              <w:lang w:val="en-US" w:eastAsia="zh-CN" w:bidi="ar-SA"/>
            </w:rPr>
            <w:fldChar w:fldCharType="end"/>
          </w:r>
        </w:p>
        <w:p w14:paraId="3E933C49">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_Toc14921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仿宋_GB2312"/>
              <w:kern w:val="2"/>
              <w:szCs w:val="36"/>
              <w:lang w:val="en-US" w:eastAsia="zh-CN" w:bidi="ar-SA"/>
            </w:rPr>
            <w:t>附件七：关于环评文件公开文本删除涉密内容依据和说明</w:t>
          </w:r>
          <w:r>
            <w:tab/>
          </w:r>
          <w:r>
            <w:fldChar w:fldCharType="begin"/>
          </w:r>
          <w:r>
            <w:instrText xml:space="preserve"> PAGEREF _Toc14921 \h </w:instrText>
          </w:r>
          <w:r>
            <w:fldChar w:fldCharType="separate"/>
          </w:r>
          <w:r>
            <w:t>98</w:t>
          </w:r>
          <w:r>
            <w:fldChar w:fldCharType="end"/>
          </w:r>
          <w:r>
            <w:rPr>
              <w:rFonts w:hint="eastAsia" w:ascii="Times New Roman" w:hAnsi="Times New Roman" w:eastAsia="宋体" w:cs="Times New Roman"/>
              <w:color w:val="auto"/>
              <w:szCs w:val="24"/>
              <w:lang w:val="en-US" w:eastAsia="zh-CN" w:bidi="ar-SA"/>
            </w:rPr>
            <w:fldChar w:fldCharType="end"/>
          </w:r>
        </w:p>
        <w:p w14:paraId="58386930">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_Toc10698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仿宋_GB2312"/>
              <w:kern w:val="2"/>
              <w:szCs w:val="36"/>
              <w:lang w:val="en-US" w:eastAsia="zh-CN" w:bidi="ar-SA"/>
            </w:rPr>
            <w:t>附件八：审批申请报告</w:t>
          </w:r>
          <w:r>
            <w:tab/>
          </w:r>
          <w:r>
            <w:fldChar w:fldCharType="begin"/>
          </w:r>
          <w:r>
            <w:instrText xml:space="preserve"> PAGEREF _Toc10698 \h </w:instrText>
          </w:r>
          <w:r>
            <w:fldChar w:fldCharType="separate"/>
          </w:r>
          <w:r>
            <w:t>99</w:t>
          </w:r>
          <w:r>
            <w:fldChar w:fldCharType="end"/>
          </w:r>
          <w:r>
            <w:rPr>
              <w:rFonts w:hint="eastAsia" w:ascii="Times New Roman" w:hAnsi="Times New Roman" w:eastAsia="宋体" w:cs="Times New Roman"/>
              <w:color w:val="auto"/>
              <w:szCs w:val="24"/>
              <w:lang w:val="en-US" w:eastAsia="zh-CN" w:bidi="ar-SA"/>
            </w:rPr>
            <w:fldChar w:fldCharType="end"/>
          </w:r>
        </w:p>
        <w:p w14:paraId="72633F4C">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_Toc23465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仿宋_GB2312"/>
              <w:kern w:val="2"/>
              <w:szCs w:val="36"/>
              <w:lang w:val="en-US" w:eastAsia="zh-CN" w:bidi="ar-SA"/>
            </w:rPr>
            <w:t>附件九：申请环评批复报告</w:t>
          </w:r>
          <w:r>
            <w:tab/>
          </w:r>
          <w:r>
            <w:fldChar w:fldCharType="begin"/>
          </w:r>
          <w:r>
            <w:instrText xml:space="preserve"> PAGEREF _Toc23465 \h </w:instrText>
          </w:r>
          <w:r>
            <w:fldChar w:fldCharType="separate"/>
          </w:r>
          <w:r>
            <w:t>100</w:t>
          </w:r>
          <w:r>
            <w:fldChar w:fldCharType="end"/>
          </w:r>
          <w:r>
            <w:rPr>
              <w:rFonts w:hint="eastAsia" w:ascii="Times New Roman" w:hAnsi="Times New Roman" w:eastAsia="宋体" w:cs="Times New Roman"/>
              <w:color w:val="auto"/>
              <w:szCs w:val="24"/>
              <w:lang w:val="en-US" w:eastAsia="zh-CN" w:bidi="ar-SA"/>
            </w:rPr>
            <w:fldChar w:fldCharType="end"/>
          </w:r>
        </w:p>
        <w:p w14:paraId="089F37FD">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_Toc24401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仿宋_GB2312"/>
              <w:kern w:val="2"/>
              <w:szCs w:val="36"/>
              <w:lang w:val="en-US" w:eastAsia="zh-CN" w:bidi="ar-SA"/>
            </w:rPr>
            <w:t>附件十：关于主要污染物排污权指标的承诺函</w:t>
          </w:r>
          <w:r>
            <w:tab/>
          </w:r>
          <w:r>
            <w:fldChar w:fldCharType="begin"/>
          </w:r>
          <w:r>
            <w:instrText xml:space="preserve"> PAGEREF _Toc24401 \h </w:instrText>
          </w:r>
          <w:r>
            <w:fldChar w:fldCharType="separate"/>
          </w:r>
          <w:r>
            <w:t>101</w:t>
          </w:r>
          <w:r>
            <w:fldChar w:fldCharType="end"/>
          </w:r>
          <w:r>
            <w:rPr>
              <w:rFonts w:hint="eastAsia" w:ascii="Times New Roman" w:hAnsi="Times New Roman" w:eastAsia="宋体" w:cs="Times New Roman"/>
              <w:color w:val="auto"/>
              <w:szCs w:val="24"/>
              <w:lang w:val="en-US" w:eastAsia="zh-CN" w:bidi="ar-SA"/>
            </w:rPr>
            <w:fldChar w:fldCharType="end"/>
          </w:r>
        </w:p>
        <w:p w14:paraId="0CE451A8">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_Toc31036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仿宋_GB2312"/>
              <w:kern w:val="2"/>
              <w:szCs w:val="36"/>
              <w:lang w:val="en-US" w:eastAsia="zh-CN" w:bidi="ar-SA"/>
            </w:rPr>
            <w:t>附件十一</w:t>
          </w:r>
          <w:r>
            <w:rPr>
              <w:rFonts w:hint="eastAsia" w:ascii="Times New Roman" w:hAnsi="Times New Roman" w:cs="仿宋_GB2312"/>
              <w:kern w:val="2"/>
              <w:szCs w:val="36"/>
              <w:lang w:val="en-US" w:eastAsia="zh-CN" w:bidi="ar-SA"/>
            </w:rPr>
            <w:t>：法人身份证</w:t>
          </w:r>
          <w:r>
            <w:tab/>
          </w:r>
          <w:r>
            <w:fldChar w:fldCharType="begin"/>
          </w:r>
          <w:r>
            <w:instrText xml:space="preserve"> PAGEREF _Toc31036 \h </w:instrText>
          </w:r>
          <w:r>
            <w:fldChar w:fldCharType="separate"/>
          </w:r>
          <w:r>
            <w:t>102</w:t>
          </w:r>
          <w:r>
            <w:fldChar w:fldCharType="end"/>
          </w:r>
          <w:r>
            <w:rPr>
              <w:rFonts w:hint="eastAsia" w:ascii="Times New Roman" w:hAnsi="Times New Roman" w:eastAsia="宋体" w:cs="Times New Roman"/>
              <w:color w:val="auto"/>
              <w:szCs w:val="24"/>
              <w:lang w:val="en-US" w:eastAsia="zh-CN" w:bidi="ar-SA"/>
            </w:rPr>
            <w:fldChar w:fldCharType="end"/>
          </w:r>
        </w:p>
        <w:p w14:paraId="33813472">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_Toc10948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仿宋_GB2312"/>
              <w:kern w:val="2"/>
              <w:szCs w:val="36"/>
              <w:lang w:val="en-US" w:eastAsia="zh-CN" w:bidi="ar-SA"/>
            </w:rPr>
            <w:t>附件十</w:t>
          </w:r>
          <w:r>
            <w:rPr>
              <w:rFonts w:hint="eastAsia" w:ascii="Times New Roman" w:hAnsi="Times New Roman" w:cs="仿宋_GB2312"/>
              <w:kern w:val="2"/>
              <w:szCs w:val="36"/>
              <w:lang w:val="en-US" w:eastAsia="zh-CN" w:bidi="ar-SA"/>
            </w:rPr>
            <w:t>二：委托人身份证</w:t>
          </w:r>
          <w:r>
            <w:tab/>
          </w:r>
          <w:r>
            <w:fldChar w:fldCharType="begin"/>
          </w:r>
          <w:r>
            <w:instrText xml:space="preserve"> PAGEREF _Toc10948 \h </w:instrText>
          </w:r>
          <w:r>
            <w:fldChar w:fldCharType="separate"/>
          </w:r>
          <w:r>
            <w:t>103</w:t>
          </w:r>
          <w:r>
            <w:fldChar w:fldCharType="end"/>
          </w:r>
          <w:r>
            <w:rPr>
              <w:rFonts w:hint="eastAsia" w:ascii="Times New Roman" w:hAnsi="Times New Roman" w:eastAsia="宋体" w:cs="Times New Roman"/>
              <w:color w:val="auto"/>
              <w:szCs w:val="24"/>
              <w:lang w:val="en-US" w:eastAsia="zh-CN" w:bidi="ar-SA"/>
            </w:rPr>
            <w:fldChar w:fldCharType="end"/>
          </w:r>
        </w:p>
        <w:p w14:paraId="25E8363A">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_Toc3717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仿宋_GB2312"/>
              <w:kern w:val="2"/>
              <w:szCs w:val="36"/>
              <w:lang w:val="en-US" w:eastAsia="zh-CN" w:bidi="ar-SA"/>
            </w:rPr>
            <w:t>附件十三：授权委托书</w:t>
          </w:r>
          <w:r>
            <w:tab/>
          </w:r>
          <w:r>
            <w:fldChar w:fldCharType="begin"/>
          </w:r>
          <w:r>
            <w:instrText xml:space="preserve"> PAGEREF _Toc3717 \h </w:instrText>
          </w:r>
          <w:r>
            <w:fldChar w:fldCharType="separate"/>
          </w:r>
          <w:r>
            <w:t>104</w:t>
          </w:r>
          <w:r>
            <w:fldChar w:fldCharType="end"/>
          </w:r>
          <w:r>
            <w:rPr>
              <w:rFonts w:hint="eastAsia" w:ascii="Times New Roman" w:hAnsi="Times New Roman" w:eastAsia="宋体" w:cs="Times New Roman"/>
              <w:color w:val="auto"/>
              <w:szCs w:val="24"/>
              <w:lang w:val="en-US" w:eastAsia="zh-CN" w:bidi="ar-SA"/>
            </w:rPr>
            <w:fldChar w:fldCharType="end"/>
          </w:r>
        </w:p>
        <w:p w14:paraId="07DAC177">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_Toc22438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仿宋_GB2312"/>
              <w:kern w:val="2"/>
              <w:szCs w:val="36"/>
              <w:lang w:val="en-US" w:eastAsia="zh-CN" w:bidi="ar-SA"/>
            </w:rPr>
            <w:t>附件十</w:t>
          </w:r>
          <w:r>
            <w:rPr>
              <w:rFonts w:hint="eastAsia" w:ascii="Times New Roman" w:hAnsi="Times New Roman" w:cs="仿宋_GB2312"/>
              <w:kern w:val="2"/>
              <w:szCs w:val="36"/>
              <w:lang w:val="en-US" w:eastAsia="zh-CN" w:bidi="ar-SA"/>
            </w:rPr>
            <w:t>四</w:t>
          </w:r>
          <w:r>
            <w:rPr>
              <w:rFonts w:hint="eastAsia" w:ascii="Times New Roman" w:hAnsi="Times New Roman" w:eastAsia="宋体" w:cs="仿宋_GB2312"/>
              <w:kern w:val="2"/>
              <w:szCs w:val="36"/>
              <w:lang w:val="en-US" w:eastAsia="zh-CN" w:bidi="ar-SA"/>
            </w:rPr>
            <w:t>：福建省生态环境分区管控综合查询报告</w:t>
          </w:r>
          <w:r>
            <w:tab/>
          </w:r>
          <w:r>
            <w:fldChar w:fldCharType="begin"/>
          </w:r>
          <w:r>
            <w:instrText xml:space="preserve"> PAGEREF _Toc22438 \h </w:instrText>
          </w:r>
          <w:r>
            <w:fldChar w:fldCharType="separate"/>
          </w:r>
          <w:r>
            <w:t>105</w:t>
          </w:r>
          <w:r>
            <w:fldChar w:fldCharType="end"/>
          </w:r>
          <w:r>
            <w:rPr>
              <w:rFonts w:hint="eastAsia" w:ascii="Times New Roman" w:hAnsi="Times New Roman" w:eastAsia="宋体" w:cs="Times New Roman"/>
              <w:color w:val="auto"/>
              <w:szCs w:val="24"/>
              <w:lang w:val="en-US" w:eastAsia="zh-CN" w:bidi="ar-SA"/>
            </w:rPr>
            <w:fldChar w:fldCharType="end"/>
          </w:r>
        </w:p>
        <w:p w14:paraId="5468BB95">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_Toc25322 </w:instrText>
          </w:r>
          <w:r>
            <w:rPr>
              <w:rFonts w:hint="eastAsia" w:ascii="Times New Roman" w:hAnsi="Times New Roman" w:eastAsia="宋体" w:cs="Times New Roman"/>
              <w:szCs w:val="24"/>
              <w:lang w:val="en-US" w:eastAsia="zh-CN" w:bidi="ar-SA"/>
            </w:rPr>
            <w:fldChar w:fldCharType="separate"/>
          </w:r>
          <w:r>
            <w:rPr>
              <w:rFonts w:hint="eastAsia" w:ascii="Times New Roman" w:hAnsi="Times New Roman" w:eastAsia="宋体" w:cs="仿宋_GB2312"/>
              <w:kern w:val="2"/>
              <w:szCs w:val="36"/>
              <w:lang w:val="en-US" w:eastAsia="zh-CN" w:bidi="ar-SA"/>
            </w:rPr>
            <w:t>附件十五：</w:t>
          </w:r>
          <w:r>
            <w:rPr>
              <w:rFonts w:hint="eastAsia" w:cs="仿宋_GB2312"/>
              <w:kern w:val="2"/>
              <w:szCs w:val="36"/>
              <w:lang w:val="en-US" w:eastAsia="zh-CN" w:bidi="ar-SA"/>
            </w:rPr>
            <w:t>抛光</w:t>
          </w:r>
          <w:r>
            <w:rPr>
              <w:rFonts w:hint="eastAsia" w:ascii="Times New Roman" w:hAnsi="Times New Roman" w:eastAsia="宋体" w:cs="仿宋_GB2312"/>
              <w:kern w:val="2"/>
              <w:szCs w:val="36"/>
              <w:lang w:val="en-US" w:eastAsia="zh-CN" w:bidi="ar-SA"/>
            </w:rPr>
            <w:t>胶</w:t>
          </w:r>
          <w:r>
            <w:rPr>
              <w:rFonts w:hint="eastAsia" w:cs="仿宋_GB2312"/>
              <w:kern w:val="2"/>
              <w:szCs w:val="36"/>
              <w:lang w:val="en-US" w:eastAsia="zh-CN" w:bidi="ar-SA"/>
            </w:rPr>
            <w:t>检测</w:t>
          </w:r>
          <w:r>
            <w:rPr>
              <w:rFonts w:hint="eastAsia" w:ascii="Times New Roman" w:hAnsi="Times New Roman" w:eastAsia="宋体" w:cs="仿宋_GB2312"/>
              <w:kern w:val="2"/>
              <w:szCs w:val="36"/>
              <w:lang w:val="en-US" w:eastAsia="zh-CN" w:bidi="ar-SA"/>
            </w:rPr>
            <w:t>报告</w:t>
          </w:r>
          <w:r>
            <w:tab/>
          </w:r>
          <w:r>
            <w:fldChar w:fldCharType="begin"/>
          </w:r>
          <w:r>
            <w:instrText xml:space="preserve"> PAGEREF _Toc25322 \h </w:instrText>
          </w:r>
          <w:r>
            <w:fldChar w:fldCharType="separate"/>
          </w:r>
          <w:r>
            <w:t>111</w:t>
          </w:r>
          <w:r>
            <w:fldChar w:fldCharType="end"/>
          </w:r>
          <w:r>
            <w:rPr>
              <w:rFonts w:hint="eastAsia" w:ascii="Times New Roman" w:hAnsi="Times New Roman" w:eastAsia="宋体" w:cs="Times New Roman"/>
              <w:color w:val="auto"/>
              <w:szCs w:val="24"/>
              <w:lang w:val="en-US" w:eastAsia="zh-CN" w:bidi="ar-SA"/>
            </w:rPr>
            <w:fldChar w:fldCharType="end"/>
          </w:r>
        </w:p>
        <w:p w14:paraId="072FD981">
          <w:pPr>
            <w:pStyle w:val="27"/>
            <w:tabs>
              <w:tab w:val="right" w:leader="dot" w:pos="8844"/>
            </w:tabs>
          </w:pPr>
          <w:r>
            <w:rPr>
              <w:rFonts w:hint="eastAsia" w:ascii="Times New Roman" w:hAnsi="Times New Roman" w:eastAsia="宋体" w:cs="Times New Roman"/>
              <w:color w:val="auto"/>
              <w:szCs w:val="24"/>
              <w:lang w:val="en-US" w:eastAsia="zh-CN" w:bidi="ar-SA"/>
            </w:rPr>
            <w:fldChar w:fldCharType="begin"/>
          </w:r>
          <w:r>
            <w:rPr>
              <w:rFonts w:hint="eastAsia" w:ascii="Times New Roman" w:hAnsi="Times New Roman" w:eastAsia="宋体" w:cs="Times New Roman"/>
              <w:szCs w:val="24"/>
              <w:lang w:val="en-US" w:eastAsia="zh-CN" w:bidi="ar-SA"/>
            </w:rPr>
            <w:instrText xml:space="preserve"> HYPERLINK \l _Toc14135 </w:instrText>
          </w:r>
          <w:r>
            <w:rPr>
              <w:rFonts w:hint="eastAsia" w:ascii="Times New Roman" w:hAnsi="Times New Roman" w:eastAsia="宋体" w:cs="Times New Roman"/>
              <w:szCs w:val="24"/>
              <w:lang w:val="en-US" w:eastAsia="zh-CN" w:bidi="ar-SA"/>
            </w:rPr>
            <w:fldChar w:fldCharType="separate"/>
          </w:r>
          <w:r>
            <w:rPr>
              <w:rFonts w:hint="eastAsia" w:cs="仿宋_GB2312"/>
              <w:kern w:val="2"/>
              <w:szCs w:val="36"/>
              <w:lang w:val="en-US" w:eastAsia="zh-CN" w:bidi="ar-SA"/>
            </w:rPr>
            <w:t>附件十六：评审意见</w:t>
          </w:r>
          <w:r>
            <w:tab/>
          </w:r>
          <w:r>
            <w:fldChar w:fldCharType="begin"/>
          </w:r>
          <w:r>
            <w:instrText xml:space="preserve"> PAGEREF _Toc14135 \h </w:instrText>
          </w:r>
          <w:r>
            <w:fldChar w:fldCharType="separate"/>
          </w:r>
          <w:r>
            <w:t>119</w:t>
          </w:r>
          <w:r>
            <w:fldChar w:fldCharType="end"/>
          </w:r>
          <w:r>
            <w:rPr>
              <w:rFonts w:hint="eastAsia" w:ascii="Times New Roman" w:hAnsi="Times New Roman" w:eastAsia="宋体" w:cs="Times New Roman"/>
              <w:color w:val="auto"/>
              <w:szCs w:val="24"/>
              <w:lang w:val="en-US" w:eastAsia="zh-CN" w:bidi="ar-SA"/>
            </w:rPr>
            <w:fldChar w:fldCharType="end"/>
          </w:r>
        </w:p>
        <w:p w14:paraId="2F0C6A64">
          <w:pPr>
            <w:spacing w:line="288" w:lineRule="auto"/>
            <w:rPr>
              <w:rFonts w:hint="eastAsia" w:ascii="Times New Roman" w:hAnsi="Times New Roman" w:eastAsia="宋体" w:cs="Times New Roman"/>
              <w:color w:val="auto"/>
              <w:sz w:val="21"/>
              <w:szCs w:val="24"/>
              <w:lang w:val="en-US" w:eastAsia="zh-CN" w:bidi="ar-SA"/>
            </w:rPr>
          </w:pPr>
          <w:r>
            <w:rPr>
              <w:rFonts w:hint="eastAsia" w:ascii="Times New Roman" w:hAnsi="Times New Roman" w:eastAsia="宋体" w:cs="Times New Roman"/>
              <w:color w:val="auto"/>
              <w:szCs w:val="24"/>
              <w:lang w:val="en-US" w:eastAsia="zh-CN" w:bidi="ar-SA"/>
            </w:rPr>
            <w:fldChar w:fldCharType="end"/>
          </w:r>
        </w:p>
      </w:sdtContent>
    </w:sdt>
    <w:p w14:paraId="25D62429">
      <w:pPr>
        <w:spacing w:line="288" w:lineRule="auto"/>
        <w:rPr>
          <w:rFonts w:hint="eastAsia" w:ascii="Times New Roman" w:hAnsi="Times New Roman" w:eastAsia="宋体" w:cs="Times New Roman"/>
          <w:color w:val="auto"/>
          <w:sz w:val="21"/>
          <w:szCs w:val="24"/>
          <w:lang w:val="en-US" w:eastAsia="zh-CN" w:bidi="ar-SA"/>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sectPr>
      </w:pPr>
    </w:p>
    <w:p w14:paraId="4583BD24">
      <w:pPr>
        <w:pStyle w:val="204"/>
        <w:jc w:val="center"/>
        <w:outlineLvl w:val="0"/>
        <w:rPr>
          <w:rFonts w:hint="eastAsia" w:ascii="黑体" w:hAnsi="黑体" w:eastAsia="黑体"/>
          <w:color w:val="auto"/>
          <w:sz w:val="30"/>
          <w:szCs w:val="30"/>
        </w:rPr>
      </w:pPr>
      <w:r>
        <w:rPr>
          <w:rFonts w:hint="eastAsia" w:ascii="黑体" w:hAnsi="黑体" w:eastAsia="黑体"/>
          <w:color w:val="auto"/>
          <w:sz w:val="30"/>
          <w:szCs w:val="30"/>
        </w:rPr>
        <w:t>一、建设项目基本情况</w:t>
      </w:r>
    </w:p>
    <w:tbl>
      <w:tblPr>
        <w:tblStyle w:val="38"/>
        <w:tblW w:w="0" w:type="auto"/>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
      <w:tblGrid>
        <w:gridCol w:w="2382"/>
        <w:gridCol w:w="1637"/>
        <w:gridCol w:w="2212"/>
        <w:gridCol w:w="2639"/>
      </w:tblGrid>
      <w:tr w14:paraId="5ACF42A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14:paraId="453463CB">
            <w:pPr>
              <w:jc w:val="center"/>
              <w:rPr>
                <w:rFonts w:ascii="宋体" w:hAnsi="宋体" w:cs="宋体"/>
                <w:color w:val="auto"/>
                <w:sz w:val="21"/>
                <w:szCs w:val="21"/>
              </w:rPr>
            </w:pPr>
            <w:r>
              <w:rPr>
                <w:rFonts w:hint="eastAsia" w:ascii="宋体" w:hAnsi="宋体" w:cs="宋体"/>
                <w:color w:val="auto"/>
                <w:sz w:val="21"/>
                <w:szCs w:val="21"/>
              </w:rPr>
              <w:t>建设项目名称</w:t>
            </w:r>
          </w:p>
        </w:tc>
        <w:tc>
          <w:tcPr>
            <w:tcW w:w="6488" w:type="dxa"/>
            <w:gridSpan w:val="3"/>
            <w:noWrap w:val="0"/>
            <w:vAlign w:val="center"/>
          </w:tcPr>
          <w:p w14:paraId="713703C4">
            <w:pPr>
              <w:jc w:val="center"/>
              <w:rPr>
                <w:rFonts w:ascii="宋体" w:hAnsi="宋体" w:cs="宋体"/>
                <w:color w:val="auto"/>
                <w:sz w:val="21"/>
                <w:szCs w:val="21"/>
              </w:rPr>
            </w:pPr>
            <w:r>
              <w:rPr>
                <w:rFonts w:hint="eastAsia" w:eastAsia="宋体" w:cs="Times New Roman"/>
                <w:color w:val="auto"/>
                <w:sz w:val="21"/>
                <w:szCs w:val="21"/>
                <w:u w:val="none"/>
                <w:lang w:val="en-US" w:eastAsia="zh-CN" w:bidi="ar-SA"/>
              </w:rPr>
              <w:t>福州铭辰光电有限公司年产20万片光学镜片、10万个光学镜头项目</w:t>
            </w:r>
          </w:p>
        </w:tc>
      </w:tr>
      <w:tr w14:paraId="12E5F2B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14:paraId="22897DF8">
            <w:pPr>
              <w:jc w:val="center"/>
              <w:rPr>
                <w:rFonts w:ascii="宋体" w:hAnsi="宋体" w:cs="宋体"/>
                <w:color w:val="auto"/>
                <w:sz w:val="21"/>
                <w:szCs w:val="21"/>
              </w:rPr>
            </w:pPr>
            <w:r>
              <w:rPr>
                <w:rFonts w:hint="eastAsia" w:ascii="宋体" w:hAnsi="宋体" w:cs="宋体"/>
                <w:color w:val="auto"/>
                <w:sz w:val="21"/>
                <w:szCs w:val="21"/>
              </w:rPr>
              <w:t>项目代码</w:t>
            </w:r>
          </w:p>
        </w:tc>
        <w:tc>
          <w:tcPr>
            <w:tcW w:w="6488" w:type="dxa"/>
            <w:gridSpan w:val="3"/>
            <w:noWrap w:val="0"/>
            <w:vAlign w:val="center"/>
          </w:tcPr>
          <w:p w14:paraId="171954E8">
            <w:pPr>
              <w:jc w:val="center"/>
              <w:rPr>
                <w:rFonts w:ascii="宋体" w:hAnsi="宋体" w:cs="宋体"/>
                <w:color w:val="auto"/>
                <w:sz w:val="21"/>
                <w:szCs w:val="21"/>
              </w:rPr>
            </w:pPr>
            <w:r>
              <w:rPr>
                <w:rFonts w:hint="default" w:ascii="Times New Roman" w:hAnsi="Times New Roman" w:cs="Times New Roman"/>
                <w:color w:val="auto"/>
                <w:sz w:val="21"/>
                <w:szCs w:val="21"/>
              </w:rPr>
              <w:t>2507-350121-04-01-870702</w:t>
            </w:r>
          </w:p>
        </w:tc>
      </w:tr>
      <w:tr w14:paraId="7731061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14:paraId="03659C2B">
            <w:pPr>
              <w:jc w:val="center"/>
              <w:rPr>
                <w:rFonts w:hint="eastAsia" w:ascii="宋体" w:hAnsi="宋体" w:cs="宋体"/>
                <w:color w:val="auto"/>
                <w:sz w:val="21"/>
                <w:szCs w:val="21"/>
              </w:rPr>
            </w:pPr>
            <w:r>
              <w:rPr>
                <w:rFonts w:hint="eastAsia" w:ascii="宋体" w:hAnsi="宋体" w:cs="宋体"/>
                <w:color w:val="auto"/>
                <w:sz w:val="21"/>
                <w:szCs w:val="21"/>
              </w:rPr>
              <w:t>建设单位联系人</w:t>
            </w:r>
          </w:p>
        </w:tc>
        <w:tc>
          <w:tcPr>
            <w:tcW w:w="1637" w:type="dxa"/>
            <w:noWrap w:val="0"/>
            <w:vAlign w:val="center"/>
          </w:tcPr>
          <w:p w14:paraId="12AB7B9C">
            <w:pPr>
              <w:jc w:val="center"/>
              <w:rPr>
                <w:rFonts w:hint="eastAsia" w:ascii="宋体" w:hAnsi="宋体" w:eastAsia="宋体" w:cs="宋体"/>
                <w:color w:val="auto"/>
                <w:sz w:val="21"/>
                <w:szCs w:val="21"/>
                <w:lang w:eastAsia="zh-CN"/>
              </w:rPr>
            </w:pPr>
            <w:r>
              <w:rPr>
                <w:rFonts w:hint="eastAsia" w:cs="Times New Roman"/>
                <w:color w:val="auto"/>
                <w:sz w:val="21"/>
                <w:szCs w:val="21"/>
                <w:lang w:val="en-US" w:eastAsia="zh-CN"/>
              </w:rPr>
              <w:t>*</w:t>
            </w:r>
          </w:p>
        </w:tc>
        <w:tc>
          <w:tcPr>
            <w:tcW w:w="2212" w:type="dxa"/>
            <w:noWrap w:val="0"/>
            <w:vAlign w:val="center"/>
          </w:tcPr>
          <w:p w14:paraId="4C958DC6">
            <w:pPr>
              <w:jc w:val="center"/>
              <w:rPr>
                <w:rFonts w:ascii="宋体" w:hAnsi="宋体" w:cs="宋体"/>
                <w:color w:val="auto"/>
                <w:sz w:val="21"/>
                <w:szCs w:val="21"/>
              </w:rPr>
            </w:pPr>
            <w:r>
              <w:rPr>
                <w:rFonts w:hint="eastAsia" w:ascii="宋体" w:hAnsi="宋体" w:cs="宋体"/>
                <w:color w:val="auto"/>
                <w:sz w:val="21"/>
                <w:szCs w:val="21"/>
              </w:rPr>
              <w:t>联系方式</w:t>
            </w:r>
          </w:p>
        </w:tc>
        <w:tc>
          <w:tcPr>
            <w:tcW w:w="2639" w:type="dxa"/>
            <w:noWrap w:val="0"/>
            <w:vAlign w:val="center"/>
          </w:tcPr>
          <w:p w14:paraId="05051E92">
            <w:pPr>
              <w:jc w:val="center"/>
              <w:rPr>
                <w:rFonts w:ascii="宋体" w:hAnsi="宋体" w:cs="宋体"/>
                <w:color w:val="auto"/>
                <w:sz w:val="21"/>
                <w:szCs w:val="21"/>
              </w:rPr>
            </w:pPr>
            <w:r>
              <w:rPr>
                <w:rFonts w:hint="eastAsia" w:cs="Times New Roman"/>
                <w:color w:val="auto"/>
                <w:sz w:val="21"/>
                <w:szCs w:val="21"/>
                <w:lang w:val="en-US" w:eastAsia="zh-CN"/>
              </w:rPr>
              <w:t>*</w:t>
            </w:r>
          </w:p>
        </w:tc>
      </w:tr>
      <w:tr w14:paraId="7B8375E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14:paraId="4110EA5E">
            <w:pPr>
              <w:jc w:val="center"/>
              <w:rPr>
                <w:rFonts w:ascii="宋体" w:hAnsi="宋体" w:cs="宋体"/>
                <w:color w:val="auto"/>
                <w:sz w:val="21"/>
                <w:szCs w:val="21"/>
              </w:rPr>
            </w:pPr>
            <w:r>
              <w:rPr>
                <w:rFonts w:hint="eastAsia" w:ascii="宋体" w:hAnsi="宋体" w:cs="宋体"/>
                <w:color w:val="auto"/>
                <w:sz w:val="21"/>
                <w:szCs w:val="21"/>
              </w:rPr>
              <w:t>建设地点</w:t>
            </w:r>
          </w:p>
        </w:tc>
        <w:tc>
          <w:tcPr>
            <w:tcW w:w="6488" w:type="dxa"/>
            <w:gridSpan w:val="3"/>
            <w:noWrap w:val="0"/>
            <w:vAlign w:val="center"/>
          </w:tcPr>
          <w:p w14:paraId="7515DE0A">
            <w:pPr>
              <w:jc w:val="center"/>
              <w:rPr>
                <w:rFonts w:ascii="宋体" w:hAnsi="宋体" w:cs="宋体"/>
                <w:color w:val="auto"/>
                <w:sz w:val="21"/>
                <w:szCs w:val="21"/>
              </w:rPr>
            </w:pPr>
            <w:r>
              <w:rPr>
                <w:rFonts w:hint="default" w:cs="Times New Roman"/>
                <w:color w:val="auto"/>
                <w:sz w:val="21"/>
                <w:szCs w:val="21"/>
                <w:u w:val="none"/>
                <w:lang w:val="en-US" w:eastAsia="zh-CN" w:bidi="ar-SA"/>
              </w:rPr>
              <w:t>福建省福州市闽侯县经济技术开发区一期延伸区甘蔗街道长龙中路8号综合大楼第五层（租赁闽侯县丹祥户外用品有限责任公司厂房）</w:t>
            </w:r>
          </w:p>
        </w:tc>
      </w:tr>
      <w:tr w14:paraId="701F337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14:paraId="21234E99">
            <w:pPr>
              <w:jc w:val="center"/>
              <w:rPr>
                <w:rFonts w:ascii="宋体" w:hAnsi="宋体" w:cs="宋体"/>
                <w:color w:val="auto"/>
                <w:sz w:val="21"/>
                <w:szCs w:val="21"/>
              </w:rPr>
            </w:pPr>
            <w:r>
              <w:rPr>
                <w:rFonts w:hint="eastAsia" w:ascii="宋体" w:hAnsi="宋体" w:cs="宋体"/>
                <w:color w:val="auto"/>
                <w:sz w:val="21"/>
                <w:szCs w:val="21"/>
              </w:rPr>
              <w:t>地理坐标</w:t>
            </w:r>
          </w:p>
        </w:tc>
        <w:tc>
          <w:tcPr>
            <w:tcW w:w="6488" w:type="dxa"/>
            <w:gridSpan w:val="3"/>
            <w:noWrap w:val="0"/>
            <w:vAlign w:val="center"/>
          </w:tcPr>
          <w:p w14:paraId="2F47ED0E">
            <w:pPr>
              <w:jc w:val="center"/>
              <w:rPr>
                <w:rFonts w:hint="eastAsia" w:ascii="宋体" w:hAnsi="宋体" w:cs="宋体"/>
                <w:color w:val="auto"/>
                <w:sz w:val="21"/>
                <w:szCs w:val="21"/>
              </w:rPr>
            </w:pPr>
            <w:r>
              <w:rPr>
                <w:rFonts w:hint="eastAsia" w:ascii="Times New Roman" w:hAnsi="Times New Roman" w:cs="宋体"/>
                <w:color w:val="auto"/>
                <w:sz w:val="21"/>
                <w:szCs w:val="21"/>
              </w:rPr>
              <w:t>（</w:t>
            </w:r>
            <w:r>
              <w:rPr>
                <w:rFonts w:hint="eastAsia" w:ascii="Times New Roman" w:hAnsi="Times New Roman" w:cs="宋体"/>
                <w:color w:val="auto"/>
                <w:sz w:val="21"/>
                <w:szCs w:val="21"/>
                <w:u w:val="single"/>
                <w:lang w:val="en-US" w:eastAsia="zh-CN"/>
              </w:rPr>
              <w:t>119</w:t>
            </w:r>
            <w:r>
              <w:rPr>
                <w:rFonts w:hint="eastAsia" w:ascii="Times New Roman" w:hAnsi="Times New Roman" w:cs="宋体"/>
                <w:color w:val="auto"/>
                <w:sz w:val="21"/>
                <w:szCs w:val="21"/>
              </w:rPr>
              <w:t>度</w:t>
            </w:r>
            <w:r>
              <w:rPr>
                <w:rFonts w:hint="eastAsia" w:ascii="Times New Roman" w:hAnsi="Times New Roman" w:cs="宋体"/>
                <w:color w:val="auto"/>
                <w:sz w:val="21"/>
                <w:szCs w:val="21"/>
                <w:u w:val="single"/>
                <w:lang w:val="en-US" w:eastAsia="zh-CN"/>
              </w:rPr>
              <w:t>10</w:t>
            </w:r>
            <w:r>
              <w:rPr>
                <w:rFonts w:hint="eastAsia" w:ascii="Times New Roman" w:hAnsi="Times New Roman" w:cs="宋体"/>
                <w:color w:val="auto"/>
                <w:sz w:val="21"/>
                <w:szCs w:val="21"/>
              </w:rPr>
              <w:t>分</w:t>
            </w:r>
            <w:r>
              <w:rPr>
                <w:rFonts w:hint="eastAsia" w:ascii="Times New Roman" w:hAnsi="Times New Roman" w:cs="宋体"/>
                <w:color w:val="auto"/>
                <w:sz w:val="21"/>
                <w:szCs w:val="21"/>
                <w:u w:val="single"/>
                <w:lang w:val="en-US" w:eastAsia="zh-CN"/>
              </w:rPr>
              <w:t>41.2023</w:t>
            </w:r>
            <w:r>
              <w:rPr>
                <w:rFonts w:hint="eastAsia" w:ascii="Times New Roman" w:hAnsi="Times New Roman" w:cs="宋体"/>
                <w:color w:val="auto"/>
                <w:sz w:val="21"/>
                <w:szCs w:val="21"/>
              </w:rPr>
              <w:t>秒，</w:t>
            </w:r>
            <w:r>
              <w:rPr>
                <w:rFonts w:hint="eastAsia" w:ascii="Times New Roman" w:hAnsi="Times New Roman" w:cs="宋体"/>
                <w:color w:val="auto"/>
                <w:sz w:val="21"/>
                <w:szCs w:val="21"/>
                <w:u w:val="single"/>
                <w:lang w:val="en-US" w:eastAsia="zh-CN"/>
              </w:rPr>
              <w:t>26</w:t>
            </w:r>
            <w:r>
              <w:rPr>
                <w:rFonts w:hint="eastAsia" w:ascii="Times New Roman" w:hAnsi="Times New Roman" w:cs="宋体"/>
                <w:color w:val="auto"/>
                <w:sz w:val="21"/>
                <w:szCs w:val="21"/>
              </w:rPr>
              <w:t>度</w:t>
            </w:r>
            <w:r>
              <w:rPr>
                <w:rFonts w:hint="eastAsia" w:ascii="Times New Roman" w:hAnsi="Times New Roman" w:cs="宋体"/>
                <w:color w:val="auto"/>
                <w:sz w:val="21"/>
                <w:szCs w:val="21"/>
                <w:u w:val="single"/>
                <w:lang w:val="en-US" w:eastAsia="zh-CN"/>
              </w:rPr>
              <w:t>09</w:t>
            </w:r>
            <w:r>
              <w:rPr>
                <w:rFonts w:hint="eastAsia" w:ascii="Times New Roman" w:hAnsi="Times New Roman" w:cs="宋体"/>
                <w:color w:val="auto"/>
                <w:sz w:val="21"/>
                <w:szCs w:val="21"/>
              </w:rPr>
              <w:t>分</w:t>
            </w:r>
            <w:r>
              <w:rPr>
                <w:rFonts w:hint="eastAsia" w:ascii="Times New Roman" w:hAnsi="Times New Roman" w:cs="宋体"/>
                <w:color w:val="auto"/>
                <w:sz w:val="21"/>
                <w:szCs w:val="21"/>
                <w:u w:val="single"/>
                <w:lang w:val="en-US" w:eastAsia="zh-CN"/>
              </w:rPr>
              <w:t>08.2357</w:t>
            </w:r>
            <w:r>
              <w:rPr>
                <w:rFonts w:hint="eastAsia" w:ascii="Times New Roman" w:hAnsi="Times New Roman" w:cs="宋体"/>
                <w:color w:val="auto"/>
                <w:sz w:val="21"/>
                <w:szCs w:val="21"/>
              </w:rPr>
              <w:t>秒）</w:t>
            </w:r>
          </w:p>
        </w:tc>
      </w:tr>
      <w:tr w14:paraId="7449A3E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561" w:hRule="atLeast"/>
          <w:jc w:val="center"/>
        </w:trPr>
        <w:tc>
          <w:tcPr>
            <w:tcW w:w="2382" w:type="dxa"/>
            <w:noWrap w:val="0"/>
            <w:tcMar>
              <w:top w:w="16" w:type="dxa"/>
              <w:left w:w="16" w:type="dxa"/>
              <w:right w:w="16" w:type="dxa"/>
            </w:tcMar>
            <w:vAlign w:val="center"/>
          </w:tcPr>
          <w:p w14:paraId="0C54A93C">
            <w:pPr>
              <w:jc w:val="center"/>
              <w:rPr>
                <w:rFonts w:hint="eastAsia" w:ascii="宋体" w:hAnsi="宋体" w:cs="宋体"/>
                <w:color w:val="auto"/>
                <w:sz w:val="21"/>
                <w:szCs w:val="21"/>
              </w:rPr>
            </w:pPr>
            <w:r>
              <w:rPr>
                <w:rFonts w:hint="eastAsia" w:ascii="宋体" w:hAnsi="宋体" w:cs="宋体"/>
                <w:color w:val="auto"/>
                <w:sz w:val="21"/>
                <w:szCs w:val="21"/>
              </w:rPr>
              <w:t>国民经济</w:t>
            </w:r>
          </w:p>
          <w:p w14:paraId="47266693">
            <w:pPr>
              <w:jc w:val="center"/>
              <w:rPr>
                <w:rFonts w:ascii="宋体" w:hAnsi="宋体" w:cs="宋体"/>
                <w:color w:val="auto"/>
                <w:sz w:val="21"/>
                <w:szCs w:val="21"/>
              </w:rPr>
            </w:pPr>
            <w:r>
              <w:rPr>
                <w:rFonts w:hint="eastAsia" w:ascii="宋体" w:hAnsi="宋体" w:cs="宋体"/>
                <w:color w:val="auto"/>
                <w:sz w:val="21"/>
                <w:szCs w:val="21"/>
              </w:rPr>
              <w:t>行业类别</w:t>
            </w:r>
          </w:p>
        </w:tc>
        <w:tc>
          <w:tcPr>
            <w:tcW w:w="1637" w:type="dxa"/>
            <w:noWrap w:val="0"/>
            <w:vAlign w:val="center"/>
          </w:tcPr>
          <w:p w14:paraId="00D448CB">
            <w:pPr>
              <w:jc w:val="center"/>
              <w:rPr>
                <w:rFonts w:ascii="宋体" w:hAnsi="宋体" w:cs="宋体"/>
                <w:color w:val="auto"/>
                <w:sz w:val="21"/>
                <w:szCs w:val="21"/>
              </w:rPr>
            </w:pPr>
            <w:r>
              <w:rPr>
                <w:rFonts w:hint="default" w:ascii="Times New Roman" w:hAnsi="Times New Roman" w:eastAsia="宋体" w:cs="Times New Roman"/>
                <w:color w:val="auto"/>
                <w:kern w:val="0"/>
                <w:sz w:val="21"/>
                <w:szCs w:val="21"/>
                <w:lang w:val="en-US" w:eastAsia="zh-CN" w:bidi="ar"/>
              </w:rPr>
              <w:t>C4040</w:t>
            </w:r>
            <w:r>
              <w:rPr>
                <w:rFonts w:hint="eastAsia" w:ascii="Times New Roman" w:hAnsi="Times New Roman" w:eastAsia="宋体" w:cs="宋体"/>
                <w:color w:val="auto"/>
                <w:kern w:val="0"/>
                <w:sz w:val="21"/>
                <w:szCs w:val="21"/>
                <w:lang w:val="en-US" w:eastAsia="zh-CN" w:bidi="ar"/>
              </w:rPr>
              <w:t>光学仪器制造</w:t>
            </w:r>
          </w:p>
        </w:tc>
        <w:tc>
          <w:tcPr>
            <w:tcW w:w="2212" w:type="dxa"/>
            <w:noWrap w:val="0"/>
            <w:vAlign w:val="center"/>
          </w:tcPr>
          <w:p w14:paraId="15C1AA75">
            <w:pPr>
              <w:jc w:val="center"/>
              <w:rPr>
                <w:rFonts w:ascii="宋体" w:hAnsi="宋体" w:cs="宋体"/>
                <w:color w:val="auto"/>
                <w:sz w:val="21"/>
                <w:szCs w:val="21"/>
              </w:rPr>
            </w:pPr>
            <w:bookmarkStart w:id="1" w:name="_Hlk49843745"/>
            <w:r>
              <w:rPr>
                <w:rFonts w:hint="eastAsia" w:ascii="宋体" w:hAnsi="宋体" w:cs="宋体"/>
                <w:color w:val="auto"/>
                <w:sz w:val="21"/>
                <w:szCs w:val="21"/>
              </w:rPr>
              <w:t>建设项目</w:t>
            </w:r>
          </w:p>
          <w:p w14:paraId="37952BCB">
            <w:pPr>
              <w:jc w:val="center"/>
              <w:rPr>
                <w:rFonts w:ascii="宋体" w:hAnsi="宋体" w:cs="宋体"/>
                <w:color w:val="auto"/>
                <w:sz w:val="21"/>
                <w:szCs w:val="21"/>
              </w:rPr>
            </w:pPr>
            <w:r>
              <w:rPr>
                <w:rFonts w:hint="eastAsia" w:ascii="宋体" w:hAnsi="宋体" w:cs="宋体"/>
                <w:color w:val="auto"/>
                <w:sz w:val="21"/>
                <w:szCs w:val="21"/>
              </w:rPr>
              <w:t>行业类别</w:t>
            </w:r>
            <w:bookmarkEnd w:id="1"/>
          </w:p>
        </w:tc>
        <w:tc>
          <w:tcPr>
            <w:tcW w:w="2639" w:type="dxa"/>
            <w:noWrap w:val="0"/>
            <w:vAlign w:val="center"/>
          </w:tcPr>
          <w:p w14:paraId="6C0DACEE">
            <w:pPr>
              <w:jc w:val="center"/>
              <w:rPr>
                <w:rFonts w:ascii="宋体" w:hAnsi="宋体" w:cs="宋体"/>
                <w:color w:val="auto"/>
                <w:sz w:val="21"/>
                <w:szCs w:val="21"/>
              </w:rPr>
            </w:pPr>
            <w:r>
              <w:rPr>
                <w:rFonts w:hint="eastAsia" w:ascii="Times New Roman" w:hAnsi="Times New Roman" w:eastAsia="宋体" w:cs="宋体"/>
                <w:color w:val="auto"/>
                <w:kern w:val="0"/>
                <w:sz w:val="21"/>
                <w:szCs w:val="21"/>
                <w:lang w:val="en-US" w:eastAsia="zh-CN" w:bidi="ar"/>
              </w:rPr>
              <w:t>三十七、仪器仪表制造业</w:t>
            </w:r>
            <w:r>
              <w:rPr>
                <w:rFonts w:hint="default" w:ascii="Times New Roman" w:hAnsi="Times New Roman" w:eastAsia="宋体" w:cs="Times New Roman"/>
                <w:color w:val="auto"/>
                <w:kern w:val="0"/>
                <w:sz w:val="21"/>
                <w:szCs w:val="21"/>
                <w:lang w:val="en-US" w:eastAsia="zh-CN" w:bidi="ar"/>
              </w:rPr>
              <w:t>40</w:t>
            </w:r>
            <w:r>
              <w:rPr>
                <w:rFonts w:hint="eastAsia" w:ascii="Times New Roman" w:hAnsi="Times New Roman" w:eastAsia="宋体" w:cs="宋体"/>
                <w:color w:val="auto"/>
                <w:kern w:val="0"/>
                <w:sz w:val="21"/>
                <w:szCs w:val="21"/>
                <w:lang w:val="en-US" w:eastAsia="zh-CN" w:bidi="ar"/>
              </w:rPr>
              <w:t>光学仪器制造</w:t>
            </w:r>
            <w:r>
              <w:rPr>
                <w:rFonts w:hint="default" w:ascii="Times New Roman" w:hAnsi="Times New Roman" w:eastAsia="宋体" w:cs="Times New Roman"/>
                <w:color w:val="auto"/>
                <w:kern w:val="0"/>
                <w:sz w:val="21"/>
                <w:szCs w:val="21"/>
                <w:lang w:val="en-US" w:eastAsia="zh-CN" w:bidi="ar"/>
              </w:rPr>
              <w:t>404</w:t>
            </w:r>
          </w:p>
        </w:tc>
      </w:tr>
      <w:tr w14:paraId="588770E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219" w:hRule="atLeast"/>
          <w:jc w:val="center"/>
        </w:trPr>
        <w:tc>
          <w:tcPr>
            <w:tcW w:w="2382" w:type="dxa"/>
            <w:noWrap w:val="0"/>
            <w:tcMar>
              <w:top w:w="16" w:type="dxa"/>
              <w:left w:w="16" w:type="dxa"/>
              <w:right w:w="16" w:type="dxa"/>
            </w:tcMar>
            <w:vAlign w:val="center"/>
          </w:tcPr>
          <w:p w14:paraId="2AF657F8">
            <w:pPr>
              <w:jc w:val="center"/>
              <w:rPr>
                <w:rFonts w:ascii="宋体" w:hAnsi="宋体" w:cs="宋体"/>
                <w:color w:val="auto"/>
                <w:sz w:val="21"/>
                <w:szCs w:val="21"/>
              </w:rPr>
            </w:pPr>
            <w:r>
              <w:rPr>
                <w:rFonts w:hint="eastAsia" w:ascii="宋体" w:hAnsi="宋体" w:cs="宋体"/>
                <w:color w:val="auto"/>
                <w:sz w:val="21"/>
                <w:szCs w:val="21"/>
              </w:rPr>
              <w:t>建设性质</w:t>
            </w:r>
          </w:p>
        </w:tc>
        <w:tc>
          <w:tcPr>
            <w:tcW w:w="1637" w:type="dxa"/>
            <w:noWrap w:val="0"/>
            <w:vAlign w:val="center"/>
          </w:tcPr>
          <w:p w14:paraId="6DA683BB">
            <w:pPr>
              <w:jc w:val="left"/>
              <w:rPr>
                <w:rFonts w:ascii="宋体" w:hAnsi="宋体" w:cs="宋体"/>
                <w:color w:val="auto"/>
                <w:sz w:val="21"/>
                <w:szCs w:val="21"/>
              </w:rPr>
            </w:pPr>
            <w:r>
              <w:rPr>
                <w:rFonts w:hint="eastAsia" w:ascii="宋体" w:hAnsi="宋体" w:cs="宋体"/>
                <w:color w:val="auto"/>
                <w:sz w:val="21"/>
                <w:szCs w:val="21"/>
                <w:lang w:eastAsia="zh-CN"/>
              </w:rPr>
              <w:t>☑</w:t>
            </w:r>
            <w:r>
              <w:rPr>
                <w:rFonts w:hint="eastAsia" w:ascii="宋体" w:hAnsi="宋体" w:cs="宋体"/>
                <w:color w:val="auto"/>
                <w:sz w:val="21"/>
                <w:szCs w:val="21"/>
              </w:rPr>
              <w:t>新建（迁建）</w:t>
            </w:r>
          </w:p>
          <w:p w14:paraId="7F7A445E">
            <w:pPr>
              <w:jc w:val="left"/>
              <w:rPr>
                <w:rFonts w:hint="eastAsia" w:ascii="宋体" w:hAnsi="宋体" w:cs="宋体"/>
                <w:color w:val="auto"/>
                <w:sz w:val="21"/>
                <w:szCs w:val="21"/>
              </w:rPr>
            </w:pPr>
            <w:r>
              <w:rPr>
                <w:rFonts w:hint="eastAsia" w:ascii="宋体" w:hAnsi="宋体" w:cs="宋体"/>
                <w:color w:val="auto"/>
                <w:sz w:val="21"/>
                <w:szCs w:val="21"/>
              </w:rPr>
              <w:t>□改建</w:t>
            </w:r>
          </w:p>
          <w:p w14:paraId="660DB20F">
            <w:pPr>
              <w:jc w:val="left"/>
              <w:rPr>
                <w:rFonts w:hint="eastAsia" w:ascii="宋体" w:hAnsi="宋体" w:cs="宋体"/>
                <w:color w:val="auto"/>
                <w:sz w:val="21"/>
                <w:szCs w:val="21"/>
              </w:rPr>
            </w:pPr>
            <w:r>
              <w:rPr>
                <w:rFonts w:hint="eastAsia" w:ascii="宋体" w:hAnsi="宋体" w:cs="宋体"/>
                <w:color w:val="auto"/>
                <w:sz w:val="21"/>
                <w:szCs w:val="21"/>
              </w:rPr>
              <w:t>□扩建</w:t>
            </w:r>
          </w:p>
          <w:p w14:paraId="6EF53E03">
            <w:pPr>
              <w:jc w:val="left"/>
              <w:rPr>
                <w:rFonts w:ascii="宋体" w:hAnsi="宋体" w:cs="宋体"/>
                <w:color w:val="auto"/>
                <w:sz w:val="21"/>
                <w:szCs w:val="21"/>
              </w:rPr>
            </w:pPr>
            <w:r>
              <w:rPr>
                <w:rFonts w:hint="eastAsia" w:ascii="宋体" w:hAnsi="宋体" w:cs="宋体"/>
                <w:color w:val="auto"/>
                <w:sz w:val="21"/>
                <w:szCs w:val="21"/>
              </w:rPr>
              <w:t>□技术改造</w:t>
            </w:r>
          </w:p>
        </w:tc>
        <w:tc>
          <w:tcPr>
            <w:tcW w:w="2212" w:type="dxa"/>
            <w:noWrap w:val="0"/>
            <w:vAlign w:val="center"/>
          </w:tcPr>
          <w:p w14:paraId="13F6FCD6">
            <w:pPr>
              <w:jc w:val="center"/>
              <w:rPr>
                <w:rFonts w:hint="eastAsia" w:ascii="宋体" w:hAnsi="宋体" w:cs="宋体"/>
                <w:color w:val="auto"/>
                <w:sz w:val="21"/>
                <w:szCs w:val="21"/>
              </w:rPr>
            </w:pPr>
            <w:r>
              <w:rPr>
                <w:rFonts w:hint="eastAsia" w:ascii="宋体" w:hAnsi="宋体" w:cs="宋体"/>
                <w:color w:val="auto"/>
                <w:sz w:val="21"/>
                <w:szCs w:val="21"/>
              </w:rPr>
              <w:t>建设项目</w:t>
            </w:r>
          </w:p>
          <w:p w14:paraId="628567CB">
            <w:pPr>
              <w:jc w:val="center"/>
              <w:rPr>
                <w:rFonts w:ascii="宋体" w:hAnsi="宋体" w:cs="宋体"/>
                <w:color w:val="auto"/>
                <w:sz w:val="21"/>
                <w:szCs w:val="21"/>
              </w:rPr>
            </w:pPr>
            <w:r>
              <w:rPr>
                <w:rFonts w:hint="eastAsia" w:ascii="宋体" w:hAnsi="宋体" w:cs="宋体"/>
                <w:color w:val="auto"/>
                <w:sz w:val="21"/>
                <w:szCs w:val="21"/>
              </w:rPr>
              <w:t>申报情形</w:t>
            </w:r>
          </w:p>
        </w:tc>
        <w:tc>
          <w:tcPr>
            <w:tcW w:w="2639" w:type="dxa"/>
            <w:noWrap w:val="0"/>
            <w:vAlign w:val="center"/>
          </w:tcPr>
          <w:p w14:paraId="5409A7C0">
            <w:pPr>
              <w:jc w:val="left"/>
              <w:rPr>
                <w:rFonts w:ascii="宋体" w:hAnsi="宋体" w:cs="宋体"/>
                <w:color w:val="auto"/>
                <w:sz w:val="21"/>
                <w:szCs w:val="21"/>
              </w:rPr>
            </w:pPr>
            <w:r>
              <w:rPr>
                <w:rFonts w:ascii="Wingdings 2" w:hAnsi="Wingdings 2" w:eastAsia="Wingdings 2" w:cs="Wingdings 2"/>
                <w:color w:val="auto"/>
                <w:sz w:val="21"/>
                <w:szCs w:val="21"/>
              </w:rPr>
              <w:sym w:font="Wingdings 2" w:char="0052"/>
            </w:r>
            <w:r>
              <w:rPr>
                <w:rFonts w:hint="eastAsia" w:ascii="宋体" w:hAnsi="宋体" w:cs="宋体"/>
                <w:color w:val="auto"/>
                <w:sz w:val="21"/>
                <w:szCs w:val="21"/>
              </w:rPr>
              <w:t>首次申报项目</w:t>
            </w:r>
            <w:r>
              <w:rPr>
                <w:rFonts w:ascii="宋体" w:hAnsi="宋体" w:cs="宋体"/>
                <w:color w:val="auto"/>
                <w:sz w:val="21"/>
                <w:szCs w:val="21"/>
              </w:rPr>
              <w:t xml:space="preserve">             </w:t>
            </w:r>
          </w:p>
          <w:p w14:paraId="0F256576">
            <w:pPr>
              <w:jc w:val="left"/>
              <w:rPr>
                <w:rFonts w:ascii="宋体" w:hAnsi="宋体" w:cs="宋体"/>
                <w:color w:val="auto"/>
                <w:sz w:val="21"/>
                <w:szCs w:val="21"/>
              </w:rPr>
            </w:pPr>
            <w:r>
              <w:rPr>
                <w:rFonts w:hint="eastAsia" w:ascii="宋体" w:hAnsi="宋体" w:cs="宋体"/>
                <w:color w:val="auto"/>
                <w:sz w:val="21"/>
                <w:szCs w:val="21"/>
              </w:rPr>
              <w:t>□不予批准后再次申报项目</w:t>
            </w:r>
          </w:p>
          <w:p w14:paraId="03D00101">
            <w:pPr>
              <w:jc w:val="left"/>
              <w:rPr>
                <w:rFonts w:ascii="宋体" w:hAnsi="宋体" w:cs="宋体"/>
                <w:color w:val="auto"/>
                <w:sz w:val="21"/>
                <w:szCs w:val="21"/>
              </w:rPr>
            </w:pPr>
            <w:r>
              <w:rPr>
                <w:rFonts w:ascii="Wingdings 2" w:hAnsi="Wingdings 2" w:eastAsia="Wingdings 2" w:cs="Wingdings 2"/>
                <w:color w:val="auto"/>
                <w:sz w:val="21"/>
                <w:szCs w:val="21"/>
              </w:rPr>
              <w:sym w:font="Wingdings 2" w:char="00A3"/>
            </w:r>
            <w:r>
              <w:rPr>
                <w:rFonts w:hint="eastAsia" w:ascii="宋体" w:hAnsi="宋体" w:cs="宋体"/>
                <w:color w:val="auto"/>
                <w:sz w:val="21"/>
                <w:szCs w:val="21"/>
              </w:rPr>
              <w:t>超五年重新审核项目</w:t>
            </w:r>
            <w:r>
              <w:rPr>
                <w:rFonts w:ascii="宋体" w:hAnsi="宋体" w:cs="宋体"/>
                <w:color w:val="auto"/>
                <w:sz w:val="21"/>
                <w:szCs w:val="21"/>
              </w:rPr>
              <w:t xml:space="preserve">     </w:t>
            </w:r>
          </w:p>
          <w:p w14:paraId="0F595BF2">
            <w:pPr>
              <w:jc w:val="left"/>
              <w:rPr>
                <w:rFonts w:ascii="宋体" w:hAnsi="宋体" w:cs="宋体"/>
                <w:color w:val="auto"/>
                <w:sz w:val="21"/>
                <w:szCs w:val="21"/>
              </w:rPr>
            </w:pPr>
            <w:r>
              <w:rPr>
                <w:rFonts w:hint="eastAsia" w:ascii="宋体" w:hAnsi="宋体" w:cs="宋体"/>
                <w:color w:val="auto"/>
                <w:sz w:val="21"/>
                <w:szCs w:val="21"/>
              </w:rPr>
              <w:t>□重大变动重新报批项目</w:t>
            </w:r>
          </w:p>
        </w:tc>
      </w:tr>
      <w:tr w14:paraId="4CC9EC0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851" w:hRule="atLeast"/>
          <w:jc w:val="center"/>
        </w:trPr>
        <w:tc>
          <w:tcPr>
            <w:tcW w:w="2382" w:type="dxa"/>
            <w:noWrap w:val="0"/>
            <w:tcMar>
              <w:top w:w="16" w:type="dxa"/>
              <w:left w:w="16" w:type="dxa"/>
              <w:right w:w="16" w:type="dxa"/>
            </w:tcMar>
            <w:vAlign w:val="center"/>
          </w:tcPr>
          <w:p w14:paraId="4C4534C9">
            <w:pPr>
              <w:jc w:val="center"/>
              <w:rPr>
                <w:rFonts w:hint="eastAsia" w:ascii="宋体" w:hAnsi="宋体" w:cs="宋体"/>
                <w:color w:val="auto"/>
                <w:sz w:val="21"/>
                <w:szCs w:val="21"/>
              </w:rPr>
            </w:pPr>
            <w:r>
              <w:rPr>
                <w:rFonts w:hint="eastAsia" w:ascii="宋体" w:hAnsi="宋体" w:cs="宋体"/>
                <w:color w:val="auto"/>
                <w:sz w:val="21"/>
                <w:szCs w:val="21"/>
              </w:rPr>
              <w:t>项目审批（核准</w:t>
            </w:r>
            <w:r>
              <w:rPr>
                <w:rFonts w:ascii="宋体" w:hAnsi="宋体" w:cs="宋体"/>
                <w:color w:val="auto"/>
                <w:sz w:val="21"/>
                <w:szCs w:val="21"/>
              </w:rPr>
              <w:t>/</w:t>
            </w:r>
          </w:p>
          <w:p w14:paraId="55764C04">
            <w:pPr>
              <w:jc w:val="center"/>
              <w:rPr>
                <w:rFonts w:ascii="宋体" w:hAnsi="宋体" w:cs="宋体"/>
                <w:color w:val="auto"/>
                <w:sz w:val="21"/>
                <w:szCs w:val="21"/>
              </w:rPr>
            </w:pPr>
            <w:r>
              <w:rPr>
                <w:rFonts w:hint="eastAsia" w:ascii="宋体" w:hAnsi="宋体" w:cs="宋体"/>
                <w:color w:val="auto"/>
                <w:sz w:val="21"/>
                <w:szCs w:val="21"/>
              </w:rPr>
              <w:t>备案）部门（选填）</w:t>
            </w:r>
          </w:p>
        </w:tc>
        <w:tc>
          <w:tcPr>
            <w:tcW w:w="1637" w:type="dxa"/>
            <w:noWrap w:val="0"/>
            <w:vAlign w:val="center"/>
          </w:tcPr>
          <w:p w14:paraId="2A445419">
            <w:pPr>
              <w:jc w:val="center"/>
              <w:rPr>
                <w:rFonts w:ascii="宋体" w:hAnsi="宋体" w:cs="宋体"/>
                <w:color w:val="auto"/>
                <w:sz w:val="21"/>
                <w:szCs w:val="21"/>
              </w:rPr>
            </w:pPr>
            <w:r>
              <w:rPr>
                <w:rFonts w:ascii="Times New Roman" w:hAnsi="Times New Roman" w:eastAsia="宋体"/>
                <w:color w:val="auto"/>
                <w:spacing w:val="1"/>
                <w:sz w:val="21"/>
                <w:szCs w:val="21"/>
              </w:rPr>
              <w:t>闽侯县发展和改革局</w:t>
            </w:r>
          </w:p>
        </w:tc>
        <w:tc>
          <w:tcPr>
            <w:tcW w:w="2212" w:type="dxa"/>
            <w:noWrap w:val="0"/>
            <w:vAlign w:val="center"/>
          </w:tcPr>
          <w:p w14:paraId="3D629757">
            <w:pPr>
              <w:jc w:val="center"/>
              <w:rPr>
                <w:rFonts w:hint="eastAsia" w:ascii="宋体" w:hAnsi="宋体" w:cs="宋体"/>
                <w:color w:val="auto"/>
                <w:sz w:val="21"/>
                <w:szCs w:val="21"/>
              </w:rPr>
            </w:pPr>
            <w:r>
              <w:rPr>
                <w:rFonts w:hint="eastAsia" w:ascii="宋体" w:hAnsi="宋体" w:cs="宋体"/>
                <w:color w:val="auto"/>
                <w:sz w:val="21"/>
                <w:szCs w:val="21"/>
              </w:rPr>
              <w:t>项目审批（核准</w:t>
            </w:r>
            <w:r>
              <w:rPr>
                <w:rFonts w:ascii="宋体" w:hAnsi="宋体" w:cs="宋体"/>
                <w:color w:val="auto"/>
                <w:sz w:val="21"/>
                <w:szCs w:val="21"/>
              </w:rPr>
              <w:t>/</w:t>
            </w:r>
          </w:p>
          <w:p w14:paraId="18816981">
            <w:pPr>
              <w:jc w:val="center"/>
              <w:rPr>
                <w:rFonts w:hint="eastAsia" w:ascii="宋体" w:hAnsi="宋体" w:cs="宋体"/>
                <w:color w:val="auto"/>
                <w:sz w:val="21"/>
                <w:szCs w:val="21"/>
              </w:rPr>
            </w:pPr>
            <w:r>
              <w:rPr>
                <w:rFonts w:hint="eastAsia" w:ascii="宋体" w:hAnsi="宋体" w:cs="宋体"/>
                <w:color w:val="auto"/>
                <w:sz w:val="21"/>
                <w:szCs w:val="21"/>
              </w:rPr>
              <w:t>备案）文号（选填）</w:t>
            </w:r>
          </w:p>
        </w:tc>
        <w:tc>
          <w:tcPr>
            <w:tcW w:w="2639" w:type="dxa"/>
            <w:noWrap w:val="0"/>
            <w:vAlign w:val="center"/>
          </w:tcPr>
          <w:p w14:paraId="034796DB">
            <w:pPr>
              <w:jc w:val="center"/>
              <w:rPr>
                <w:rFonts w:ascii="宋体" w:hAnsi="宋体" w:cs="宋体"/>
                <w:color w:val="auto"/>
                <w:sz w:val="21"/>
                <w:szCs w:val="21"/>
              </w:rPr>
            </w:pPr>
            <w:r>
              <w:rPr>
                <w:rFonts w:ascii="Times New Roman" w:hAnsi="Times New Roman" w:eastAsia="宋体" w:cs="黑体"/>
                <w:color w:val="auto"/>
                <w:spacing w:val="5"/>
                <w:position w:val="-1"/>
                <w:sz w:val="21"/>
                <w:szCs w:val="21"/>
              </w:rPr>
              <w:t>闽发改备[2025]</w:t>
            </w:r>
            <w:r>
              <w:rPr>
                <w:rFonts w:ascii="Times New Roman" w:hAnsi="Times New Roman" w:eastAsia="宋体" w:cs="宋体"/>
                <w:color w:val="auto"/>
                <w:spacing w:val="5"/>
                <w:position w:val="-1"/>
                <w:sz w:val="21"/>
                <w:szCs w:val="21"/>
              </w:rPr>
              <w:t>A08</w:t>
            </w:r>
            <w:r>
              <w:rPr>
                <w:rFonts w:ascii="Times New Roman" w:hAnsi="Times New Roman" w:eastAsia="宋体" w:cs="宋体"/>
                <w:color w:val="auto"/>
                <w:spacing w:val="4"/>
                <w:position w:val="-1"/>
                <w:sz w:val="21"/>
                <w:szCs w:val="21"/>
              </w:rPr>
              <w:t>0</w:t>
            </w:r>
            <w:r>
              <w:rPr>
                <w:rFonts w:hint="eastAsia" w:ascii="Times New Roman" w:hAnsi="Times New Roman" w:eastAsia="宋体" w:cs="宋体"/>
                <w:color w:val="auto"/>
                <w:spacing w:val="4"/>
                <w:position w:val="-1"/>
                <w:sz w:val="21"/>
                <w:szCs w:val="21"/>
                <w:lang w:val="en-US" w:eastAsia="zh-CN"/>
              </w:rPr>
              <w:t>354</w:t>
            </w:r>
            <w:r>
              <w:rPr>
                <w:rFonts w:ascii="Times New Roman" w:hAnsi="Times New Roman" w:eastAsia="宋体" w:cs="黑体"/>
                <w:color w:val="auto"/>
                <w:spacing w:val="4"/>
                <w:position w:val="-1"/>
                <w:sz w:val="21"/>
                <w:szCs w:val="21"/>
              </w:rPr>
              <w:t>号</w:t>
            </w:r>
          </w:p>
        </w:tc>
      </w:tr>
      <w:tr w14:paraId="18DE451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14:paraId="6C003A41">
            <w:pPr>
              <w:jc w:val="center"/>
              <w:rPr>
                <w:rFonts w:ascii="宋体" w:hAnsi="宋体" w:cs="宋体"/>
                <w:color w:val="auto"/>
                <w:sz w:val="21"/>
                <w:szCs w:val="21"/>
              </w:rPr>
            </w:pPr>
            <w:r>
              <w:rPr>
                <w:rFonts w:hint="eastAsia" w:ascii="宋体" w:hAnsi="宋体" w:cs="宋体"/>
                <w:color w:val="auto"/>
                <w:sz w:val="21"/>
                <w:szCs w:val="21"/>
              </w:rPr>
              <w:t>总投资（万元）</w:t>
            </w:r>
          </w:p>
        </w:tc>
        <w:tc>
          <w:tcPr>
            <w:tcW w:w="1637" w:type="dxa"/>
            <w:noWrap w:val="0"/>
            <w:vAlign w:val="center"/>
          </w:tcPr>
          <w:p w14:paraId="1D65726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300</w:t>
            </w:r>
          </w:p>
        </w:tc>
        <w:tc>
          <w:tcPr>
            <w:tcW w:w="2212" w:type="dxa"/>
            <w:noWrap w:val="0"/>
            <w:tcMar>
              <w:top w:w="16" w:type="dxa"/>
              <w:left w:w="16" w:type="dxa"/>
              <w:right w:w="16" w:type="dxa"/>
            </w:tcMar>
            <w:vAlign w:val="center"/>
          </w:tcPr>
          <w:p w14:paraId="1CDAAA8C">
            <w:pPr>
              <w:jc w:val="center"/>
              <w:rPr>
                <w:rFonts w:ascii="宋体" w:hAnsi="宋体" w:cs="宋体"/>
                <w:color w:val="auto"/>
                <w:sz w:val="21"/>
                <w:szCs w:val="21"/>
              </w:rPr>
            </w:pPr>
            <w:r>
              <w:rPr>
                <w:rFonts w:hint="eastAsia" w:ascii="宋体" w:hAnsi="宋体" w:cs="宋体"/>
                <w:color w:val="auto"/>
                <w:sz w:val="21"/>
                <w:szCs w:val="21"/>
              </w:rPr>
              <w:t>环保投资（万元）</w:t>
            </w:r>
          </w:p>
        </w:tc>
        <w:tc>
          <w:tcPr>
            <w:tcW w:w="2639" w:type="dxa"/>
            <w:noWrap w:val="0"/>
            <w:vAlign w:val="center"/>
          </w:tcPr>
          <w:p w14:paraId="667E48D0">
            <w:pPr>
              <w:jc w:val="center"/>
              <w:rPr>
                <w:rFonts w:hint="default" w:ascii="Times New Roman" w:hAnsi="Times New Roman" w:eastAsia="宋体" w:cs="宋体"/>
                <w:color w:val="auto"/>
                <w:sz w:val="21"/>
                <w:szCs w:val="21"/>
                <w:lang w:val="en-US" w:eastAsia="zh-CN"/>
              </w:rPr>
            </w:pPr>
            <w:r>
              <w:rPr>
                <w:rFonts w:hint="eastAsia" w:ascii="Times New Roman" w:hAnsi="Times New Roman" w:cs="宋体"/>
                <w:color w:val="auto"/>
                <w:sz w:val="21"/>
                <w:szCs w:val="21"/>
                <w:lang w:val="en-US" w:eastAsia="zh-CN"/>
              </w:rPr>
              <w:t>6</w:t>
            </w:r>
            <w:r>
              <w:rPr>
                <w:rFonts w:hint="eastAsia" w:cs="宋体"/>
                <w:color w:val="auto"/>
                <w:sz w:val="21"/>
                <w:szCs w:val="21"/>
                <w:lang w:val="en-US" w:eastAsia="zh-CN"/>
              </w:rPr>
              <w:t>.0</w:t>
            </w:r>
          </w:p>
        </w:tc>
      </w:tr>
      <w:tr w14:paraId="4BD1D16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14:paraId="7706A52C">
            <w:pPr>
              <w:jc w:val="center"/>
              <w:rPr>
                <w:rFonts w:ascii="宋体" w:hAnsi="宋体" w:cs="宋体"/>
                <w:color w:val="auto"/>
                <w:sz w:val="21"/>
                <w:szCs w:val="21"/>
              </w:rPr>
            </w:pPr>
            <w:r>
              <w:rPr>
                <w:rFonts w:hint="eastAsia" w:ascii="宋体" w:hAnsi="宋体" w:cs="宋体"/>
                <w:color w:val="auto"/>
                <w:sz w:val="21"/>
                <w:szCs w:val="21"/>
              </w:rPr>
              <w:t>环保投资占比（</w:t>
            </w:r>
            <w:r>
              <w:rPr>
                <w:rFonts w:ascii="宋体" w:hAnsi="宋体" w:cs="宋体"/>
                <w:color w:val="auto"/>
                <w:sz w:val="21"/>
                <w:szCs w:val="21"/>
              </w:rPr>
              <w:t>%</w:t>
            </w:r>
            <w:r>
              <w:rPr>
                <w:rFonts w:hint="eastAsia" w:ascii="宋体" w:hAnsi="宋体" w:cs="宋体"/>
                <w:color w:val="auto"/>
                <w:sz w:val="21"/>
                <w:szCs w:val="21"/>
              </w:rPr>
              <w:t>）</w:t>
            </w:r>
          </w:p>
        </w:tc>
        <w:tc>
          <w:tcPr>
            <w:tcW w:w="1637" w:type="dxa"/>
            <w:noWrap w:val="0"/>
            <w:vAlign w:val="center"/>
          </w:tcPr>
          <w:p w14:paraId="087B46A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w:t>
            </w:r>
            <w:r>
              <w:rPr>
                <w:rFonts w:hint="eastAsia" w:cs="Times New Roman"/>
                <w:color w:val="auto"/>
                <w:sz w:val="21"/>
                <w:szCs w:val="21"/>
                <w:lang w:val="en-US" w:eastAsia="zh-CN"/>
              </w:rPr>
              <w:t>.0</w:t>
            </w:r>
          </w:p>
        </w:tc>
        <w:tc>
          <w:tcPr>
            <w:tcW w:w="2212" w:type="dxa"/>
            <w:noWrap w:val="0"/>
            <w:tcMar>
              <w:top w:w="16" w:type="dxa"/>
              <w:left w:w="16" w:type="dxa"/>
              <w:right w:w="16" w:type="dxa"/>
            </w:tcMar>
            <w:vAlign w:val="center"/>
          </w:tcPr>
          <w:p w14:paraId="5DC491C2">
            <w:pPr>
              <w:jc w:val="center"/>
              <w:rPr>
                <w:rFonts w:ascii="宋体" w:hAnsi="宋体" w:cs="宋体"/>
                <w:color w:val="auto"/>
                <w:sz w:val="21"/>
                <w:szCs w:val="21"/>
              </w:rPr>
            </w:pPr>
            <w:r>
              <w:rPr>
                <w:rFonts w:hint="eastAsia" w:ascii="宋体" w:hAnsi="宋体" w:cs="宋体"/>
                <w:color w:val="auto"/>
                <w:sz w:val="21"/>
                <w:szCs w:val="21"/>
              </w:rPr>
              <w:t>施工工期</w:t>
            </w:r>
          </w:p>
        </w:tc>
        <w:tc>
          <w:tcPr>
            <w:tcW w:w="2639" w:type="dxa"/>
            <w:noWrap w:val="0"/>
            <w:vAlign w:val="center"/>
          </w:tcPr>
          <w:p w14:paraId="5685A909">
            <w:pPr>
              <w:jc w:val="center"/>
              <w:rPr>
                <w:rFonts w:hint="default" w:ascii="Times New Roman" w:hAnsi="Times New Roman" w:eastAsia="宋体" w:cs="宋体"/>
                <w:color w:val="auto"/>
                <w:sz w:val="21"/>
                <w:szCs w:val="21"/>
                <w:lang w:val="en-US" w:eastAsia="zh-CN"/>
              </w:rPr>
            </w:pPr>
            <w:r>
              <w:rPr>
                <w:rFonts w:hint="eastAsia" w:ascii="Times New Roman" w:hAnsi="Times New Roman" w:cs="宋体"/>
                <w:color w:val="auto"/>
                <w:sz w:val="21"/>
                <w:szCs w:val="21"/>
                <w:lang w:val="en-US" w:eastAsia="zh-CN"/>
              </w:rPr>
              <w:t>12个月</w:t>
            </w:r>
          </w:p>
        </w:tc>
      </w:tr>
      <w:tr w14:paraId="0DF5F39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14:paraId="225F53C1">
            <w:pPr>
              <w:jc w:val="center"/>
              <w:rPr>
                <w:rFonts w:hint="eastAsia" w:ascii="宋体" w:hAnsi="宋体" w:cs="宋体"/>
                <w:color w:val="auto"/>
                <w:sz w:val="21"/>
                <w:szCs w:val="21"/>
              </w:rPr>
            </w:pPr>
            <w:r>
              <w:rPr>
                <w:rFonts w:hint="eastAsia" w:ascii="宋体" w:hAnsi="宋体" w:cs="宋体"/>
                <w:color w:val="auto"/>
                <w:sz w:val="21"/>
                <w:szCs w:val="21"/>
              </w:rPr>
              <w:t>是否开工建设</w:t>
            </w:r>
          </w:p>
        </w:tc>
        <w:tc>
          <w:tcPr>
            <w:tcW w:w="1637" w:type="dxa"/>
            <w:noWrap w:val="0"/>
            <w:vAlign w:val="center"/>
          </w:tcPr>
          <w:p w14:paraId="455E3685">
            <w:pPr>
              <w:rPr>
                <w:rFonts w:ascii="宋体" w:hAnsi="宋体" w:cs="宋体"/>
                <w:color w:val="auto"/>
                <w:sz w:val="21"/>
                <w:szCs w:val="21"/>
              </w:rPr>
            </w:pPr>
            <w:r>
              <w:rPr>
                <w:rFonts w:ascii="Wingdings 2" w:hAnsi="Wingdings 2" w:eastAsia="Wingdings 2" w:cs="Wingdings 2"/>
                <w:color w:val="auto"/>
                <w:sz w:val="21"/>
                <w:szCs w:val="21"/>
              </w:rPr>
              <w:sym w:font="Wingdings 2" w:char="0052"/>
            </w:r>
            <w:r>
              <w:rPr>
                <w:rFonts w:hint="eastAsia" w:ascii="宋体" w:hAnsi="宋体" w:cs="宋体"/>
                <w:color w:val="auto"/>
                <w:sz w:val="21"/>
                <w:szCs w:val="21"/>
              </w:rPr>
              <w:t>否</w:t>
            </w:r>
          </w:p>
          <w:p w14:paraId="4B89A5FB">
            <w:pPr>
              <w:rPr>
                <w:rFonts w:ascii="宋体" w:hAnsi="宋体" w:cs="宋体"/>
                <w:color w:val="auto"/>
                <w:sz w:val="21"/>
                <w:szCs w:val="21"/>
              </w:rPr>
            </w:pPr>
            <w:r>
              <w:rPr>
                <w:rFonts w:ascii="Wingdings 2" w:hAnsi="Wingdings 2" w:eastAsia="Wingdings 2" w:cs="Wingdings 2"/>
                <w:color w:val="auto"/>
                <w:sz w:val="21"/>
                <w:szCs w:val="21"/>
              </w:rPr>
              <w:sym w:font="Wingdings 2" w:char="00A3"/>
            </w:r>
            <w:r>
              <w:rPr>
                <w:rFonts w:hint="eastAsia" w:ascii="宋体" w:hAnsi="宋体" w:cs="宋体"/>
                <w:color w:val="auto"/>
                <w:sz w:val="21"/>
                <w:szCs w:val="21"/>
              </w:rPr>
              <w:t>是：</w:t>
            </w:r>
            <w:r>
              <w:rPr>
                <w:rFonts w:hint="eastAsia" w:ascii="宋体" w:hAnsi="宋体" w:cs="宋体"/>
                <w:color w:val="auto"/>
                <w:sz w:val="21"/>
                <w:szCs w:val="21"/>
                <w:u w:val="single"/>
              </w:rPr>
              <w:t xml:space="preserve">             </w:t>
            </w:r>
          </w:p>
        </w:tc>
        <w:tc>
          <w:tcPr>
            <w:tcW w:w="2212" w:type="dxa"/>
            <w:noWrap w:val="0"/>
            <w:tcMar>
              <w:top w:w="16" w:type="dxa"/>
              <w:left w:w="16" w:type="dxa"/>
              <w:right w:w="16" w:type="dxa"/>
            </w:tcMar>
            <w:vAlign w:val="center"/>
          </w:tcPr>
          <w:p w14:paraId="7B02614B">
            <w:pPr>
              <w:jc w:val="center"/>
              <w:rPr>
                <w:rFonts w:ascii="宋体" w:hAnsi="宋体" w:cs="宋体"/>
                <w:color w:val="auto"/>
                <w:spacing w:val="-6"/>
                <w:sz w:val="21"/>
                <w:szCs w:val="21"/>
              </w:rPr>
            </w:pPr>
            <w:r>
              <w:rPr>
                <w:rFonts w:hint="eastAsia" w:ascii="宋体" w:hAnsi="宋体" w:cs="宋体"/>
                <w:color w:val="auto"/>
                <w:spacing w:val="-6"/>
                <w:sz w:val="21"/>
                <w:szCs w:val="21"/>
              </w:rPr>
              <w:t>用地（用海）</w:t>
            </w:r>
          </w:p>
          <w:p w14:paraId="69CD952E">
            <w:pPr>
              <w:jc w:val="center"/>
              <w:rPr>
                <w:rFonts w:hint="eastAsia" w:ascii="宋体" w:hAnsi="宋体" w:cs="宋体"/>
                <w:color w:val="auto"/>
                <w:sz w:val="21"/>
                <w:szCs w:val="21"/>
              </w:rPr>
            </w:pPr>
            <w:r>
              <w:rPr>
                <w:rFonts w:hint="eastAsia" w:ascii="宋体" w:hAnsi="宋体" w:cs="宋体"/>
                <w:color w:val="auto"/>
                <w:spacing w:val="-6"/>
                <w:sz w:val="21"/>
                <w:szCs w:val="21"/>
              </w:rPr>
              <w:t>面积（</w:t>
            </w:r>
            <w:r>
              <w:rPr>
                <w:rFonts w:ascii="宋体" w:hAnsi="宋体" w:cs="宋体"/>
                <w:color w:val="auto"/>
                <w:spacing w:val="-6"/>
                <w:sz w:val="21"/>
                <w:szCs w:val="21"/>
              </w:rPr>
              <w:t>m</w:t>
            </w:r>
            <w:r>
              <w:rPr>
                <w:rFonts w:ascii="宋体" w:hAnsi="宋体" w:cs="宋体"/>
                <w:color w:val="auto"/>
                <w:spacing w:val="-6"/>
                <w:sz w:val="21"/>
                <w:szCs w:val="21"/>
                <w:vertAlign w:val="superscript"/>
              </w:rPr>
              <w:t>2</w:t>
            </w:r>
            <w:r>
              <w:rPr>
                <w:rFonts w:hint="eastAsia" w:ascii="宋体" w:hAnsi="宋体" w:cs="宋体"/>
                <w:color w:val="auto"/>
                <w:spacing w:val="-6"/>
                <w:sz w:val="21"/>
                <w:szCs w:val="21"/>
              </w:rPr>
              <w:t>）</w:t>
            </w:r>
          </w:p>
        </w:tc>
        <w:tc>
          <w:tcPr>
            <w:tcW w:w="2639" w:type="dxa"/>
            <w:noWrap w:val="0"/>
            <w:vAlign w:val="center"/>
          </w:tcPr>
          <w:p w14:paraId="79F4EC5F">
            <w:pPr>
              <w:jc w:val="center"/>
              <w:rPr>
                <w:rFonts w:hint="default" w:ascii="Times New Roman" w:hAnsi="Times New Roman" w:eastAsia="宋体" w:cs="宋体"/>
                <w:color w:val="auto"/>
                <w:sz w:val="21"/>
                <w:szCs w:val="21"/>
                <w:lang w:val="en-US" w:eastAsia="zh-CN"/>
              </w:rPr>
            </w:pPr>
            <w:r>
              <w:rPr>
                <w:rFonts w:hint="eastAsia" w:ascii="Times New Roman" w:hAnsi="Times New Roman" w:cs="宋体"/>
                <w:color w:val="auto"/>
                <w:sz w:val="21"/>
                <w:szCs w:val="21"/>
                <w:lang w:val="en-US" w:eastAsia="zh-CN"/>
              </w:rPr>
              <w:t>966.7</w:t>
            </w:r>
          </w:p>
        </w:tc>
      </w:tr>
      <w:tr w14:paraId="2193F89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021" w:hRule="atLeast"/>
          <w:jc w:val="center"/>
        </w:trPr>
        <w:tc>
          <w:tcPr>
            <w:tcW w:w="2382" w:type="dxa"/>
            <w:noWrap w:val="0"/>
            <w:vAlign w:val="center"/>
          </w:tcPr>
          <w:p w14:paraId="41B730BB">
            <w:pPr>
              <w:jc w:val="center"/>
              <w:rPr>
                <w:rFonts w:ascii="宋体" w:hAnsi="宋体" w:cs="宋体"/>
                <w:color w:val="auto"/>
                <w:szCs w:val="21"/>
              </w:rPr>
            </w:pPr>
            <w:r>
              <w:rPr>
                <w:rFonts w:hint="eastAsia" w:ascii="宋体" w:hAnsi="宋体" w:cs="宋体"/>
                <w:color w:val="auto"/>
                <w:szCs w:val="21"/>
              </w:rPr>
              <w:t>专项评价设置情况</w:t>
            </w:r>
          </w:p>
        </w:tc>
        <w:tc>
          <w:tcPr>
            <w:tcW w:w="6488" w:type="dxa"/>
            <w:gridSpan w:val="3"/>
            <w:noWrap w:val="0"/>
            <w:vAlign w:val="center"/>
          </w:tcPr>
          <w:p w14:paraId="069A25F2">
            <w:pPr>
              <w:pStyle w:val="3"/>
              <w:keepNext/>
              <w:keepLines/>
              <w:pageBreakBefore w:val="0"/>
              <w:widowControl w:val="0"/>
              <w:kinsoku/>
              <w:wordWrap/>
              <w:overflowPunct/>
              <w:topLinePunct w:val="0"/>
              <w:autoSpaceDE/>
              <w:autoSpaceDN/>
              <w:bidi w:val="0"/>
              <w:adjustRightInd/>
              <w:snapToGrid/>
              <w:spacing w:before="0" w:after="0"/>
              <w:textAlignment w:val="auto"/>
              <w:rPr>
                <w:rFonts w:hint="default" w:ascii="Times New Roman" w:hAnsi="Times New Roman" w:eastAsia="宋体" w:cs="Times New Roman"/>
                <w:b/>
                <w:bCs/>
                <w:color w:val="auto"/>
                <w:kern w:val="2"/>
                <w:sz w:val="28"/>
                <w:szCs w:val="28"/>
                <w:lang w:val="en-US" w:eastAsia="zh-CN" w:bidi="ar-SA"/>
              </w:rPr>
            </w:pPr>
            <w:r>
              <w:rPr>
                <w:rFonts w:hint="eastAsia" w:ascii="Times New Roman" w:hAnsi="Times New Roman" w:eastAsia="宋体" w:cs="Times New Roman"/>
                <w:b/>
                <w:bCs/>
                <w:color w:val="auto"/>
                <w:kern w:val="2"/>
                <w:sz w:val="28"/>
                <w:szCs w:val="28"/>
                <w:lang w:val="en-US" w:eastAsia="zh-CN" w:bidi="ar-SA"/>
              </w:rPr>
              <w:t>1.1专项评价设置情况说明</w:t>
            </w:r>
          </w:p>
          <w:p w14:paraId="3AF23841">
            <w:pPr>
              <w:keepNext w:val="0"/>
              <w:keepLines w:val="0"/>
              <w:pageBreakBefore w:val="0"/>
              <w:widowControl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对照《建设项目环境影响报告表编制</w:t>
            </w:r>
            <w:r>
              <w:rPr>
                <w:rFonts w:hint="eastAsia" w:ascii="Times New Roman" w:hAnsi="Times New Roman" w:eastAsia="宋体" w:cs="Times New Roman"/>
                <w:color w:val="auto"/>
                <w:sz w:val="24"/>
                <w:szCs w:val="24"/>
                <w:highlight w:val="none"/>
                <w:lang w:val="en-US" w:eastAsia="zh-CN"/>
              </w:rPr>
              <w:t>技术</w:t>
            </w:r>
            <w:r>
              <w:rPr>
                <w:rFonts w:hint="default" w:ascii="Times New Roman" w:hAnsi="Times New Roman" w:eastAsia="宋体" w:cs="Times New Roman"/>
                <w:color w:val="auto"/>
                <w:sz w:val="24"/>
                <w:szCs w:val="24"/>
                <w:highlight w:val="none"/>
              </w:rPr>
              <w:t>指南——污染影响类》专题评价设置原则表，本项目专题评价设置情况判定如下：</w:t>
            </w:r>
          </w:p>
          <w:p w14:paraId="727A2892">
            <w:pPr>
              <w:pStyle w:val="225"/>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表1-1 项目专项评价设置表</w:t>
            </w:r>
          </w:p>
          <w:tbl>
            <w:tblPr>
              <w:tblStyle w:val="39"/>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3"/>
              <w:gridCol w:w="2480"/>
              <w:gridCol w:w="1947"/>
              <w:gridCol w:w="972"/>
            </w:tblGrid>
            <w:tr w14:paraId="413539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0" w:hRule="atLeast"/>
                <w:jc w:val="center"/>
              </w:trPr>
              <w:tc>
                <w:tcPr>
                  <w:tcW w:w="829" w:type="pct"/>
                  <w:tcBorders>
                    <w:tl2br w:val="nil"/>
                    <w:tr2bl w:val="nil"/>
                  </w:tcBorders>
                  <w:noWrap w:val="0"/>
                  <w:vAlign w:val="center"/>
                </w:tcPr>
                <w:p w14:paraId="22B89C7B">
                  <w:pPr>
                    <w:pStyle w:val="226"/>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专项评价的类别</w:t>
                  </w:r>
                </w:p>
              </w:tc>
              <w:tc>
                <w:tcPr>
                  <w:tcW w:w="1916" w:type="pct"/>
                  <w:tcBorders>
                    <w:tl2br w:val="nil"/>
                    <w:tr2bl w:val="nil"/>
                  </w:tcBorders>
                  <w:noWrap w:val="0"/>
                  <w:vAlign w:val="center"/>
                </w:tcPr>
                <w:p w14:paraId="5C518898">
                  <w:pPr>
                    <w:pStyle w:val="226"/>
                    <w:keepNext w:val="0"/>
                    <w:keepLines w:val="0"/>
                    <w:pageBreakBefore w:val="0"/>
                    <w:kinsoku/>
                    <w:wordWrap/>
                    <w:overflowPunct/>
                    <w:topLinePunct w:val="0"/>
                    <w:autoSpaceDE/>
                    <w:autoSpaceDN/>
                    <w:bidi w:val="0"/>
                    <w:adjustRightInd/>
                    <w:snapToGrid/>
                    <w:spacing w:after="0" w:line="240" w:lineRule="auto"/>
                    <w:ind w:left="0"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设置原则</w:t>
                  </w:r>
                </w:p>
              </w:tc>
              <w:tc>
                <w:tcPr>
                  <w:tcW w:w="1504" w:type="pct"/>
                  <w:tcBorders>
                    <w:tl2br w:val="nil"/>
                    <w:tr2bl w:val="nil"/>
                  </w:tcBorders>
                  <w:noWrap w:val="0"/>
                  <w:vAlign w:val="center"/>
                </w:tcPr>
                <w:p w14:paraId="063FD579">
                  <w:pPr>
                    <w:pStyle w:val="226"/>
                    <w:keepNext w:val="0"/>
                    <w:keepLines w:val="0"/>
                    <w:pageBreakBefore w:val="0"/>
                    <w:kinsoku/>
                    <w:wordWrap/>
                    <w:overflowPunct/>
                    <w:topLinePunct w:val="0"/>
                    <w:autoSpaceDE/>
                    <w:autoSpaceDN/>
                    <w:bidi w:val="0"/>
                    <w:adjustRightInd/>
                    <w:snapToGrid/>
                    <w:spacing w:after="0" w:line="240" w:lineRule="auto"/>
                    <w:ind w:left="0"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本项目情况</w:t>
                  </w:r>
                </w:p>
              </w:tc>
              <w:tc>
                <w:tcPr>
                  <w:tcW w:w="749" w:type="pct"/>
                  <w:tcBorders>
                    <w:tl2br w:val="nil"/>
                    <w:tr2bl w:val="nil"/>
                  </w:tcBorders>
                  <w:noWrap w:val="0"/>
                  <w:vAlign w:val="center"/>
                </w:tcPr>
                <w:p w14:paraId="35FBBEE9">
                  <w:pPr>
                    <w:pStyle w:val="226"/>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是否设置专项</w:t>
                  </w:r>
                </w:p>
              </w:tc>
            </w:tr>
            <w:tr w14:paraId="633635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9" w:type="pct"/>
                  <w:tcBorders>
                    <w:tl2br w:val="nil"/>
                    <w:tr2bl w:val="nil"/>
                  </w:tcBorders>
                  <w:noWrap w:val="0"/>
                  <w:vAlign w:val="center"/>
                </w:tcPr>
                <w:p w14:paraId="6112B5E0">
                  <w:pPr>
                    <w:pStyle w:val="226"/>
                    <w:keepNext w:val="0"/>
                    <w:keepLines w:val="0"/>
                    <w:pageBreakBefore w:val="0"/>
                    <w:kinsoku/>
                    <w:wordWrap/>
                    <w:overflowPunct/>
                    <w:topLinePunct w:val="0"/>
                    <w:autoSpaceDE/>
                    <w:autoSpaceDN/>
                    <w:bidi w:val="0"/>
                    <w:adjustRightInd/>
                    <w:snapToGrid/>
                    <w:spacing w:after="0" w:line="240" w:lineRule="auto"/>
                    <w:ind w:left="0"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大气</w:t>
                  </w:r>
                </w:p>
              </w:tc>
              <w:tc>
                <w:tcPr>
                  <w:tcW w:w="1916" w:type="pct"/>
                  <w:tcBorders>
                    <w:tl2br w:val="nil"/>
                    <w:tr2bl w:val="nil"/>
                  </w:tcBorders>
                  <w:noWrap w:val="0"/>
                  <w:vAlign w:val="center"/>
                </w:tcPr>
                <w:p w14:paraId="0DA2AA6B">
                  <w:pPr>
                    <w:pStyle w:val="226"/>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排放废气含有毒有害污染物</w:t>
                  </w:r>
                  <w:r>
                    <w:rPr>
                      <w:rFonts w:hint="default" w:ascii="Times New Roman" w:hAnsi="Times New Roman" w:eastAsia="宋体" w:cs="Times New Roman"/>
                      <w:color w:val="auto"/>
                      <w:vertAlign w:val="superscript"/>
                      <w:lang w:val="en-US" w:eastAsia="zh-CN"/>
                    </w:rPr>
                    <w:t>1</w:t>
                  </w:r>
                  <w:r>
                    <w:rPr>
                      <w:rFonts w:hint="default" w:ascii="Times New Roman" w:hAnsi="Times New Roman" w:eastAsia="宋体" w:cs="Times New Roman"/>
                      <w:color w:val="auto"/>
                      <w:lang w:val="en-US" w:eastAsia="zh-CN"/>
                    </w:rPr>
                    <w:t>、二噁英、苯并[a]芘、氰化物、氯气且厂界外500米范围内有环境空气保护目标</w:t>
                  </w:r>
                  <w:r>
                    <w:rPr>
                      <w:rFonts w:hint="default" w:ascii="Times New Roman" w:hAnsi="Times New Roman" w:eastAsia="宋体" w:cs="Times New Roman"/>
                      <w:color w:val="auto"/>
                      <w:vertAlign w:val="superscript"/>
                      <w:lang w:val="en-US" w:eastAsia="zh-CN"/>
                    </w:rPr>
                    <w:t>2</w:t>
                  </w:r>
                  <w:r>
                    <w:rPr>
                      <w:rFonts w:hint="default" w:ascii="Times New Roman" w:hAnsi="Times New Roman" w:eastAsia="宋体" w:cs="Times New Roman"/>
                      <w:color w:val="auto"/>
                      <w:lang w:val="en-US" w:eastAsia="zh-CN"/>
                    </w:rPr>
                    <w:t>的建设项目</w:t>
                  </w:r>
                </w:p>
              </w:tc>
              <w:tc>
                <w:tcPr>
                  <w:tcW w:w="1504" w:type="pct"/>
                  <w:tcBorders>
                    <w:tl2br w:val="nil"/>
                    <w:tr2bl w:val="nil"/>
                  </w:tcBorders>
                  <w:noWrap w:val="0"/>
                  <w:vAlign w:val="center"/>
                </w:tcPr>
                <w:p w14:paraId="35B35B3F">
                  <w:pPr>
                    <w:keepNext w:val="0"/>
                    <w:keepLines w:val="0"/>
                    <w:pageBreakBefore w:val="0"/>
                    <w:widowControl/>
                    <w:suppressLineNumbers w:val="0"/>
                    <w:kinsoku/>
                    <w:wordWrap/>
                    <w:overflowPunct/>
                    <w:topLinePunct w:val="0"/>
                    <w:autoSpaceDE/>
                    <w:autoSpaceDN/>
                    <w:bidi w:val="0"/>
                    <w:adjustRightInd/>
                    <w:snapToGrid/>
                    <w:spacing w:after="0" w:line="240" w:lineRule="auto"/>
                    <w:ind w:left="0" w:firstLine="0" w:firstLineChars="0"/>
                    <w:jc w:val="center"/>
                    <w:textAlignment w:val="auto"/>
                    <w:rPr>
                      <w:rFonts w:hint="default" w:ascii="Times New Roman" w:hAnsi="Times New Roman" w:eastAsia="宋体" w:cs="Times New Roman"/>
                      <w:color w:val="auto"/>
                      <w:lang w:val="en-US" w:eastAsia="zh-CN"/>
                    </w:rPr>
                  </w:pPr>
                  <w:r>
                    <w:rPr>
                      <w:rFonts w:hint="eastAsia" w:ascii="Times New Roman" w:hAnsi="Times New Roman" w:eastAsia="宋体" w:cs="宋体"/>
                      <w:color w:val="auto"/>
                      <w:kern w:val="0"/>
                      <w:sz w:val="21"/>
                      <w:szCs w:val="21"/>
                      <w:lang w:val="en-US" w:eastAsia="zh-CN" w:bidi="ar"/>
                    </w:rPr>
                    <w:t xml:space="preserve">项目排放废气不含有毒有害污染物 </w:t>
                  </w:r>
                  <w:r>
                    <w:rPr>
                      <w:rFonts w:hint="default" w:ascii="Times New Roman" w:hAnsi="Times New Roman" w:eastAsia="宋体" w:cs="Times New Roman"/>
                      <w:color w:val="auto"/>
                      <w:kern w:val="0"/>
                      <w:sz w:val="21"/>
                      <w:szCs w:val="21"/>
                      <w:lang w:val="en-US" w:eastAsia="zh-CN" w:bidi="ar"/>
                    </w:rPr>
                    <w:t>1</w:t>
                  </w:r>
                  <w:r>
                    <w:rPr>
                      <w:rFonts w:hint="eastAsia" w:ascii="Times New Roman" w:hAnsi="Times New Roman" w:eastAsia="宋体" w:cs="宋体"/>
                      <w:color w:val="auto"/>
                      <w:kern w:val="0"/>
                      <w:sz w:val="21"/>
                      <w:szCs w:val="21"/>
                      <w:lang w:val="en-US" w:eastAsia="zh-CN" w:bidi="ar"/>
                    </w:rPr>
                    <w:t>、二噁英苯并</w:t>
                  </w:r>
                  <w:r>
                    <w:rPr>
                      <w:rFonts w:hint="default" w:ascii="Times New Roman" w:hAnsi="Times New Roman" w:eastAsia="宋体" w:cs="Times New Roman"/>
                      <w:color w:val="auto"/>
                      <w:kern w:val="0"/>
                      <w:sz w:val="21"/>
                      <w:szCs w:val="21"/>
                      <w:lang w:val="en-US" w:eastAsia="zh-CN" w:bidi="ar"/>
                    </w:rPr>
                    <w:t>[a]</w:t>
                  </w:r>
                  <w:r>
                    <w:rPr>
                      <w:rFonts w:hint="eastAsia" w:ascii="Times New Roman" w:hAnsi="Times New Roman" w:eastAsia="宋体" w:cs="宋体"/>
                      <w:color w:val="auto"/>
                      <w:kern w:val="0"/>
                      <w:sz w:val="21"/>
                      <w:szCs w:val="21"/>
                      <w:lang w:val="en-US" w:eastAsia="zh-CN" w:bidi="ar"/>
                    </w:rPr>
                    <w:t>芘、氰化物、氯气</w:t>
                  </w:r>
                </w:p>
              </w:tc>
              <w:tc>
                <w:tcPr>
                  <w:tcW w:w="749" w:type="pct"/>
                  <w:tcBorders>
                    <w:tl2br w:val="nil"/>
                    <w:tr2bl w:val="nil"/>
                  </w:tcBorders>
                  <w:noWrap w:val="0"/>
                  <w:vAlign w:val="center"/>
                </w:tcPr>
                <w:p w14:paraId="12D0782A">
                  <w:pPr>
                    <w:pStyle w:val="226"/>
                    <w:keepNext w:val="0"/>
                    <w:keepLines w:val="0"/>
                    <w:pageBreakBefore w:val="0"/>
                    <w:kinsoku/>
                    <w:wordWrap/>
                    <w:overflowPunct/>
                    <w:topLinePunct w:val="0"/>
                    <w:autoSpaceDE/>
                    <w:autoSpaceDN/>
                    <w:bidi w:val="0"/>
                    <w:adjustRightInd/>
                    <w:snapToGrid/>
                    <w:spacing w:after="0" w:line="240" w:lineRule="auto"/>
                    <w:ind w:left="0"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否</w:t>
                  </w:r>
                </w:p>
              </w:tc>
            </w:tr>
            <w:tr w14:paraId="601196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9" w:type="pct"/>
                  <w:tcBorders>
                    <w:tl2br w:val="nil"/>
                    <w:tr2bl w:val="nil"/>
                  </w:tcBorders>
                  <w:noWrap w:val="0"/>
                  <w:vAlign w:val="center"/>
                </w:tcPr>
                <w:p w14:paraId="52026E19">
                  <w:pPr>
                    <w:pStyle w:val="226"/>
                    <w:keepNext w:val="0"/>
                    <w:keepLines w:val="0"/>
                    <w:pageBreakBefore w:val="0"/>
                    <w:kinsoku/>
                    <w:wordWrap/>
                    <w:overflowPunct/>
                    <w:topLinePunct w:val="0"/>
                    <w:autoSpaceDE/>
                    <w:autoSpaceDN/>
                    <w:bidi w:val="0"/>
                    <w:adjustRightInd/>
                    <w:snapToGrid/>
                    <w:spacing w:after="0" w:line="240" w:lineRule="auto"/>
                    <w:ind w:left="0"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地表水</w:t>
                  </w:r>
                </w:p>
              </w:tc>
              <w:tc>
                <w:tcPr>
                  <w:tcW w:w="1916" w:type="pct"/>
                  <w:tcBorders>
                    <w:tl2br w:val="nil"/>
                    <w:tr2bl w:val="nil"/>
                  </w:tcBorders>
                  <w:noWrap w:val="0"/>
                  <w:vAlign w:val="center"/>
                </w:tcPr>
                <w:p w14:paraId="0D92A155">
                  <w:pPr>
                    <w:pStyle w:val="226"/>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新增工业废水直排建设项目（槽罐车外送污水处理厂的除外）；新增废水直排的污水集中处理厂</w:t>
                  </w:r>
                </w:p>
              </w:tc>
              <w:tc>
                <w:tcPr>
                  <w:tcW w:w="1504" w:type="pct"/>
                  <w:tcBorders>
                    <w:tl2br w:val="nil"/>
                    <w:tr2bl w:val="nil"/>
                  </w:tcBorders>
                  <w:noWrap w:val="0"/>
                  <w:vAlign w:val="center"/>
                </w:tcPr>
                <w:p w14:paraId="078B7C8C">
                  <w:pPr>
                    <w:pStyle w:val="226"/>
                    <w:keepNext w:val="0"/>
                    <w:keepLines w:val="0"/>
                    <w:pageBreakBefore w:val="0"/>
                    <w:widowControl w:val="0"/>
                    <w:kinsoku/>
                    <w:wordWrap/>
                    <w:overflowPunct/>
                    <w:topLinePunct w:val="0"/>
                    <w:autoSpaceDE/>
                    <w:autoSpaceDN/>
                    <w:bidi w:val="0"/>
                    <w:adjustRightInd/>
                    <w:snapToGrid/>
                    <w:spacing w:after="0" w:line="240" w:lineRule="auto"/>
                    <w:ind w:left="0"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1"/>
                      <w:szCs w:val="21"/>
                      <w:highlight w:val="none"/>
                    </w:rPr>
                    <w:t>本项目不涉及新增工业废水直排</w:t>
                  </w:r>
                </w:p>
              </w:tc>
              <w:tc>
                <w:tcPr>
                  <w:tcW w:w="749" w:type="pct"/>
                  <w:tcBorders>
                    <w:tl2br w:val="nil"/>
                    <w:tr2bl w:val="nil"/>
                  </w:tcBorders>
                  <w:noWrap w:val="0"/>
                  <w:vAlign w:val="center"/>
                </w:tcPr>
                <w:p w14:paraId="527B2CE1">
                  <w:pPr>
                    <w:pStyle w:val="226"/>
                    <w:keepNext w:val="0"/>
                    <w:keepLines w:val="0"/>
                    <w:pageBreakBefore w:val="0"/>
                    <w:kinsoku/>
                    <w:wordWrap/>
                    <w:overflowPunct/>
                    <w:topLinePunct w:val="0"/>
                    <w:autoSpaceDE/>
                    <w:autoSpaceDN/>
                    <w:bidi w:val="0"/>
                    <w:adjustRightInd/>
                    <w:snapToGrid/>
                    <w:spacing w:after="0" w:line="240" w:lineRule="auto"/>
                    <w:ind w:left="0"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否</w:t>
                  </w:r>
                </w:p>
              </w:tc>
            </w:tr>
            <w:tr w14:paraId="3BFA2F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9" w:type="pct"/>
                  <w:tcBorders>
                    <w:tl2br w:val="nil"/>
                    <w:tr2bl w:val="nil"/>
                  </w:tcBorders>
                  <w:noWrap w:val="0"/>
                  <w:vAlign w:val="center"/>
                </w:tcPr>
                <w:p w14:paraId="144B4873">
                  <w:pPr>
                    <w:pStyle w:val="226"/>
                    <w:keepNext w:val="0"/>
                    <w:keepLines w:val="0"/>
                    <w:pageBreakBefore w:val="0"/>
                    <w:kinsoku/>
                    <w:wordWrap/>
                    <w:overflowPunct/>
                    <w:topLinePunct w:val="0"/>
                    <w:autoSpaceDE/>
                    <w:autoSpaceDN/>
                    <w:bidi w:val="0"/>
                    <w:adjustRightInd/>
                    <w:snapToGrid/>
                    <w:spacing w:after="0" w:line="240" w:lineRule="auto"/>
                    <w:ind w:left="0"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环境</w:t>
                  </w:r>
                </w:p>
                <w:p w14:paraId="1506EC58">
                  <w:pPr>
                    <w:pStyle w:val="226"/>
                    <w:keepNext w:val="0"/>
                    <w:keepLines w:val="0"/>
                    <w:pageBreakBefore w:val="0"/>
                    <w:kinsoku/>
                    <w:wordWrap/>
                    <w:overflowPunct/>
                    <w:topLinePunct w:val="0"/>
                    <w:autoSpaceDE/>
                    <w:autoSpaceDN/>
                    <w:bidi w:val="0"/>
                    <w:adjustRightInd/>
                    <w:snapToGrid/>
                    <w:spacing w:after="0" w:line="240" w:lineRule="auto"/>
                    <w:ind w:left="0"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风险</w:t>
                  </w:r>
                </w:p>
              </w:tc>
              <w:tc>
                <w:tcPr>
                  <w:tcW w:w="1916" w:type="pct"/>
                  <w:tcBorders>
                    <w:tl2br w:val="nil"/>
                    <w:tr2bl w:val="nil"/>
                  </w:tcBorders>
                  <w:noWrap w:val="0"/>
                  <w:vAlign w:val="center"/>
                </w:tcPr>
                <w:p w14:paraId="44311D70">
                  <w:pPr>
                    <w:pStyle w:val="226"/>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有毒有害和易燃易爆危险物质存储量超过临界量</w:t>
                  </w:r>
                  <w:r>
                    <w:rPr>
                      <w:rFonts w:hint="default" w:ascii="Times New Roman" w:hAnsi="Times New Roman" w:eastAsia="宋体" w:cs="Times New Roman"/>
                      <w:color w:val="auto"/>
                      <w:vertAlign w:val="superscript"/>
                      <w:lang w:val="en-US" w:eastAsia="zh-CN"/>
                    </w:rPr>
                    <w:t>3</w:t>
                  </w:r>
                  <w:r>
                    <w:rPr>
                      <w:rFonts w:hint="default" w:ascii="Times New Roman" w:hAnsi="Times New Roman" w:eastAsia="宋体" w:cs="Times New Roman"/>
                      <w:color w:val="auto"/>
                      <w:lang w:val="en-US" w:eastAsia="zh-CN"/>
                    </w:rPr>
                    <w:t>的建设项目</w:t>
                  </w:r>
                </w:p>
              </w:tc>
              <w:tc>
                <w:tcPr>
                  <w:tcW w:w="1504" w:type="pct"/>
                  <w:tcBorders>
                    <w:tl2br w:val="nil"/>
                    <w:tr2bl w:val="nil"/>
                  </w:tcBorders>
                  <w:noWrap w:val="0"/>
                  <w:vAlign w:val="center"/>
                </w:tcPr>
                <w:p w14:paraId="7419F7CE">
                  <w:pPr>
                    <w:keepNext w:val="0"/>
                    <w:keepLines w:val="0"/>
                    <w:pageBreakBefore w:val="0"/>
                    <w:widowControl/>
                    <w:suppressLineNumbers w:val="0"/>
                    <w:kinsoku/>
                    <w:wordWrap/>
                    <w:overflowPunct/>
                    <w:topLinePunct w:val="0"/>
                    <w:autoSpaceDE/>
                    <w:autoSpaceDN/>
                    <w:bidi w:val="0"/>
                    <w:adjustRightInd/>
                    <w:snapToGrid/>
                    <w:spacing w:after="0" w:line="240" w:lineRule="auto"/>
                    <w:ind w:left="0" w:firstLine="0" w:firstLineChars="0"/>
                    <w:jc w:val="center"/>
                    <w:textAlignment w:val="auto"/>
                    <w:rPr>
                      <w:rFonts w:hint="default" w:ascii="Times New Roman" w:hAnsi="Times New Roman" w:eastAsia="宋体" w:cs="Times New Roman"/>
                      <w:iCs/>
                      <w:color w:val="auto"/>
                      <w:sz w:val="21"/>
                      <w:szCs w:val="21"/>
                      <w:lang w:val="en-US" w:eastAsia="zh-CN" w:bidi="ar-SA"/>
                    </w:rPr>
                  </w:pPr>
                  <w:r>
                    <w:rPr>
                      <w:rFonts w:hint="eastAsia" w:ascii="Times New Roman" w:hAnsi="Times New Roman" w:eastAsia="宋体" w:cs="Times New Roman"/>
                      <w:iCs/>
                      <w:color w:val="auto"/>
                      <w:sz w:val="21"/>
                      <w:szCs w:val="21"/>
                      <w:lang w:val="en-US" w:eastAsia="zh-CN" w:bidi="ar-SA"/>
                    </w:rPr>
                    <w:t>本项目涉及的有毒有害和易燃易爆危险物质存储量未超</w:t>
                  </w:r>
                </w:p>
                <w:p w14:paraId="10506FE6">
                  <w:pPr>
                    <w:keepNext w:val="0"/>
                    <w:keepLines w:val="0"/>
                    <w:pageBreakBefore w:val="0"/>
                    <w:widowControl/>
                    <w:suppressLineNumbers w:val="0"/>
                    <w:kinsoku/>
                    <w:wordWrap/>
                    <w:overflowPunct/>
                    <w:topLinePunct w:val="0"/>
                    <w:autoSpaceDE/>
                    <w:autoSpaceDN/>
                    <w:bidi w:val="0"/>
                    <w:adjustRightInd/>
                    <w:snapToGrid/>
                    <w:spacing w:after="0" w:line="240" w:lineRule="auto"/>
                    <w:ind w:left="0" w:firstLine="0" w:firstLineChars="0"/>
                    <w:jc w:val="center"/>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iCs/>
                      <w:color w:val="auto"/>
                      <w:sz w:val="21"/>
                      <w:szCs w:val="21"/>
                      <w:lang w:val="en-US" w:eastAsia="zh-CN" w:bidi="ar-SA"/>
                    </w:rPr>
                    <w:t>过临界量</w:t>
                  </w:r>
                </w:p>
              </w:tc>
              <w:tc>
                <w:tcPr>
                  <w:tcW w:w="749" w:type="pct"/>
                  <w:tcBorders>
                    <w:tl2br w:val="nil"/>
                    <w:tr2bl w:val="nil"/>
                  </w:tcBorders>
                  <w:noWrap w:val="0"/>
                  <w:vAlign w:val="center"/>
                </w:tcPr>
                <w:p w14:paraId="17FFFAC0">
                  <w:pPr>
                    <w:pStyle w:val="226"/>
                    <w:keepNext w:val="0"/>
                    <w:keepLines w:val="0"/>
                    <w:pageBreakBefore w:val="0"/>
                    <w:kinsoku/>
                    <w:wordWrap/>
                    <w:overflowPunct/>
                    <w:topLinePunct w:val="0"/>
                    <w:autoSpaceDE/>
                    <w:autoSpaceDN/>
                    <w:bidi w:val="0"/>
                    <w:adjustRightInd/>
                    <w:snapToGrid/>
                    <w:spacing w:after="0" w:line="240" w:lineRule="auto"/>
                    <w:ind w:left="0"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否</w:t>
                  </w:r>
                </w:p>
              </w:tc>
            </w:tr>
            <w:tr w14:paraId="19A659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9" w:type="pct"/>
                  <w:tcBorders>
                    <w:tl2br w:val="nil"/>
                    <w:tr2bl w:val="nil"/>
                  </w:tcBorders>
                  <w:noWrap w:val="0"/>
                  <w:vAlign w:val="center"/>
                </w:tcPr>
                <w:p w14:paraId="519AE91C">
                  <w:pPr>
                    <w:pStyle w:val="226"/>
                    <w:keepNext w:val="0"/>
                    <w:keepLines w:val="0"/>
                    <w:pageBreakBefore w:val="0"/>
                    <w:kinsoku/>
                    <w:wordWrap/>
                    <w:overflowPunct/>
                    <w:topLinePunct w:val="0"/>
                    <w:autoSpaceDE/>
                    <w:autoSpaceDN/>
                    <w:bidi w:val="0"/>
                    <w:adjustRightInd/>
                    <w:snapToGrid/>
                    <w:spacing w:after="0" w:line="240" w:lineRule="auto"/>
                    <w:ind w:left="0"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生态</w:t>
                  </w:r>
                </w:p>
              </w:tc>
              <w:tc>
                <w:tcPr>
                  <w:tcW w:w="1916" w:type="pct"/>
                  <w:tcBorders>
                    <w:tl2br w:val="nil"/>
                    <w:tr2bl w:val="nil"/>
                  </w:tcBorders>
                  <w:noWrap w:val="0"/>
                  <w:vAlign w:val="center"/>
                </w:tcPr>
                <w:p w14:paraId="162052BD">
                  <w:pPr>
                    <w:pStyle w:val="226"/>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取水口下游500米范围内有重要水生生物的自然产卵场、索饵场、越冬场和洄游通道的新增河道取水的污染类建设项目</w:t>
                  </w:r>
                </w:p>
              </w:tc>
              <w:tc>
                <w:tcPr>
                  <w:tcW w:w="1504" w:type="pct"/>
                  <w:tcBorders>
                    <w:tl2br w:val="nil"/>
                    <w:tr2bl w:val="nil"/>
                  </w:tcBorders>
                  <w:noWrap w:val="0"/>
                  <w:vAlign w:val="center"/>
                </w:tcPr>
                <w:p w14:paraId="4C10CC4C">
                  <w:pPr>
                    <w:pStyle w:val="226"/>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本项目不属于新增河道取水的污染类建设项目</w:t>
                  </w:r>
                </w:p>
              </w:tc>
              <w:tc>
                <w:tcPr>
                  <w:tcW w:w="749" w:type="pct"/>
                  <w:tcBorders>
                    <w:tl2br w:val="nil"/>
                    <w:tr2bl w:val="nil"/>
                  </w:tcBorders>
                  <w:noWrap w:val="0"/>
                  <w:vAlign w:val="center"/>
                </w:tcPr>
                <w:p w14:paraId="03676316">
                  <w:pPr>
                    <w:pStyle w:val="226"/>
                    <w:keepNext w:val="0"/>
                    <w:keepLines w:val="0"/>
                    <w:pageBreakBefore w:val="0"/>
                    <w:kinsoku/>
                    <w:wordWrap/>
                    <w:overflowPunct/>
                    <w:topLinePunct w:val="0"/>
                    <w:autoSpaceDE/>
                    <w:autoSpaceDN/>
                    <w:bidi w:val="0"/>
                    <w:adjustRightInd/>
                    <w:snapToGrid/>
                    <w:spacing w:after="0" w:line="240" w:lineRule="auto"/>
                    <w:ind w:left="0"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否</w:t>
                  </w:r>
                </w:p>
              </w:tc>
            </w:tr>
            <w:tr w14:paraId="76D86B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9" w:type="pct"/>
                  <w:tcBorders>
                    <w:tl2br w:val="nil"/>
                    <w:tr2bl w:val="nil"/>
                  </w:tcBorders>
                  <w:noWrap w:val="0"/>
                  <w:vAlign w:val="center"/>
                </w:tcPr>
                <w:p w14:paraId="5867FAAB">
                  <w:pPr>
                    <w:pStyle w:val="226"/>
                    <w:keepNext w:val="0"/>
                    <w:keepLines w:val="0"/>
                    <w:pageBreakBefore w:val="0"/>
                    <w:kinsoku/>
                    <w:wordWrap/>
                    <w:overflowPunct/>
                    <w:topLinePunct w:val="0"/>
                    <w:autoSpaceDE/>
                    <w:autoSpaceDN/>
                    <w:bidi w:val="0"/>
                    <w:adjustRightInd/>
                    <w:snapToGrid/>
                    <w:spacing w:after="0" w:line="240" w:lineRule="auto"/>
                    <w:ind w:left="0"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海洋</w:t>
                  </w:r>
                </w:p>
              </w:tc>
              <w:tc>
                <w:tcPr>
                  <w:tcW w:w="1916" w:type="pct"/>
                  <w:tcBorders>
                    <w:tl2br w:val="nil"/>
                    <w:tr2bl w:val="nil"/>
                  </w:tcBorders>
                  <w:noWrap w:val="0"/>
                  <w:vAlign w:val="center"/>
                </w:tcPr>
                <w:p w14:paraId="15590765">
                  <w:pPr>
                    <w:pStyle w:val="226"/>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直接向海排放污染物的海洋工程建设项目</w:t>
                  </w:r>
                </w:p>
              </w:tc>
              <w:tc>
                <w:tcPr>
                  <w:tcW w:w="1504" w:type="pct"/>
                  <w:tcBorders>
                    <w:tl2br w:val="nil"/>
                    <w:tr2bl w:val="nil"/>
                  </w:tcBorders>
                  <w:noWrap w:val="0"/>
                  <w:vAlign w:val="center"/>
                </w:tcPr>
                <w:p w14:paraId="5516BD0A">
                  <w:pPr>
                    <w:pStyle w:val="226"/>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本项目不属于直接向海排放污染物的海洋工程建设项目</w:t>
                  </w:r>
                </w:p>
              </w:tc>
              <w:tc>
                <w:tcPr>
                  <w:tcW w:w="749" w:type="pct"/>
                  <w:tcBorders>
                    <w:tl2br w:val="nil"/>
                    <w:tr2bl w:val="nil"/>
                  </w:tcBorders>
                  <w:noWrap w:val="0"/>
                  <w:vAlign w:val="center"/>
                </w:tcPr>
                <w:p w14:paraId="18EFD6BB">
                  <w:pPr>
                    <w:pStyle w:val="226"/>
                    <w:keepNext w:val="0"/>
                    <w:keepLines w:val="0"/>
                    <w:pageBreakBefore w:val="0"/>
                    <w:kinsoku/>
                    <w:wordWrap/>
                    <w:overflowPunct/>
                    <w:topLinePunct w:val="0"/>
                    <w:autoSpaceDE/>
                    <w:autoSpaceDN/>
                    <w:bidi w:val="0"/>
                    <w:adjustRightInd/>
                    <w:snapToGrid/>
                    <w:spacing w:after="0" w:line="240" w:lineRule="auto"/>
                    <w:ind w:left="0"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否</w:t>
                  </w:r>
                </w:p>
              </w:tc>
            </w:tr>
            <w:tr w14:paraId="34EEFF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4"/>
                  <w:tcBorders>
                    <w:tl2br w:val="nil"/>
                    <w:tr2bl w:val="nil"/>
                  </w:tcBorders>
                  <w:noWrap w:val="0"/>
                  <w:vAlign w:val="center"/>
                </w:tcPr>
                <w:p w14:paraId="4EF4401E">
                  <w:pPr>
                    <w:pStyle w:val="226"/>
                    <w:keepNext w:val="0"/>
                    <w:keepLines w:val="0"/>
                    <w:pageBreakBefore w:val="0"/>
                    <w:kinsoku/>
                    <w:wordWrap/>
                    <w:overflowPunct/>
                    <w:topLinePunct w:val="0"/>
                    <w:autoSpaceDE/>
                    <w:autoSpaceDN/>
                    <w:bidi w:val="0"/>
                    <w:adjustRightInd/>
                    <w:snapToGrid/>
                    <w:spacing w:after="0" w:line="240" w:lineRule="auto"/>
                    <w:ind w:left="0" w:firstLine="0" w:firstLine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注：1.废气中有毒有害污染物指纳入《有毒有害大气污染物名录》的污染物（不包括无排放标准的污染物）</w:t>
                  </w:r>
                  <w:r>
                    <w:rPr>
                      <w:rFonts w:hint="eastAsia" w:ascii="Times New Roman" w:hAnsi="Times New Roman" w:eastAsia="宋体" w:cs="Times New Roman"/>
                      <w:color w:val="auto"/>
                      <w:lang w:val="en-US" w:eastAsia="zh-CN"/>
                    </w:rPr>
                    <w:t>；</w:t>
                  </w:r>
                </w:p>
                <w:p w14:paraId="497706FA">
                  <w:pPr>
                    <w:pStyle w:val="226"/>
                    <w:keepNext w:val="0"/>
                    <w:keepLines w:val="0"/>
                    <w:pageBreakBefore w:val="0"/>
                    <w:kinsoku/>
                    <w:wordWrap/>
                    <w:overflowPunct/>
                    <w:topLinePunct w:val="0"/>
                    <w:autoSpaceDE/>
                    <w:autoSpaceDN/>
                    <w:bidi w:val="0"/>
                    <w:adjustRightInd/>
                    <w:snapToGrid/>
                    <w:spacing w:after="0" w:line="240" w:lineRule="auto"/>
                    <w:ind w:left="0" w:firstLine="0" w:firstLine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2.环境空气保护目标指自然保护区、风景名胜区、居住区、文化区和农村地区中人群较集中的区域</w:t>
                  </w:r>
                  <w:r>
                    <w:rPr>
                      <w:rFonts w:hint="eastAsia" w:ascii="Times New Roman" w:hAnsi="Times New Roman" w:eastAsia="宋体" w:cs="Times New Roman"/>
                      <w:color w:val="auto"/>
                      <w:lang w:val="en-US" w:eastAsia="zh-CN"/>
                    </w:rPr>
                    <w:t>；</w:t>
                  </w:r>
                </w:p>
                <w:p w14:paraId="11E39693">
                  <w:pPr>
                    <w:pStyle w:val="226"/>
                    <w:keepNext w:val="0"/>
                    <w:keepLines w:val="0"/>
                    <w:pageBreakBefore w:val="0"/>
                    <w:kinsoku/>
                    <w:wordWrap/>
                    <w:overflowPunct/>
                    <w:topLinePunct w:val="0"/>
                    <w:autoSpaceDE/>
                    <w:autoSpaceDN/>
                    <w:bidi w:val="0"/>
                    <w:adjustRightInd/>
                    <w:snapToGrid/>
                    <w:spacing w:after="0" w:line="240" w:lineRule="auto"/>
                    <w:ind w:left="0"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3.临界量及其计算方法可参考《建设项目环境风险评价技术导则》（HJ169）附录B、附录C</w:t>
                  </w:r>
                  <w:r>
                    <w:rPr>
                      <w:rFonts w:hint="eastAsia" w:ascii="Times New Roman" w:hAnsi="Times New Roman" w:eastAsia="宋体" w:cs="Times New Roman"/>
                      <w:color w:val="auto"/>
                      <w:lang w:val="en-US" w:eastAsia="zh-CN"/>
                    </w:rPr>
                    <w:t>。</w:t>
                  </w:r>
                </w:p>
              </w:tc>
            </w:tr>
          </w:tbl>
          <w:p w14:paraId="013E8C05">
            <w:pPr>
              <w:jc w:val="center"/>
              <w:rPr>
                <w:rFonts w:ascii="宋体" w:hAnsi="宋体" w:cs="宋体"/>
                <w:color w:val="auto"/>
                <w:szCs w:val="21"/>
              </w:rPr>
            </w:pPr>
            <w:r>
              <w:rPr>
                <w:rFonts w:hint="default" w:ascii="Times New Roman" w:hAnsi="Times New Roman" w:eastAsia="宋体" w:cs="Times New Roman"/>
                <w:bCs/>
                <w:color w:val="auto"/>
                <w:kern w:val="2"/>
                <w:sz w:val="24"/>
                <w:szCs w:val="32"/>
                <w:lang w:val="en-US" w:eastAsia="zh-CN" w:bidi="ar-SA"/>
              </w:rPr>
              <w:t>根据表1-1专项评价设置原则，本项目无需开展专项评价。</w:t>
            </w:r>
          </w:p>
        </w:tc>
      </w:tr>
      <w:tr w14:paraId="0367307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021" w:hRule="atLeast"/>
          <w:jc w:val="center"/>
        </w:trPr>
        <w:tc>
          <w:tcPr>
            <w:tcW w:w="2382" w:type="dxa"/>
            <w:noWrap w:val="0"/>
            <w:vAlign w:val="center"/>
          </w:tcPr>
          <w:p w14:paraId="3D152C20">
            <w:pPr>
              <w:jc w:val="center"/>
              <w:rPr>
                <w:rFonts w:hint="eastAsia" w:ascii="宋体" w:hAnsi="宋体" w:cs="宋体"/>
                <w:color w:val="auto"/>
                <w:szCs w:val="21"/>
              </w:rPr>
            </w:pPr>
            <w:r>
              <w:rPr>
                <w:rFonts w:hint="eastAsia" w:ascii="宋体" w:hAnsi="宋体" w:cs="宋体"/>
                <w:color w:val="auto"/>
                <w:szCs w:val="21"/>
              </w:rPr>
              <w:t>规划情况</w:t>
            </w:r>
          </w:p>
        </w:tc>
        <w:tc>
          <w:tcPr>
            <w:tcW w:w="6488" w:type="dxa"/>
            <w:gridSpan w:val="3"/>
            <w:noWrap w:val="0"/>
            <w:vAlign w:val="center"/>
          </w:tcPr>
          <w:p w14:paraId="589F5E90">
            <w:pPr>
              <w:pStyle w:val="227"/>
              <w:keepNext w:val="0"/>
              <w:keepLines w:val="0"/>
              <w:pageBreakBefore w:val="0"/>
              <w:widowControl w:val="0"/>
              <w:kinsoku/>
              <w:wordWrap/>
              <w:overflowPunct/>
              <w:topLinePunct w:val="0"/>
              <w:autoSpaceDE/>
              <w:autoSpaceDN/>
              <w:bidi w:val="0"/>
              <w:jc w:val="center"/>
              <w:textAlignment w:val="auto"/>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规划名称：</w:t>
            </w:r>
            <w:r>
              <w:rPr>
                <w:rFonts w:hint="eastAsia" w:ascii="Times New Roman" w:hAnsi="Times New Roman" w:eastAsia="宋体"/>
                <w:color w:val="auto"/>
                <w:lang w:eastAsia="zh-CN"/>
              </w:rPr>
              <w:t>《</w:t>
            </w:r>
            <w:r>
              <w:rPr>
                <w:rFonts w:hint="eastAsia" w:ascii="Times New Roman" w:hAnsi="Times New Roman" w:eastAsia="宋体"/>
                <w:color w:val="auto"/>
                <w:lang w:val="en-US" w:eastAsia="zh-CN"/>
              </w:rPr>
              <w:t>闽侯经济技术开发区规划提升（控制性详细规划和城市设计）</w:t>
            </w:r>
            <w:r>
              <w:rPr>
                <w:rFonts w:hint="eastAsia" w:ascii="Times New Roman" w:hAnsi="Times New Roman" w:eastAsia="宋体"/>
                <w:color w:val="auto"/>
                <w:lang w:eastAsia="zh-CN"/>
              </w:rPr>
              <w:t>》</w:t>
            </w:r>
          </w:p>
          <w:p w14:paraId="398AC125">
            <w:pPr>
              <w:pStyle w:val="227"/>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编制单位：福州市规划设计研究院集团有限公司</w:t>
            </w:r>
          </w:p>
          <w:p w14:paraId="53AFFA36">
            <w:pPr>
              <w:pStyle w:val="227"/>
              <w:keepNext w:val="0"/>
              <w:keepLines w:val="0"/>
              <w:pageBreakBefore w:val="0"/>
              <w:widowControl w:val="0"/>
              <w:kinsoku/>
              <w:wordWrap/>
              <w:overflowPunct/>
              <w:topLinePunct w:val="0"/>
              <w:autoSpaceDE/>
              <w:autoSpaceDN/>
              <w:bidi w:val="0"/>
              <w:jc w:val="center"/>
              <w:textAlignment w:val="auto"/>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审批机关：闽侯县自然资源和规划局</w:t>
            </w:r>
          </w:p>
          <w:p w14:paraId="3D20327B">
            <w:pPr>
              <w:pStyle w:val="227"/>
              <w:keepNext w:val="0"/>
              <w:keepLines w:val="0"/>
              <w:pageBreakBefore w:val="0"/>
              <w:widowControl w:val="0"/>
              <w:kinsoku/>
              <w:wordWrap/>
              <w:overflowPunct/>
              <w:topLinePunct w:val="0"/>
              <w:autoSpaceDE/>
              <w:autoSpaceDN/>
              <w:bidi w:val="0"/>
              <w:jc w:val="center"/>
              <w:textAlignment w:val="auto"/>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发布文号：侯自然综〔2022〕557号</w:t>
            </w:r>
          </w:p>
          <w:p w14:paraId="55D02FAA">
            <w:pPr>
              <w:keepNext w:val="0"/>
              <w:keepLines w:val="0"/>
              <w:pageBreakBefore w:val="0"/>
              <w:widowControl w:val="0"/>
              <w:kinsoku/>
              <w:wordWrap/>
              <w:overflowPunct/>
              <w:topLinePunct w:val="0"/>
              <w:autoSpaceDE/>
              <w:autoSpaceDN/>
              <w:bidi w:val="0"/>
              <w:jc w:val="center"/>
              <w:textAlignment w:val="auto"/>
              <w:rPr>
                <w:rFonts w:ascii="宋体" w:hAnsi="宋体" w:cs="宋体"/>
                <w:color w:val="auto"/>
                <w:szCs w:val="21"/>
              </w:rPr>
            </w:pPr>
            <w:r>
              <w:rPr>
                <w:rFonts w:hint="eastAsia" w:ascii="Times New Roman" w:hAnsi="Times New Roman" w:eastAsia="宋体"/>
                <w:color w:val="auto"/>
                <w:lang w:val="en-US" w:eastAsia="zh-CN"/>
              </w:rPr>
              <w:t>规划名称：《闽侯县国土空间总体规划（2022-2035年）</w:t>
            </w:r>
          </w:p>
        </w:tc>
      </w:tr>
      <w:tr w14:paraId="5014C2A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021" w:hRule="atLeast"/>
          <w:jc w:val="center"/>
        </w:trPr>
        <w:tc>
          <w:tcPr>
            <w:tcW w:w="2382" w:type="dxa"/>
            <w:noWrap w:val="0"/>
            <w:vAlign w:val="center"/>
          </w:tcPr>
          <w:p w14:paraId="030D9D50">
            <w:pPr>
              <w:jc w:val="center"/>
              <w:rPr>
                <w:rFonts w:ascii="宋体" w:hAnsi="宋体" w:cs="宋体"/>
                <w:color w:val="auto"/>
                <w:szCs w:val="21"/>
              </w:rPr>
            </w:pPr>
            <w:r>
              <w:rPr>
                <w:rFonts w:hint="eastAsia" w:ascii="宋体" w:hAnsi="宋体" w:cs="宋体"/>
                <w:color w:val="auto"/>
                <w:szCs w:val="21"/>
              </w:rPr>
              <w:t>规划环境影响</w:t>
            </w:r>
          </w:p>
          <w:p w14:paraId="4CBDC7A1">
            <w:pPr>
              <w:jc w:val="center"/>
              <w:rPr>
                <w:rFonts w:hint="eastAsia" w:ascii="宋体" w:hAnsi="宋体" w:cs="宋体"/>
                <w:color w:val="auto"/>
                <w:szCs w:val="21"/>
              </w:rPr>
            </w:pPr>
            <w:r>
              <w:rPr>
                <w:rFonts w:hint="eastAsia" w:ascii="宋体" w:hAnsi="宋体" w:cs="宋体"/>
                <w:color w:val="auto"/>
                <w:szCs w:val="21"/>
              </w:rPr>
              <w:t>评价情况</w:t>
            </w:r>
          </w:p>
        </w:tc>
        <w:tc>
          <w:tcPr>
            <w:tcW w:w="6488" w:type="dxa"/>
            <w:gridSpan w:val="3"/>
            <w:noWrap w:val="0"/>
            <w:vAlign w:val="center"/>
          </w:tcPr>
          <w:p w14:paraId="678225CC">
            <w:pPr>
              <w:jc w:val="center"/>
              <w:rPr>
                <w:rFonts w:hint="eastAsia" w:ascii="宋体" w:hAnsi="宋体" w:eastAsia="宋体" w:cs="宋体"/>
                <w:color w:val="auto"/>
                <w:szCs w:val="21"/>
                <w:lang w:val="en-US" w:eastAsia="zh-CN"/>
              </w:rPr>
            </w:pPr>
            <w:r>
              <w:rPr>
                <w:rFonts w:hint="eastAsia" w:ascii="宋体" w:hAnsi="宋体" w:cs="宋体"/>
                <w:color w:val="auto"/>
                <w:szCs w:val="21"/>
                <w:lang w:val="en-US" w:eastAsia="zh-CN"/>
              </w:rPr>
              <w:t>无</w:t>
            </w:r>
          </w:p>
        </w:tc>
      </w:tr>
      <w:tr w14:paraId="2FE2DE4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021" w:hRule="atLeast"/>
          <w:jc w:val="center"/>
        </w:trPr>
        <w:tc>
          <w:tcPr>
            <w:tcW w:w="2382" w:type="dxa"/>
            <w:noWrap w:val="0"/>
            <w:vAlign w:val="center"/>
          </w:tcPr>
          <w:p w14:paraId="44178069">
            <w:pPr>
              <w:jc w:val="center"/>
              <w:rPr>
                <w:rFonts w:hint="eastAsia" w:ascii="宋体" w:hAnsi="宋体" w:cs="宋体"/>
                <w:color w:val="auto"/>
                <w:szCs w:val="21"/>
              </w:rPr>
            </w:pPr>
            <w:r>
              <w:rPr>
                <w:rFonts w:hint="eastAsia" w:ascii="宋体" w:hAnsi="宋体" w:cs="宋体"/>
                <w:color w:val="auto"/>
                <w:szCs w:val="21"/>
              </w:rPr>
              <w:t>规划及规划环境</w:t>
            </w:r>
          </w:p>
          <w:p w14:paraId="7CEB6AA5">
            <w:pPr>
              <w:jc w:val="center"/>
              <w:rPr>
                <w:rFonts w:ascii="宋体" w:hAnsi="宋体" w:cs="宋体"/>
                <w:color w:val="auto"/>
                <w:szCs w:val="21"/>
              </w:rPr>
            </w:pPr>
            <w:r>
              <w:rPr>
                <w:rFonts w:hint="eastAsia" w:ascii="宋体" w:hAnsi="宋体" w:cs="宋体"/>
                <w:color w:val="auto"/>
                <w:szCs w:val="21"/>
              </w:rPr>
              <w:t>影响评价符合性分析</w:t>
            </w:r>
          </w:p>
        </w:tc>
        <w:tc>
          <w:tcPr>
            <w:tcW w:w="6488" w:type="dxa"/>
            <w:gridSpan w:val="3"/>
            <w:noWrap w:val="0"/>
            <w:vAlign w:val="top"/>
          </w:tcPr>
          <w:p w14:paraId="65C93248">
            <w:pPr>
              <w:pStyle w:val="3"/>
              <w:keepNext/>
              <w:keepLines/>
              <w:pageBreakBefore w:val="0"/>
              <w:widowControl w:val="0"/>
              <w:kinsoku/>
              <w:wordWrap/>
              <w:overflowPunct/>
              <w:topLinePunct w:val="0"/>
              <w:autoSpaceDE/>
              <w:autoSpaceDN/>
              <w:bidi w:val="0"/>
              <w:adjustRightInd/>
              <w:snapToGrid/>
              <w:spacing w:before="0" w:after="0"/>
              <w:jc w:val="both"/>
              <w:textAlignment w:val="auto"/>
              <w:rPr>
                <w:rFonts w:hint="eastAsia" w:ascii="Times New Roman" w:hAnsi="Times New Roman" w:eastAsia="宋体" w:cs="Times New Roman"/>
                <w:b/>
                <w:bCs/>
                <w:color w:val="auto"/>
                <w:kern w:val="2"/>
                <w:sz w:val="28"/>
                <w:szCs w:val="28"/>
                <w:lang w:val="en-US" w:eastAsia="zh-CN" w:bidi="ar-SA"/>
              </w:rPr>
            </w:pPr>
            <w:r>
              <w:rPr>
                <w:rFonts w:hint="eastAsia" w:ascii="Times New Roman" w:hAnsi="Times New Roman" w:eastAsia="宋体" w:cs="Times New Roman"/>
                <w:b/>
                <w:bCs/>
                <w:color w:val="auto"/>
                <w:kern w:val="2"/>
                <w:sz w:val="28"/>
                <w:szCs w:val="28"/>
                <w:lang w:val="en-US" w:eastAsia="zh-CN" w:bidi="ar-SA"/>
              </w:rPr>
              <w:t>1.2与《闽侯经济技术开发区规划提升（控制性详细规划和城市设计）》符合性分析</w:t>
            </w:r>
          </w:p>
          <w:p w14:paraId="03F60E18">
            <w:pPr>
              <w:pStyle w:val="5"/>
              <w:bidi w:val="0"/>
              <w:jc w:val="both"/>
              <w:rPr>
                <w:rFonts w:hint="eastAsia"/>
                <w:color w:val="auto"/>
                <w:lang w:val="en-US" w:eastAsia="zh-CN"/>
              </w:rPr>
            </w:pPr>
            <w:r>
              <w:rPr>
                <w:rFonts w:hint="default"/>
                <w:color w:val="auto"/>
                <w:lang w:val="en-US" w:eastAsia="zh-CN"/>
              </w:rPr>
              <w:t>闽侯经济技术开发区位于闽侯县城北部、峰福铁路以北。规划研究范围包含闽侯经济开发区一、二、三期、陈店湖工业园和关口工业区，南至峰福铁路、北至闽侯县城北部山体、东至石井路、西至闽侯大桥，涉及甘蔗、荆溪两个街道（镇），总用地面积912公顷</w:t>
            </w:r>
            <w:r>
              <w:rPr>
                <w:rFonts w:hint="eastAsia"/>
                <w:color w:val="auto"/>
                <w:lang w:val="en-US" w:eastAsia="zh-CN"/>
              </w:rPr>
              <w:t>。</w:t>
            </w:r>
          </w:p>
          <w:p w14:paraId="34BF5315">
            <w:pPr>
              <w:pStyle w:val="5"/>
              <w:bidi w:val="0"/>
              <w:jc w:val="both"/>
              <w:rPr>
                <w:rFonts w:hint="eastAsia"/>
                <w:color w:val="auto"/>
                <w:lang w:val="en-US" w:eastAsia="zh-CN"/>
              </w:rPr>
            </w:pPr>
            <w:r>
              <w:rPr>
                <w:rFonts w:hint="eastAsia"/>
                <w:color w:val="auto"/>
                <w:lang w:val="en-US" w:eastAsia="zh-CN"/>
              </w:rPr>
              <w:t>园区发展定位确定为：园城融合、产业集聚、生态友好、配套完善，以“制造+智造”为核心的福州市近郊型工业园区转型升级样板，具体内涵包括福州市都市型工业示范区、福州市智能制造基地、闽侯县“制造+智造”转型示范园区。本片区规划形成“一核、三心、一轴、两带、四区”的空间布局结构。“四区”为陈店湖国际创意家居生产聚集区、克姆湖产城融合综合发展区、铁岭二期智能制造工业示范区及铁岭一期都市型工业集聚区。</w:t>
            </w:r>
          </w:p>
          <w:p w14:paraId="511E4233">
            <w:pPr>
              <w:pStyle w:val="5"/>
              <w:bidi w:val="0"/>
              <w:jc w:val="both"/>
              <w:rPr>
                <w:rFonts w:hint="eastAsia"/>
                <w:color w:val="auto"/>
                <w:lang w:val="en-US" w:eastAsia="zh-CN"/>
              </w:rPr>
            </w:pPr>
            <w:r>
              <w:rPr>
                <w:rFonts w:hint="eastAsia"/>
                <w:color w:val="auto"/>
                <w:lang w:val="en-US" w:eastAsia="zh-CN"/>
              </w:rPr>
              <w:t>本项目位于闽侯经济开发区一期工业园区延伸区，符合闽侯经济开发区的功能定位，符合闽侯经济开发区的功能结构与用地布局。</w:t>
            </w:r>
          </w:p>
          <w:p w14:paraId="2716CFE0">
            <w:pPr>
              <w:pStyle w:val="3"/>
              <w:keepNext/>
              <w:keepLines/>
              <w:pageBreakBefore w:val="0"/>
              <w:widowControl w:val="0"/>
              <w:kinsoku/>
              <w:wordWrap/>
              <w:overflowPunct/>
              <w:topLinePunct w:val="0"/>
              <w:autoSpaceDE/>
              <w:autoSpaceDN/>
              <w:bidi w:val="0"/>
              <w:adjustRightInd/>
              <w:snapToGrid/>
              <w:spacing w:before="0" w:after="0"/>
              <w:jc w:val="both"/>
              <w:textAlignment w:val="auto"/>
              <w:rPr>
                <w:rFonts w:hint="eastAsia" w:ascii="Times New Roman" w:hAnsi="Times New Roman" w:eastAsia="宋体" w:cs="Times New Roman"/>
                <w:b/>
                <w:bCs/>
                <w:color w:val="auto"/>
                <w:kern w:val="2"/>
                <w:sz w:val="28"/>
                <w:szCs w:val="28"/>
                <w:lang w:val="en-US" w:eastAsia="zh-CN" w:bidi="ar-SA"/>
              </w:rPr>
            </w:pPr>
            <w:r>
              <w:rPr>
                <w:rFonts w:hint="eastAsia" w:ascii="Times New Roman" w:hAnsi="Times New Roman" w:eastAsia="宋体" w:cs="Times New Roman"/>
                <w:b/>
                <w:bCs/>
                <w:color w:val="auto"/>
                <w:kern w:val="2"/>
                <w:sz w:val="28"/>
                <w:szCs w:val="28"/>
                <w:lang w:val="en-US" w:eastAsia="zh-CN" w:bidi="ar-SA"/>
              </w:rPr>
              <w:t>1.3与《闽侯县国土空间总体规划（2022-2035年）》符合性分析</w:t>
            </w:r>
          </w:p>
          <w:p w14:paraId="2118BB19">
            <w:pPr>
              <w:pStyle w:val="5"/>
              <w:bidi w:val="0"/>
              <w:jc w:val="both"/>
              <w:rPr>
                <w:rFonts w:hint="eastAsia"/>
                <w:color w:val="auto"/>
                <w:lang w:val="en-US" w:eastAsia="zh-CN"/>
              </w:rPr>
            </w:pPr>
            <w:r>
              <w:rPr>
                <w:rFonts w:hint="default"/>
                <w:color w:val="auto"/>
                <w:lang w:val="en-US" w:eastAsia="zh-CN"/>
              </w:rPr>
              <w:t>《闽侯县国土空间总体规划（2022-2035年）》</w:t>
            </w:r>
            <w:r>
              <w:rPr>
                <w:rFonts w:hint="eastAsia"/>
                <w:color w:val="auto"/>
                <w:lang w:val="en-US" w:eastAsia="zh-CN"/>
              </w:rPr>
              <w:t>指出：严格划定永久基本农田</w:t>
            </w:r>
            <w:r>
              <w:rPr>
                <w:rFonts w:hint="default" w:ascii="Times New Roman" w:hAnsi="Times New Roman" w:cs="Times New Roman"/>
                <w:color w:val="auto"/>
                <w:lang w:val="en-US" w:eastAsia="zh-CN"/>
              </w:rPr>
              <w:t>——</w:t>
            </w:r>
            <w:r>
              <w:rPr>
                <w:rFonts w:hint="eastAsia"/>
                <w:color w:val="auto"/>
                <w:lang w:val="en-US" w:eastAsia="zh-CN"/>
              </w:rPr>
              <w:t>闽侯县划定永久基本农田保护目标135平方公里。永久基本农田一经划定，必须严格落实《基本农田保护条例》和《福建省基本农田保护条例》，严控建设占用永久基本农田；科学划定生态保护红线</w:t>
            </w:r>
            <w:r>
              <w:rPr>
                <w:rFonts w:hint="default" w:ascii="Times New Roman" w:hAnsi="Times New Roman" w:cs="Times New Roman"/>
                <w:color w:val="auto"/>
                <w:lang w:val="en-US" w:eastAsia="zh-CN"/>
              </w:rPr>
              <w:t>——</w:t>
            </w:r>
            <w:r>
              <w:rPr>
                <w:rFonts w:hint="eastAsia"/>
                <w:color w:val="auto"/>
                <w:lang w:val="en-US" w:eastAsia="zh-CN"/>
              </w:rPr>
              <w:t>闽侯县划定生态保护红线目标420平方公里，实行最严格的生态保护红线管控制度，按照《生态保护红线管理办法》要求执行，除国家重大战略项目外，仅允许对生态功能不破坏的有限人为活动。合理确定城镇开发边界</w:t>
            </w:r>
            <w:r>
              <w:rPr>
                <w:rFonts w:hint="default" w:ascii="Times New Roman" w:hAnsi="Times New Roman" w:cs="Times New Roman"/>
                <w:color w:val="auto"/>
                <w:lang w:val="en-US" w:eastAsia="zh-CN"/>
              </w:rPr>
              <w:t>——</w:t>
            </w:r>
            <w:r>
              <w:rPr>
                <w:rFonts w:hint="eastAsia"/>
                <w:color w:val="auto"/>
                <w:lang w:val="en-US" w:eastAsia="zh-CN"/>
              </w:rPr>
              <w:t>闽侯县划定城镇开发边界145平方公里。城镇开发边界一经划定，原则上不得调整因国家重大战略调整、国家重大项目建设、行政区划调整等确需调整的按国土空间规划修改程序进行。</w:t>
            </w:r>
          </w:p>
          <w:p w14:paraId="5DEE94F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Cs w:val="21"/>
                <w:lang w:val="en-US" w:eastAsia="zh-CN"/>
              </w:rPr>
            </w:pPr>
            <w:r>
              <w:rPr>
                <w:rFonts w:hint="eastAsia" w:ascii="Times New Roman" w:hAnsi="Times New Roman" w:eastAsia="宋体" w:cs="宋体"/>
                <w:color w:val="auto"/>
                <w:sz w:val="24"/>
                <w:szCs w:val="24"/>
                <w:lang w:val="en-US" w:eastAsia="zh-CN" w:bidi="ar-SA"/>
              </w:rPr>
              <w:t>本项目不涉及占用永久基本农田，不涉及生态保护红线，在城镇开发边界内，符合《闽侯县国土空间总体规划（2022-2035年）》的要求，统筹规划，优化国土空间格局。</w:t>
            </w:r>
          </w:p>
        </w:tc>
      </w:tr>
      <w:tr w14:paraId="76F0C5C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021" w:hRule="atLeast"/>
          <w:jc w:val="center"/>
        </w:trPr>
        <w:tc>
          <w:tcPr>
            <w:tcW w:w="2382" w:type="dxa"/>
            <w:noWrap w:val="0"/>
            <w:vAlign w:val="center"/>
          </w:tcPr>
          <w:p w14:paraId="2592C529">
            <w:pPr>
              <w:jc w:val="center"/>
              <w:rPr>
                <w:rFonts w:hint="eastAsia" w:ascii="宋体" w:hAnsi="宋体" w:cs="宋体"/>
                <w:color w:val="auto"/>
                <w:szCs w:val="21"/>
              </w:rPr>
            </w:pPr>
            <w:r>
              <w:rPr>
                <w:rFonts w:hint="eastAsia" w:ascii="宋体" w:hAnsi="宋体" w:cs="宋体"/>
                <w:color w:val="auto"/>
                <w:szCs w:val="21"/>
              </w:rPr>
              <w:t>其他符合性分析</w:t>
            </w:r>
          </w:p>
        </w:tc>
        <w:tc>
          <w:tcPr>
            <w:tcW w:w="6488" w:type="dxa"/>
            <w:gridSpan w:val="3"/>
            <w:noWrap w:val="0"/>
            <w:vAlign w:val="center"/>
          </w:tcPr>
          <w:p w14:paraId="0D25D2D4">
            <w:pPr>
              <w:pStyle w:val="5"/>
              <w:ind w:left="0" w:leftChars="0" w:firstLine="0" w:firstLineChars="0"/>
              <w:rPr>
                <w:rFonts w:hint="eastAsia" w:ascii="Times New Roman" w:hAnsi="Times New Roman" w:eastAsia="宋体" w:cs="Times New Roman"/>
                <w:b/>
                <w:bCs/>
                <w:color w:val="auto"/>
                <w:kern w:val="2"/>
                <w:sz w:val="28"/>
                <w:szCs w:val="28"/>
                <w:lang w:val="en-US" w:eastAsia="zh-CN" w:bidi="ar-SA"/>
              </w:rPr>
            </w:pPr>
            <w:r>
              <w:rPr>
                <w:rFonts w:hint="eastAsia" w:ascii="Times New Roman" w:hAnsi="Times New Roman" w:eastAsia="宋体" w:cs="Times New Roman"/>
                <w:b/>
                <w:bCs/>
                <w:color w:val="auto"/>
                <w:kern w:val="2"/>
                <w:sz w:val="28"/>
                <w:szCs w:val="28"/>
                <w:lang w:val="en-US" w:eastAsia="zh-CN" w:bidi="ar-SA"/>
              </w:rPr>
              <w:t>1.</w:t>
            </w:r>
            <w:r>
              <w:rPr>
                <w:rFonts w:hint="eastAsia" w:cs="Times New Roman"/>
                <w:b/>
                <w:bCs/>
                <w:color w:val="auto"/>
                <w:kern w:val="2"/>
                <w:sz w:val="28"/>
                <w:szCs w:val="28"/>
                <w:lang w:val="en-US" w:eastAsia="zh-CN" w:bidi="ar-SA"/>
              </w:rPr>
              <w:t>4</w:t>
            </w:r>
            <w:r>
              <w:rPr>
                <w:rFonts w:hint="eastAsia" w:ascii="Times New Roman" w:hAnsi="Times New Roman" w:eastAsia="宋体" w:cs="Times New Roman"/>
                <w:b/>
                <w:bCs/>
                <w:color w:val="auto"/>
                <w:kern w:val="2"/>
                <w:sz w:val="28"/>
                <w:szCs w:val="28"/>
                <w:lang w:val="en-US" w:eastAsia="zh-CN" w:bidi="ar-SA"/>
              </w:rPr>
              <w:t>、产业政策符合性分析</w:t>
            </w:r>
          </w:p>
          <w:p w14:paraId="4536D16A">
            <w:pPr>
              <w:pStyle w:val="5"/>
              <w:rPr>
                <w:rFonts w:hint="eastAsia" w:ascii="Times New Roman" w:hAnsi="Times New Roman" w:eastAsia="宋体" w:cs="宋体"/>
                <w:color w:val="auto"/>
                <w:sz w:val="24"/>
                <w:szCs w:val="24"/>
              </w:rPr>
            </w:pPr>
            <w:r>
              <w:rPr>
                <w:rFonts w:hint="eastAsia" w:ascii="Times New Roman" w:hAnsi="Times New Roman" w:eastAsia="宋体" w:cs="宋体"/>
                <w:color w:val="auto"/>
                <w:sz w:val="24"/>
                <w:szCs w:val="24"/>
              </w:rPr>
              <w:t>本项目主要从事光学</w:t>
            </w:r>
            <w:r>
              <w:rPr>
                <w:rFonts w:hint="eastAsia" w:cs="宋体"/>
                <w:color w:val="auto"/>
                <w:sz w:val="24"/>
                <w:szCs w:val="24"/>
                <w:lang w:val="en-US" w:eastAsia="zh-CN"/>
              </w:rPr>
              <w:t>镜片、镜头</w:t>
            </w:r>
            <w:r>
              <w:rPr>
                <w:rFonts w:hint="eastAsia" w:ascii="Times New Roman" w:hAnsi="Times New Roman" w:eastAsia="宋体" w:cs="宋体"/>
                <w:color w:val="auto"/>
                <w:sz w:val="24"/>
                <w:szCs w:val="24"/>
              </w:rPr>
              <w:t>的生产，不属于《产业结构调整指导目录20</w:t>
            </w:r>
            <w:r>
              <w:rPr>
                <w:rFonts w:hint="eastAsia" w:ascii="Times New Roman" w:hAnsi="Times New Roman" w:eastAsia="宋体" w:cs="宋体"/>
                <w:color w:val="auto"/>
                <w:sz w:val="24"/>
                <w:szCs w:val="24"/>
                <w:lang w:val="en-US" w:eastAsia="zh-CN"/>
              </w:rPr>
              <w:t>24</w:t>
            </w:r>
            <w:r>
              <w:rPr>
                <w:rFonts w:hint="eastAsia" w:ascii="Times New Roman" w:hAnsi="Times New Roman" w:eastAsia="宋体" w:cs="宋体"/>
                <w:color w:val="auto"/>
                <w:sz w:val="24"/>
                <w:szCs w:val="24"/>
              </w:rPr>
              <w:t>年本》中“限制类”、“淘汰类”，为允许类项目。</w:t>
            </w:r>
            <w:r>
              <w:rPr>
                <w:rFonts w:hint="eastAsia" w:ascii="Times New Roman" w:hAnsi="Times New Roman" w:eastAsia="宋体" w:cs="Times New Roman"/>
                <w:snapToGrid w:val="0"/>
                <w:color w:val="auto"/>
                <w:kern w:val="0"/>
                <w:sz w:val="24"/>
                <w:szCs w:val="22"/>
                <w:lang w:val="en-US" w:eastAsia="zh-CN" w:bidi="ar-SA"/>
              </w:rPr>
              <w:t>且该项目于2025年0</w:t>
            </w:r>
            <w:r>
              <w:rPr>
                <w:rFonts w:hint="eastAsia" w:cs="Times New Roman"/>
                <w:snapToGrid w:val="0"/>
                <w:color w:val="auto"/>
                <w:kern w:val="0"/>
                <w:sz w:val="24"/>
                <w:szCs w:val="22"/>
                <w:lang w:val="en-US" w:eastAsia="zh-CN" w:bidi="ar-SA"/>
              </w:rPr>
              <w:t>7</w:t>
            </w:r>
            <w:r>
              <w:rPr>
                <w:rFonts w:hint="eastAsia" w:ascii="Times New Roman" w:hAnsi="Times New Roman" w:eastAsia="宋体" w:cs="Times New Roman"/>
                <w:snapToGrid w:val="0"/>
                <w:color w:val="auto"/>
                <w:kern w:val="0"/>
                <w:sz w:val="24"/>
                <w:szCs w:val="22"/>
                <w:lang w:val="en-US" w:eastAsia="zh-CN" w:bidi="ar-SA"/>
              </w:rPr>
              <w:t>月</w:t>
            </w:r>
            <w:r>
              <w:rPr>
                <w:rFonts w:hint="eastAsia" w:cs="Times New Roman"/>
                <w:snapToGrid w:val="0"/>
                <w:color w:val="auto"/>
                <w:kern w:val="0"/>
                <w:sz w:val="24"/>
                <w:szCs w:val="22"/>
                <w:lang w:val="en-US" w:eastAsia="zh-CN" w:bidi="ar-SA"/>
              </w:rPr>
              <w:t>28</w:t>
            </w:r>
            <w:r>
              <w:rPr>
                <w:rFonts w:hint="eastAsia" w:ascii="Times New Roman" w:hAnsi="Times New Roman" w:eastAsia="宋体" w:cs="Times New Roman"/>
                <w:snapToGrid w:val="0"/>
                <w:color w:val="auto"/>
                <w:kern w:val="0"/>
                <w:sz w:val="24"/>
                <w:szCs w:val="22"/>
                <w:lang w:val="en-US" w:eastAsia="zh-CN" w:bidi="ar-SA"/>
              </w:rPr>
              <w:t>日通过了闽侯县发展和改革局的备案</w:t>
            </w:r>
            <w:r>
              <w:rPr>
                <w:rFonts w:ascii="Times New Roman" w:hAnsi="Times New Roman" w:eastAsia="宋体" w:cs="Times New Roman"/>
                <w:snapToGrid w:val="0"/>
                <w:color w:val="auto"/>
                <w:kern w:val="0"/>
                <w:sz w:val="24"/>
                <w:szCs w:val="22"/>
                <w:lang w:val="en-US" w:eastAsia="zh-CN" w:bidi="ar-SA"/>
              </w:rPr>
              <w:t>，备案文号为</w:t>
            </w:r>
            <w:r>
              <w:rPr>
                <w:rFonts w:hint="eastAsia" w:ascii="Times New Roman" w:hAnsi="Times New Roman" w:eastAsia="宋体" w:cs="Times New Roman"/>
                <w:snapToGrid w:val="0"/>
                <w:color w:val="auto"/>
                <w:kern w:val="0"/>
                <w:sz w:val="24"/>
                <w:szCs w:val="22"/>
                <w:lang w:val="en-US" w:eastAsia="zh-CN" w:bidi="ar-SA"/>
              </w:rPr>
              <w:t>（闽发改备[2025]A080</w:t>
            </w:r>
            <w:r>
              <w:rPr>
                <w:rFonts w:hint="eastAsia" w:cs="Times New Roman"/>
                <w:snapToGrid w:val="0"/>
                <w:color w:val="auto"/>
                <w:kern w:val="0"/>
                <w:sz w:val="24"/>
                <w:szCs w:val="22"/>
                <w:lang w:val="en-US" w:eastAsia="zh-CN" w:bidi="ar-SA"/>
              </w:rPr>
              <w:t>354</w:t>
            </w:r>
            <w:r>
              <w:rPr>
                <w:rFonts w:hint="eastAsia" w:ascii="Times New Roman" w:hAnsi="Times New Roman" w:eastAsia="宋体" w:cs="Times New Roman"/>
                <w:snapToGrid w:val="0"/>
                <w:color w:val="auto"/>
                <w:kern w:val="0"/>
                <w:sz w:val="24"/>
                <w:szCs w:val="22"/>
                <w:lang w:val="en-US" w:eastAsia="zh-CN" w:bidi="ar-SA"/>
              </w:rPr>
              <w:t>号，详见附件二），</w:t>
            </w:r>
            <w:r>
              <w:rPr>
                <w:rFonts w:hint="eastAsia" w:ascii="Times New Roman" w:hAnsi="Times New Roman" w:eastAsia="宋体" w:cs="宋体"/>
                <w:color w:val="auto"/>
                <w:sz w:val="24"/>
                <w:szCs w:val="24"/>
              </w:rPr>
              <w:t>综上，本项目建设符合国家当前的产业政策要求。</w:t>
            </w:r>
          </w:p>
          <w:p w14:paraId="7D58BE07">
            <w:pPr>
              <w:pStyle w:val="5"/>
              <w:ind w:left="0" w:leftChars="0" w:firstLine="0" w:firstLineChars="0"/>
              <w:rPr>
                <w:rFonts w:hint="eastAsia" w:ascii="Times New Roman" w:hAnsi="Times New Roman" w:eastAsia="宋体" w:cs="Times New Roman"/>
                <w:b/>
                <w:bCs/>
                <w:color w:val="auto"/>
                <w:kern w:val="2"/>
                <w:sz w:val="28"/>
                <w:szCs w:val="28"/>
                <w:lang w:val="en-US" w:eastAsia="zh-CN" w:bidi="ar-SA"/>
              </w:rPr>
            </w:pPr>
            <w:r>
              <w:rPr>
                <w:rFonts w:hint="eastAsia" w:ascii="Times New Roman" w:hAnsi="Times New Roman" w:eastAsia="宋体" w:cs="Times New Roman"/>
                <w:b/>
                <w:bCs/>
                <w:color w:val="auto"/>
                <w:kern w:val="2"/>
                <w:sz w:val="28"/>
                <w:szCs w:val="28"/>
                <w:lang w:val="en-US" w:eastAsia="zh-CN" w:bidi="ar-SA"/>
              </w:rPr>
              <w:t>1.</w:t>
            </w:r>
            <w:r>
              <w:rPr>
                <w:rFonts w:hint="eastAsia" w:cs="Times New Roman"/>
                <w:b/>
                <w:bCs/>
                <w:color w:val="auto"/>
                <w:kern w:val="2"/>
                <w:sz w:val="28"/>
                <w:szCs w:val="28"/>
                <w:lang w:val="en-US" w:eastAsia="zh-CN" w:bidi="ar-SA"/>
              </w:rPr>
              <w:t>5</w:t>
            </w:r>
            <w:r>
              <w:rPr>
                <w:rFonts w:hint="eastAsia" w:ascii="Times New Roman" w:hAnsi="Times New Roman" w:eastAsia="宋体" w:cs="Times New Roman"/>
                <w:b/>
                <w:bCs/>
                <w:color w:val="auto"/>
                <w:kern w:val="2"/>
                <w:sz w:val="28"/>
                <w:szCs w:val="28"/>
                <w:lang w:val="en-US" w:eastAsia="zh-CN" w:bidi="ar-SA"/>
              </w:rPr>
              <w:t>、选址可行性分析</w:t>
            </w:r>
          </w:p>
          <w:p w14:paraId="68812991">
            <w:pPr>
              <w:pStyle w:val="5"/>
              <w:rPr>
                <w:rFonts w:hint="eastAsia" w:ascii="Times New Roman" w:hAnsi="Times New Roman" w:eastAsia="宋体" w:cs="宋体"/>
                <w:color w:val="auto"/>
                <w:sz w:val="24"/>
                <w:szCs w:val="24"/>
              </w:rPr>
            </w:pPr>
            <w:r>
              <w:rPr>
                <w:rFonts w:hint="eastAsia" w:ascii="Times New Roman" w:hAnsi="Times New Roman" w:eastAsia="宋体" w:cs="宋体"/>
                <w:color w:val="auto"/>
                <w:sz w:val="24"/>
                <w:szCs w:val="24"/>
              </w:rPr>
              <w:t>本项目位于</w:t>
            </w:r>
            <w:r>
              <w:rPr>
                <w:rFonts w:hint="eastAsia"/>
                <w:color w:val="auto"/>
                <w:lang w:val="en-US" w:eastAsia="zh-CN"/>
              </w:rPr>
              <w:t>闽侯经济开发区一期工业园区延伸区</w:t>
            </w:r>
            <w:r>
              <w:rPr>
                <w:rFonts w:hint="eastAsia" w:ascii="Times New Roman" w:hAnsi="Times New Roman" w:eastAsia="宋体" w:cs="宋体"/>
                <w:color w:val="auto"/>
                <w:sz w:val="24"/>
                <w:szCs w:val="24"/>
              </w:rPr>
              <w:t>，根据现场勘查，项目周边以工业企业为主</w:t>
            </w:r>
            <w:r>
              <w:rPr>
                <w:rFonts w:hint="eastAsia" w:cs="宋体"/>
                <w:color w:val="auto"/>
                <w:sz w:val="24"/>
                <w:szCs w:val="24"/>
                <w:lang w:eastAsia="zh-CN"/>
              </w:rPr>
              <w:t>（</w:t>
            </w:r>
            <w:r>
              <w:rPr>
                <w:rFonts w:hint="eastAsia" w:cs="宋体"/>
                <w:color w:val="auto"/>
                <w:sz w:val="24"/>
                <w:szCs w:val="24"/>
                <w:lang w:val="en-US" w:eastAsia="zh-CN"/>
              </w:rPr>
              <w:t>详见附图二</w:t>
            </w:r>
            <w:r>
              <w:rPr>
                <w:rFonts w:hint="eastAsia" w:cs="宋体"/>
                <w:color w:val="auto"/>
                <w:sz w:val="24"/>
                <w:szCs w:val="24"/>
                <w:lang w:eastAsia="zh-CN"/>
              </w:rPr>
              <w:t>），</w:t>
            </w:r>
            <w:r>
              <w:rPr>
                <w:rFonts w:hint="eastAsia" w:ascii="Times New Roman" w:hAnsi="Times New Roman" w:eastAsia="宋体" w:cs="宋体"/>
                <w:color w:val="auto"/>
                <w:sz w:val="24"/>
                <w:szCs w:val="24"/>
              </w:rPr>
              <w:t>根据不动产权证（闽（</w:t>
            </w:r>
            <w:r>
              <w:rPr>
                <w:rFonts w:hint="eastAsia" w:cs="宋体"/>
                <w:color w:val="auto"/>
                <w:sz w:val="24"/>
                <w:szCs w:val="24"/>
                <w:lang w:val="en-US" w:eastAsia="zh-CN"/>
              </w:rPr>
              <w:t>2017</w:t>
            </w:r>
            <w:r>
              <w:rPr>
                <w:rFonts w:hint="eastAsia" w:ascii="Times New Roman" w:hAnsi="Times New Roman" w:eastAsia="宋体" w:cs="宋体"/>
                <w:color w:val="auto"/>
                <w:sz w:val="24"/>
                <w:szCs w:val="24"/>
              </w:rPr>
              <w:t>）闽侯县不动产权第00</w:t>
            </w:r>
            <w:r>
              <w:rPr>
                <w:rFonts w:hint="eastAsia" w:cs="宋体"/>
                <w:color w:val="auto"/>
                <w:sz w:val="24"/>
                <w:szCs w:val="24"/>
                <w:lang w:val="en-US" w:eastAsia="zh-CN"/>
              </w:rPr>
              <w:t>32351</w:t>
            </w:r>
            <w:r>
              <w:rPr>
                <w:rFonts w:hint="eastAsia" w:ascii="Times New Roman" w:hAnsi="Times New Roman" w:eastAsia="宋体" w:cs="宋体"/>
                <w:color w:val="auto"/>
                <w:sz w:val="24"/>
                <w:szCs w:val="24"/>
              </w:rPr>
              <w:t>号，见附件</w:t>
            </w:r>
            <w:r>
              <w:rPr>
                <w:rFonts w:hint="eastAsia" w:ascii="Times New Roman" w:hAnsi="Times New Roman" w:eastAsia="宋体" w:cs="宋体"/>
                <w:color w:val="auto"/>
                <w:sz w:val="24"/>
                <w:szCs w:val="24"/>
                <w:lang w:val="en-US" w:eastAsia="zh-CN"/>
              </w:rPr>
              <w:t>五</w:t>
            </w:r>
            <w:r>
              <w:rPr>
                <w:rFonts w:hint="eastAsia" w:ascii="Times New Roman" w:hAnsi="Times New Roman" w:eastAsia="宋体" w:cs="宋体"/>
                <w:color w:val="auto"/>
                <w:sz w:val="24"/>
                <w:szCs w:val="24"/>
              </w:rPr>
              <w:t>），本项目用地性质为工业用地，符合规划，与周边环境相容性较好。因此，本项目用地选址合理。</w:t>
            </w:r>
          </w:p>
          <w:p w14:paraId="1C03FF26">
            <w:pPr>
              <w:pStyle w:val="5"/>
              <w:ind w:left="0" w:leftChars="0" w:firstLine="0" w:firstLineChars="0"/>
              <w:rPr>
                <w:rFonts w:hint="eastAsia" w:ascii="Times New Roman" w:hAnsi="Times New Roman" w:eastAsia="宋体" w:cs="Times New Roman"/>
                <w:b/>
                <w:bCs/>
                <w:color w:val="auto"/>
                <w:kern w:val="2"/>
                <w:sz w:val="28"/>
                <w:szCs w:val="28"/>
                <w:lang w:val="en-US" w:eastAsia="zh-CN" w:bidi="ar-SA"/>
              </w:rPr>
            </w:pPr>
            <w:r>
              <w:rPr>
                <w:rFonts w:hint="eastAsia" w:ascii="Times New Roman" w:hAnsi="Times New Roman" w:eastAsia="宋体" w:cs="Times New Roman"/>
                <w:b/>
                <w:bCs/>
                <w:color w:val="auto"/>
                <w:kern w:val="2"/>
                <w:sz w:val="28"/>
                <w:szCs w:val="28"/>
                <w:lang w:val="en-US" w:eastAsia="zh-CN" w:bidi="ar-SA"/>
              </w:rPr>
              <w:t>1.</w:t>
            </w:r>
            <w:r>
              <w:rPr>
                <w:rFonts w:hint="eastAsia" w:cs="Times New Roman"/>
                <w:b/>
                <w:bCs/>
                <w:color w:val="auto"/>
                <w:kern w:val="2"/>
                <w:sz w:val="28"/>
                <w:szCs w:val="28"/>
                <w:lang w:val="en-US" w:eastAsia="zh-CN" w:bidi="ar-SA"/>
              </w:rPr>
              <w:t>6</w:t>
            </w:r>
            <w:r>
              <w:rPr>
                <w:rFonts w:hint="eastAsia" w:ascii="Times New Roman" w:hAnsi="Times New Roman" w:eastAsia="宋体" w:cs="Times New Roman"/>
                <w:b/>
                <w:bCs/>
                <w:color w:val="auto"/>
                <w:kern w:val="2"/>
                <w:sz w:val="28"/>
                <w:szCs w:val="28"/>
                <w:lang w:val="en-US" w:eastAsia="zh-CN" w:bidi="ar-SA"/>
              </w:rPr>
              <w:t>、</w:t>
            </w:r>
            <w:r>
              <w:rPr>
                <w:rFonts w:hint="eastAsia" w:cs="Times New Roman"/>
                <w:b/>
                <w:bCs/>
                <w:color w:val="auto"/>
                <w:kern w:val="2"/>
                <w:sz w:val="28"/>
                <w:szCs w:val="28"/>
                <w:lang w:val="en-US" w:eastAsia="zh-CN" w:bidi="ar-SA"/>
              </w:rPr>
              <w:t>园区</w:t>
            </w:r>
            <w:r>
              <w:rPr>
                <w:rFonts w:hint="eastAsia" w:ascii="Times New Roman" w:hAnsi="Times New Roman" w:eastAsia="宋体" w:cs="Times New Roman"/>
                <w:b/>
                <w:bCs/>
                <w:color w:val="auto"/>
                <w:kern w:val="2"/>
                <w:sz w:val="28"/>
                <w:szCs w:val="28"/>
                <w:lang w:val="en-US" w:eastAsia="zh-CN" w:bidi="ar-SA"/>
              </w:rPr>
              <w:t>平面布置合理性分析</w:t>
            </w:r>
          </w:p>
          <w:p w14:paraId="71CEBEAD">
            <w:pPr>
              <w:pStyle w:val="5"/>
              <w:rPr>
                <w:rFonts w:hint="eastAsia" w:ascii="Times New Roman" w:hAnsi="Times New Roman" w:eastAsia="宋体" w:cs="宋体"/>
                <w:color w:val="auto"/>
                <w:sz w:val="24"/>
                <w:szCs w:val="24"/>
              </w:rPr>
            </w:pPr>
            <w:r>
              <w:rPr>
                <w:rFonts w:hint="eastAsia" w:ascii="Times New Roman" w:hAnsi="Times New Roman" w:eastAsia="宋体" w:cs="宋体"/>
                <w:color w:val="auto"/>
                <w:sz w:val="24"/>
                <w:szCs w:val="24"/>
              </w:rPr>
              <w:t>本项目位于</w:t>
            </w:r>
            <w:r>
              <w:rPr>
                <w:rFonts w:hint="eastAsia"/>
                <w:color w:val="auto"/>
                <w:lang w:val="en-US" w:eastAsia="zh-CN"/>
              </w:rPr>
              <w:t>闽侯经济开发区一期工业园区延伸区</w:t>
            </w:r>
            <w:r>
              <w:rPr>
                <w:rFonts w:hint="eastAsia" w:ascii="Times New Roman" w:hAnsi="Times New Roman" w:eastAsia="宋体" w:cs="宋体"/>
                <w:color w:val="auto"/>
                <w:sz w:val="24"/>
                <w:szCs w:val="24"/>
              </w:rPr>
              <w:t>，项目组成主要是生产车间、仓库、办公区。根据</w:t>
            </w:r>
            <w:r>
              <w:rPr>
                <w:rFonts w:hint="eastAsia" w:cs="宋体"/>
                <w:color w:val="auto"/>
                <w:sz w:val="24"/>
                <w:szCs w:val="24"/>
                <w:lang w:eastAsia="zh-CN"/>
              </w:rPr>
              <w:t>园区</w:t>
            </w:r>
            <w:r>
              <w:rPr>
                <w:rFonts w:hint="eastAsia" w:ascii="Times New Roman" w:hAnsi="Times New Roman" w:eastAsia="宋体" w:cs="宋体"/>
                <w:color w:val="auto"/>
                <w:sz w:val="24"/>
                <w:szCs w:val="24"/>
              </w:rPr>
              <w:t>平面布置图（</w:t>
            </w:r>
            <w:r>
              <w:rPr>
                <w:rFonts w:hint="eastAsia" w:ascii="Times New Roman" w:hAnsi="Times New Roman" w:eastAsia="宋体" w:cs="宋体"/>
                <w:color w:val="auto"/>
                <w:sz w:val="24"/>
                <w:szCs w:val="24"/>
                <w:lang w:val="en-US" w:eastAsia="zh-CN"/>
              </w:rPr>
              <w:t>附图四</w:t>
            </w:r>
            <w:r>
              <w:rPr>
                <w:rFonts w:hint="eastAsia" w:ascii="Times New Roman" w:hAnsi="Times New Roman" w:eastAsia="宋体" w:cs="宋体"/>
                <w:color w:val="auto"/>
                <w:sz w:val="24"/>
                <w:szCs w:val="24"/>
              </w:rPr>
              <w:t>），项目生产车间与办公区域布设分区明确，生产车间根据生产工业流程进行合理布设，</w:t>
            </w:r>
            <w:r>
              <w:rPr>
                <w:rFonts w:hint="eastAsia" w:cs="宋体"/>
                <w:color w:val="auto"/>
                <w:sz w:val="24"/>
                <w:szCs w:val="24"/>
                <w:lang w:eastAsia="zh-CN"/>
              </w:rPr>
              <w:t>园区</w:t>
            </w:r>
            <w:r>
              <w:rPr>
                <w:rFonts w:hint="eastAsia" w:ascii="Times New Roman" w:hAnsi="Times New Roman" w:eastAsia="宋体" w:cs="宋体"/>
                <w:color w:val="auto"/>
                <w:sz w:val="24"/>
                <w:szCs w:val="24"/>
              </w:rPr>
              <w:t>道路和车间之间的相连形成环路，符合消防要求，厂内、外交通运输相适应，在</w:t>
            </w:r>
            <w:r>
              <w:rPr>
                <w:rFonts w:hint="eastAsia" w:cs="宋体"/>
                <w:color w:val="auto"/>
                <w:sz w:val="24"/>
                <w:szCs w:val="24"/>
                <w:lang w:eastAsia="zh-CN"/>
              </w:rPr>
              <w:t>园区</w:t>
            </w:r>
            <w:r>
              <w:rPr>
                <w:rFonts w:hint="eastAsia" w:ascii="Times New Roman" w:hAnsi="Times New Roman" w:eastAsia="宋体" w:cs="宋体"/>
                <w:color w:val="auto"/>
                <w:sz w:val="24"/>
                <w:szCs w:val="24"/>
              </w:rPr>
              <w:t>设置主出入口和消防出入口，合理分流。办公和</w:t>
            </w:r>
            <w:r>
              <w:rPr>
                <w:rFonts w:hint="eastAsia" w:cs="宋体"/>
                <w:color w:val="auto"/>
                <w:sz w:val="24"/>
                <w:szCs w:val="24"/>
                <w:lang w:eastAsia="zh-CN"/>
              </w:rPr>
              <w:t>园区</w:t>
            </w:r>
            <w:r>
              <w:rPr>
                <w:rFonts w:hint="eastAsia" w:ascii="Times New Roman" w:hAnsi="Times New Roman" w:eastAsia="宋体" w:cs="宋体"/>
                <w:color w:val="auto"/>
                <w:sz w:val="24"/>
                <w:szCs w:val="24"/>
              </w:rPr>
              <w:t>分开布设，污染大的生产车间等距离办公楼较远，提高</w:t>
            </w:r>
            <w:r>
              <w:rPr>
                <w:rFonts w:hint="eastAsia" w:cs="宋体"/>
                <w:color w:val="auto"/>
                <w:sz w:val="24"/>
                <w:szCs w:val="24"/>
                <w:lang w:eastAsia="zh-CN"/>
              </w:rPr>
              <w:t>园区</w:t>
            </w:r>
            <w:r>
              <w:rPr>
                <w:rFonts w:hint="eastAsia" w:ascii="Times New Roman" w:hAnsi="Times New Roman" w:eastAsia="宋体" w:cs="宋体"/>
                <w:color w:val="auto"/>
                <w:sz w:val="24"/>
                <w:szCs w:val="24"/>
              </w:rPr>
              <w:t>内办公环境，因此</w:t>
            </w:r>
            <w:r>
              <w:rPr>
                <w:rFonts w:hint="eastAsia" w:cs="宋体"/>
                <w:color w:val="auto"/>
                <w:sz w:val="24"/>
                <w:szCs w:val="24"/>
                <w:lang w:eastAsia="zh-CN"/>
              </w:rPr>
              <w:t>园区</w:t>
            </w:r>
            <w:r>
              <w:rPr>
                <w:rFonts w:hint="eastAsia" w:ascii="Times New Roman" w:hAnsi="Times New Roman" w:eastAsia="宋体" w:cs="宋体"/>
                <w:color w:val="auto"/>
                <w:sz w:val="24"/>
                <w:szCs w:val="24"/>
              </w:rPr>
              <w:t>平面布置合理。</w:t>
            </w:r>
          </w:p>
          <w:p w14:paraId="0252616B">
            <w:pPr>
              <w:pStyle w:val="5"/>
              <w:ind w:left="0" w:leftChars="0" w:firstLine="0" w:firstLineChars="0"/>
              <w:rPr>
                <w:rFonts w:hint="eastAsia" w:ascii="Times New Roman" w:hAnsi="Times New Roman" w:eastAsia="宋体" w:cs="Times New Roman"/>
                <w:b/>
                <w:bCs/>
                <w:color w:val="auto"/>
                <w:kern w:val="2"/>
                <w:sz w:val="28"/>
                <w:szCs w:val="28"/>
                <w:lang w:val="en-US" w:eastAsia="zh-CN" w:bidi="ar-SA"/>
              </w:rPr>
            </w:pPr>
            <w:r>
              <w:rPr>
                <w:rFonts w:hint="default" w:ascii="Times New Roman" w:hAnsi="Times New Roman" w:eastAsia="宋体" w:cs="Times New Roman"/>
                <w:b/>
                <w:bCs/>
                <w:color w:val="auto"/>
                <w:kern w:val="2"/>
                <w:sz w:val="28"/>
                <w:szCs w:val="28"/>
                <w:lang w:val="en-US" w:eastAsia="zh-CN" w:bidi="ar-SA"/>
              </w:rPr>
              <w:t>1.</w:t>
            </w:r>
            <w:r>
              <w:rPr>
                <w:rFonts w:hint="eastAsia" w:cs="Times New Roman"/>
                <w:b/>
                <w:bCs/>
                <w:color w:val="auto"/>
                <w:kern w:val="2"/>
                <w:sz w:val="28"/>
                <w:szCs w:val="28"/>
                <w:lang w:val="en-US" w:eastAsia="zh-CN" w:bidi="ar-SA"/>
              </w:rPr>
              <w:t>7</w:t>
            </w:r>
            <w:r>
              <w:rPr>
                <w:rFonts w:hint="eastAsia" w:ascii="Times New Roman" w:hAnsi="Times New Roman" w:eastAsia="宋体" w:cs="Times New Roman"/>
                <w:b/>
                <w:bCs/>
                <w:color w:val="auto"/>
                <w:kern w:val="2"/>
                <w:sz w:val="28"/>
                <w:szCs w:val="28"/>
                <w:lang w:val="en-US" w:eastAsia="zh-CN" w:bidi="ar-SA"/>
              </w:rPr>
              <w:t>与《闽侯县国土空间总体规划（2022-2035）》符合性分析</w:t>
            </w:r>
          </w:p>
          <w:p w14:paraId="4CEDEDFE">
            <w:pPr>
              <w:pStyle w:val="5"/>
              <w:bidi w:val="0"/>
              <w:rPr>
                <w:rFonts w:hint="eastAsia" w:ascii="Times New Roman" w:hAnsi="Times New Roman" w:eastAsia="宋体"/>
                <w:color w:val="auto"/>
                <w:lang w:val="en-US" w:eastAsia="zh-CN"/>
              </w:rPr>
            </w:pPr>
            <w:r>
              <w:rPr>
                <w:rFonts w:hint="default" w:ascii="Times New Roman" w:hAnsi="Times New Roman" w:eastAsia="宋体"/>
                <w:color w:val="auto"/>
                <w:lang w:val="en-US" w:eastAsia="zh-CN"/>
              </w:rPr>
              <w:t>《闽侯县国土空间总体规划（2022-2035年）》</w:t>
            </w:r>
            <w:r>
              <w:rPr>
                <w:rFonts w:hint="eastAsia" w:ascii="Times New Roman" w:hAnsi="Times New Roman" w:eastAsia="宋体"/>
                <w:color w:val="auto"/>
                <w:lang w:val="en-US" w:eastAsia="zh-CN"/>
              </w:rPr>
              <w:t>指出：严格划定永久基本农田</w:t>
            </w:r>
            <w:r>
              <w:rPr>
                <w:rFonts w:hint="default" w:ascii="Times New Roman" w:hAnsi="Times New Roman" w:eastAsia="宋体" w:cs="Times New Roman"/>
                <w:color w:val="auto"/>
                <w:lang w:val="en-US" w:eastAsia="zh-CN"/>
              </w:rPr>
              <w:t>——</w:t>
            </w:r>
            <w:r>
              <w:rPr>
                <w:rFonts w:hint="eastAsia" w:ascii="Times New Roman" w:hAnsi="Times New Roman" w:eastAsia="宋体"/>
                <w:color w:val="auto"/>
                <w:lang w:val="en-US" w:eastAsia="zh-CN"/>
              </w:rPr>
              <w:t>闽侯县划定永久基本农田保护目标135平方公里。永久基本农田一经划定，必须严格落实《基本农田保护条例》和《福建省基本农田保护条例》，严控建设占用永久基本农田；科学划定生态保护红线</w:t>
            </w:r>
            <w:r>
              <w:rPr>
                <w:rFonts w:hint="default" w:ascii="Times New Roman" w:hAnsi="Times New Roman" w:eastAsia="宋体" w:cs="Times New Roman"/>
                <w:color w:val="auto"/>
                <w:lang w:val="en-US" w:eastAsia="zh-CN"/>
              </w:rPr>
              <w:t>——</w:t>
            </w:r>
            <w:r>
              <w:rPr>
                <w:rFonts w:hint="eastAsia" w:ascii="Times New Roman" w:hAnsi="Times New Roman" w:eastAsia="宋体"/>
                <w:color w:val="auto"/>
                <w:lang w:val="en-US" w:eastAsia="zh-CN"/>
              </w:rPr>
              <w:t>闽侯县划定生态保护红线目标420平方公里，实行最严格的生态保护红线管控制度，按照《生态保护红线管理办法》要求执行，除国家重大战略项目外，仅允许对生态功能不破坏的有限人为活动。合理确定城镇开发边界</w:t>
            </w:r>
            <w:r>
              <w:rPr>
                <w:rFonts w:hint="default" w:ascii="Times New Roman" w:hAnsi="Times New Roman" w:eastAsia="宋体" w:cs="Times New Roman"/>
                <w:color w:val="auto"/>
                <w:lang w:val="en-US" w:eastAsia="zh-CN"/>
              </w:rPr>
              <w:t>——</w:t>
            </w:r>
            <w:r>
              <w:rPr>
                <w:rFonts w:hint="eastAsia" w:ascii="Times New Roman" w:hAnsi="Times New Roman" w:eastAsia="宋体"/>
                <w:color w:val="auto"/>
                <w:lang w:val="en-US" w:eastAsia="zh-CN"/>
              </w:rPr>
              <w:t>闽侯县划定城镇开发边界145平方公里。城镇开发边界一经划定，原则上不得调整因国家重大战略调整、国家重大项目建设、行政区划调整等确需调整的按国土空间规划修改程序进行。</w:t>
            </w:r>
          </w:p>
          <w:p w14:paraId="27568DEA">
            <w:pPr>
              <w:pStyle w:val="5"/>
              <w:rPr>
                <w:rFonts w:hint="default" w:ascii="Times New Roman" w:hAnsi="Times New Roman" w:eastAsia="宋体" w:cs="宋体"/>
                <w:b w:val="0"/>
                <w:bCs w:val="0"/>
                <w:color w:val="auto"/>
                <w:kern w:val="0"/>
                <w:sz w:val="24"/>
                <w:szCs w:val="17"/>
                <w:lang w:val="en-US" w:eastAsia="zh-CN" w:bidi="ar-SA"/>
              </w:rPr>
            </w:pPr>
            <w:r>
              <w:rPr>
                <w:rFonts w:hint="default" w:ascii="Times New Roman" w:hAnsi="Times New Roman" w:eastAsia="宋体" w:cs="宋体"/>
                <w:color w:val="auto"/>
                <w:sz w:val="24"/>
                <w:szCs w:val="17"/>
                <w:lang w:val="en-US" w:eastAsia="zh-CN"/>
              </w:rPr>
              <w:t>本项目不涉及占用永久基本农田，不涉及生态保护红线，在城镇开发边界内，符合《闽侯县国土空间总体规划（2022-2035年）》的要求，统筹规划，优化国土空间格局。</w:t>
            </w:r>
          </w:p>
          <w:p w14:paraId="0BA50299">
            <w:pPr>
              <w:pStyle w:val="5"/>
              <w:ind w:left="0" w:leftChars="0" w:firstLine="0" w:firstLineChars="0"/>
              <w:rPr>
                <w:rFonts w:hint="eastAsia" w:ascii="Times New Roman" w:hAnsi="Times New Roman" w:eastAsia="宋体" w:cs="Times New Roman"/>
                <w:b/>
                <w:bCs/>
                <w:color w:val="auto"/>
                <w:kern w:val="2"/>
                <w:sz w:val="28"/>
                <w:szCs w:val="28"/>
                <w:lang w:val="en-US" w:eastAsia="zh-CN" w:bidi="ar-SA"/>
              </w:rPr>
            </w:pPr>
            <w:r>
              <w:rPr>
                <w:rFonts w:hint="eastAsia" w:ascii="Times New Roman" w:hAnsi="Times New Roman" w:eastAsia="宋体" w:cs="Times New Roman"/>
                <w:b/>
                <w:bCs/>
                <w:color w:val="auto"/>
                <w:kern w:val="2"/>
                <w:sz w:val="28"/>
                <w:szCs w:val="28"/>
                <w:lang w:val="en-US" w:eastAsia="zh-CN" w:bidi="ar-SA"/>
              </w:rPr>
              <w:t>1.</w:t>
            </w:r>
            <w:r>
              <w:rPr>
                <w:rFonts w:hint="eastAsia" w:cs="Times New Roman"/>
                <w:b/>
                <w:bCs/>
                <w:color w:val="auto"/>
                <w:kern w:val="2"/>
                <w:sz w:val="28"/>
                <w:szCs w:val="28"/>
                <w:lang w:val="en-US" w:eastAsia="zh-CN" w:bidi="ar-SA"/>
              </w:rPr>
              <w:t>8</w:t>
            </w:r>
            <w:r>
              <w:rPr>
                <w:rFonts w:hint="eastAsia" w:ascii="Times New Roman" w:hAnsi="Times New Roman" w:eastAsia="宋体" w:cs="Times New Roman"/>
                <w:b/>
                <w:bCs/>
                <w:color w:val="auto"/>
                <w:kern w:val="2"/>
                <w:sz w:val="28"/>
                <w:szCs w:val="28"/>
                <w:lang w:val="en-US" w:eastAsia="zh-CN" w:bidi="ar-SA"/>
              </w:rPr>
              <w:t>项目与环境功能区划符合性分析</w:t>
            </w:r>
          </w:p>
          <w:p w14:paraId="71FE2665">
            <w:pPr>
              <w:pStyle w:val="5"/>
              <w:rPr>
                <w:rFonts w:ascii="Times New Roman" w:hAnsi="Times New Roman" w:eastAsia="宋体"/>
                <w:color w:val="auto"/>
                <w:sz w:val="24"/>
              </w:rPr>
            </w:pPr>
            <w:r>
              <w:rPr>
                <w:rFonts w:ascii="Times New Roman" w:hAnsi="Times New Roman" w:eastAsia="宋体"/>
                <w:color w:val="auto"/>
                <w:spacing w:val="3"/>
                <w:sz w:val="24"/>
              </w:rPr>
              <w:t>项目运营期环境空气污染排放源</w:t>
            </w:r>
            <w:r>
              <w:rPr>
                <w:rFonts w:hint="eastAsia"/>
                <w:color w:val="auto"/>
                <w:spacing w:val="3"/>
                <w:sz w:val="24"/>
                <w:lang w:val="en-US" w:eastAsia="zh-CN"/>
              </w:rPr>
              <w:t>为</w:t>
            </w:r>
            <w:r>
              <w:rPr>
                <w:rFonts w:hint="eastAsia" w:ascii="Times New Roman" w:hAnsi="Times New Roman" w:eastAsia="宋体"/>
                <w:color w:val="auto"/>
                <w:spacing w:val="3"/>
                <w:sz w:val="24"/>
                <w:lang w:val="en-US" w:eastAsia="zh-CN"/>
              </w:rPr>
              <w:t>VOCs</w:t>
            </w:r>
            <w:r>
              <w:rPr>
                <w:rFonts w:ascii="Times New Roman" w:hAnsi="Times New Roman" w:eastAsia="宋体"/>
                <w:color w:val="auto"/>
                <w:spacing w:val="3"/>
                <w:sz w:val="24"/>
              </w:rPr>
              <w:t>，</w:t>
            </w:r>
            <w:r>
              <w:rPr>
                <w:rFonts w:hint="eastAsia" w:ascii="Times New Roman" w:hAnsi="Times New Roman" w:eastAsia="宋体"/>
                <w:color w:val="auto"/>
                <w:spacing w:val="3"/>
                <w:sz w:val="24"/>
                <w:lang w:val="en-US" w:eastAsia="zh-CN"/>
              </w:rPr>
              <w:t>排放量很少，</w:t>
            </w:r>
            <w:r>
              <w:rPr>
                <w:rFonts w:ascii="Times New Roman" w:hAnsi="Times New Roman" w:eastAsia="宋体"/>
                <w:color w:val="auto"/>
                <w:spacing w:val="3"/>
                <w:sz w:val="24"/>
              </w:rPr>
              <w:t>对周围环境空气</w:t>
            </w:r>
            <w:r>
              <w:rPr>
                <w:rFonts w:hint="eastAsia" w:ascii="Times New Roman" w:hAnsi="Times New Roman" w:eastAsia="宋体"/>
                <w:color w:val="auto"/>
                <w:spacing w:val="3"/>
                <w:sz w:val="24"/>
                <w:lang w:val="en-US" w:eastAsia="zh-CN"/>
              </w:rPr>
              <w:t>质量</w:t>
            </w:r>
            <w:r>
              <w:rPr>
                <w:rFonts w:ascii="Times New Roman" w:hAnsi="Times New Roman" w:eastAsia="宋体"/>
                <w:color w:val="auto"/>
                <w:spacing w:val="-10"/>
                <w:sz w:val="24"/>
              </w:rPr>
              <w:t>不会产生显著影响，符合《环境空气质量标准》（</w:t>
            </w:r>
            <w:r>
              <w:rPr>
                <w:rFonts w:ascii="Times New Roman" w:hAnsi="Times New Roman" w:eastAsia="宋体" w:cs="Times New Roman"/>
                <w:color w:val="auto"/>
                <w:spacing w:val="-10"/>
                <w:sz w:val="24"/>
              </w:rPr>
              <w:t>GB3095-20</w:t>
            </w:r>
            <w:r>
              <w:rPr>
                <w:rFonts w:ascii="Times New Roman" w:hAnsi="Times New Roman" w:eastAsia="宋体" w:cs="Times New Roman"/>
                <w:color w:val="auto"/>
                <w:spacing w:val="-11"/>
                <w:sz w:val="24"/>
              </w:rPr>
              <w:t>12</w:t>
            </w:r>
            <w:r>
              <w:rPr>
                <w:rFonts w:ascii="Times New Roman" w:hAnsi="Times New Roman" w:eastAsia="宋体"/>
                <w:color w:val="auto"/>
                <w:spacing w:val="-11"/>
                <w:sz w:val="24"/>
              </w:rPr>
              <w:t>）</w:t>
            </w:r>
            <w:r>
              <w:rPr>
                <w:rFonts w:ascii="Times New Roman" w:hAnsi="Times New Roman" w:eastAsia="宋体"/>
                <w:color w:val="auto"/>
                <w:spacing w:val="-2"/>
                <w:sz w:val="24"/>
              </w:rPr>
              <w:t>及其修改单中二级标准</w:t>
            </w:r>
            <w:r>
              <w:rPr>
                <w:rFonts w:hint="eastAsia" w:ascii="Times New Roman" w:hAnsi="Times New Roman" w:eastAsia="宋体"/>
                <w:color w:val="auto"/>
                <w:spacing w:val="-2"/>
                <w:sz w:val="24"/>
                <w:lang w:val="en-US" w:eastAsia="zh-CN"/>
              </w:rPr>
              <w:t>满足功能区要求</w:t>
            </w:r>
            <w:r>
              <w:rPr>
                <w:rFonts w:ascii="Times New Roman" w:hAnsi="Times New Roman" w:eastAsia="宋体"/>
                <w:color w:val="auto"/>
                <w:spacing w:val="-2"/>
                <w:sz w:val="24"/>
              </w:rPr>
              <w:t>；生活污水经园区内化粪池处理达标后</w:t>
            </w:r>
            <w:r>
              <w:rPr>
                <w:rFonts w:ascii="Times New Roman" w:hAnsi="Times New Roman" w:eastAsia="宋体"/>
                <w:color w:val="auto"/>
                <w:spacing w:val="3"/>
                <w:sz w:val="24"/>
              </w:rPr>
              <w:t>排入市政污水管网最终纳入</w:t>
            </w:r>
            <w:r>
              <w:rPr>
                <w:rFonts w:hint="eastAsia" w:ascii="Times New Roman" w:hAnsi="Times New Roman" w:eastAsia="宋体"/>
                <w:color w:val="auto"/>
                <w:spacing w:val="3"/>
                <w:sz w:val="24"/>
                <w:lang w:val="en-US" w:eastAsia="zh-CN"/>
              </w:rPr>
              <w:t>闽侯县城关污水处理厂</w:t>
            </w:r>
            <w:r>
              <w:rPr>
                <w:rFonts w:ascii="Times New Roman" w:hAnsi="Times New Roman" w:eastAsia="宋体"/>
                <w:color w:val="auto"/>
                <w:spacing w:val="3"/>
                <w:sz w:val="24"/>
              </w:rPr>
              <w:t>处理，生产废</w:t>
            </w:r>
            <w:r>
              <w:rPr>
                <w:rFonts w:ascii="Times New Roman" w:hAnsi="Times New Roman" w:eastAsia="宋体"/>
                <w:color w:val="auto"/>
                <w:spacing w:val="2"/>
                <w:sz w:val="24"/>
              </w:rPr>
              <w:t>水经</w:t>
            </w:r>
            <w:r>
              <w:rPr>
                <w:rFonts w:hint="eastAsia"/>
                <w:color w:val="auto"/>
                <w:spacing w:val="2"/>
                <w:sz w:val="24"/>
                <w:lang w:val="en-US" w:eastAsia="zh-CN"/>
              </w:rPr>
              <w:t>三格</w:t>
            </w:r>
            <w:r>
              <w:rPr>
                <w:rFonts w:ascii="Times New Roman" w:hAnsi="Times New Roman" w:eastAsia="宋体"/>
                <w:color w:val="auto"/>
                <w:spacing w:val="-1"/>
                <w:sz w:val="24"/>
              </w:rPr>
              <w:t>沉淀</w:t>
            </w:r>
            <w:r>
              <w:rPr>
                <w:rFonts w:hint="eastAsia"/>
                <w:color w:val="auto"/>
                <w:spacing w:val="-1"/>
                <w:sz w:val="24"/>
                <w:lang w:val="en-US" w:eastAsia="zh-CN"/>
              </w:rPr>
              <w:t>桶沉淀后排入园区内化粪池处理</w:t>
            </w:r>
            <w:r>
              <w:rPr>
                <w:rFonts w:ascii="Times New Roman" w:hAnsi="Times New Roman" w:eastAsia="宋体"/>
                <w:color w:val="auto"/>
                <w:spacing w:val="-2"/>
                <w:sz w:val="24"/>
              </w:rPr>
              <w:t>达标后</w:t>
            </w:r>
            <w:r>
              <w:rPr>
                <w:rFonts w:hint="eastAsia" w:ascii="Times New Roman" w:hAnsi="Times New Roman" w:eastAsia="宋体"/>
                <w:color w:val="auto"/>
                <w:spacing w:val="-2"/>
                <w:sz w:val="24"/>
                <w:lang w:val="en-US" w:eastAsia="zh-CN"/>
              </w:rPr>
              <w:t>排入</w:t>
            </w:r>
            <w:r>
              <w:rPr>
                <w:rFonts w:ascii="Times New Roman" w:hAnsi="Times New Roman" w:eastAsia="宋体"/>
                <w:color w:val="auto"/>
                <w:spacing w:val="-1"/>
                <w:sz w:val="24"/>
              </w:rPr>
              <w:t>市政污水管网纳入</w:t>
            </w:r>
            <w:r>
              <w:rPr>
                <w:rFonts w:hint="eastAsia" w:ascii="Times New Roman" w:hAnsi="Times New Roman" w:eastAsia="宋体"/>
                <w:color w:val="auto"/>
                <w:spacing w:val="-1"/>
                <w:sz w:val="24"/>
                <w:lang w:val="en-US" w:eastAsia="zh-CN"/>
              </w:rPr>
              <w:t>闽侯县城关污水处理厂</w:t>
            </w:r>
            <w:r>
              <w:rPr>
                <w:rFonts w:ascii="Times New Roman" w:hAnsi="Times New Roman" w:eastAsia="宋体"/>
                <w:color w:val="auto"/>
                <w:spacing w:val="-1"/>
                <w:sz w:val="24"/>
              </w:rPr>
              <w:t>。</w:t>
            </w:r>
          </w:p>
          <w:p w14:paraId="7D5E9494">
            <w:pPr>
              <w:pStyle w:val="5"/>
              <w:ind w:left="0" w:leftChars="0" w:firstLine="0" w:firstLineChars="0"/>
              <w:rPr>
                <w:rFonts w:hint="eastAsia" w:ascii="Times New Roman" w:hAnsi="Times New Roman" w:eastAsia="宋体" w:cs="Times New Roman"/>
                <w:b/>
                <w:bCs/>
                <w:color w:val="auto"/>
                <w:kern w:val="2"/>
                <w:sz w:val="28"/>
                <w:szCs w:val="28"/>
                <w:lang w:val="en-US" w:eastAsia="zh-CN" w:bidi="ar-SA"/>
              </w:rPr>
            </w:pPr>
            <w:r>
              <w:rPr>
                <w:rFonts w:hint="eastAsia" w:ascii="Times New Roman" w:hAnsi="Times New Roman" w:eastAsia="宋体" w:cs="Times New Roman"/>
                <w:b/>
                <w:bCs/>
                <w:color w:val="auto"/>
                <w:kern w:val="2"/>
                <w:sz w:val="28"/>
                <w:szCs w:val="28"/>
                <w:lang w:val="en-US" w:eastAsia="zh-CN" w:bidi="ar-SA"/>
              </w:rPr>
              <w:t>1.</w:t>
            </w:r>
            <w:r>
              <w:rPr>
                <w:rFonts w:hint="eastAsia" w:cs="Times New Roman"/>
                <w:b/>
                <w:bCs/>
                <w:color w:val="auto"/>
                <w:kern w:val="2"/>
                <w:sz w:val="28"/>
                <w:szCs w:val="28"/>
                <w:lang w:val="en-US" w:eastAsia="zh-CN" w:bidi="ar-SA"/>
              </w:rPr>
              <w:t>9</w:t>
            </w:r>
            <w:r>
              <w:rPr>
                <w:rFonts w:hint="eastAsia" w:ascii="Times New Roman" w:hAnsi="Times New Roman" w:eastAsia="宋体" w:cs="Times New Roman"/>
                <w:b/>
                <w:bCs/>
                <w:color w:val="auto"/>
                <w:kern w:val="2"/>
                <w:sz w:val="28"/>
                <w:szCs w:val="28"/>
                <w:lang w:val="en-US" w:eastAsia="zh-CN" w:bidi="ar-SA"/>
              </w:rPr>
              <w:t>生态环境分区管控要求符合性分析</w:t>
            </w:r>
          </w:p>
          <w:p w14:paraId="25C31C84">
            <w:pPr>
              <w:pStyle w:val="5"/>
              <w:rPr>
                <w:rFonts w:ascii="Times New Roman" w:hAnsi="Times New Roman" w:eastAsia="宋体"/>
                <w:b/>
                <w:bCs/>
                <w:color w:val="auto"/>
                <w:sz w:val="24"/>
                <w:szCs w:val="24"/>
                <w:highlight w:val="none"/>
              </w:rPr>
            </w:pPr>
            <w:r>
              <w:rPr>
                <w:rFonts w:hint="default" w:ascii="Times New Roman" w:hAnsi="Times New Roman" w:eastAsia="宋体" w:cs="Times New Roman"/>
                <w:b/>
                <w:bCs/>
                <w:color w:val="auto"/>
                <w:kern w:val="2"/>
                <w:sz w:val="24"/>
                <w:szCs w:val="24"/>
                <w:lang w:val="en-US" w:eastAsia="zh-CN" w:bidi="ar-SA"/>
              </w:rPr>
              <w:t>1.</w:t>
            </w:r>
            <w:r>
              <w:rPr>
                <w:rFonts w:hint="eastAsia" w:cs="Times New Roman"/>
                <w:b/>
                <w:bCs/>
                <w:color w:val="auto"/>
                <w:kern w:val="2"/>
                <w:sz w:val="24"/>
                <w:szCs w:val="24"/>
                <w:lang w:val="en-US" w:eastAsia="zh-CN" w:bidi="ar-SA"/>
              </w:rPr>
              <w:t>9</w:t>
            </w:r>
            <w:r>
              <w:rPr>
                <w:rFonts w:hint="default" w:ascii="Times New Roman" w:hAnsi="Times New Roman" w:eastAsia="宋体" w:cs="Times New Roman"/>
                <w:b/>
                <w:bCs/>
                <w:color w:val="auto"/>
                <w:kern w:val="2"/>
                <w:sz w:val="24"/>
                <w:szCs w:val="24"/>
                <w:lang w:val="en-US" w:eastAsia="zh-CN" w:bidi="ar-SA"/>
              </w:rPr>
              <w:t>.1</w:t>
            </w:r>
            <w:r>
              <w:rPr>
                <w:rFonts w:ascii="Times New Roman" w:hAnsi="Times New Roman" w:eastAsia="宋体"/>
                <w:b/>
                <w:bCs/>
                <w:color w:val="auto"/>
                <w:sz w:val="24"/>
                <w:szCs w:val="24"/>
                <w:highlight w:val="none"/>
              </w:rPr>
              <w:t>生态保护红线</w:t>
            </w:r>
          </w:p>
          <w:p w14:paraId="1BA38796">
            <w:pPr>
              <w:pStyle w:val="5"/>
              <w:rPr>
                <w:rFonts w:hint="eastAsia" w:ascii="Times New Roman" w:hAnsi="Times New Roman" w:eastAsia="宋体"/>
                <w:color w:val="auto"/>
                <w:highlight w:val="none"/>
              </w:rPr>
            </w:pPr>
            <w:r>
              <w:rPr>
                <w:rFonts w:hint="eastAsia" w:ascii="Times New Roman" w:hAnsi="Times New Roman" w:eastAsia="宋体"/>
                <w:color w:val="auto"/>
                <w:highlight w:val="none"/>
              </w:rPr>
              <w:t>根据</w:t>
            </w:r>
            <w:r>
              <w:rPr>
                <w:rFonts w:hint="eastAsia" w:ascii="Times New Roman" w:hAnsi="Times New Roman" w:eastAsia="宋体" w:cs="Times New Roman"/>
                <w:color w:val="auto"/>
                <w:kern w:val="0"/>
                <w:sz w:val="24"/>
                <w:szCs w:val="20"/>
              </w:rPr>
              <w:t>福州市人民政府关于</w:t>
            </w:r>
            <w:r>
              <w:rPr>
                <w:rFonts w:hint="eastAsia" w:ascii="Times New Roman" w:hAnsi="Times New Roman" w:eastAsia="宋体" w:cs="Times New Roman"/>
                <w:color w:val="auto"/>
                <w:kern w:val="0"/>
                <w:sz w:val="24"/>
                <w:szCs w:val="20"/>
                <w:lang w:val="en-US" w:eastAsia="zh-CN"/>
              </w:rPr>
              <w:t>印发</w:t>
            </w:r>
            <w:r>
              <w:rPr>
                <w:rFonts w:hint="eastAsia" w:ascii="Times New Roman" w:hAnsi="Times New Roman" w:eastAsia="宋体" w:cs="Times New Roman"/>
                <w:color w:val="auto"/>
                <w:kern w:val="0"/>
                <w:sz w:val="24"/>
                <w:szCs w:val="20"/>
              </w:rPr>
              <w:t>《</w:t>
            </w:r>
            <w:r>
              <w:rPr>
                <w:rFonts w:hint="eastAsia" w:ascii="Times New Roman" w:hAnsi="Times New Roman" w:eastAsia="宋体" w:cs="Times New Roman"/>
                <w:color w:val="auto"/>
                <w:kern w:val="0"/>
                <w:sz w:val="24"/>
                <w:szCs w:val="20"/>
                <w:lang w:val="en-US" w:eastAsia="zh-CN"/>
              </w:rPr>
              <w:t>福州市生态环境分区管控方案（2023年更新）</w:t>
            </w:r>
            <w:r>
              <w:rPr>
                <w:rFonts w:hint="eastAsia" w:ascii="Times New Roman" w:hAnsi="Times New Roman" w:eastAsia="宋体" w:cs="Times New Roman"/>
                <w:color w:val="auto"/>
                <w:kern w:val="0"/>
                <w:sz w:val="24"/>
                <w:szCs w:val="20"/>
              </w:rPr>
              <w:t>》的通知</w:t>
            </w:r>
            <w:r>
              <w:rPr>
                <w:rFonts w:hint="eastAsia" w:ascii="Times New Roman" w:hAnsi="Times New Roman" w:eastAsia="宋体"/>
                <w:color w:val="auto"/>
                <w:highlight w:val="none"/>
              </w:rPr>
              <w:t>，</w:t>
            </w:r>
            <w:r>
              <w:rPr>
                <w:rFonts w:hint="eastAsia" w:ascii="Times New Roman" w:hAnsi="Times New Roman" w:eastAsia="宋体"/>
                <w:color w:val="auto"/>
                <w:highlight w:val="none"/>
                <w:lang w:val="en-US" w:eastAsia="zh-CN"/>
              </w:rPr>
              <w:t>福州</w:t>
            </w:r>
            <w:r>
              <w:rPr>
                <w:rFonts w:hint="eastAsia" w:ascii="Times New Roman" w:hAnsi="Times New Roman" w:eastAsia="宋体"/>
                <w:color w:val="auto"/>
                <w:highlight w:val="none"/>
              </w:rPr>
              <w:t>市生态保护红线为全市生态空间范围内具有特殊重要生态功能、必须强制性严格保护的区域，包括水源涵养、生物多样性维护、水土保持、海岸防护等生态功能极重要区域，水土流失、海岸侵蚀及沙源流失等生态极脆弱区域，以及其他具有潜在重要生态价值的区域。</w:t>
            </w:r>
            <w:r>
              <w:rPr>
                <w:rFonts w:hint="eastAsia" w:ascii="Times New Roman" w:hAnsi="Times New Roman" w:eastAsia="宋体"/>
                <w:color w:val="auto"/>
                <w:highlight w:val="none"/>
                <w:lang w:val="en-US" w:eastAsia="zh-CN"/>
              </w:rPr>
              <w:t>福州</w:t>
            </w:r>
            <w:r>
              <w:rPr>
                <w:rFonts w:hint="eastAsia" w:ascii="Times New Roman" w:hAnsi="Times New Roman" w:eastAsia="宋体"/>
                <w:color w:val="auto"/>
                <w:highlight w:val="none"/>
              </w:rPr>
              <w:t>市生态保护红线最终范围和面积以省政府发布结果为准。</w:t>
            </w:r>
          </w:p>
          <w:p w14:paraId="68240635">
            <w:pPr>
              <w:pStyle w:val="5"/>
              <w:rPr>
                <w:rFonts w:ascii="Times New Roman" w:hAnsi="Times New Roman" w:eastAsia="宋体"/>
                <w:color w:val="auto"/>
                <w:highlight w:val="none"/>
              </w:rPr>
            </w:pPr>
            <w:r>
              <w:rPr>
                <w:rFonts w:hint="eastAsia" w:ascii="Times New Roman" w:hAnsi="Times New Roman" w:eastAsia="宋体"/>
                <w:color w:val="auto"/>
                <w:lang w:val="en-US" w:eastAsia="zh-CN"/>
              </w:rPr>
              <w:t>项目选址于</w:t>
            </w:r>
            <w:r>
              <w:rPr>
                <w:rFonts w:hint="default" w:ascii="Times New Roman" w:hAnsi="Times New Roman" w:eastAsia="宋体" w:cs="宋体"/>
                <w:color w:val="auto"/>
                <w:lang w:val="en-US" w:eastAsia="zh-CN"/>
              </w:rPr>
              <w:t>福建省福州市闽侯县经济技术开发区一期延伸区综合大楼第五层</w:t>
            </w:r>
            <w:r>
              <w:rPr>
                <w:rFonts w:hint="eastAsia" w:ascii="Times New Roman" w:hAnsi="Times New Roman" w:eastAsia="宋体" w:cs="宋体"/>
                <w:color w:val="auto"/>
                <w:lang w:val="en-US" w:eastAsia="zh-CN"/>
              </w:rPr>
              <w:t>。项目选址不涉及自然</w:t>
            </w:r>
            <w:r>
              <w:rPr>
                <w:rFonts w:hint="eastAsia" w:ascii="Times New Roman" w:hAnsi="Times New Roman" w:eastAsia="宋体"/>
                <w:color w:val="auto"/>
                <w:lang w:val="en-US" w:eastAsia="zh-CN"/>
              </w:rPr>
              <w:t>保护区、风景名胜区、重要湿地、生态公益林、重要自然与人文景观、文物古迹及其他需要特别保护的区域，项目用地红线不在饮用水源保护区范围内；不涉及福州市生态空间陆海统筹分布中的陆域生态保护红线、海洋生态保护红线和一般生态空间。项目选址符合生态保护红线要求。</w:t>
            </w:r>
            <w:r>
              <w:rPr>
                <w:rFonts w:hint="eastAsia" w:ascii="Times New Roman" w:hAnsi="Times New Roman" w:eastAsia="宋体"/>
                <w:color w:val="auto"/>
                <w:highlight w:val="none"/>
              </w:rPr>
              <w:t>经对照，</w:t>
            </w:r>
            <w:r>
              <w:rPr>
                <w:rFonts w:hint="eastAsia" w:ascii="Times New Roman" w:hAnsi="Times New Roman" w:eastAsia="宋体"/>
                <w:color w:val="auto"/>
                <w:highlight w:val="none"/>
                <w:lang w:val="en-US" w:eastAsia="zh-CN"/>
              </w:rPr>
              <w:t>本</w:t>
            </w:r>
            <w:r>
              <w:rPr>
                <w:rFonts w:hint="eastAsia" w:ascii="Times New Roman" w:hAnsi="Times New Roman" w:eastAsia="宋体"/>
                <w:color w:val="auto"/>
                <w:highlight w:val="none"/>
              </w:rPr>
              <w:t>项目建设区未涉及生态保护红线，因此，项目建设与生态保护红线管控要求不冲突</w:t>
            </w:r>
            <w:r>
              <w:rPr>
                <w:rFonts w:ascii="Times New Roman" w:hAnsi="Times New Roman" w:eastAsia="宋体"/>
                <w:color w:val="auto"/>
                <w:highlight w:val="none"/>
              </w:rPr>
              <w:t>。</w:t>
            </w:r>
          </w:p>
          <w:p w14:paraId="71C12662">
            <w:pPr>
              <w:pStyle w:val="5"/>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1.</w:t>
            </w:r>
            <w:r>
              <w:rPr>
                <w:rFonts w:hint="eastAsia" w:cs="Times New Roman"/>
                <w:b/>
                <w:bCs/>
                <w:color w:val="auto"/>
                <w:kern w:val="2"/>
                <w:sz w:val="24"/>
                <w:szCs w:val="24"/>
                <w:lang w:val="en-US" w:eastAsia="zh-CN" w:bidi="ar-SA"/>
              </w:rPr>
              <w:t>9</w:t>
            </w:r>
            <w:r>
              <w:rPr>
                <w:rFonts w:hint="default" w:ascii="Times New Roman" w:hAnsi="Times New Roman" w:eastAsia="宋体" w:cs="Times New Roman"/>
                <w:b/>
                <w:bCs/>
                <w:color w:val="auto"/>
                <w:kern w:val="2"/>
                <w:sz w:val="24"/>
                <w:szCs w:val="24"/>
                <w:lang w:val="en-US" w:eastAsia="zh-CN" w:bidi="ar-SA"/>
              </w:rPr>
              <w:t>.2环境质量底线</w:t>
            </w:r>
          </w:p>
          <w:p w14:paraId="4FD71178">
            <w:pPr>
              <w:pStyle w:val="5"/>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（1）</w:t>
            </w:r>
            <w:r>
              <w:rPr>
                <w:rFonts w:hint="default" w:ascii="Times New Roman" w:hAnsi="Times New Roman" w:eastAsia="宋体"/>
                <w:color w:val="auto"/>
                <w:lang w:val="en-US" w:eastAsia="zh-CN"/>
              </w:rPr>
              <w:t>水环境质量底线</w:t>
            </w:r>
          </w:p>
          <w:p w14:paraId="1E2AD964">
            <w:pPr>
              <w:pStyle w:val="5"/>
              <w:rPr>
                <w:rFonts w:hint="default" w:ascii="Times New Roman" w:hAnsi="Times New Roman" w:eastAsia="宋体" w:cs="Times New Roman"/>
                <w:color w:val="auto"/>
                <w:kern w:val="0"/>
                <w:sz w:val="24"/>
                <w:szCs w:val="20"/>
              </w:rPr>
            </w:pPr>
            <w:r>
              <w:rPr>
                <w:rFonts w:hint="eastAsia" w:ascii="Times New Roman" w:hAnsi="Times New Roman" w:eastAsia="宋体"/>
                <w:color w:val="auto"/>
                <w:highlight w:val="none"/>
              </w:rPr>
              <w:t>根据</w:t>
            </w:r>
            <w:r>
              <w:rPr>
                <w:rFonts w:hint="eastAsia" w:ascii="Times New Roman" w:hAnsi="Times New Roman" w:eastAsia="宋体" w:cs="Times New Roman"/>
                <w:color w:val="auto"/>
                <w:kern w:val="0"/>
                <w:sz w:val="24"/>
                <w:szCs w:val="20"/>
              </w:rPr>
              <w:t>福州市人民政府关于</w:t>
            </w:r>
            <w:r>
              <w:rPr>
                <w:rFonts w:hint="eastAsia" w:ascii="Times New Roman" w:hAnsi="Times New Roman" w:eastAsia="宋体" w:cs="Times New Roman"/>
                <w:color w:val="auto"/>
                <w:kern w:val="0"/>
                <w:sz w:val="24"/>
                <w:szCs w:val="20"/>
                <w:lang w:val="en-US" w:eastAsia="zh-CN"/>
              </w:rPr>
              <w:t>印发</w:t>
            </w:r>
            <w:r>
              <w:rPr>
                <w:rFonts w:hint="eastAsia" w:ascii="Times New Roman" w:hAnsi="Times New Roman" w:eastAsia="宋体" w:cs="Times New Roman"/>
                <w:color w:val="auto"/>
                <w:kern w:val="0"/>
                <w:sz w:val="24"/>
                <w:szCs w:val="20"/>
              </w:rPr>
              <w:t>《</w:t>
            </w:r>
            <w:r>
              <w:rPr>
                <w:rFonts w:hint="eastAsia" w:ascii="Times New Roman" w:hAnsi="Times New Roman" w:eastAsia="宋体" w:cs="Times New Roman"/>
                <w:color w:val="auto"/>
                <w:kern w:val="0"/>
                <w:sz w:val="24"/>
                <w:szCs w:val="20"/>
                <w:lang w:val="en-US" w:eastAsia="zh-CN"/>
              </w:rPr>
              <w:t>福州市生态环境分区管控方案（2023年更新）</w:t>
            </w:r>
            <w:r>
              <w:rPr>
                <w:rFonts w:hint="eastAsia" w:ascii="Times New Roman" w:hAnsi="Times New Roman" w:eastAsia="宋体" w:cs="Times New Roman"/>
                <w:color w:val="auto"/>
                <w:kern w:val="0"/>
                <w:sz w:val="24"/>
                <w:szCs w:val="20"/>
              </w:rPr>
              <w:t>》的通知</w:t>
            </w:r>
            <w:r>
              <w:rPr>
                <w:rFonts w:hint="eastAsia" w:ascii="Times New Roman" w:hAnsi="Times New Roman" w:eastAsia="宋体"/>
                <w:color w:val="auto"/>
                <w:highlight w:val="none"/>
              </w:rPr>
              <w:t>，</w:t>
            </w:r>
            <w:r>
              <w:rPr>
                <w:rFonts w:hint="default" w:ascii="Times New Roman" w:hAnsi="Times New Roman" w:eastAsia="宋体"/>
                <w:color w:val="auto"/>
              </w:rPr>
              <w:t>到2025年，国省控断面水质优良（达到或优于Ⅲ类）比例总体达到90.0%，福清海口桥断面水质稳定达到Ⅳ类；县级以上集中式饮用水水源水质达标率达100%。到2030年，国省控断面水质优良（达到或优于Ⅲ类）比例总体达到90.0%；县级以上城市建成区黑臭水体总体得到消除；县级以上集中式饮用水水源水质达标率达100%。到2035年，国省考断面水质优良（达到或优于Ⅲ类）比例总体达到95.0%；生态系</w:t>
            </w:r>
            <w:r>
              <w:rPr>
                <w:rFonts w:hint="default" w:ascii="Times New Roman" w:hAnsi="Times New Roman" w:eastAsia="宋体" w:cs="Times New Roman"/>
                <w:color w:val="auto"/>
                <w:kern w:val="0"/>
                <w:sz w:val="24"/>
                <w:szCs w:val="20"/>
              </w:rPr>
              <w:t>统实现良性循环。</w:t>
            </w:r>
          </w:p>
          <w:p w14:paraId="1487CAF6">
            <w:pPr>
              <w:pStyle w:val="5"/>
              <w:rPr>
                <w:rFonts w:hint="default" w:ascii="Times New Roman" w:hAnsi="Times New Roman" w:eastAsia="宋体"/>
                <w:color w:val="auto"/>
              </w:rPr>
            </w:pPr>
            <w:r>
              <w:rPr>
                <w:rFonts w:hint="default" w:ascii="Times New Roman" w:hAnsi="Times New Roman" w:eastAsia="宋体" w:cs="Times New Roman"/>
                <w:color w:val="auto"/>
                <w:kern w:val="0"/>
                <w:sz w:val="24"/>
                <w:szCs w:val="20"/>
              </w:rPr>
              <w:t>项目</w:t>
            </w:r>
            <w:r>
              <w:rPr>
                <w:rFonts w:hint="eastAsia" w:cs="Times New Roman"/>
                <w:color w:val="auto"/>
                <w:kern w:val="0"/>
                <w:sz w:val="24"/>
                <w:szCs w:val="20"/>
                <w:lang w:val="en-US" w:eastAsia="zh-CN"/>
              </w:rPr>
              <w:t>生产废水</w:t>
            </w:r>
            <w:r>
              <w:rPr>
                <w:rFonts w:ascii="Times New Roman" w:hAnsi="Times New Roman" w:eastAsia="宋体"/>
                <w:color w:val="auto"/>
                <w:spacing w:val="2"/>
                <w:sz w:val="24"/>
              </w:rPr>
              <w:t>经</w:t>
            </w:r>
            <w:r>
              <w:rPr>
                <w:rFonts w:hint="eastAsia"/>
                <w:color w:val="auto"/>
                <w:spacing w:val="2"/>
                <w:sz w:val="24"/>
                <w:lang w:val="en-US" w:eastAsia="zh-CN"/>
              </w:rPr>
              <w:t>三格</w:t>
            </w:r>
            <w:r>
              <w:rPr>
                <w:rFonts w:ascii="Times New Roman" w:hAnsi="Times New Roman" w:eastAsia="宋体"/>
                <w:color w:val="auto"/>
                <w:spacing w:val="-1"/>
                <w:sz w:val="24"/>
              </w:rPr>
              <w:t>沉淀</w:t>
            </w:r>
            <w:r>
              <w:rPr>
                <w:rFonts w:hint="eastAsia"/>
                <w:color w:val="auto"/>
                <w:spacing w:val="-1"/>
                <w:sz w:val="24"/>
                <w:lang w:val="en-US" w:eastAsia="zh-CN"/>
              </w:rPr>
              <w:t>桶沉淀后排入园区内化粪池处理</w:t>
            </w:r>
            <w:r>
              <w:rPr>
                <w:rFonts w:ascii="Times New Roman" w:hAnsi="Times New Roman" w:eastAsia="宋体"/>
                <w:color w:val="auto"/>
                <w:spacing w:val="-2"/>
                <w:sz w:val="24"/>
              </w:rPr>
              <w:t>达标后</w:t>
            </w:r>
            <w:r>
              <w:rPr>
                <w:rFonts w:hint="eastAsia" w:ascii="Times New Roman" w:hAnsi="Times New Roman" w:eastAsia="宋体"/>
                <w:color w:val="auto"/>
                <w:spacing w:val="-2"/>
                <w:sz w:val="24"/>
                <w:lang w:val="en-US" w:eastAsia="zh-CN"/>
              </w:rPr>
              <w:t>排入</w:t>
            </w:r>
            <w:r>
              <w:rPr>
                <w:rFonts w:ascii="Times New Roman" w:hAnsi="Times New Roman" w:eastAsia="宋体"/>
                <w:color w:val="auto"/>
                <w:spacing w:val="-1"/>
                <w:sz w:val="24"/>
              </w:rPr>
              <w:t>市政污水管网纳入</w:t>
            </w:r>
            <w:r>
              <w:rPr>
                <w:rFonts w:hint="eastAsia" w:ascii="Times New Roman" w:hAnsi="Times New Roman" w:eastAsia="宋体"/>
                <w:color w:val="auto"/>
                <w:spacing w:val="-1"/>
                <w:sz w:val="24"/>
                <w:lang w:val="en-US" w:eastAsia="zh-CN"/>
              </w:rPr>
              <w:t>闽侯县城关污水处理厂</w:t>
            </w:r>
            <w:r>
              <w:rPr>
                <w:rFonts w:hint="eastAsia" w:ascii="Times New Roman" w:hAnsi="Times New Roman" w:eastAsia="宋体" w:cs="Times New Roman"/>
                <w:color w:val="auto"/>
                <w:kern w:val="0"/>
                <w:sz w:val="24"/>
                <w:szCs w:val="20"/>
                <w:lang w:val="en-US" w:eastAsia="zh-CN"/>
              </w:rPr>
              <w:t>；</w:t>
            </w:r>
            <w:r>
              <w:rPr>
                <w:rFonts w:hint="default" w:ascii="Times New Roman" w:hAnsi="Times New Roman" w:eastAsia="宋体" w:cs="Times New Roman"/>
                <w:color w:val="auto"/>
                <w:kern w:val="0"/>
                <w:sz w:val="24"/>
                <w:szCs w:val="20"/>
              </w:rPr>
              <w:t>生活污水经化粪池处理达标后，</w:t>
            </w:r>
            <w:r>
              <w:rPr>
                <w:rFonts w:hint="eastAsia" w:ascii="Times New Roman" w:hAnsi="Times New Roman" w:eastAsia="宋体" w:cs="Times New Roman"/>
                <w:color w:val="auto"/>
                <w:kern w:val="0"/>
                <w:sz w:val="24"/>
                <w:szCs w:val="20"/>
                <w:lang w:val="en-US" w:eastAsia="zh-CN"/>
              </w:rPr>
              <w:t>通过市政管网排入</w:t>
            </w:r>
            <w:r>
              <w:rPr>
                <w:rFonts w:hint="eastAsia" w:ascii="Times New Roman" w:hAnsi="Times New Roman" w:eastAsia="宋体" w:cs="Times New Roman"/>
                <w:color w:val="auto"/>
                <w:lang w:eastAsia="zh-CN"/>
              </w:rPr>
              <w:t>闽侯县城关污水处理厂处理</w:t>
            </w:r>
            <w:r>
              <w:rPr>
                <w:rFonts w:hint="default" w:ascii="Times New Roman" w:hAnsi="Times New Roman" w:eastAsia="宋体" w:cs="Times New Roman"/>
                <w:color w:val="auto"/>
                <w:kern w:val="0"/>
                <w:sz w:val="24"/>
                <w:szCs w:val="20"/>
              </w:rPr>
              <w:t>。项目建设对区域水环境质量影响较小，不会突破环境质量底线。</w:t>
            </w:r>
          </w:p>
          <w:p w14:paraId="3461C17E">
            <w:pPr>
              <w:pStyle w:val="5"/>
              <w:rPr>
                <w:rFonts w:hint="default"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（2）</w:t>
            </w:r>
            <w:r>
              <w:rPr>
                <w:rFonts w:hint="default" w:ascii="Times New Roman" w:hAnsi="Times New Roman" w:eastAsia="宋体" w:cs="Times New Roman"/>
                <w:b w:val="0"/>
                <w:bCs w:val="0"/>
                <w:color w:val="auto"/>
                <w:lang w:val="en-US" w:eastAsia="zh-CN"/>
              </w:rPr>
              <w:t>大气环境质量底线</w:t>
            </w:r>
          </w:p>
          <w:p w14:paraId="0A485127">
            <w:pPr>
              <w:pStyle w:val="5"/>
              <w:rPr>
                <w:rFonts w:hint="default" w:ascii="Times New Roman" w:hAnsi="Times New Roman" w:eastAsia="宋体" w:cs="Times New Roman"/>
                <w:b w:val="0"/>
                <w:bCs w:val="0"/>
                <w:color w:val="auto"/>
                <w:kern w:val="0"/>
                <w:sz w:val="24"/>
                <w:szCs w:val="24"/>
                <w:lang w:val="en-US" w:eastAsia="zh-CN"/>
              </w:rPr>
            </w:pPr>
            <w:r>
              <w:rPr>
                <w:rFonts w:hint="eastAsia" w:ascii="Times New Roman" w:hAnsi="Times New Roman" w:eastAsia="宋体" w:cs="Times New Roman"/>
                <w:b w:val="0"/>
                <w:bCs w:val="0"/>
                <w:color w:val="auto"/>
                <w:sz w:val="24"/>
                <w:szCs w:val="20"/>
                <w:lang w:val="zh-CN"/>
              </w:rPr>
              <w:t>根据</w:t>
            </w:r>
            <w:r>
              <w:rPr>
                <w:rFonts w:hint="eastAsia" w:ascii="Times New Roman" w:hAnsi="Times New Roman" w:eastAsia="宋体" w:cs="Times New Roman"/>
                <w:b w:val="0"/>
                <w:bCs w:val="0"/>
                <w:color w:val="auto"/>
                <w:kern w:val="0"/>
                <w:sz w:val="24"/>
                <w:szCs w:val="20"/>
                <w:lang w:val="zh-CN"/>
              </w:rPr>
              <w:t>福州市人民政府关于</w:t>
            </w:r>
            <w:r>
              <w:rPr>
                <w:rFonts w:hint="eastAsia" w:ascii="Times New Roman" w:hAnsi="Times New Roman" w:eastAsia="宋体" w:cs="Times New Roman"/>
                <w:b w:val="0"/>
                <w:bCs w:val="0"/>
                <w:color w:val="auto"/>
                <w:kern w:val="0"/>
                <w:sz w:val="24"/>
                <w:szCs w:val="20"/>
                <w:lang w:val="zh-CN" w:eastAsia="zh-CN"/>
              </w:rPr>
              <w:t>印发</w:t>
            </w:r>
            <w:r>
              <w:rPr>
                <w:rFonts w:hint="eastAsia" w:ascii="Times New Roman" w:hAnsi="Times New Roman" w:eastAsia="宋体" w:cs="Times New Roman"/>
                <w:b w:val="0"/>
                <w:bCs w:val="0"/>
                <w:color w:val="auto"/>
                <w:kern w:val="0"/>
                <w:sz w:val="24"/>
                <w:szCs w:val="20"/>
                <w:lang w:val="zh-CN"/>
              </w:rPr>
              <w:t>《</w:t>
            </w:r>
            <w:r>
              <w:rPr>
                <w:rFonts w:hint="eastAsia" w:ascii="Times New Roman" w:hAnsi="Times New Roman" w:eastAsia="宋体" w:cs="Times New Roman"/>
                <w:b w:val="0"/>
                <w:bCs w:val="0"/>
                <w:color w:val="auto"/>
                <w:kern w:val="0"/>
                <w:sz w:val="24"/>
                <w:szCs w:val="20"/>
                <w:lang w:val="zh-CN" w:eastAsia="zh-CN"/>
              </w:rPr>
              <w:t>福州市生态环境分区管控方案（2023年更新）</w:t>
            </w:r>
            <w:r>
              <w:rPr>
                <w:rFonts w:hint="eastAsia" w:ascii="Times New Roman" w:hAnsi="Times New Roman" w:eastAsia="宋体" w:cs="Times New Roman"/>
                <w:b w:val="0"/>
                <w:bCs w:val="0"/>
                <w:color w:val="auto"/>
                <w:kern w:val="0"/>
                <w:sz w:val="24"/>
                <w:szCs w:val="20"/>
                <w:lang w:val="zh-CN"/>
              </w:rPr>
              <w:t>》的通知</w:t>
            </w:r>
            <w:r>
              <w:rPr>
                <w:rFonts w:hint="eastAsia" w:ascii="Times New Roman" w:hAnsi="Times New Roman" w:eastAsia="宋体" w:cs="Times New Roman"/>
                <w:b w:val="0"/>
                <w:bCs w:val="0"/>
                <w:color w:val="auto"/>
                <w:sz w:val="24"/>
                <w:szCs w:val="20"/>
                <w:lang w:val="zh-CN"/>
              </w:rPr>
              <w:t>，</w:t>
            </w:r>
            <w:r>
              <w:rPr>
                <w:rFonts w:hint="default" w:ascii="Times New Roman" w:hAnsi="Times New Roman" w:eastAsia="宋体" w:cs="Times New Roman"/>
                <w:b w:val="0"/>
                <w:bCs w:val="0"/>
                <w:color w:val="auto"/>
                <w:kern w:val="0"/>
                <w:sz w:val="24"/>
                <w:szCs w:val="24"/>
                <w:lang w:val="en-US" w:eastAsia="zh-CN"/>
              </w:rPr>
              <w:t>到2025年，中心城区PM</w:t>
            </w:r>
            <w:r>
              <w:rPr>
                <w:rFonts w:hint="default" w:ascii="Times New Roman" w:hAnsi="Times New Roman" w:eastAsia="宋体" w:cs="Times New Roman"/>
                <w:b w:val="0"/>
                <w:bCs w:val="0"/>
                <w:color w:val="auto"/>
                <w:kern w:val="0"/>
                <w:sz w:val="24"/>
                <w:szCs w:val="24"/>
                <w:vertAlign w:val="subscript"/>
                <w:lang w:val="en-US" w:eastAsia="zh-CN"/>
              </w:rPr>
              <w:t>2.5</w:t>
            </w:r>
            <w:r>
              <w:rPr>
                <w:rFonts w:hint="default" w:ascii="Times New Roman" w:hAnsi="Times New Roman" w:eastAsia="宋体" w:cs="Times New Roman"/>
                <w:b w:val="0"/>
                <w:bCs w:val="0"/>
                <w:color w:val="auto"/>
                <w:kern w:val="0"/>
                <w:sz w:val="24"/>
                <w:szCs w:val="24"/>
                <w:lang w:val="en-US" w:eastAsia="zh-CN"/>
              </w:rPr>
              <w:t>年平均浓度不高于23μg/m</w:t>
            </w:r>
            <w:r>
              <w:rPr>
                <w:rFonts w:hint="default" w:ascii="Times New Roman" w:hAnsi="Times New Roman" w:eastAsia="宋体" w:cs="Times New Roman"/>
                <w:b w:val="0"/>
                <w:bCs w:val="0"/>
                <w:color w:val="auto"/>
                <w:kern w:val="0"/>
                <w:sz w:val="24"/>
                <w:szCs w:val="24"/>
                <w:vertAlign w:val="superscript"/>
                <w:lang w:val="en-US" w:eastAsia="zh-CN"/>
              </w:rPr>
              <w:t>3</w:t>
            </w:r>
            <w:r>
              <w:rPr>
                <w:rFonts w:hint="default" w:ascii="Times New Roman" w:hAnsi="Times New Roman" w:eastAsia="宋体" w:cs="Times New Roman"/>
                <w:b w:val="0"/>
                <w:bCs w:val="0"/>
                <w:color w:val="auto"/>
                <w:kern w:val="0"/>
                <w:sz w:val="24"/>
                <w:szCs w:val="24"/>
                <w:lang w:val="en-US" w:eastAsia="zh-CN"/>
              </w:rPr>
              <w:t>。到2035年，县级以上地区空气质量PM</w:t>
            </w:r>
            <w:r>
              <w:rPr>
                <w:rFonts w:hint="default" w:ascii="Times New Roman" w:hAnsi="Times New Roman" w:eastAsia="宋体" w:cs="Times New Roman"/>
                <w:b w:val="0"/>
                <w:bCs w:val="0"/>
                <w:color w:val="auto"/>
                <w:kern w:val="0"/>
                <w:sz w:val="24"/>
                <w:szCs w:val="24"/>
                <w:vertAlign w:val="subscript"/>
                <w:lang w:val="en-US" w:eastAsia="zh-CN"/>
              </w:rPr>
              <w:t>2.5</w:t>
            </w:r>
            <w:r>
              <w:rPr>
                <w:rFonts w:hint="default" w:ascii="Times New Roman" w:hAnsi="Times New Roman" w:eastAsia="宋体" w:cs="Times New Roman"/>
                <w:b w:val="0"/>
                <w:bCs w:val="0"/>
                <w:color w:val="auto"/>
                <w:kern w:val="0"/>
                <w:sz w:val="24"/>
                <w:szCs w:val="24"/>
                <w:lang w:val="en-US" w:eastAsia="zh-CN"/>
              </w:rPr>
              <w:t>年平均浓度不高于18μg/m</w:t>
            </w:r>
            <w:r>
              <w:rPr>
                <w:rFonts w:hint="default" w:ascii="Times New Roman" w:hAnsi="Times New Roman" w:eastAsia="宋体" w:cs="Times New Roman"/>
                <w:b w:val="0"/>
                <w:bCs w:val="0"/>
                <w:color w:val="auto"/>
                <w:kern w:val="0"/>
                <w:sz w:val="24"/>
                <w:szCs w:val="24"/>
                <w:vertAlign w:val="superscript"/>
                <w:lang w:val="en-US" w:eastAsia="zh-CN"/>
              </w:rPr>
              <w:t>3</w:t>
            </w:r>
            <w:r>
              <w:rPr>
                <w:rFonts w:hint="default" w:ascii="Times New Roman" w:hAnsi="Times New Roman" w:eastAsia="宋体" w:cs="Times New Roman"/>
                <w:b w:val="0"/>
                <w:bCs w:val="0"/>
                <w:color w:val="auto"/>
                <w:kern w:val="0"/>
                <w:sz w:val="24"/>
                <w:szCs w:val="24"/>
                <w:lang w:val="en-US" w:eastAsia="zh-CN"/>
              </w:rPr>
              <w:t>。</w:t>
            </w:r>
          </w:p>
          <w:p w14:paraId="63DEDD67">
            <w:pPr>
              <w:pStyle w:val="5"/>
              <w:rPr>
                <w:rFonts w:hint="default" w:ascii="Times New Roman" w:hAnsi="Times New Roman" w:eastAsia="宋体"/>
                <w:color w:val="auto"/>
                <w:lang w:val="en-US" w:eastAsia="zh-CN"/>
              </w:rPr>
            </w:pPr>
            <w:r>
              <w:rPr>
                <w:rFonts w:hint="eastAsia" w:ascii="Times New Roman" w:hAnsi="Times New Roman" w:eastAsia="宋体" w:cs="Times New Roman"/>
                <w:color w:val="auto"/>
                <w:kern w:val="0"/>
                <w:sz w:val="24"/>
                <w:szCs w:val="20"/>
              </w:rPr>
              <w:t>本项目</w:t>
            </w:r>
            <w:r>
              <w:rPr>
                <w:rFonts w:hint="eastAsia" w:ascii="Times New Roman" w:hAnsi="Times New Roman" w:eastAsia="宋体" w:cs="Times New Roman"/>
                <w:color w:val="auto"/>
                <w:kern w:val="0"/>
                <w:sz w:val="24"/>
                <w:szCs w:val="20"/>
                <w:lang w:val="en-US" w:eastAsia="zh-CN"/>
              </w:rPr>
              <w:t>为</w:t>
            </w:r>
            <w:r>
              <w:rPr>
                <w:rFonts w:hint="eastAsia" w:ascii="Times New Roman" w:hAnsi="Times New Roman" w:eastAsia="宋体" w:cs="宋体"/>
                <w:color w:val="auto"/>
                <w:sz w:val="24"/>
                <w:szCs w:val="24"/>
              </w:rPr>
              <w:t>光学</w:t>
            </w:r>
            <w:r>
              <w:rPr>
                <w:rFonts w:hint="eastAsia" w:cs="宋体"/>
                <w:color w:val="auto"/>
                <w:sz w:val="24"/>
                <w:szCs w:val="24"/>
                <w:lang w:val="en-US" w:eastAsia="zh-CN"/>
              </w:rPr>
              <w:t>镜片、镜头</w:t>
            </w:r>
            <w:r>
              <w:rPr>
                <w:rFonts w:hint="eastAsia" w:ascii="Times New Roman" w:hAnsi="Times New Roman" w:eastAsia="宋体" w:cs="宋体"/>
                <w:color w:val="auto"/>
                <w:sz w:val="24"/>
                <w:szCs w:val="24"/>
              </w:rPr>
              <w:t>的生产</w:t>
            </w:r>
            <w:r>
              <w:rPr>
                <w:rFonts w:hint="eastAsia" w:ascii="Times New Roman" w:hAnsi="Times New Roman" w:eastAsia="宋体" w:cs="宋体"/>
                <w:color w:val="auto"/>
                <w:sz w:val="24"/>
                <w:szCs w:val="24"/>
                <w:u w:val="none"/>
              </w:rPr>
              <w:t>项目</w:t>
            </w:r>
            <w:r>
              <w:rPr>
                <w:rFonts w:hint="eastAsia" w:ascii="Times New Roman" w:hAnsi="Times New Roman" w:eastAsia="宋体" w:cs="Times New Roman"/>
                <w:color w:val="auto"/>
                <w:kern w:val="0"/>
                <w:sz w:val="24"/>
                <w:szCs w:val="20"/>
              </w:rPr>
              <w:t>，不属于S</w:t>
            </w:r>
            <w:r>
              <w:rPr>
                <w:rFonts w:hint="default" w:ascii="Times New Roman" w:hAnsi="Times New Roman" w:eastAsia="宋体" w:cs="Times New Roman"/>
                <w:color w:val="auto"/>
                <w:kern w:val="0"/>
                <w:sz w:val="24"/>
                <w:szCs w:val="20"/>
              </w:rPr>
              <w:t>O</w:t>
            </w:r>
            <w:r>
              <w:rPr>
                <w:rFonts w:hint="default" w:ascii="Times New Roman" w:hAnsi="Times New Roman" w:eastAsia="宋体" w:cs="Times New Roman"/>
                <w:color w:val="auto"/>
                <w:kern w:val="0"/>
                <w:sz w:val="24"/>
                <w:szCs w:val="20"/>
                <w:vertAlign w:val="subscript"/>
              </w:rPr>
              <w:t>2</w:t>
            </w:r>
            <w:r>
              <w:rPr>
                <w:rFonts w:hint="eastAsia" w:ascii="Times New Roman" w:hAnsi="Times New Roman" w:eastAsia="宋体" w:cs="Times New Roman"/>
                <w:color w:val="auto"/>
                <w:kern w:val="0"/>
                <w:sz w:val="24"/>
                <w:szCs w:val="20"/>
              </w:rPr>
              <w:t>、NOx、VOCs排放量较大的重点行业；大气污染物</w:t>
            </w:r>
            <w:r>
              <w:rPr>
                <w:rFonts w:hint="eastAsia" w:ascii="Times New Roman" w:hAnsi="Times New Roman" w:eastAsia="宋体" w:cs="Times New Roman"/>
                <w:color w:val="auto"/>
                <w:kern w:val="0"/>
                <w:sz w:val="24"/>
                <w:szCs w:val="20"/>
                <w:lang w:val="en-US" w:eastAsia="zh-CN"/>
              </w:rPr>
              <w:t>为VOCs</w:t>
            </w:r>
            <w:r>
              <w:rPr>
                <w:rFonts w:hint="eastAsia" w:ascii="Times New Roman" w:hAnsi="Times New Roman" w:eastAsia="宋体" w:cs="Times New Roman"/>
                <w:color w:val="auto"/>
                <w:kern w:val="0"/>
                <w:sz w:val="24"/>
                <w:szCs w:val="20"/>
              </w:rPr>
              <w:t>，采取措施后可做到达标排放，不</w:t>
            </w:r>
            <w:r>
              <w:rPr>
                <w:rFonts w:hint="eastAsia" w:ascii="Times New Roman" w:hAnsi="Times New Roman" w:eastAsia="宋体" w:cs="Times New Roman"/>
                <w:color w:val="auto"/>
                <w:kern w:val="0"/>
                <w:sz w:val="24"/>
                <w:szCs w:val="20"/>
                <w:lang w:val="en-US" w:eastAsia="zh-CN"/>
              </w:rPr>
              <w:t>会</w:t>
            </w:r>
            <w:r>
              <w:rPr>
                <w:rFonts w:hint="eastAsia" w:ascii="Times New Roman" w:hAnsi="Times New Roman" w:eastAsia="宋体" w:cs="Times New Roman"/>
                <w:color w:val="auto"/>
                <w:kern w:val="0"/>
                <w:sz w:val="24"/>
                <w:szCs w:val="20"/>
              </w:rPr>
              <w:t>突破</w:t>
            </w:r>
            <w:r>
              <w:rPr>
                <w:rFonts w:hint="eastAsia" w:ascii="Times New Roman" w:hAnsi="Times New Roman" w:eastAsia="宋体" w:cs="Times New Roman"/>
                <w:color w:val="auto"/>
                <w:kern w:val="0"/>
                <w:sz w:val="24"/>
                <w:szCs w:val="20"/>
                <w:lang w:val="en-US" w:eastAsia="zh-CN"/>
              </w:rPr>
              <w:t>环境质量</w:t>
            </w:r>
            <w:r>
              <w:rPr>
                <w:rFonts w:hint="eastAsia" w:ascii="Times New Roman" w:hAnsi="Times New Roman" w:eastAsia="宋体" w:cs="Times New Roman"/>
                <w:color w:val="auto"/>
                <w:kern w:val="0"/>
                <w:sz w:val="24"/>
                <w:szCs w:val="20"/>
              </w:rPr>
              <w:t>底线。</w:t>
            </w:r>
          </w:p>
          <w:p w14:paraId="02496444">
            <w:pPr>
              <w:pStyle w:val="5"/>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w:t>
            </w:r>
            <w:r>
              <w:rPr>
                <w:rFonts w:hint="default" w:ascii="Times New Roman" w:hAnsi="Times New Roman" w:eastAsia="宋体" w:cs="Times New Roman"/>
                <w:color w:val="auto"/>
                <w:lang w:val="en-US" w:eastAsia="zh-CN"/>
              </w:rPr>
              <w:t>土壤环境质量底线</w:t>
            </w:r>
          </w:p>
          <w:p w14:paraId="635DED2C">
            <w:pPr>
              <w:pStyle w:val="5"/>
              <w:rPr>
                <w:rFonts w:hint="default"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b w:val="0"/>
                <w:bCs w:val="0"/>
                <w:color w:val="auto"/>
                <w:sz w:val="24"/>
                <w:szCs w:val="20"/>
                <w:lang w:val="zh-CN"/>
              </w:rPr>
              <w:t>根据</w:t>
            </w:r>
            <w:r>
              <w:rPr>
                <w:rFonts w:hint="eastAsia" w:ascii="Times New Roman" w:hAnsi="Times New Roman" w:eastAsia="宋体" w:cs="Times New Roman"/>
                <w:b w:val="0"/>
                <w:bCs w:val="0"/>
                <w:color w:val="auto"/>
                <w:kern w:val="0"/>
                <w:sz w:val="24"/>
                <w:szCs w:val="20"/>
                <w:lang w:val="zh-CN"/>
              </w:rPr>
              <w:t>福州市人民政府关于</w:t>
            </w:r>
            <w:r>
              <w:rPr>
                <w:rFonts w:hint="eastAsia" w:ascii="Times New Roman" w:hAnsi="Times New Roman" w:eastAsia="宋体" w:cs="Times New Roman"/>
                <w:b w:val="0"/>
                <w:bCs w:val="0"/>
                <w:color w:val="auto"/>
                <w:kern w:val="0"/>
                <w:sz w:val="24"/>
                <w:szCs w:val="20"/>
                <w:lang w:val="zh-CN" w:eastAsia="zh-CN"/>
              </w:rPr>
              <w:t>印发</w:t>
            </w:r>
            <w:r>
              <w:rPr>
                <w:rFonts w:hint="eastAsia" w:ascii="Times New Roman" w:hAnsi="Times New Roman" w:eastAsia="宋体" w:cs="Times New Roman"/>
                <w:b w:val="0"/>
                <w:bCs w:val="0"/>
                <w:color w:val="auto"/>
                <w:kern w:val="0"/>
                <w:sz w:val="24"/>
                <w:szCs w:val="20"/>
                <w:lang w:val="zh-CN"/>
              </w:rPr>
              <w:t>《</w:t>
            </w:r>
            <w:r>
              <w:rPr>
                <w:rFonts w:hint="eastAsia" w:ascii="Times New Roman" w:hAnsi="Times New Roman" w:eastAsia="宋体" w:cs="Times New Roman"/>
                <w:b w:val="0"/>
                <w:bCs w:val="0"/>
                <w:color w:val="auto"/>
                <w:kern w:val="0"/>
                <w:sz w:val="24"/>
                <w:szCs w:val="20"/>
                <w:lang w:val="zh-CN" w:eastAsia="zh-CN"/>
              </w:rPr>
              <w:t>福州市生态环境分区管控方案（2023年更新）</w:t>
            </w:r>
            <w:r>
              <w:rPr>
                <w:rFonts w:hint="eastAsia" w:ascii="Times New Roman" w:hAnsi="Times New Roman" w:eastAsia="宋体" w:cs="Times New Roman"/>
                <w:b w:val="0"/>
                <w:bCs w:val="0"/>
                <w:color w:val="auto"/>
                <w:kern w:val="0"/>
                <w:sz w:val="24"/>
                <w:szCs w:val="20"/>
                <w:lang w:val="zh-CN"/>
              </w:rPr>
              <w:t>》的通知</w:t>
            </w:r>
            <w:r>
              <w:rPr>
                <w:rFonts w:hint="eastAsia" w:ascii="Times New Roman" w:hAnsi="Times New Roman" w:eastAsia="宋体" w:cs="Times New Roman"/>
                <w:b w:val="0"/>
                <w:bCs w:val="0"/>
                <w:color w:val="auto"/>
                <w:sz w:val="24"/>
                <w:szCs w:val="20"/>
                <w:lang w:val="zh-CN"/>
              </w:rPr>
              <w:t>，</w:t>
            </w:r>
            <w:r>
              <w:rPr>
                <w:rFonts w:hint="default" w:ascii="Times New Roman" w:hAnsi="Times New Roman" w:eastAsia="宋体" w:cs="Times New Roman"/>
                <w:color w:val="auto"/>
                <w:kern w:val="0"/>
                <w:sz w:val="24"/>
                <w:szCs w:val="24"/>
                <w:lang w:val="en-US" w:eastAsia="zh-CN"/>
              </w:rPr>
              <w:t>到2025年，全市土壤环境质量保持稳定，土壤环境风险得到管控，受污染耕地和污染地块安全利用率达93</w:t>
            </w:r>
            <w:r>
              <w:rPr>
                <w:rFonts w:hint="eastAsia"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color w:val="auto"/>
                <w:kern w:val="0"/>
                <w:sz w:val="24"/>
                <w:szCs w:val="24"/>
                <w:lang w:val="en-US" w:eastAsia="zh-CN"/>
              </w:rPr>
              <w:t>以上。到2035年，全市土壤环境质量稳中向好，土壤环境风险得到全面管控，受污染耕地和污染地块安全利用率达95</w:t>
            </w:r>
            <w:r>
              <w:rPr>
                <w:rFonts w:hint="eastAsia"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color w:val="auto"/>
                <w:kern w:val="0"/>
                <w:sz w:val="24"/>
                <w:szCs w:val="24"/>
                <w:lang w:val="en-US" w:eastAsia="zh-CN"/>
              </w:rPr>
              <w:t>以上。</w:t>
            </w:r>
          </w:p>
          <w:p w14:paraId="3BE0BA36">
            <w:pPr>
              <w:pStyle w:val="5"/>
              <w:rPr>
                <w:rFonts w:ascii="Times New Roman" w:hAnsi="Times New Roman" w:eastAsia="宋体"/>
                <w:color w:val="auto"/>
                <w:highlight w:val="none"/>
              </w:rPr>
            </w:pPr>
            <w:r>
              <w:rPr>
                <w:rFonts w:hint="eastAsia" w:ascii="Times New Roman" w:hAnsi="Times New Roman" w:eastAsia="宋体" w:cs="Times New Roman"/>
                <w:color w:val="auto"/>
                <w:kern w:val="0"/>
                <w:sz w:val="24"/>
                <w:szCs w:val="20"/>
              </w:rPr>
              <w:t>项目</w:t>
            </w:r>
            <w:r>
              <w:rPr>
                <w:rFonts w:hint="eastAsia" w:ascii="Times New Roman" w:hAnsi="Times New Roman" w:eastAsia="宋体" w:cs="Times New Roman"/>
                <w:color w:val="auto"/>
                <w:kern w:val="0"/>
                <w:sz w:val="24"/>
                <w:szCs w:val="20"/>
                <w:lang w:val="en-US" w:eastAsia="zh-CN"/>
              </w:rPr>
              <w:t>危险废物、</w:t>
            </w:r>
            <w:r>
              <w:rPr>
                <w:rFonts w:hint="eastAsia" w:ascii="Times New Roman" w:hAnsi="Times New Roman" w:eastAsia="宋体" w:cs="Times New Roman"/>
                <w:color w:val="auto"/>
                <w:kern w:val="0"/>
                <w:sz w:val="24"/>
                <w:szCs w:val="20"/>
              </w:rPr>
              <w:t>—般固废</w:t>
            </w:r>
            <w:r>
              <w:rPr>
                <w:rFonts w:hint="eastAsia" w:ascii="Times New Roman" w:hAnsi="Times New Roman" w:eastAsia="宋体" w:cs="Times New Roman"/>
                <w:color w:val="auto"/>
                <w:kern w:val="0"/>
                <w:sz w:val="24"/>
                <w:szCs w:val="20"/>
                <w:lang w:val="en-US" w:eastAsia="zh-CN"/>
              </w:rPr>
              <w:t>和生活垃圾</w:t>
            </w:r>
            <w:r>
              <w:rPr>
                <w:rFonts w:hint="eastAsia" w:ascii="Times New Roman" w:hAnsi="Times New Roman" w:eastAsia="宋体" w:cs="Times New Roman"/>
                <w:color w:val="auto"/>
                <w:kern w:val="0"/>
                <w:sz w:val="24"/>
                <w:szCs w:val="20"/>
              </w:rPr>
              <w:t>分类收集、贮存和处置，不会改变环境区划功能，符合土壤环境风险管控底线要求。</w:t>
            </w:r>
          </w:p>
          <w:p w14:paraId="3D6C62B7">
            <w:pPr>
              <w:pStyle w:val="5"/>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1.</w:t>
            </w:r>
            <w:r>
              <w:rPr>
                <w:rFonts w:hint="eastAsia" w:cs="Times New Roman"/>
                <w:b/>
                <w:bCs/>
                <w:color w:val="auto"/>
                <w:kern w:val="2"/>
                <w:sz w:val="24"/>
                <w:szCs w:val="24"/>
                <w:lang w:val="en-US" w:eastAsia="zh-CN" w:bidi="ar-SA"/>
              </w:rPr>
              <w:t>9</w:t>
            </w:r>
            <w:r>
              <w:rPr>
                <w:rFonts w:hint="default" w:ascii="Times New Roman" w:hAnsi="Times New Roman" w:eastAsia="宋体" w:cs="Times New Roman"/>
                <w:b/>
                <w:bCs/>
                <w:color w:val="auto"/>
                <w:kern w:val="2"/>
                <w:sz w:val="24"/>
                <w:szCs w:val="24"/>
                <w:lang w:val="en-US" w:eastAsia="zh-CN" w:bidi="ar-SA"/>
              </w:rPr>
              <w:t>.3资源利用上线</w:t>
            </w:r>
          </w:p>
          <w:p w14:paraId="6CD5131A">
            <w:pPr>
              <w:pStyle w:val="5"/>
              <w:rPr>
                <w:rFonts w:hint="eastAsia" w:ascii="Times New Roman" w:hAnsi="Times New Roman" w:eastAsia="宋体"/>
                <w:color w:val="auto"/>
                <w:highlight w:val="none"/>
              </w:rPr>
            </w:pPr>
            <w:r>
              <w:rPr>
                <w:rFonts w:hint="eastAsia" w:ascii="Times New Roman" w:hAnsi="Times New Roman" w:eastAsia="宋体"/>
                <w:color w:val="auto"/>
                <w:highlight w:val="none"/>
              </w:rPr>
              <w:t>项目用水、用电为区域集中供应，项目运行过程通过内部管理、设备选择、原辅材料的选用和管理、废物回收利用、污染治理等多方面采取合理可行的防治措施，以“节能、降耗、减污”为目标，有效</w:t>
            </w:r>
            <w:r>
              <w:rPr>
                <w:rFonts w:hint="eastAsia" w:ascii="Times New Roman" w:hAnsi="Times New Roman" w:eastAsia="宋体"/>
                <w:color w:val="auto"/>
                <w:highlight w:val="none"/>
                <w:lang w:eastAsia="zh-CN"/>
              </w:rPr>
              <w:t>地</w:t>
            </w:r>
            <w:r>
              <w:rPr>
                <w:rFonts w:hint="eastAsia" w:ascii="Times New Roman" w:hAnsi="Times New Roman" w:eastAsia="宋体"/>
                <w:color w:val="auto"/>
                <w:highlight w:val="none"/>
              </w:rPr>
              <w:t>控制污染。项目运营期水、原料等资源利用不会突破区域的资源利用上线。</w:t>
            </w:r>
          </w:p>
          <w:p w14:paraId="48428196">
            <w:pPr>
              <w:pStyle w:val="5"/>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1.</w:t>
            </w:r>
            <w:r>
              <w:rPr>
                <w:rFonts w:hint="eastAsia" w:cs="Times New Roman"/>
                <w:b/>
                <w:bCs/>
                <w:color w:val="auto"/>
                <w:kern w:val="2"/>
                <w:sz w:val="24"/>
                <w:szCs w:val="24"/>
                <w:lang w:val="en-US" w:eastAsia="zh-CN" w:bidi="ar-SA"/>
              </w:rPr>
              <w:t>9</w:t>
            </w:r>
            <w:r>
              <w:rPr>
                <w:rFonts w:hint="default" w:ascii="Times New Roman" w:hAnsi="Times New Roman" w:eastAsia="宋体" w:cs="Times New Roman"/>
                <w:b/>
                <w:bCs/>
                <w:color w:val="auto"/>
                <w:kern w:val="2"/>
                <w:sz w:val="24"/>
                <w:szCs w:val="24"/>
                <w:lang w:val="en-US" w:eastAsia="zh-CN" w:bidi="ar-SA"/>
              </w:rPr>
              <w:t>.4</w:t>
            </w:r>
            <w:r>
              <w:rPr>
                <w:rFonts w:hint="eastAsia" w:ascii="Times New Roman" w:hAnsi="Times New Roman" w:eastAsia="宋体" w:cs="Times New Roman"/>
                <w:b/>
                <w:bCs/>
                <w:color w:val="auto"/>
                <w:kern w:val="2"/>
                <w:sz w:val="24"/>
                <w:szCs w:val="24"/>
                <w:lang w:val="en-US" w:eastAsia="zh-CN" w:bidi="ar-SA"/>
              </w:rPr>
              <w:t>生态环境分区管控要求符合性分析</w:t>
            </w:r>
          </w:p>
          <w:p w14:paraId="461B4480">
            <w:pPr>
              <w:pStyle w:val="5"/>
              <w:rPr>
                <w:rFonts w:hint="eastAsia" w:ascii="Times New Roman" w:hAnsi="Times New Roman" w:eastAsia="宋体" w:cs="宋体"/>
                <w:color w:val="auto"/>
                <w:kern w:val="0"/>
                <w:szCs w:val="21"/>
                <w:highlight w:val="none"/>
                <w:lang w:val="en-US" w:eastAsia="zh-CN"/>
              </w:rPr>
            </w:pPr>
            <w:r>
              <w:rPr>
                <w:rFonts w:hint="eastAsia" w:ascii="Times New Roman" w:hAnsi="Times New Roman" w:eastAsia="宋体"/>
                <w:color w:val="auto"/>
                <w:kern w:val="0"/>
                <w:szCs w:val="21"/>
                <w:highlight w:val="none"/>
              </w:rPr>
              <w:t>本项目所在地管控单位类别为重点管控单元（环境管控单元编码：ZH3501212000</w:t>
            </w:r>
            <w:r>
              <w:rPr>
                <w:rFonts w:hint="eastAsia" w:ascii="Times New Roman" w:hAnsi="Times New Roman" w:eastAsia="宋体"/>
                <w:color w:val="auto"/>
                <w:kern w:val="0"/>
                <w:szCs w:val="21"/>
                <w:highlight w:val="none"/>
                <w:lang w:val="en-US" w:eastAsia="zh-CN"/>
              </w:rPr>
              <w:t>5</w:t>
            </w:r>
            <w:r>
              <w:rPr>
                <w:rFonts w:hint="eastAsia" w:ascii="Times New Roman" w:hAnsi="Times New Roman" w:eastAsia="宋体"/>
                <w:color w:val="auto"/>
                <w:kern w:val="0"/>
                <w:szCs w:val="21"/>
                <w:highlight w:val="none"/>
              </w:rPr>
              <w:t>），空间布局约束管控要求。</w:t>
            </w:r>
            <w:r>
              <w:rPr>
                <w:rFonts w:hint="eastAsia" w:ascii="Times New Roman" w:hAnsi="Times New Roman" w:eastAsia="宋体"/>
                <w:color w:val="auto"/>
                <w:kern w:val="0"/>
                <w:szCs w:val="21"/>
                <w:highlight w:val="none"/>
                <w:lang w:val="en-US" w:eastAsia="zh-CN"/>
              </w:rPr>
              <w:t>本</w:t>
            </w:r>
            <w:r>
              <w:rPr>
                <w:rFonts w:hint="default" w:ascii="Times New Roman" w:hAnsi="Times New Roman" w:eastAsia="宋体" w:cs="宋体"/>
                <w:color w:val="auto"/>
                <w:kern w:val="0"/>
                <w:szCs w:val="21"/>
                <w:highlight w:val="none"/>
              </w:rPr>
              <w:t>项目位于</w:t>
            </w:r>
            <w:r>
              <w:rPr>
                <w:rFonts w:hint="default" w:ascii="Times New Roman" w:hAnsi="Times New Roman" w:eastAsia="宋体" w:cs="宋体"/>
                <w:color w:val="auto"/>
                <w:kern w:val="0"/>
                <w:szCs w:val="21"/>
                <w:highlight w:val="none"/>
                <w:lang w:val="en-US" w:eastAsia="zh-CN"/>
              </w:rPr>
              <w:t>福建省福州市闽侯县经济技术开发区一期延伸区综合大楼第五层</w:t>
            </w:r>
            <w:r>
              <w:rPr>
                <w:rFonts w:hint="default" w:ascii="Times New Roman" w:hAnsi="Times New Roman" w:eastAsia="宋体" w:cs="宋体"/>
                <w:color w:val="auto"/>
                <w:kern w:val="0"/>
                <w:szCs w:val="21"/>
                <w:highlight w:val="none"/>
              </w:rPr>
              <w:t>，属于</w:t>
            </w:r>
            <w:r>
              <w:rPr>
                <w:rFonts w:hint="eastAsia" w:ascii="Times New Roman" w:hAnsi="Times New Roman" w:eastAsia="宋体" w:cs="宋体"/>
                <w:color w:val="auto"/>
                <w:kern w:val="0"/>
                <w:szCs w:val="21"/>
                <w:highlight w:val="none"/>
                <w:lang w:val="en-US" w:eastAsia="zh-CN"/>
              </w:rPr>
              <w:t>工业用地，</w:t>
            </w:r>
            <w:r>
              <w:rPr>
                <w:rFonts w:hint="eastAsia" w:ascii="Times New Roman" w:hAnsi="Times New Roman" w:eastAsia="宋体"/>
                <w:color w:val="auto"/>
                <w:lang w:val="en-US" w:eastAsia="zh-CN"/>
              </w:rPr>
              <w:t>本项目</w:t>
            </w:r>
            <w:r>
              <w:rPr>
                <w:rFonts w:hint="eastAsia" w:ascii="Times New Roman" w:hAnsi="Times New Roman" w:eastAsia="宋体" w:cs="宋体"/>
                <w:color w:val="auto"/>
                <w:kern w:val="0"/>
                <w:szCs w:val="21"/>
                <w:highlight w:val="none"/>
                <w:lang w:val="en-US" w:eastAsia="zh-CN"/>
              </w:rPr>
              <w:t>属于光学</w:t>
            </w:r>
            <w:r>
              <w:rPr>
                <w:rFonts w:hint="eastAsia" w:cs="宋体"/>
                <w:color w:val="auto"/>
                <w:kern w:val="0"/>
                <w:szCs w:val="21"/>
                <w:highlight w:val="none"/>
                <w:lang w:val="en-US" w:eastAsia="zh-CN"/>
              </w:rPr>
              <w:t>仪器</w:t>
            </w:r>
            <w:r>
              <w:rPr>
                <w:rFonts w:hint="eastAsia" w:ascii="Times New Roman" w:hAnsi="Times New Roman" w:eastAsia="宋体" w:cs="宋体"/>
                <w:color w:val="auto"/>
                <w:kern w:val="0"/>
                <w:szCs w:val="21"/>
                <w:highlight w:val="none"/>
                <w:lang w:val="en-US" w:eastAsia="zh-CN"/>
              </w:rPr>
              <w:t>制造业，污染物排放量较少，</w:t>
            </w:r>
            <w:r>
              <w:rPr>
                <w:rFonts w:hint="default" w:ascii="Times New Roman" w:hAnsi="Times New Roman" w:eastAsia="宋体" w:cs="宋体"/>
                <w:color w:val="auto"/>
                <w:kern w:val="0"/>
                <w:szCs w:val="21"/>
                <w:highlight w:val="none"/>
                <w:lang w:val="en-US" w:eastAsia="zh-CN"/>
              </w:rPr>
              <w:t>为</w:t>
            </w:r>
            <w:r>
              <w:rPr>
                <w:rFonts w:hint="eastAsia" w:ascii="Times New Roman" w:hAnsi="Times New Roman" w:eastAsia="宋体" w:cs="宋体"/>
                <w:color w:val="auto"/>
                <w:kern w:val="0"/>
                <w:szCs w:val="21"/>
                <w:highlight w:val="none"/>
                <w:lang w:val="en-US" w:eastAsia="zh-CN"/>
              </w:rPr>
              <w:t>规划允许行业</w:t>
            </w:r>
            <w:r>
              <w:rPr>
                <w:rFonts w:hint="default" w:ascii="Times New Roman" w:hAnsi="Times New Roman" w:eastAsia="宋体" w:cs="宋体"/>
                <w:color w:val="auto"/>
                <w:kern w:val="0"/>
                <w:szCs w:val="21"/>
                <w:highlight w:val="none"/>
              </w:rPr>
              <w:t>。项目生活污水</w:t>
            </w:r>
            <w:r>
              <w:rPr>
                <w:rFonts w:hint="eastAsia" w:ascii="Times New Roman" w:hAnsi="Times New Roman" w:eastAsia="宋体" w:cs="宋体"/>
                <w:color w:val="auto"/>
                <w:kern w:val="0"/>
                <w:szCs w:val="21"/>
                <w:highlight w:val="none"/>
                <w:lang w:val="en-US" w:eastAsia="zh-CN"/>
              </w:rPr>
              <w:t>经</w:t>
            </w:r>
            <w:r>
              <w:rPr>
                <w:rFonts w:hint="default" w:ascii="Times New Roman" w:hAnsi="Times New Roman" w:eastAsia="宋体" w:cs="宋体"/>
                <w:color w:val="auto"/>
                <w:kern w:val="0"/>
                <w:szCs w:val="21"/>
                <w:highlight w:val="none"/>
              </w:rPr>
              <w:t>化粪池处理后排入市政污水管网</w:t>
            </w:r>
            <w:r>
              <w:rPr>
                <w:rFonts w:hint="eastAsia" w:ascii="Times New Roman" w:hAnsi="Times New Roman" w:eastAsia="宋体" w:cs="宋体"/>
                <w:color w:val="auto"/>
                <w:kern w:val="0"/>
                <w:szCs w:val="21"/>
                <w:highlight w:val="none"/>
                <w:lang w:eastAsia="zh-CN"/>
              </w:rPr>
              <w:t>，</w:t>
            </w:r>
            <w:r>
              <w:rPr>
                <w:rFonts w:hint="eastAsia" w:cs="宋体"/>
                <w:color w:val="auto"/>
                <w:kern w:val="0"/>
                <w:szCs w:val="21"/>
                <w:highlight w:val="none"/>
                <w:lang w:val="en-US" w:eastAsia="zh-CN"/>
              </w:rPr>
              <w:t>生产废水</w:t>
            </w:r>
            <w:r>
              <w:rPr>
                <w:rFonts w:ascii="Times New Roman" w:hAnsi="Times New Roman" w:eastAsia="宋体"/>
                <w:color w:val="auto"/>
                <w:spacing w:val="2"/>
                <w:sz w:val="24"/>
              </w:rPr>
              <w:t>经</w:t>
            </w:r>
            <w:r>
              <w:rPr>
                <w:rFonts w:hint="eastAsia"/>
                <w:color w:val="auto"/>
                <w:spacing w:val="2"/>
                <w:sz w:val="24"/>
                <w:lang w:val="en-US" w:eastAsia="zh-CN"/>
              </w:rPr>
              <w:t>三格</w:t>
            </w:r>
            <w:r>
              <w:rPr>
                <w:rFonts w:ascii="Times New Roman" w:hAnsi="Times New Roman" w:eastAsia="宋体"/>
                <w:color w:val="auto"/>
                <w:spacing w:val="-1"/>
                <w:sz w:val="24"/>
              </w:rPr>
              <w:t>沉淀</w:t>
            </w:r>
            <w:r>
              <w:rPr>
                <w:rFonts w:hint="eastAsia"/>
                <w:color w:val="auto"/>
                <w:spacing w:val="-1"/>
                <w:sz w:val="24"/>
                <w:lang w:val="en-US" w:eastAsia="zh-CN"/>
              </w:rPr>
              <w:t>桶沉淀后排入园区内化粪池处理</w:t>
            </w:r>
            <w:r>
              <w:rPr>
                <w:rFonts w:ascii="Times New Roman" w:hAnsi="Times New Roman" w:eastAsia="宋体"/>
                <w:color w:val="auto"/>
                <w:spacing w:val="-2"/>
                <w:sz w:val="24"/>
              </w:rPr>
              <w:t>达标后</w:t>
            </w:r>
            <w:r>
              <w:rPr>
                <w:rFonts w:hint="eastAsia" w:ascii="Times New Roman" w:hAnsi="Times New Roman" w:eastAsia="宋体"/>
                <w:color w:val="auto"/>
                <w:spacing w:val="-2"/>
                <w:sz w:val="24"/>
                <w:lang w:val="en-US" w:eastAsia="zh-CN"/>
              </w:rPr>
              <w:t>排入</w:t>
            </w:r>
            <w:r>
              <w:rPr>
                <w:rFonts w:ascii="Times New Roman" w:hAnsi="Times New Roman" w:eastAsia="宋体"/>
                <w:color w:val="auto"/>
                <w:spacing w:val="-1"/>
                <w:sz w:val="24"/>
              </w:rPr>
              <w:t>市政污水管网纳入</w:t>
            </w:r>
            <w:r>
              <w:rPr>
                <w:rFonts w:hint="eastAsia" w:ascii="Times New Roman" w:hAnsi="Times New Roman" w:eastAsia="宋体"/>
                <w:color w:val="auto"/>
                <w:spacing w:val="-1"/>
                <w:sz w:val="24"/>
                <w:lang w:val="en-US" w:eastAsia="zh-CN"/>
              </w:rPr>
              <w:t>闽侯县城关污水处理厂</w:t>
            </w:r>
            <w:r>
              <w:rPr>
                <w:rFonts w:ascii="Times New Roman" w:hAnsi="Times New Roman" w:eastAsia="宋体"/>
                <w:color w:val="auto"/>
                <w:spacing w:val="-1"/>
                <w:sz w:val="24"/>
              </w:rPr>
              <w:t>。</w:t>
            </w:r>
            <w:r>
              <w:rPr>
                <w:rFonts w:hint="default" w:ascii="Times New Roman" w:hAnsi="Times New Roman" w:eastAsia="宋体" w:cs="宋体"/>
                <w:color w:val="auto"/>
                <w:kern w:val="0"/>
                <w:szCs w:val="21"/>
                <w:highlight w:val="none"/>
              </w:rPr>
              <w:t>不属于以上约束管控的禁止项目，与生态环境准入条件不冲突。</w:t>
            </w:r>
          </w:p>
          <w:p w14:paraId="7DFCDD57">
            <w:pPr>
              <w:pStyle w:val="5"/>
              <w:rPr>
                <w:rFonts w:ascii="Times New Roman" w:hAnsi="Times New Roman" w:eastAsia="宋体" w:cs="Times New Roman"/>
                <w:snapToGrid w:val="0"/>
                <w:color w:val="auto"/>
                <w:kern w:val="0"/>
                <w:sz w:val="24"/>
                <w:szCs w:val="22"/>
                <w:lang w:val="en-US" w:eastAsia="zh-CN" w:bidi="ar-SA"/>
              </w:rPr>
            </w:pPr>
            <w:r>
              <w:rPr>
                <w:rFonts w:hint="eastAsia" w:ascii="Times New Roman" w:hAnsi="Times New Roman" w:eastAsia="宋体" w:cs="Times New Roman"/>
                <w:snapToGrid w:val="0"/>
                <w:color w:val="auto"/>
                <w:kern w:val="0"/>
                <w:sz w:val="24"/>
                <w:szCs w:val="22"/>
                <w:lang w:val="en-US" w:eastAsia="zh-CN" w:bidi="ar-SA"/>
              </w:rPr>
              <w:t>对照查询结果，项目所选地块涉及1个生态环境管控单元，其中重点管控单元1个（环境管控单元编码：</w:t>
            </w:r>
            <w:r>
              <w:rPr>
                <w:rFonts w:hint="default" w:ascii="Times New Roman" w:hAnsi="Times New Roman" w:eastAsia="宋体" w:cs="Times New Roman"/>
                <w:snapToGrid w:val="0"/>
                <w:color w:val="auto"/>
                <w:kern w:val="0"/>
                <w:sz w:val="24"/>
                <w:szCs w:val="22"/>
                <w:lang w:val="en-US" w:eastAsia="zh-CN" w:bidi="ar-SA"/>
              </w:rPr>
              <w:t>ZH3501</w:t>
            </w:r>
            <w:r>
              <w:rPr>
                <w:rFonts w:hint="eastAsia" w:ascii="Times New Roman" w:hAnsi="Times New Roman" w:eastAsia="宋体" w:cs="Times New Roman"/>
                <w:snapToGrid w:val="0"/>
                <w:color w:val="auto"/>
                <w:kern w:val="0"/>
                <w:sz w:val="24"/>
                <w:szCs w:val="22"/>
                <w:lang w:val="en-US" w:eastAsia="zh-CN" w:bidi="ar-SA"/>
              </w:rPr>
              <w:t>21</w:t>
            </w:r>
            <w:r>
              <w:rPr>
                <w:rFonts w:hint="default" w:ascii="Times New Roman" w:hAnsi="Times New Roman" w:eastAsia="宋体" w:cs="Times New Roman"/>
                <w:snapToGrid w:val="0"/>
                <w:color w:val="auto"/>
                <w:kern w:val="0"/>
                <w:sz w:val="24"/>
                <w:szCs w:val="22"/>
                <w:lang w:val="en-US" w:eastAsia="zh-CN" w:bidi="ar-SA"/>
              </w:rPr>
              <w:t>2000</w:t>
            </w:r>
            <w:r>
              <w:rPr>
                <w:rFonts w:hint="eastAsia" w:ascii="Times New Roman" w:hAnsi="Times New Roman" w:eastAsia="宋体" w:cs="Times New Roman"/>
                <w:snapToGrid w:val="0"/>
                <w:color w:val="auto"/>
                <w:kern w:val="0"/>
                <w:sz w:val="24"/>
                <w:szCs w:val="22"/>
                <w:lang w:val="en-US" w:eastAsia="zh-CN" w:bidi="ar-SA"/>
              </w:rPr>
              <w:t>5），具体管控要求及符合性分析见表1.</w:t>
            </w:r>
            <w:r>
              <w:rPr>
                <w:rFonts w:hint="eastAsia" w:cs="Times New Roman"/>
                <w:snapToGrid w:val="0"/>
                <w:color w:val="auto"/>
                <w:kern w:val="0"/>
                <w:sz w:val="24"/>
                <w:szCs w:val="22"/>
                <w:lang w:val="en-US" w:eastAsia="zh-CN" w:bidi="ar-SA"/>
              </w:rPr>
              <w:t>9</w:t>
            </w:r>
            <w:r>
              <w:rPr>
                <w:rFonts w:hint="eastAsia" w:ascii="Times New Roman" w:hAnsi="Times New Roman" w:eastAsia="宋体" w:cs="Times New Roman"/>
                <w:snapToGrid w:val="0"/>
                <w:color w:val="auto"/>
                <w:kern w:val="0"/>
                <w:sz w:val="24"/>
                <w:szCs w:val="22"/>
                <w:lang w:val="en-US" w:eastAsia="zh-CN" w:bidi="ar-SA"/>
              </w:rPr>
              <w:t>-</w:t>
            </w:r>
            <w:r>
              <w:rPr>
                <w:rFonts w:hint="eastAsia" w:cs="Times New Roman"/>
                <w:snapToGrid w:val="0"/>
                <w:color w:val="auto"/>
                <w:kern w:val="0"/>
                <w:sz w:val="24"/>
                <w:szCs w:val="22"/>
                <w:lang w:val="en-US" w:eastAsia="zh-CN" w:bidi="ar-SA"/>
              </w:rPr>
              <w:t>1</w:t>
            </w:r>
            <w:r>
              <w:rPr>
                <w:rFonts w:hint="eastAsia" w:ascii="Times New Roman" w:hAnsi="Times New Roman" w:eastAsia="宋体" w:cs="Times New Roman"/>
                <w:snapToGrid w:val="0"/>
                <w:color w:val="auto"/>
                <w:kern w:val="0"/>
                <w:sz w:val="24"/>
                <w:szCs w:val="22"/>
                <w:lang w:val="en-US" w:eastAsia="zh-CN" w:bidi="ar-SA"/>
              </w:rPr>
              <w:t>。</w:t>
            </w:r>
          </w:p>
          <w:p w14:paraId="18CB86F5">
            <w:pPr>
              <w:pStyle w:val="5"/>
              <w:ind w:left="0" w:leftChars="0" w:firstLine="0" w:firstLineChars="0"/>
              <w:jc w:val="center"/>
              <w:rPr>
                <w:rFonts w:hint="eastAsia" w:ascii="Times New Roman" w:hAnsi="Times New Roman" w:eastAsia="宋体" w:cs="宋体"/>
                <w:b/>
                <w:bCs/>
                <w:snapToGrid w:val="0"/>
                <w:color w:val="auto"/>
                <w:kern w:val="0"/>
                <w:sz w:val="24"/>
                <w:szCs w:val="24"/>
                <w:lang w:val="en-US" w:eastAsia="zh-CN" w:bidi="ar-SA"/>
              </w:rPr>
            </w:pPr>
            <w:r>
              <w:rPr>
                <w:rFonts w:hint="eastAsia" w:ascii="Times New Roman" w:hAnsi="Times New Roman" w:eastAsia="宋体" w:cs="宋体"/>
                <w:b/>
                <w:bCs/>
                <w:snapToGrid w:val="0"/>
                <w:color w:val="auto"/>
                <w:kern w:val="0"/>
                <w:sz w:val="24"/>
                <w:szCs w:val="24"/>
                <w:lang w:val="en-US" w:eastAsia="zh-CN" w:bidi="ar-SA"/>
              </w:rPr>
              <w:t>表</w:t>
            </w:r>
            <w:r>
              <w:rPr>
                <w:rFonts w:hint="default" w:ascii="Times New Roman" w:hAnsi="Times New Roman" w:eastAsia="宋体" w:cs="Times New Roman"/>
                <w:b/>
                <w:bCs/>
                <w:snapToGrid w:val="0"/>
                <w:color w:val="auto"/>
                <w:kern w:val="0"/>
                <w:sz w:val="24"/>
                <w:szCs w:val="24"/>
                <w:lang w:val="en-US" w:eastAsia="zh-CN" w:bidi="ar-SA"/>
              </w:rPr>
              <w:t>1</w:t>
            </w:r>
            <w:r>
              <w:rPr>
                <w:rFonts w:hint="eastAsia" w:ascii="Times New Roman" w:hAnsi="Times New Roman" w:eastAsia="宋体" w:cs="Times New Roman"/>
                <w:b/>
                <w:bCs/>
                <w:snapToGrid w:val="0"/>
                <w:color w:val="auto"/>
                <w:kern w:val="0"/>
                <w:sz w:val="24"/>
                <w:szCs w:val="24"/>
                <w:lang w:val="en-US" w:eastAsia="zh-CN" w:bidi="ar-SA"/>
              </w:rPr>
              <w:t>.</w:t>
            </w:r>
            <w:r>
              <w:rPr>
                <w:rFonts w:hint="eastAsia" w:cs="Times New Roman"/>
                <w:b/>
                <w:bCs/>
                <w:snapToGrid w:val="0"/>
                <w:color w:val="auto"/>
                <w:kern w:val="0"/>
                <w:sz w:val="24"/>
                <w:szCs w:val="24"/>
                <w:lang w:val="en-US" w:eastAsia="zh-CN" w:bidi="ar-SA"/>
              </w:rPr>
              <w:t>9</w:t>
            </w:r>
            <w:r>
              <w:rPr>
                <w:rFonts w:hint="eastAsia" w:ascii="Times New Roman" w:hAnsi="Times New Roman" w:eastAsia="宋体" w:cs="Times New Roman"/>
                <w:b/>
                <w:bCs/>
                <w:snapToGrid w:val="0"/>
                <w:color w:val="auto"/>
                <w:kern w:val="0"/>
                <w:sz w:val="24"/>
                <w:szCs w:val="24"/>
                <w:lang w:val="en-US" w:eastAsia="zh-CN" w:bidi="ar-SA"/>
              </w:rPr>
              <w:t>-</w:t>
            </w:r>
            <w:r>
              <w:rPr>
                <w:rFonts w:hint="eastAsia" w:cs="Times New Roman"/>
                <w:b/>
                <w:bCs/>
                <w:snapToGrid w:val="0"/>
                <w:color w:val="auto"/>
                <w:kern w:val="0"/>
                <w:sz w:val="24"/>
                <w:szCs w:val="24"/>
                <w:lang w:val="en-US" w:eastAsia="zh-CN" w:bidi="ar-SA"/>
              </w:rPr>
              <w:t>1</w:t>
            </w:r>
            <w:r>
              <w:rPr>
                <w:rFonts w:hint="eastAsia" w:ascii="Times New Roman" w:hAnsi="Times New Roman" w:eastAsia="宋体" w:cs="Times New Roman"/>
                <w:b/>
                <w:bCs/>
                <w:snapToGrid w:val="0"/>
                <w:color w:val="auto"/>
                <w:kern w:val="0"/>
                <w:sz w:val="24"/>
                <w:szCs w:val="24"/>
                <w:lang w:val="en-US" w:eastAsia="zh-CN" w:bidi="ar-SA"/>
              </w:rPr>
              <w:t xml:space="preserve"> </w:t>
            </w:r>
            <w:r>
              <w:rPr>
                <w:rFonts w:hint="eastAsia" w:ascii="Times New Roman" w:hAnsi="Times New Roman" w:eastAsia="宋体" w:cs="宋体"/>
                <w:b/>
                <w:bCs/>
                <w:snapToGrid w:val="0"/>
                <w:color w:val="auto"/>
                <w:kern w:val="0"/>
                <w:sz w:val="24"/>
                <w:szCs w:val="24"/>
                <w:lang w:val="en-US" w:eastAsia="zh-CN" w:bidi="ar-SA"/>
              </w:rPr>
              <w:t>项目与闽侯县重点管控单元</w:t>
            </w:r>
            <w:r>
              <w:rPr>
                <w:rFonts w:hint="eastAsia" w:ascii="Times New Roman" w:hAnsi="Times New Roman" w:eastAsia="宋体" w:cs="Times New Roman"/>
                <w:b/>
                <w:bCs/>
                <w:snapToGrid w:val="0"/>
                <w:color w:val="auto"/>
                <w:kern w:val="0"/>
                <w:sz w:val="24"/>
                <w:szCs w:val="24"/>
                <w:lang w:val="en-US" w:eastAsia="zh-CN" w:bidi="ar-SA"/>
              </w:rPr>
              <w:t>3</w:t>
            </w:r>
            <w:r>
              <w:rPr>
                <w:rFonts w:hint="eastAsia" w:ascii="Times New Roman" w:hAnsi="Times New Roman" w:eastAsia="宋体" w:cs="宋体"/>
                <w:b/>
                <w:bCs/>
                <w:snapToGrid w:val="0"/>
                <w:color w:val="auto"/>
                <w:kern w:val="0"/>
                <w:sz w:val="24"/>
                <w:szCs w:val="24"/>
                <w:lang w:val="en-US" w:eastAsia="zh-CN" w:bidi="ar-SA"/>
              </w:rPr>
              <w:t>准入要求符合性分析</w:t>
            </w:r>
          </w:p>
          <w:tbl>
            <w:tblPr>
              <w:tblStyle w:val="38"/>
              <w:tblW w:w="4998" w:type="pct"/>
              <w:jc w:val="center"/>
              <w:tblCellSpacing w:w="0" w:type="dxa"/>
              <w:tblLayout w:type="fixed"/>
              <w:tblCellMar>
                <w:top w:w="0" w:type="dxa"/>
                <w:left w:w="108" w:type="dxa"/>
                <w:bottom w:w="0" w:type="dxa"/>
                <w:right w:w="108" w:type="dxa"/>
              </w:tblCellMar>
            </w:tblPr>
            <w:tblGrid>
              <w:gridCol w:w="868"/>
              <w:gridCol w:w="2853"/>
              <w:gridCol w:w="1867"/>
              <w:gridCol w:w="882"/>
            </w:tblGrid>
            <w:tr w14:paraId="4DE85FCB">
              <w:tblPrEx>
                <w:tblCellMar>
                  <w:top w:w="0" w:type="dxa"/>
                  <w:left w:w="108" w:type="dxa"/>
                  <w:bottom w:w="0" w:type="dxa"/>
                  <w:right w:w="108" w:type="dxa"/>
                </w:tblCellMar>
              </w:tblPrEx>
              <w:trPr>
                <w:tblCellSpacing w:w="0" w:type="dxa"/>
                <w:jc w:val="center"/>
              </w:trPr>
              <w:tc>
                <w:tcPr>
                  <w:tcW w:w="2875" w:type="pct"/>
                  <w:gridSpan w:val="2"/>
                  <w:tcBorders>
                    <w:top w:val="single" w:color="000000" w:sz="12" w:space="0"/>
                    <w:left w:val="nil"/>
                    <w:bottom w:val="single" w:color="000000" w:sz="4" w:space="0"/>
                    <w:right w:val="single" w:color="000000" w:sz="4" w:space="0"/>
                  </w:tcBorders>
                  <w:noWrap w:val="0"/>
                  <w:vAlign w:val="center"/>
                </w:tcPr>
                <w:p w14:paraId="3B6FDCB6">
                  <w:pPr>
                    <w:pStyle w:val="5"/>
                    <w:spacing w:line="240" w:lineRule="auto"/>
                    <w:jc w:val="center"/>
                    <w:rPr>
                      <w:rFonts w:ascii="Times New Roman" w:hAnsi="Times New Roman" w:eastAsia="宋体" w:cs="Arial"/>
                      <w:b/>
                      <w:bCs/>
                      <w:snapToGrid w:val="0"/>
                      <w:color w:val="auto"/>
                      <w:kern w:val="0"/>
                      <w:sz w:val="21"/>
                      <w:szCs w:val="20"/>
                      <w:lang w:val="en-US" w:eastAsia="en-US" w:bidi="ar-SA"/>
                    </w:rPr>
                  </w:pPr>
                  <w:r>
                    <w:rPr>
                      <w:rFonts w:hint="eastAsia" w:ascii="Times New Roman" w:hAnsi="Times New Roman" w:eastAsia="宋体" w:cs="Arial"/>
                      <w:b/>
                      <w:bCs/>
                      <w:snapToGrid w:val="0"/>
                      <w:color w:val="auto"/>
                      <w:kern w:val="0"/>
                      <w:sz w:val="21"/>
                      <w:szCs w:val="20"/>
                      <w:lang w:val="en-US" w:eastAsia="en-US" w:bidi="ar-SA"/>
                    </w:rPr>
                    <w:t>准入要求</w:t>
                  </w:r>
                </w:p>
              </w:tc>
              <w:tc>
                <w:tcPr>
                  <w:tcW w:w="1442" w:type="pct"/>
                  <w:tcBorders>
                    <w:top w:val="single" w:color="000000" w:sz="12" w:space="0"/>
                    <w:left w:val="single" w:color="000000" w:sz="4" w:space="0"/>
                    <w:bottom w:val="single" w:color="000000" w:sz="4" w:space="0"/>
                    <w:right w:val="single" w:color="000000" w:sz="4" w:space="0"/>
                  </w:tcBorders>
                  <w:noWrap w:val="0"/>
                  <w:vAlign w:val="center"/>
                </w:tcPr>
                <w:p w14:paraId="27205A59">
                  <w:pPr>
                    <w:pStyle w:val="5"/>
                    <w:spacing w:line="240" w:lineRule="auto"/>
                    <w:jc w:val="center"/>
                    <w:rPr>
                      <w:rFonts w:ascii="Times New Roman" w:hAnsi="Times New Roman" w:eastAsia="宋体" w:cs="Arial"/>
                      <w:b/>
                      <w:bCs/>
                      <w:snapToGrid w:val="0"/>
                      <w:color w:val="auto"/>
                      <w:kern w:val="0"/>
                      <w:sz w:val="21"/>
                      <w:szCs w:val="20"/>
                      <w:lang w:val="en-US" w:eastAsia="en-US" w:bidi="ar-SA"/>
                    </w:rPr>
                  </w:pPr>
                  <w:r>
                    <w:rPr>
                      <w:rFonts w:hint="eastAsia" w:ascii="Times New Roman" w:hAnsi="Times New Roman" w:eastAsia="宋体" w:cs="Arial"/>
                      <w:b/>
                      <w:bCs/>
                      <w:snapToGrid w:val="0"/>
                      <w:color w:val="auto"/>
                      <w:kern w:val="0"/>
                      <w:sz w:val="21"/>
                      <w:szCs w:val="20"/>
                      <w:lang w:val="en-US" w:eastAsia="en-US" w:bidi="ar-SA"/>
                    </w:rPr>
                    <w:t>本项目</w:t>
                  </w:r>
                </w:p>
              </w:tc>
              <w:tc>
                <w:tcPr>
                  <w:tcW w:w="681" w:type="pct"/>
                  <w:tcBorders>
                    <w:top w:val="single" w:color="000000" w:sz="12" w:space="0"/>
                    <w:left w:val="single" w:color="000000" w:sz="4" w:space="0"/>
                    <w:bottom w:val="single" w:color="000000" w:sz="4" w:space="0"/>
                    <w:right w:val="nil"/>
                  </w:tcBorders>
                  <w:noWrap w:val="0"/>
                  <w:vAlign w:val="center"/>
                </w:tcPr>
                <w:p w14:paraId="25616E24">
                  <w:pPr>
                    <w:pStyle w:val="5"/>
                    <w:spacing w:line="240" w:lineRule="auto"/>
                    <w:ind w:firstLine="0" w:firstLineChars="0"/>
                    <w:jc w:val="center"/>
                    <w:rPr>
                      <w:rFonts w:ascii="Times New Roman" w:hAnsi="Times New Roman" w:eastAsia="宋体" w:cs="Arial"/>
                      <w:b/>
                      <w:bCs/>
                      <w:snapToGrid w:val="0"/>
                      <w:color w:val="auto"/>
                      <w:kern w:val="0"/>
                      <w:sz w:val="21"/>
                      <w:szCs w:val="20"/>
                      <w:lang w:val="en-US" w:eastAsia="en-US" w:bidi="ar-SA"/>
                    </w:rPr>
                  </w:pPr>
                  <w:r>
                    <w:rPr>
                      <w:rFonts w:hint="eastAsia" w:ascii="Times New Roman" w:hAnsi="Times New Roman" w:eastAsia="宋体" w:cs="Arial"/>
                      <w:b/>
                      <w:bCs/>
                      <w:snapToGrid w:val="0"/>
                      <w:color w:val="auto"/>
                      <w:kern w:val="0"/>
                      <w:sz w:val="21"/>
                      <w:szCs w:val="20"/>
                      <w:lang w:val="en-US" w:eastAsia="en-US" w:bidi="ar-SA"/>
                    </w:rPr>
                    <w:t>是否符合准入要求</w:t>
                  </w:r>
                </w:p>
              </w:tc>
            </w:tr>
            <w:tr w14:paraId="4B31F048">
              <w:tblPrEx>
                <w:tblCellMar>
                  <w:top w:w="0" w:type="dxa"/>
                  <w:left w:w="108" w:type="dxa"/>
                  <w:bottom w:w="0" w:type="dxa"/>
                  <w:right w:w="108" w:type="dxa"/>
                </w:tblCellMar>
              </w:tblPrEx>
              <w:trPr>
                <w:tblCellSpacing w:w="0" w:type="dxa"/>
                <w:jc w:val="center"/>
              </w:trPr>
              <w:tc>
                <w:tcPr>
                  <w:tcW w:w="671" w:type="pct"/>
                  <w:tcBorders>
                    <w:top w:val="single" w:color="000000" w:sz="4" w:space="0"/>
                    <w:left w:val="nil"/>
                    <w:bottom w:val="single" w:color="000000" w:sz="4" w:space="0"/>
                    <w:right w:val="single" w:color="000000" w:sz="4" w:space="0"/>
                  </w:tcBorders>
                  <w:noWrap w:val="0"/>
                  <w:vAlign w:val="center"/>
                </w:tcPr>
                <w:p w14:paraId="5461C271">
                  <w:pPr>
                    <w:pStyle w:val="5"/>
                    <w:spacing w:line="240" w:lineRule="auto"/>
                    <w:ind w:firstLine="0" w:firstLineChars="0"/>
                    <w:jc w:val="center"/>
                    <w:rPr>
                      <w:rFonts w:ascii="Times New Roman" w:hAnsi="Times New Roman" w:eastAsia="宋体" w:cs="Arial"/>
                      <w:snapToGrid w:val="0"/>
                      <w:color w:val="auto"/>
                      <w:kern w:val="0"/>
                      <w:sz w:val="21"/>
                      <w:szCs w:val="20"/>
                      <w:lang w:val="en-US" w:eastAsia="en-US" w:bidi="ar-SA"/>
                    </w:rPr>
                  </w:pPr>
                  <w:r>
                    <w:rPr>
                      <w:rFonts w:hint="eastAsia" w:ascii="Times New Roman" w:hAnsi="Times New Roman" w:eastAsia="宋体" w:cs="Arial"/>
                      <w:snapToGrid w:val="0"/>
                      <w:color w:val="auto"/>
                      <w:kern w:val="0"/>
                      <w:sz w:val="21"/>
                      <w:szCs w:val="20"/>
                      <w:lang w:val="en-US" w:eastAsia="en-US" w:bidi="ar-SA"/>
                    </w:rPr>
                    <w:t>空间布局</w:t>
                  </w:r>
                </w:p>
              </w:tc>
              <w:tc>
                <w:tcPr>
                  <w:tcW w:w="2203" w:type="pct"/>
                  <w:tcBorders>
                    <w:top w:val="single" w:color="000000" w:sz="4" w:space="0"/>
                    <w:left w:val="single" w:color="000000" w:sz="4" w:space="0"/>
                    <w:bottom w:val="single" w:color="000000" w:sz="4" w:space="0"/>
                    <w:right w:val="single" w:color="000000" w:sz="4" w:space="0"/>
                  </w:tcBorders>
                  <w:noWrap w:val="0"/>
                  <w:vAlign w:val="center"/>
                </w:tcPr>
                <w:p w14:paraId="764F1AD1">
                  <w:pPr>
                    <w:pStyle w:val="5"/>
                    <w:spacing w:line="240" w:lineRule="auto"/>
                    <w:ind w:left="0" w:leftChars="0" w:firstLine="0" w:firstLineChars="0"/>
                    <w:jc w:val="both"/>
                    <w:rPr>
                      <w:rFonts w:hint="eastAsia" w:ascii="Times New Roman" w:hAnsi="Times New Roman" w:eastAsia="宋体" w:cs="Arial"/>
                      <w:snapToGrid w:val="0"/>
                      <w:color w:val="auto"/>
                      <w:kern w:val="0"/>
                      <w:sz w:val="21"/>
                      <w:szCs w:val="20"/>
                      <w:lang w:val="en-US" w:eastAsia="en-US" w:bidi="ar-SA"/>
                    </w:rPr>
                  </w:pPr>
                  <w:r>
                    <w:rPr>
                      <w:rFonts w:hint="eastAsia" w:cs="Arial"/>
                      <w:snapToGrid w:val="0"/>
                      <w:color w:val="auto"/>
                      <w:kern w:val="0"/>
                      <w:sz w:val="21"/>
                      <w:szCs w:val="20"/>
                      <w:lang w:val="en-US" w:eastAsia="zh-CN" w:bidi="ar-SA"/>
                    </w:rPr>
                    <w:t>1</w:t>
                  </w:r>
                  <w:r>
                    <w:rPr>
                      <w:rFonts w:hint="eastAsia" w:ascii="Times New Roman" w:hAnsi="Times New Roman" w:eastAsia="宋体" w:cs="Arial"/>
                      <w:snapToGrid w:val="0"/>
                      <w:color w:val="auto"/>
                      <w:kern w:val="0"/>
                      <w:sz w:val="21"/>
                      <w:szCs w:val="20"/>
                      <w:lang w:val="en-US" w:eastAsia="en-US" w:bidi="ar-SA"/>
                    </w:rPr>
                    <w:t>.严禁在城镇人口密集区新建危险化学品生产企业；现有不符合安全和卫生防护距离要求的危险化学品生产企业2025年底前完成就地改造达标、搬迁进入规范化工园区或关闭退出。城市建成区内现有化工等污染较重的企业应有序搬迁改造或依法关闭。2.禁止在通风廊道和主导风向的上风向布局大气重污染企业。严格控制包装印刷、工业涂装、制鞋等高VOCs排放的项目建设，相关新建项目必须进入工业园区。3.禁止开发利用未经评估和无害化处理的列入建设用地污染地块名录及开发利用负面清单的土地。</w:t>
                  </w:r>
                </w:p>
              </w:tc>
              <w:tc>
                <w:tcPr>
                  <w:tcW w:w="1442" w:type="pct"/>
                  <w:tcBorders>
                    <w:top w:val="single" w:color="000000" w:sz="4" w:space="0"/>
                    <w:left w:val="single" w:color="000000" w:sz="4" w:space="0"/>
                    <w:bottom w:val="single" w:color="000000" w:sz="4" w:space="0"/>
                    <w:right w:val="single" w:color="000000" w:sz="4" w:space="0"/>
                  </w:tcBorders>
                  <w:noWrap w:val="0"/>
                  <w:vAlign w:val="center"/>
                </w:tcPr>
                <w:p w14:paraId="2BF3819E">
                  <w:pPr>
                    <w:pStyle w:val="5"/>
                    <w:spacing w:line="240" w:lineRule="auto"/>
                    <w:ind w:firstLine="0" w:firstLineChars="0"/>
                    <w:jc w:val="center"/>
                    <w:rPr>
                      <w:rFonts w:hint="eastAsia" w:ascii="Times New Roman" w:hAnsi="Times New Roman" w:eastAsia="宋体" w:cs="Arial"/>
                      <w:snapToGrid w:val="0"/>
                      <w:color w:val="auto"/>
                      <w:kern w:val="0"/>
                      <w:sz w:val="21"/>
                      <w:szCs w:val="20"/>
                      <w:lang w:val="en-US" w:eastAsia="en-US" w:bidi="ar-SA"/>
                    </w:rPr>
                  </w:pPr>
                  <w:r>
                    <w:rPr>
                      <w:rFonts w:hint="eastAsia" w:cs="Arial"/>
                      <w:snapToGrid w:val="0"/>
                      <w:color w:val="auto"/>
                      <w:kern w:val="0"/>
                      <w:sz w:val="21"/>
                      <w:szCs w:val="20"/>
                      <w:lang w:val="en-US" w:eastAsia="zh-CN" w:bidi="ar-SA"/>
                    </w:rPr>
                    <w:t>1.</w:t>
                  </w:r>
                  <w:r>
                    <w:rPr>
                      <w:rFonts w:hint="eastAsia" w:ascii="Times New Roman" w:hAnsi="Times New Roman" w:eastAsia="宋体" w:cs="Arial"/>
                      <w:snapToGrid w:val="0"/>
                      <w:color w:val="auto"/>
                      <w:kern w:val="0"/>
                      <w:sz w:val="21"/>
                      <w:szCs w:val="20"/>
                      <w:lang w:val="en-US" w:eastAsia="en-US" w:bidi="ar-SA"/>
                    </w:rPr>
                    <w:t>项目不属于有色金属、印染、原料药制造、化工、危险化学品生产企业；</w:t>
                  </w:r>
                </w:p>
                <w:p w14:paraId="6E29BD2A">
                  <w:pPr>
                    <w:pStyle w:val="5"/>
                    <w:spacing w:line="240" w:lineRule="auto"/>
                    <w:ind w:firstLine="0" w:firstLineChars="0"/>
                    <w:jc w:val="center"/>
                    <w:rPr>
                      <w:rFonts w:hint="eastAsia" w:ascii="Times New Roman" w:hAnsi="Times New Roman" w:eastAsia="宋体" w:cs="Arial"/>
                      <w:snapToGrid w:val="0"/>
                      <w:color w:val="auto"/>
                      <w:kern w:val="0"/>
                      <w:sz w:val="21"/>
                      <w:szCs w:val="20"/>
                      <w:lang w:val="en-US" w:eastAsia="zh-CN" w:bidi="ar-SA"/>
                    </w:rPr>
                  </w:pPr>
                  <w:r>
                    <w:rPr>
                      <w:rFonts w:hint="eastAsia" w:cs="Arial"/>
                      <w:snapToGrid w:val="0"/>
                      <w:color w:val="auto"/>
                      <w:kern w:val="0"/>
                      <w:sz w:val="21"/>
                      <w:szCs w:val="20"/>
                      <w:lang w:val="en-US" w:eastAsia="zh-CN" w:bidi="ar-SA"/>
                    </w:rPr>
                    <w:t>2.</w:t>
                  </w:r>
                  <w:r>
                    <w:rPr>
                      <w:rFonts w:hint="eastAsia" w:ascii="Times New Roman" w:hAnsi="Times New Roman" w:eastAsia="宋体" w:cs="Arial"/>
                      <w:snapToGrid w:val="0"/>
                      <w:color w:val="auto"/>
                      <w:kern w:val="0"/>
                      <w:sz w:val="21"/>
                      <w:szCs w:val="20"/>
                      <w:lang w:val="en-US" w:eastAsia="en-US" w:bidi="ar-SA"/>
                    </w:rPr>
                    <w:t>项目生产过程中涉及</w:t>
                  </w:r>
                  <w:r>
                    <w:rPr>
                      <w:rFonts w:hint="eastAsia" w:ascii="Times New Roman" w:hAnsi="Times New Roman" w:eastAsia="宋体" w:cs="Arial"/>
                      <w:snapToGrid w:val="0"/>
                      <w:color w:val="auto"/>
                      <w:kern w:val="0"/>
                      <w:sz w:val="21"/>
                      <w:szCs w:val="20"/>
                      <w:lang w:val="en-US" w:eastAsia="zh-CN" w:bidi="ar-SA"/>
                    </w:rPr>
                    <w:t>少量</w:t>
                  </w:r>
                  <w:r>
                    <w:rPr>
                      <w:rFonts w:hint="eastAsia" w:ascii="Times New Roman" w:hAnsi="Times New Roman" w:eastAsia="宋体" w:cs="Arial"/>
                      <w:snapToGrid w:val="0"/>
                      <w:color w:val="auto"/>
                      <w:kern w:val="0"/>
                      <w:sz w:val="21"/>
                      <w:szCs w:val="20"/>
                      <w:lang w:val="en-US" w:eastAsia="en-US" w:bidi="ar-SA"/>
                    </w:rPr>
                    <w:t>VOC</w:t>
                  </w:r>
                  <w:r>
                    <w:rPr>
                      <w:rFonts w:hint="eastAsia" w:ascii="Times New Roman" w:hAnsi="Times New Roman" w:eastAsia="宋体" w:cs="Arial"/>
                      <w:snapToGrid w:val="0"/>
                      <w:color w:val="auto"/>
                      <w:kern w:val="0"/>
                      <w:sz w:val="21"/>
                      <w:szCs w:val="20"/>
                      <w:vertAlign w:val="subscript"/>
                      <w:lang w:val="en-US" w:eastAsia="en-US" w:bidi="ar-SA"/>
                    </w:rPr>
                    <w:t>S</w:t>
                  </w:r>
                  <w:r>
                    <w:rPr>
                      <w:rFonts w:hint="eastAsia" w:ascii="Times New Roman" w:hAnsi="Times New Roman" w:eastAsia="宋体" w:cs="Arial"/>
                      <w:snapToGrid w:val="0"/>
                      <w:color w:val="auto"/>
                      <w:kern w:val="0"/>
                      <w:sz w:val="21"/>
                      <w:szCs w:val="20"/>
                      <w:lang w:val="en-US" w:eastAsia="en-US" w:bidi="ar-SA"/>
                    </w:rPr>
                    <w:t>的排放</w:t>
                  </w:r>
                  <w:r>
                    <w:rPr>
                      <w:rFonts w:hint="eastAsia" w:cs="Arial"/>
                      <w:snapToGrid w:val="0"/>
                      <w:color w:val="auto"/>
                      <w:kern w:val="0"/>
                      <w:sz w:val="21"/>
                      <w:szCs w:val="20"/>
                      <w:lang w:val="en-US" w:eastAsia="zh-CN" w:bidi="ar-SA"/>
                    </w:rPr>
                    <w:t>；</w:t>
                  </w:r>
                </w:p>
                <w:p w14:paraId="224C826D">
                  <w:pPr>
                    <w:pStyle w:val="5"/>
                    <w:spacing w:line="240" w:lineRule="auto"/>
                    <w:ind w:firstLine="0" w:firstLineChars="0"/>
                    <w:jc w:val="center"/>
                    <w:rPr>
                      <w:rFonts w:ascii="Times New Roman" w:hAnsi="Times New Roman" w:eastAsia="宋体" w:cs="Arial"/>
                      <w:snapToGrid w:val="0"/>
                      <w:color w:val="auto"/>
                      <w:kern w:val="0"/>
                      <w:sz w:val="21"/>
                      <w:szCs w:val="20"/>
                      <w:lang w:val="en-US" w:eastAsia="en-US" w:bidi="ar-SA"/>
                    </w:rPr>
                  </w:pPr>
                  <w:r>
                    <w:rPr>
                      <w:rFonts w:hint="eastAsia"/>
                      <w:color w:val="auto"/>
                      <w:lang w:val="en-US" w:eastAsia="zh-CN"/>
                    </w:rPr>
                    <w:t>3.</w:t>
                  </w:r>
                  <w:r>
                    <w:rPr>
                      <w:rFonts w:hint="eastAsia" w:ascii="Times New Roman" w:hAnsi="Times New Roman" w:eastAsia="宋体" w:cs="Arial"/>
                      <w:snapToGrid w:val="0"/>
                      <w:color w:val="auto"/>
                      <w:kern w:val="0"/>
                      <w:sz w:val="21"/>
                      <w:szCs w:val="20"/>
                      <w:lang w:val="en-US" w:eastAsia="en-US" w:bidi="ar-SA"/>
                    </w:rPr>
                    <w:t>不使用未开发利用未经评估和无害化处理的列入建设用地污染地块名录及开发利用负面清单的土地</w:t>
                  </w:r>
                </w:p>
              </w:tc>
              <w:tc>
                <w:tcPr>
                  <w:tcW w:w="681" w:type="pct"/>
                  <w:tcBorders>
                    <w:top w:val="single" w:color="000000" w:sz="4" w:space="0"/>
                    <w:left w:val="single" w:color="000000" w:sz="4" w:space="0"/>
                    <w:bottom w:val="single" w:color="000000" w:sz="4" w:space="0"/>
                    <w:right w:val="nil"/>
                  </w:tcBorders>
                  <w:noWrap w:val="0"/>
                  <w:vAlign w:val="center"/>
                </w:tcPr>
                <w:p w14:paraId="26C5411E">
                  <w:pPr>
                    <w:pStyle w:val="5"/>
                    <w:spacing w:line="240" w:lineRule="auto"/>
                    <w:ind w:firstLine="0" w:firstLineChars="0"/>
                    <w:jc w:val="center"/>
                    <w:rPr>
                      <w:rFonts w:ascii="Times New Roman" w:hAnsi="Times New Roman" w:eastAsia="宋体" w:cs="Arial"/>
                      <w:snapToGrid w:val="0"/>
                      <w:color w:val="auto"/>
                      <w:kern w:val="0"/>
                      <w:sz w:val="21"/>
                      <w:szCs w:val="20"/>
                      <w:lang w:val="en-US" w:eastAsia="en-US" w:bidi="ar-SA"/>
                    </w:rPr>
                  </w:pPr>
                  <w:r>
                    <w:rPr>
                      <w:rFonts w:hint="eastAsia" w:ascii="Times New Roman" w:hAnsi="Times New Roman" w:eastAsia="宋体" w:cs="Arial"/>
                      <w:snapToGrid w:val="0"/>
                      <w:color w:val="auto"/>
                      <w:kern w:val="0"/>
                      <w:sz w:val="21"/>
                      <w:szCs w:val="20"/>
                      <w:lang w:val="en-US" w:eastAsia="en-US" w:bidi="ar-SA"/>
                    </w:rPr>
                    <w:t>符合</w:t>
                  </w:r>
                </w:p>
              </w:tc>
            </w:tr>
            <w:tr w14:paraId="7098D6C5">
              <w:tblPrEx>
                <w:tblCellMar>
                  <w:top w:w="0" w:type="dxa"/>
                  <w:left w:w="108" w:type="dxa"/>
                  <w:bottom w:w="0" w:type="dxa"/>
                  <w:right w:w="108" w:type="dxa"/>
                </w:tblCellMar>
              </w:tblPrEx>
              <w:trPr>
                <w:tblCellSpacing w:w="0" w:type="dxa"/>
                <w:jc w:val="center"/>
              </w:trPr>
              <w:tc>
                <w:tcPr>
                  <w:tcW w:w="671" w:type="pct"/>
                  <w:tcBorders>
                    <w:top w:val="single" w:color="000000" w:sz="4" w:space="0"/>
                    <w:left w:val="nil"/>
                    <w:bottom w:val="single" w:color="000000" w:sz="4" w:space="0"/>
                    <w:right w:val="single" w:color="000000" w:sz="4" w:space="0"/>
                  </w:tcBorders>
                  <w:noWrap w:val="0"/>
                  <w:vAlign w:val="center"/>
                </w:tcPr>
                <w:p w14:paraId="4EB4228A">
                  <w:pPr>
                    <w:pStyle w:val="5"/>
                    <w:spacing w:line="240" w:lineRule="auto"/>
                    <w:ind w:firstLine="0" w:firstLineChars="0"/>
                    <w:jc w:val="center"/>
                    <w:rPr>
                      <w:rFonts w:ascii="Times New Roman" w:hAnsi="Times New Roman" w:eastAsia="宋体" w:cs="Arial"/>
                      <w:snapToGrid w:val="0"/>
                      <w:color w:val="auto"/>
                      <w:kern w:val="0"/>
                      <w:sz w:val="21"/>
                      <w:szCs w:val="20"/>
                      <w:lang w:val="en-US" w:eastAsia="en-US" w:bidi="ar-SA"/>
                    </w:rPr>
                  </w:pPr>
                  <w:r>
                    <w:rPr>
                      <w:rFonts w:hint="eastAsia" w:ascii="Times New Roman" w:hAnsi="Times New Roman" w:eastAsia="宋体" w:cs="Arial"/>
                      <w:snapToGrid w:val="0"/>
                      <w:color w:val="auto"/>
                      <w:kern w:val="0"/>
                      <w:sz w:val="21"/>
                      <w:szCs w:val="20"/>
                      <w:lang w:val="en-US" w:eastAsia="en-US" w:bidi="ar-SA"/>
                    </w:rPr>
                    <w:t>污染物排放管控</w:t>
                  </w:r>
                </w:p>
              </w:tc>
              <w:tc>
                <w:tcPr>
                  <w:tcW w:w="2203" w:type="pct"/>
                  <w:tcBorders>
                    <w:top w:val="single" w:color="000000" w:sz="4" w:space="0"/>
                    <w:left w:val="single" w:color="000000" w:sz="4" w:space="0"/>
                    <w:bottom w:val="single" w:color="000000" w:sz="4" w:space="0"/>
                    <w:right w:val="single" w:color="000000" w:sz="4" w:space="0"/>
                  </w:tcBorders>
                  <w:noWrap w:val="0"/>
                  <w:vAlign w:val="center"/>
                </w:tcPr>
                <w:p w14:paraId="65DCFC5F">
                  <w:pPr>
                    <w:pStyle w:val="5"/>
                    <w:spacing w:line="240" w:lineRule="auto"/>
                    <w:jc w:val="center"/>
                    <w:rPr>
                      <w:rFonts w:hint="eastAsia" w:ascii="Times New Roman" w:hAnsi="Times New Roman" w:eastAsia="宋体" w:cs="Arial"/>
                      <w:snapToGrid w:val="0"/>
                      <w:color w:val="auto"/>
                      <w:kern w:val="0"/>
                      <w:sz w:val="21"/>
                      <w:szCs w:val="20"/>
                      <w:lang w:val="en-US" w:eastAsia="en-US" w:bidi="ar-SA"/>
                    </w:rPr>
                  </w:pPr>
                  <w:r>
                    <w:rPr>
                      <w:rFonts w:hint="eastAsia" w:ascii="Times New Roman" w:hAnsi="Times New Roman" w:eastAsia="宋体" w:cs="Arial"/>
                      <w:snapToGrid w:val="0"/>
                      <w:color w:val="auto"/>
                      <w:kern w:val="0"/>
                      <w:sz w:val="21"/>
                      <w:szCs w:val="20"/>
                      <w:lang w:val="en-US" w:eastAsia="en-US" w:bidi="ar-SA"/>
                    </w:rPr>
                    <w:t>1.禁止向农田灌溉渠道排放工业废水或者医疗污水。向农田灌溉渠道排放城镇污水以及未综合利用的畜禽养殖废水、农产品加工废水的，应当保证其下游最近的灌溉取水点的水质符合农田灌溉水质标准。2.落实新增二氧化硫、氮氧化物和VOCs排放总量控制要求</w:t>
                  </w:r>
                </w:p>
              </w:tc>
              <w:tc>
                <w:tcPr>
                  <w:tcW w:w="1442" w:type="pct"/>
                  <w:tcBorders>
                    <w:top w:val="single" w:color="000000" w:sz="4" w:space="0"/>
                    <w:left w:val="single" w:color="000000" w:sz="4" w:space="0"/>
                    <w:bottom w:val="single" w:color="000000" w:sz="4" w:space="0"/>
                    <w:right w:val="single" w:color="000000" w:sz="4" w:space="0"/>
                  </w:tcBorders>
                  <w:noWrap w:val="0"/>
                  <w:vAlign w:val="center"/>
                </w:tcPr>
                <w:p w14:paraId="1E7179E1">
                  <w:pPr>
                    <w:pStyle w:val="5"/>
                    <w:spacing w:line="240" w:lineRule="auto"/>
                    <w:ind w:firstLine="0" w:firstLineChars="0"/>
                    <w:jc w:val="center"/>
                    <w:rPr>
                      <w:rFonts w:hint="default" w:cs="Arial"/>
                      <w:snapToGrid w:val="0"/>
                      <w:color w:val="auto"/>
                      <w:kern w:val="0"/>
                      <w:sz w:val="21"/>
                      <w:szCs w:val="20"/>
                      <w:lang w:val="en-US" w:eastAsia="zh-CN" w:bidi="ar-SA"/>
                    </w:rPr>
                  </w:pPr>
                  <w:r>
                    <w:rPr>
                      <w:rFonts w:hint="eastAsia" w:cs="Arial"/>
                      <w:snapToGrid w:val="0"/>
                      <w:color w:val="auto"/>
                      <w:kern w:val="0"/>
                      <w:sz w:val="21"/>
                      <w:szCs w:val="20"/>
                      <w:lang w:val="en-US" w:eastAsia="zh-CN" w:bidi="ar-SA"/>
                    </w:rPr>
                    <w:t>1.无</w:t>
                  </w:r>
                  <w:r>
                    <w:rPr>
                      <w:rFonts w:hint="eastAsia" w:ascii="Times New Roman" w:hAnsi="Times New Roman" w:eastAsia="宋体" w:cs="Arial"/>
                      <w:snapToGrid w:val="0"/>
                      <w:color w:val="auto"/>
                      <w:kern w:val="0"/>
                      <w:sz w:val="21"/>
                      <w:szCs w:val="20"/>
                      <w:lang w:val="en-US" w:eastAsia="en-US" w:bidi="ar-SA"/>
                    </w:rPr>
                    <w:t>农田灌溉渠道排放工业废水或者医疗污水</w:t>
                  </w:r>
                </w:p>
                <w:p w14:paraId="4A98ACE0">
                  <w:pPr>
                    <w:pStyle w:val="5"/>
                    <w:spacing w:line="240" w:lineRule="auto"/>
                    <w:ind w:firstLine="0" w:firstLineChars="0"/>
                    <w:jc w:val="center"/>
                    <w:rPr>
                      <w:rFonts w:hint="default" w:ascii="Times New Roman" w:hAnsi="Times New Roman" w:eastAsia="宋体" w:cs="Arial"/>
                      <w:snapToGrid w:val="0"/>
                      <w:color w:val="auto"/>
                      <w:kern w:val="0"/>
                      <w:sz w:val="21"/>
                      <w:szCs w:val="20"/>
                      <w:lang w:val="en-US" w:eastAsia="zh-CN" w:bidi="ar-SA"/>
                    </w:rPr>
                  </w:pPr>
                  <w:r>
                    <w:rPr>
                      <w:rFonts w:hint="eastAsia" w:cs="Arial"/>
                      <w:snapToGrid w:val="0"/>
                      <w:color w:val="auto"/>
                      <w:kern w:val="0"/>
                      <w:sz w:val="21"/>
                      <w:szCs w:val="20"/>
                      <w:lang w:val="en-US" w:eastAsia="zh-CN" w:bidi="ar-SA"/>
                    </w:rPr>
                    <w:t>2.</w:t>
                  </w:r>
                  <w:r>
                    <w:rPr>
                      <w:rFonts w:hint="eastAsia" w:ascii="Times New Roman" w:hAnsi="Times New Roman" w:eastAsia="宋体" w:cs="Arial"/>
                      <w:snapToGrid w:val="0"/>
                      <w:color w:val="auto"/>
                      <w:kern w:val="0"/>
                      <w:sz w:val="21"/>
                      <w:szCs w:val="20"/>
                      <w:lang w:val="en-US" w:eastAsia="en-US" w:bidi="ar-SA"/>
                    </w:rPr>
                    <w:t>项目</w:t>
                  </w:r>
                  <w:r>
                    <w:rPr>
                      <w:rFonts w:hint="eastAsia" w:ascii="Times New Roman" w:hAnsi="Times New Roman" w:eastAsia="宋体" w:cs="Arial"/>
                      <w:snapToGrid w:val="0"/>
                      <w:color w:val="auto"/>
                      <w:kern w:val="0"/>
                      <w:sz w:val="21"/>
                      <w:szCs w:val="20"/>
                      <w:lang w:val="en-US" w:eastAsia="zh-CN" w:bidi="ar-SA"/>
                    </w:rPr>
                    <w:t>生产工序涉及VOCs的排放，将落实VOCs总量控制要求</w:t>
                  </w:r>
                </w:p>
              </w:tc>
              <w:tc>
                <w:tcPr>
                  <w:tcW w:w="681" w:type="pct"/>
                  <w:tcBorders>
                    <w:top w:val="single" w:color="000000" w:sz="4" w:space="0"/>
                    <w:left w:val="single" w:color="000000" w:sz="4" w:space="0"/>
                    <w:bottom w:val="single" w:color="000000" w:sz="4" w:space="0"/>
                    <w:right w:val="nil"/>
                  </w:tcBorders>
                  <w:noWrap w:val="0"/>
                  <w:vAlign w:val="center"/>
                </w:tcPr>
                <w:p w14:paraId="614BD469">
                  <w:pPr>
                    <w:pStyle w:val="5"/>
                    <w:spacing w:line="240" w:lineRule="auto"/>
                    <w:ind w:firstLine="0" w:firstLineChars="0"/>
                    <w:jc w:val="center"/>
                    <w:rPr>
                      <w:rFonts w:ascii="Times New Roman" w:hAnsi="Times New Roman" w:eastAsia="宋体" w:cs="Arial"/>
                      <w:snapToGrid w:val="0"/>
                      <w:color w:val="auto"/>
                      <w:kern w:val="0"/>
                      <w:sz w:val="21"/>
                      <w:szCs w:val="20"/>
                      <w:lang w:val="en-US" w:eastAsia="en-US" w:bidi="ar-SA"/>
                    </w:rPr>
                  </w:pPr>
                  <w:r>
                    <w:rPr>
                      <w:rFonts w:hint="eastAsia" w:ascii="Times New Roman" w:hAnsi="Times New Roman" w:eastAsia="宋体" w:cs="Arial"/>
                      <w:snapToGrid w:val="0"/>
                      <w:color w:val="auto"/>
                      <w:kern w:val="0"/>
                      <w:sz w:val="21"/>
                      <w:szCs w:val="20"/>
                      <w:lang w:val="en-US" w:eastAsia="en-US" w:bidi="ar-SA"/>
                    </w:rPr>
                    <w:t>符合</w:t>
                  </w:r>
                </w:p>
              </w:tc>
            </w:tr>
            <w:tr w14:paraId="651E784C">
              <w:tblPrEx>
                <w:tblCellMar>
                  <w:top w:w="0" w:type="dxa"/>
                  <w:left w:w="108" w:type="dxa"/>
                  <w:bottom w:w="0" w:type="dxa"/>
                  <w:right w:w="108" w:type="dxa"/>
                </w:tblCellMar>
              </w:tblPrEx>
              <w:trPr>
                <w:tblCellSpacing w:w="0" w:type="dxa"/>
                <w:jc w:val="center"/>
              </w:trPr>
              <w:tc>
                <w:tcPr>
                  <w:tcW w:w="671" w:type="pct"/>
                  <w:tcBorders>
                    <w:top w:val="single" w:color="000000" w:sz="4" w:space="0"/>
                    <w:left w:val="nil"/>
                    <w:bottom w:val="single" w:color="000000" w:sz="4" w:space="0"/>
                    <w:right w:val="single" w:color="000000" w:sz="4" w:space="0"/>
                  </w:tcBorders>
                  <w:noWrap w:val="0"/>
                  <w:vAlign w:val="center"/>
                </w:tcPr>
                <w:p w14:paraId="57A6AA94">
                  <w:pPr>
                    <w:pStyle w:val="5"/>
                    <w:spacing w:line="240" w:lineRule="auto"/>
                    <w:ind w:firstLine="0" w:firstLineChars="0"/>
                    <w:jc w:val="center"/>
                    <w:rPr>
                      <w:rFonts w:ascii="Times New Roman" w:hAnsi="Times New Roman" w:eastAsia="宋体" w:cs="Arial"/>
                      <w:snapToGrid w:val="0"/>
                      <w:color w:val="auto"/>
                      <w:kern w:val="0"/>
                      <w:sz w:val="21"/>
                      <w:szCs w:val="20"/>
                      <w:lang w:val="en-US" w:eastAsia="en-US" w:bidi="ar-SA"/>
                    </w:rPr>
                  </w:pPr>
                  <w:r>
                    <w:rPr>
                      <w:rFonts w:hint="eastAsia" w:ascii="Times New Roman" w:hAnsi="Times New Roman" w:eastAsia="宋体" w:cs="Arial"/>
                      <w:snapToGrid w:val="0"/>
                      <w:color w:val="auto"/>
                      <w:kern w:val="0"/>
                      <w:sz w:val="21"/>
                      <w:szCs w:val="20"/>
                      <w:lang w:val="en-US" w:eastAsia="en-US" w:bidi="ar-SA"/>
                    </w:rPr>
                    <w:t>环境</w:t>
                  </w:r>
                </w:p>
                <w:p w14:paraId="2312F51A">
                  <w:pPr>
                    <w:pStyle w:val="5"/>
                    <w:spacing w:line="240" w:lineRule="auto"/>
                    <w:ind w:firstLine="0" w:firstLineChars="0"/>
                    <w:jc w:val="center"/>
                    <w:rPr>
                      <w:rFonts w:hint="eastAsia" w:ascii="Times New Roman" w:hAnsi="Times New Roman" w:eastAsia="宋体" w:cs="Arial"/>
                      <w:snapToGrid w:val="0"/>
                      <w:color w:val="auto"/>
                      <w:kern w:val="0"/>
                      <w:sz w:val="21"/>
                      <w:szCs w:val="20"/>
                      <w:lang w:val="en-US" w:eastAsia="en-US" w:bidi="ar-SA"/>
                    </w:rPr>
                  </w:pPr>
                  <w:r>
                    <w:rPr>
                      <w:rFonts w:hint="eastAsia" w:ascii="Times New Roman" w:hAnsi="Times New Roman" w:eastAsia="宋体" w:cs="Arial"/>
                      <w:snapToGrid w:val="0"/>
                      <w:color w:val="auto"/>
                      <w:kern w:val="0"/>
                      <w:sz w:val="21"/>
                      <w:szCs w:val="20"/>
                      <w:lang w:val="en-US" w:eastAsia="en-US" w:bidi="ar-SA"/>
                    </w:rPr>
                    <w:t>风险</w:t>
                  </w:r>
                </w:p>
                <w:p w14:paraId="14E86368">
                  <w:pPr>
                    <w:pStyle w:val="5"/>
                    <w:spacing w:line="240" w:lineRule="auto"/>
                    <w:ind w:firstLine="0" w:firstLineChars="0"/>
                    <w:jc w:val="center"/>
                    <w:rPr>
                      <w:rFonts w:ascii="Times New Roman" w:hAnsi="Times New Roman" w:eastAsia="宋体" w:cs="Arial"/>
                      <w:snapToGrid w:val="0"/>
                      <w:color w:val="auto"/>
                      <w:kern w:val="0"/>
                      <w:sz w:val="21"/>
                      <w:szCs w:val="20"/>
                      <w:lang w:val="en-US" w:eastAsia="en-US" w:bidi="ar-SA"/>
                    </w:rPr>
                  </w:pPr>
                  <w:r>
                    <w:rPr>
                      <w:rFonts w:hint="eastAsia" w:ascii="Times New Roman" w:hAnsi="Times New Roman" w:eastAsia="宋体" w:cs="Arial"/>
                      <w:snapToGrid w:val="0"/>
                      <w:color w:val="auto"/>
                      <w:kern w:val="0"/>
                      <w:sz w:val="21"/>
                      <w:szCs w:val="20"/>
                      <w:lang w:val="en-US" w:eastAsia="en-US" w:bidi="ar-SA"/>
                    </w:rPr>
                    <w:t>防控</w:t>
                  </w:r>
                </w:p>
              </w:tc>
              <w:tc>
                <w:tcPr>
                  <w:tcW w:w="2203" w:type="pct"/>
                  <w:tcBorders>
                    <w:top w:val="single" w:color="000000" w:sz="4" w:space="0"/>
                    <w:left w:val="single" w:color="000000" w:sz="4" w:space="0"/>
                    <w:bottom w:val="single" w:color="000000" w:sz="4" w:space="0"/>
                    <w:right w:val="single" w:color="000000" w:sz="4" w:space="0"/>
                  </w:tcBorders>
                  <w:noWrap w:val="0"/>
                  <w:vAlign w:val="center"/>
                </w:tcPr>
                <w:p w14:paraId="03AAA357">
                  <w:pPr>
                    <w:pStyle w:val="5"/>
                    <w:spacing w:line="240" w:lineRule="auto"/>
                    <w:jc w:val="center"/>
                    <w:rPr>
                      <w:rFonts w:hint="eastAsia" w:ascii="Times New Roman" w:hAnsi="Times New Roman" w:eastAsia="宋体" w:cs="Arial"/>
                      <w:snapToGrid w:val="0"/>
                      <w:color w:val="auto"/>
                      <w:kern w:val="0"/>
                      <w:sz w:val="21"/>
                      <w:szCs w:val="20"/>
                      <w:lang w:val="en-US" w:eastAsia="en-US" w:bidi="ar-SA"/>
                    </w:rPr>
                  </w:pPr>
                  <w:r>
                    <w:rPr>
                      <w:rFonts w:hint="eastAsia" w:ascii="Times New Roman" w:hAnsi="Times New Roman" w:eastAsia="宋体" w:cs="Arial"/>
                      <w:snapToGrid w:val="0"/>
                      <w:color w:val="auto"/>
                      <w:kern w:val="0"/>
                      <w:sz w:val="21"/>
                      <w:szCs w:val="20"/>
                      <w:lang w:val="en-US" w:eastAsia="en-US" w:bidi="ar-SA"/>
                    </w:rPr>
                    <w:t>单元内现有化学原料和化学制品制造业等具有潜在土壤污染环境风险的企业退役后，应开展土壤环境状况评估，经评估认为污染地块可能损害人体健康和环境，应当进行修复的，由造成污染的单位和个人负责被污染土壤的修复。</w:t>
                  </w:r>
                </w:p>
              </w:tc>
              <w:tc>
                <w:tcPr>
                  <w:tcW w:w="1442" w:type="pct"/>
                  <w:tcBorders>
                    <w:top w:val="single" w:color="000000" w:sz="4" w:space="0"/>
                    <w:left w:val="single" w:color="000000" w:sz="4" w:space="0"/>
                    <w:bottom w:val="single" w:color="000000" w:sz="4" w:space="0"/>
                    <w:right w:val="single" w:color="000000" w:sz="4" w:space="0"/>
                  </w:tcBorders>
                  <w:noWrap w:val="0"/>
                  <w:vAlign w:val="center"/>
                </w:tcPr>
                <w:p w14:paraId="43043792">
                  <w:pPr>
                    <w:pStyle w:val="5"/>
                    <w:spacing w:line="240" w:lineRule="auto"/>
                    <w:ind w:firstLine="0" w:firstLineChars="0"/>
                    <w:jc w:val="center"/>
                    <w:rPr>
                      <w:rFonts w:ascii="Times New Roman" w:hAnsi="Times New Roman" w:eastAsia="宋体" w:cs="Arial"/>
                      <w:snapToGrid w:val="0"/>
                      <w:color w:val="auto"/>
                      <w:kern w:val="0"/>
                      <w:sz w:val="21"/>
                      <w:szCs w:val="20"/>
                      <w:lang w:val="en-US" w:eastAsia="en-US" w:bidi="ar-SA"/>
                    </w:rPr>
                  </w:pPr>
                  <w:r>
                    <w:rPr>
                      <w:rFonts w:hint="eastAsia" w:ascii="Times New Roman" w:hAnsi="Times New Roman" w:eastAsia="宋体" w:cs="Arial"/>
                      <w:snapToGrid w:val="0"/>
                      <w:color w:val="auto"/>
                      <w:kern w:val="0"/>
                      <w:sz w:val="21"/>
                      <w:szCs w:val="20"/>
                      <w:lang w:val="en-US" w:eastAsia="en-US" w:bidi="ar-SA"/>
                    </w:rPr>
                    <w:t>项目不属于化学原料和化学制品制造业、有色金属冶炼和压延加工业等企业的生产用地</w:t>
                  </w:r>
                </w:p>
              </w:tc>
              <w:tc>
                <w:tcPr>
                  <w:tcW w:w="681" w:type="pct"/>
                  <w:tcBorders>
                    <w:top w:val="single" w:color="000000" w:sz="4" w:space="0"/>
                    <w:left w:val="single" w:color="000000" w:sz="4" w:space="0"/>
                    <w:bottom w:val="single" w:color="000000" w:sz="4" w:space="0"/>
                    <w:right w:val="nil"/>
                  </w:tcBorders>
                  <w:noWrap w:val="0"/>
                  <w:vAlign w:val="center"/>
                </w:tcPr>
                <w:p w14:paraId="46655C4F">
                  <w:pPr>
                    <w:pStyle w:val="5"/>
                    <w:spacing w:line="240" w:lineRule="auto"/>
                    <w:ind w:firstLine="0" w:firstLineChars="0"/>
                    <w:jc w:val="center"/>
                    <w:rPr>
                      <w:rFonts w:ascii="Times New Roman" w:hAnsi="Times New Roman" w:eastAsia="宋体" w:cs="Arial"/>
                      <w:snapToGrid w:val="0"/>
                      <w:color w:val="auto"/>
                      <w:kern w:val="0"/>
                      <w:sz w:val="21"/>
                      <w:szCs w:val="20"/>
                      <w:lang w:val="en-US" w:eastAsia="en-US" w:bidi="ar-SA"/>
                    </w:rPr>
                  </w:pPr>
                  <w:r>
                    <w:rPr>
                      <w:rFonts w:hint="eastAsia" w:ascii="Times New Roman" w:hAnsi="Times New Roman" w:eastAsia="宋体" w:cs="Arial"/>
                      <w:snapToGrid w:val="0"/>
                      <w:color w:val="auto"/>
                      <w:kern w:val="0"/>
                      <w:sz w:val="21"/>
                      <w:szCs w:val="20"/>
                      <w:lang w:val="en-US" w:eastAsia="en-US" w:bidi="ar-SA"/>
                    </w:rPr>
                    <w:t>符合</w:t>
                  </w:r>
                </w:p>
              </w:tc>
            </w:tr>
            <w:tr w14:paraId="524F54ED">
              <w:tblPrEx>
                <w:tblCellMar>
                  <w:top w:w="0" w:type="dxa"/>
                  <w:left w:w="108" w:type="dxa"/>
                  <w:bottom w:w="0" w:type="dxa"/>
                  <w:right w:w="108" w:type="dxa"/>
                </w:tblCellMar>
              </w:tblPrEx>
              <w:trPr>
                <w:tblCellSpacing w:w="0" w:type="dxa"/>
                <w:jc w:val="center"/>
              </w:trPr>
              <w:tc>
                <w:tcPr>
                  <w:tcW w:w="671" w:type="pct"/>
                  <w:tcBorders>
                    <w:top w:val="single" w:color="000000" w:sz="4" w:space="0"/>
                    <w:left w:val="nil"/>
                    <w:bottom w:val="single" w:color="000000" w:sz="12" w:space="0"/>
                    <w:right w:val="single" w:color="000000" w:sz="4" w:space="0"/>
                  </w:tcBorders>
                  <w:noWrap w:val="0"/>
                  <w:vAlign w:val="center"/>
                </w:tcPr>
                <w:p w14:paraId="189DDB29">
                  <w:pPr>
                    <w:pStyle w:val="5"/>
                    <w:spacing w:line="240" w:lineRule="auto"/>
                    <w:ind w:firstLine="0" w:firstLineChars="0"/>
                    <w:jc w:val="center"/>
                    <w:rPr>
                      <w:rFonts w:ascii="Times New Roman" w:hAnsi="Times New Roman" w:eastAsia="宋体" w:cs="Arial"/>
                      <w:snapToGrid w:val="0"/>
                      <w:color w:val="auto"/>
                      <w:kern w:val="0"/>
                      <w:sz w:val="21"/>
                      <w:szCs w:val="20"/>
                      <w:lang w:val="en-US" w:eastAsia="en-US" w:bidi="ar-SA"/>
                    </w:rPr>
                  </w:pPr>
                  <w:r>
                    <w:rPr>
                      <w:rFonts w:hint="eastAsia" w:ascii="Times New Roman" w:hAnsi="Times New Roman" w:eastAsia="宋体" w:cs="Arial"/>
                      <w:snapToGrid w:val="0"/>
                      <w:color w:val="auto"/>
                      <w:kern w:val="0"/>
                      <w:sz w:val="21"/>
                      <w:szCs w:val="20"/>
                      <w:lang w:val="en-US" w:eastAsia="en-US" w:bidi="ar-SA"/>
                    </w:rPr>
                    <w:t>资源开发效率要求</w:t>
                  </w:r>
                </w:p>
              </w:tc>
              <w:tc>
                <w:tcPr>
                  <w:tcW w:w="2203" w:type="pct"/>
                  <w:tcBorders>
                    <w:top w:val="single" w:color="000000" w:sz="4" w:space="0"/>
                    <w:left w:val="single" w:color="000000" w:sz="4" w:space="0"/>
                    <w:bottom w:val="single" w:color="000000" w:sz="12" w:space="0"/>
                    <w:right w:val="single" w:color="000000" w:sz="4" w:space="0"/>
                  </w:tcBorders>
                  <w:noWrap w:val="0"/>
                  <w:vAlign w:val="center"/>
                </w:tcPr>
                <w:p w14:paraId="1942FB75">
                  <w:pPr>
                    <w:pStyle w:val="5"/>
                    <w:spacing w:line="240" w:lineRule="auto"/>
                    <w:ind w:firstLine="0" w:firstLineChars="0"/>
                    <w:jc w:val="center"/>
                    <w:rPr>
                      <w:rFonts w:hint="eastAsia" w:ascii="Times New Roman" w:hAnsi="Times New Roman" w:eastAsia="宋体" w:cs="Arial"/>
                      <w:snapToGrid w:val="0"/>
                      <w:color w:val="auto"/>
                      <w:kern w:val="0"/>
                      <w:sz w:val="21"/>
                      <w:szCs w:val="20"/>
                      <w:lang w:val="en-US" w:eastAsia="zh-CN" w:bidi="ar-SA"/>
                    </w:rPr>
                  </w:pPr>
                  <w:r>
                    <w:rPr>
                      <w:rFonts w:hint="eastAsia" w:ascii="Times New Roman" w:hAnsi="Times New Roman" w:eastAsia="宋体" w:cs="Arial"/>
                      <w:snapToGrid w:val="0"/>
                      <w:color w:val="auto"/>
                      <w:kern w:val="0"/>
                      <w:sz w:val="21"/>
                      <w:szCs w:val="20"/>
                      <w:lang w:val="en-US" w:eastAsia="zh-CN" w:bidi="ar-SA"/>
                    </w:rPr>
                    <w:t>无</w:t>
                  </w:r>
                </w:p>
              </w:tc>
              <w:tc>
                <w:tcPr>
                  <w:tcW w:w="1442" w:type="pct"/>
                  <w:tcBorders>
                    <w:top w:val="single" w:color="000000" w:sz="4" w:space="0"/>
                    <w:left w:val="single" w:color="000000" w:sz="4" w:space="0"/>
                    <w:bottom w:val="single" w:color="000000" w:sz="12" w:space="0"/>
                    <w:right w:val="single" w:color="000000" w:sz="4" w:space="0"/>
                  </w:tcBorders>
                  <w:noWrap w:val="0"/>
                  <w:vAlign w:val="center"/>
                </w:tcPr>
                <w:p w14:paraId="15B18D48">
                  <w:pPr>
                    <w:pStyle w:val="5"/>
                    <w:spacing w:line="240" w:lineRule="auto"/>
                    <w:ind w:firstLine="0" w:firstLineChars="0"/>
                    <w:jc w:val="center"/>
                    <w:rPr>
                      <w:rFonts w:hint="eastAsia" w:ascii="Times New Roman" w:hAnsi="Times New Roman" w:eastAsia="宋体" w:cs="Arial"/>
                      <w:snapToGrid w:val="0"/>
                      <w:color w:val="auto"/>
                      <w:kern w:val="0"/>
                      <w:sz w:val="21"/>
                      <w:szCs w:val="20"/>
                      <w:lang w:val="en-US" w:eastAsia="zh-CN" w:bidi="ar-SA"/>
                    </w:rPr>
                  </w:pPr>
                  <w:r>
                    <w:rPr>
                      <w:rFonts w:hint="eastAsia" w:ascii="Times New Roman" w:hAnsi="Times New Roman" w:eastAsia="宋体" w:cs="Arial"/>
                      <w:snapToGrid w:val="0"/>
                      <w:color w:val="auto"/>
                      <w:kern w:val="0"/>
                      <w:sz w:val="21"/>
                      <w:szCs w:val="20"/>
                      <w:lang w:val="en-US" w:eastAsia="zh-CN" w:bidi="ar-SA"/>
                    </w:rPr>
                    <w:t>无</w:t>
                  </w:r>
                </w:p>
              </w:tc>
              <w:tc>
                <w:tcPr>
                  <w:tcW w:w="681" w:type="pct"/>
                  <w:tcBorders>
                    <w:top w:val="single" w:color="000000" w:sz="4" w:space="0"/>
                    <w:left w:val="single" w:color="000000" w:sz="4" w:space="0"/>
                    <w:bottom w:val="single" w:color="000000" w:sz="12" w:space="0"/>
                    <w:right w:val="nil"/>
                  </w:tcBorders>
                  <w:noWrap w:val="0"/>
                  <w:vAlign w:val="center"/>
                </w:tcPr>
                <w:p w14:paraId="52E53B5F">
                  <w:pPr>
                    <w:pStyle w:val="5"/>
                    <w:spacing w:line="240" w:lineRule="auto"/>
                    <w:ind w:firstLine="0" w:firstLineChars="0"/>
                    <w:jc w:val="center"/>
                    <w:rPr>
                      <w:rFonts w:ascii="Times New Roman" w:hAnsi="Times New Roman" w:eastAsia="宋体" w:cs="Arial"/>
                      <w:snapToGrid w:val="0"/>
                      <w:color w:val="auto"/>
                      <w:kern w:val="0"/>
                      <w:sz w:val="21"/>
                      <w:szCs w:val="20"/>
                      <w:lang w:val="en-US" w:eastAsia="en-US" w:bidi="ar-SA"/>
                    </w:rPr>
                  </w:pPr>
                  <w:r>
                    <w:rPr>
                      <w:rFonts w:hint="eastAsia" w:ascii="Times New Roman" w:hAnsi="Times New Roman" w:eastAsia="宋体" w:cs="Arial"/>
                      <w:snapToGrid w:val="0"/>
                      <w:color w:val="auto"/>
                      <w:kern w:val="0"/>
                      <w:sz w:val="21"/>
                      <w:szCs w:val="20"/>
                      <w:lang w:val="en-US" w:eastAsia="en-US" w:bidi="ar-SA"/>
                    </w:rPr>
                    <w:t>符合</w:t>
                  </w:r>
                </w:p>
              </w:tc>
            </w:tr>
          </w:tbl>
          <w:p w14:paraId="67CF55BB">
            <w:pPr>
              <w:pStyle w:val="5"/>
              <w:rPr>
                <w:rFonts w:hint="eastAsia" w:ascii="Times New Roman" w:hAnsi="Times New Roman" w:eastAsia="宋体" w:cs="Times New Roman"/>
                <w:snapToGrid w:val="0"/>
                <w:color w:val="auto"/>
                <w:kern w:val="0"/>
                <w:sz w:val="24"/>
                <w:szCs w:val="22"/>
                <w:lang w:val="en-US" w:eastAsia="zh-CN" w:bidi="ar-SA"/>
              </w:rPr>
            </w:pPr>
            <w:r>
              <w:rPr>
                <w:rFonts w:hint="eastAsia" w:ascii="Times New Roman" w:hAnsi="Times New Roman" w:eastAsia="宋体" w:cs="Times New Roman"/>
                <w:snapToGrid w:val="0"/>
                <w:color w:val="auto"/>
                <w:kern w:val="0"/>
                <w:sz w:val="24"/>
                <w:szCs w:val="22"/>
                <w:lang w:val="en-US" w:eastAsia="zh-CN" w:bidi="ar-SA"/>
              </w:rPr>
              <w:t>对照上表1</w:t>
            </w:r>
            <w:r>
              <w:rPr>
                <w:rFonts w:hint="eastAsia" w:cs="Times New Roman"/>
                <w:snapToGrid w:val="0"/>
                <w:color w:val="auto"/>
                <w:kern w:val="0"/>
                <w:sz w:val="24"/>
                <w:szCs w:val="22"/>
                <w:lang w:val="en-US" w:eastAsia="zh-CN" w:bidi="ar-SA"/>
              </w:rPr>
              <w:t>.9-1</w:t>
            </w:r>
            <w:r>
              <w:rPr>
                <w:rFonts w:hint="eastAsia" w:ascii="Times New Roman" w:hAnsi="Times New Roman" w:eastAsia="宋体" w:cs="Times New Roman"/>
                <w:snapToGrid w:val="0"/>
                <w:color w:val="auto"/>
                <w:kern w:val="0"/>
                <w:sz w:val="24"/>
                <w:szCs w:val="22"/>
                <w:lang w:val="en-US" w:eastAsia="zh-CN" w:bidi="ar-SA"/>
              </w:rPr>
              <w:t>可知，本项目</w:t>
            </w:r>
            <w:r>
              <w:rPr>
                <w:rFonts w:hint="eastAsia" w:ascii="Times New Roman" w:hAnsi="Times New Roman" w:eastAsia="宋体" w:cs="宋体"/>
                <w:color w:val="auto"/>
                <w:sz w:val="24"/>
                <w:highlight w:val="none"/>
                <w:lang w:eastAsia="zh-CN" w:bidi="ar"/>
              </w:rPr>
              <w:t>位于</w:t>
            </w:r>
            <w:r>
              <w:rPr>
                <w:rFonts w:hint="default" w:ascii="Times New Roman" w:hAnsi="Times New Roman" w:eastAsia="宋体" w:cs="Times New Roman"/>
                <w:snapToGrid w:val="0"/>
                <w:color w:val="auto"/>
                <w:kern w:val="0"/>
                <w:sz w:val="24"/>
                <w:szCs w:val="22"/>
                <w:lang w:val="en-US" w:eastAsia="zh-CN" w:bidi="ar-SA"/>
              </w:rPr>
              <w:t>福建省福州市闽侯县经济技术开发区一期延伸区综合大楼第五层</w:t>
            </w:r>
            <w:r>
              <w:rPr>
                <w:rFonts w:hint="eastAsia" w:ascii="Times New Roman" w:hAnsi="Times New Roman" w:eastAsia="宋体" w:cs="Times New Roman"/>
                <w:snapToGrid w:val="0"/>
                <w:color w:val="auto"/>
                <w:kern w:val="0"/>
                <w:sz w:val="24"/>
                <w:szCs w:val="22"/>
                <w:lang w:val="en-US" w:eastAsia="zh-CN" w:bidi="ar-SA"/>
              </w:rPr>
              <w:t>，主要从事光学仪器制造的生产，不涉及福州市闽侯生态环境总体准入要求的空间布局要求及污染物排放管控约束，项目的建设符合福州市闽侯生态环境分区管控要求。</w:t>
            </w:r>
          </w:p>
          <w:p w14:paraId="6F0D97C6">
            <w:pPr>
              <w:pStyle w:val="5"/>
              <w:ind w:left="0" w:leftChars="0" w:firstLine="0" w:firstLineChars="0"/>
              <w:rPr>
                <w:rFonts w:hint="default" w:ascii="Times New Roman" w:hAnsi="Times New Roman" w:eastAsia="宋体"/>
                <w:b/>
                <w:bCs/>
                <w:color w:val="auto"/>
                <w:lang w:val="en-US" w:eastAsia="zh-CN"/>
              </w:rPr>
            </w:pPr>
            <w:r>
              <w:rPr>
                <w:rFonts w:hint="eastAsia" w:ascii="Times New Roman" w:hAnsi="Times New Roman" w:eastAsia="宋体" w:cs="宋体"/>
                <w:b/>
                <w:bCs/>
                <w:color w:val="auto"/>
                <w:kern w:val="0"/>
                <w:sz w:val="24"/>
                <w:szCs w:val="21"/>
                <w:lang w:val="en-US" w:eastAsia="zh-CN" w:bidi="ar-SA"/>
              </w:rPr>
              <w:t>表1.</w:t>
            </w:r>
            <w:r>
              <w:rPr>
                <w:rFonts w:hint="eastAsia" w:cs="宋体"/>
                <w:b/>
                <w:bCs/>
                <w:color w:val="auto"/>
                <w:kern w:val="0"/>
                <w:sz w:val="24"/>
                <w:szCs w:val="21"/>
                <w:lang w:val="en-US" w:eastAsia="zh-CN" w:bidi="ar-SA"/>
              </w:rPr>
              <w:t>9</w:t>
            </w:r>
            <w:r>
              <w:rPr>
                <w:rFonts w:hint="eastAsia" w:ascii="Times New Roman" w:hAnsi="Times New Roman" w:eastAsia="宋体" w:cs="宋体"/>
                <w:b/>
                <w:bCs/>
                <w:color w:val="auto"/>
                <w:kern w:val="0"/>
                <w:sz w:val="24"/>
                <w:szCs w:val="21"/>
                <w:lang w:val="en-US" w:eastAsia="zh-CN" w:bidi="ar-SA"/>
              </w:rPr>
              <w:t>-</w:t>
            </w:r>
            <w:r>
              <w:rPr>
                <w:rFonts w:hint="eastAsia" w:cs="宋体"/>
                <w:b/>
                <w:bCs/>
                <w:color w:val="auto"/>
                <w:kern w:val="0"/>
                <w:sz w:val="24"/>
                <w:szCs w:val="21"/>
                <w:lang w:val="en-US" w:eastAsia="zh-CN" w:bidi="ar-SA"/>
              </w:rPr>
              <w:t>2</w:t>
            </w:r>
            <w:r>
              <w:rPr>
                <w:rFonts w:hint="eastAsia" w:ascii="Times New Roman" w:hAnsi="Times New Roman" w:eastAsia="宋体"/>
                <w:b/>
                <w:bCs/>
                <w:color w:val="auto"/>
                <w:lang w:eastAsia="zh-CN"/>
              </w:rPr>
              <w:t>项目与《</w:t>
            </w:r>
            <w:r>
              <w:rPr>
                <w:rFonts w:hint="eastAsia" w:ascii="Times New Roman" w:hAnsi="Times New Roman" w:eastAsia="宋体"/>
                <w:b/>
                <w:bCs/>
                <w:color w:val="auto"/>
                <w:lang w:val="en-US" w:eastAsia="zh-CN"/>
              </w:rPr>
              <w:t>福州市</w:t>
            </w:r>
            <w:r>
              <w:rPr>
                <w:rFonts w:hint="eastAsia" w:ascii="Times New Roman" w:hAnsi="Times New Roman" w:eastAsia="宋体"/>
                <w:b/>
                <w:bCs/>
                <w:color w:val="auto"/>
                <w:lang w:eastAsia="zh-CN"/>
              </w:rPr>
              <w:t>生态环境总体准入要求》符合性分析</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40"/>
              <w:gridCol w:w="3820"/>
              <w:gridCol w:w="1639"/>
              <w:gridCol w:w="474"/>
            </w:tblGrid>
            <w:tr w14:paraId="0C6B03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3367" w:type="pct"/>
                  <w:gridSpan w:val="2"/>
                  <w:tcBorders>
                    <w:tl2br w:val="nil"/>
                    <w:tr2bl w:val="nil"/>
                  </w:tcBorders>
                  <w:shd w:val="clear" w:color="auto" w:fill="auto"/>
                  <w:vAlign w:val="center"/>
                </w:tcPr>
                <w:p w14:paraId="1ADF57BE">
                  <w:pPr>
                    <w:pStyle w:val="5"/>
                    <w:spacing w:line="240" w:lineRule="auto"/>
                    <w:jc w:val="center"/>
                    <w:rPr>
                      <w:rFonts w:hint="default" w:ascii="Times New Roman" w:hAnsi="Times New Roman" w:eastAsia="宋体"/>
                      <w:color w:val="auto"/>
                      <w:sz w:val="21"/>
                      <w:lang w:val="en-US"/>
                    </w:rPr>
                  </w:pPr>
                  <w:r>
                    <w:rPr>
                      <w:rFonts w:hint="eastAsia" w:ascii="Times New Roman" w:hAnsi="Times New Roman" w:eastAsia="宋体" w:cs="宋体"/>
                      <w:color w:val="auto"/>
                      <w:sz w:val="21"/>
                    </w:rPr>
                    <w:t>准入要求</w:t>
                  </w:r>
                </w:p>
              </w:tc>
              <w:tc>
                <w:tcPr>
                  <w:tcW w:w="1266" w:type="pct"/>
                  <w:tcBorders>
                    <w:tl2br w:val="nil"/>
                    <w:tr2bl w:val="nil"/>
                  </w:tcBorders>
                  <w:shd w:val="clear" w:color="auto" w:fill="auto"/>
                  <w:vAlign w:val="center"/>
                </w:tcPr>
                <w:p w14:paraId="4A3A9005">
                  <w:pPr>
                    <w:pStyle w:val="5"/>
                    <w:spacing w:line="240" w:lineRule="auto"/>
                    <w:jc w:val="center"/>
                    <w:rPr>
                      <w:rFonts w:hint="default" w:ascii="Times New Roman" w:hAnsi="Times New Roman" w:eastAsia="宋体"/>
                      <w:color w:val="auto"/>
                      <w:sz w:val="21"/>
                      <w:lang w:val="en-US"/>
                    </w:rPr>
                  </w:pPr>
                  <w:r>
                    <w:rPr>
                      <w:rFonts w:hint="eastAsia" w:ascii="Times New Roman" w:hAnsi="Times New Roman" w:eastAsia="宋体" w:cs="宋体"/>
                      <w:color w:val="auto"/>
                      <w:sz w:val="21"/>
                    </w:rPr>
                    <w:t>本项目</w:t>
                  </w:r>
                </w:p>
              </w:tc>
              <w:tc>
                <w:tcPr>
                  <w:tcW w:w="366" w:type="pct"/>
                  <w:tcBorders>
                    <w:tl2br w:val="nil"/>
                    <w:tr2bl w:val="nil"/>
                  </w:tcBorders>
                  <w:shd w:val="clear" w:color="auto" w:fill="auto"/>
                  <w:vAlign w:val="center"/>
                </w:tcPr>
                <w:p w14:paraId="4827F777">
                  <w:pPr>
                    <w:pStyle w:val="5"/>
                    <w:spacing w:line="240" w:lineRule="auto"/>
                    <w:ind w:firstLine="0" w:firstLineChars="0"/>
                    <w:jc w:val="center"/>
                    <w:rPr>
                      <w:rFonts w:hint="default" w:ascii="Times New Roman" w:hAnsi="Times New Roman" w:eastAsia="宋体"/>
                      <w:color w:val="auto"/>
                      <w:sz w:val="21"/>
                      <w:lang w:val="en-US"/>
                    </w:rPr>
                  </w:pPr>
                  <w:r>
                    <w:rPr>
                      <w:rFonts w:hint="eastAsia" w:ascii="Times New Roman" w:hAnsi="Times New Roman" w:eastAsia="宋体" w:cs="Times New Roman"/>
                      <w:color w:val="auto"/>
                      <w:spacing w:val="7"/>
                      <w:sz w:val="21"/>
                      <w:szCs w:val="21"/>
                      <w:lang w:val="en-US" w:eastAsia="zh-CN"/>
                    </w:rPr>
                    <w:t>符合性</w:t>
                  </w:r>
                </w:p>
              </w:tc>
            </w:tr>
            <w:tr w14:paraId="7FE140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7" w:type="pct"/>
                  <w:tcBorders>
                    <w:tl2br w:val="nil"/>
                    <w:tr2bl w:val="nil"/>
                  </w:tcBorders>
                  <w:shd w:val="clear" w:color="auto" w:fill="auto"/>
                  <w:vAlign w:val="center"/>
                </w:tcPr>
                <w:p w14:paraId="6F085EEE">
                  <w:pPr>
                    <w:pStyle w:val="5"/>
                    <w:spacing w:line="240" w:lineRule="auto"/>
                    <w:ind w:firstLine="0" w:firstLineChars="0"/>
                    <w:jc w:val="both"/>
                    <w:rPr>
                      <w:rFonts w:hint="default" w:ascii="Times New Roman" w:hAnsi="Times New Roman" w:eastAsia="宋体"/>
                      <w:color w:val="auto"/>
                      <w:sz w:val="21"/>
                      <w:lang w:val="en-US"/>
                    </w:rPr>
                  </w:pPr>
                  <w:r>
                    <w:rPr>
                      <w:rFonts w:hint="eastAsia" w:ascii="Times New Roman" w:hAnsi="Times New Roman" w:eastAsia="宋体" w:cs="宋体"/>
                      <w:color w:val="auto"/>
                      <w:sz w:val="21"/>
                    </w:rPr>
                    <w:t>空间布局</w:t>
                  </w:r>
                </w:p>
              </w:tc>
              <w:tc>
                <w:tcPr>
                  <w:tcW w:w="2950" w:type="pct"/>
                  <w:tcBorders>
                    <w:tl2br w:val="nil"/>
                    <w:tr2bl w:val="nil"/>
                  </w:tcBorders>
                  <w:shd w:val="clear" w:color="auto" w:fill="auto"/>
                  <w:vAlign w:val="center"/>
                </w:tcPr>
                <w:p w14:paraId="10729362">
                  <w:pPr>
                    <w:pStyle w:val="5"/>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w:t>
                  </w:r>
                  <w:r>
                    <w:rPr>
                      <w:rFonts w:hint="default" w:ascii="Times New Roman" w:hAnsi="Times New Roman" w:eastAsia="宋体" w:cs="Times New Roman"/>
                      <w:color w:val="auto"/>
                      <w:kern w:val="2"/>
                      <w:sz w:val="21"/>
                      <w:szCs w:val="21"/>
                      <w:lang w:val="en-US" w:eastAsia="zh-CN" w:bidi="ar-SA"/>
                    </w:rPr>
                    <w:t>福州市石化中上游项目重点在江阴化工新材料专区、连江可门化工新材料产业园布局</w:t>
                  </w:r>
                  <w:r>
                    <w:rPr>
                      <w:rFonts w:hint="eastAsia" w:cs="Times New Roman"/>
                      <w:color w:val="auto"/>
                      <w:kern w:val="2"/>
                      <w:sz w:val="21"/>
                      <w:szCs w:val="21"/>
                      <w:lang w:val="en-US" w:eastAsia="zh-CN" w:bidi="ar-SA"/>
                    </w:rPr>
                    <w:t>；</w:t>
                  </w:r>
                </w:p>
                <w:p w14:paraId="54B61026">
                  <w:pPr>
                    <w:pStyle w:val="5"/>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w:t>
                  </w:r>
                  <w:r>
                    <w:rPr>
                      <w:rFonts w:hint="default" w:ascii="Times New Roman" w:hAnsi="Times New Roman" w:eastAsia="宋体" w:cs="Times New Roman"/>
                      <w:color w:val="auto"/>
                      <w:kern w:val="2"/>
                      <w:sz w:val="21"/>
                      <w:szCs w:val="21"/>
                      <w:lang w:val="en-US" w:eastAsia="zh-CN" w:bidi="ar-SA"/>
                    </w:rPr>
                    <w:t>鼓楼区内福州高新技术产业开发区洪山片禁止生产型企业的引入；仓山区内福州高新技术产业开发区仓山片不再新增生物医药原料药制造类企业</w:t>
                  </w:r>
                  <w:r>
                    <w:rPr>
                      <w:rFonts w:hint="eastAsia" w:cs="Times New Roman"/>
                      <w:color w:val="auto"/>
                      <w:kern w:val="2"/>
                      <w:sz w:val="21"/>
                      <w:szCs w:val="21"/>
                      <w:lang w:val="en-US" w:eastAsia="zh-CN" w:bidi="ar-SA"/>
                    </w:rPr>
                    <w:t>；</w:t>
                  </w:r>
                </w:p>
                <w:p w14:paraId="07BFC620">
                  <w:pPr>
                    <w:pStyle w:val="5"/>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3.</w:t>
                  </w:r>
                  <w:r>
                    <w:rPr>
                      <w:rFonts w:hint="default" w:ascii="Times New Roman" w:hAnsi="Times New Roman" w:eastAsia="宋体" w:cs="Times New Roman"/>
                      <w:color w:val="auto"/>
                      <w:kern w:val="2"/>
                      <w:sz w:val="21"/>
                      <w:szCs w:val="21"/>
                      <w:lang w:val="en-US" w:eastAsia="zh-CN" w:bidi="ar-SA"/>
                    </w:rPr>
                    <w:t>罗源县内福州台商投资区松山片区禁止引进、建设集中电镀、制浆、医药、农药、酿造等重污染项目；连江县内福州台商投资区大官坂片区不再扩大聚酰胺一体化项目规模</w:t>
                  </w:r>
                  <w:r>
                    <w:rPr>
                      <w:rFonts w:hint="eastAsia" w:cs="Times New Roman"/>
                      <w:color w:val="auto"/>
                      <w:kern w:val="2"/>
                      <w:sz w:val="21"/>
                      <w:szCs w:val="21"/>
                      <w:lang w:val="en-US" w:eastAsia="zh-CN" w:bidi="ar-SA"/>
                    </w:rPr>
                    <w:t>；</w:t>
                  </w:r>
                </w:p>
                <w:p w14:paraId="39B2BFBC">
                  <w:pPr>
                    <w:pStyle w:val="5"/>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4.</w:t>
                  </w:r>
                  <w:r>
                    <w:rPr>
                      <w:rFonts w:hint="default" w:ascii="Times New Roman" w:hAnsi="Times New Roman" w:eastAsia="宋体" w:cs="Times New Roman"/>
                      <w:color w:val="auto"/>
                      <w:kern w:val="2"/>
                      <w:sz w:val="21"/>
                      <w:szCs w:val="21"/>
                      <w:lang w:val="en-US" w:eastAsia="zh-CN" w:bidi="ar-SA"/>
                    </w:rPr>
                    <w:t>禁止在闽江</w:t>
                  </w:r>
                  <w:r>
                    <w:rPr>
                      <w:rFonts w:hint="eastAsia" w:ascii="Times New Roman" w:hAnsi="Times New Roman" w:eastAsia="宋体" w:cs="Times New Roman"/>
                      <w:color w:val="auto"/>
                      <w:kern w:val="2"/>
                      <w:sz w:val="21"/>
                      <w:szCs w:val="21"/>
                      <w:lang w:val="en-US" w:eastAsia="zh-CN" w:bidi="ar-SA"/>
                    </w:rPr>
                    <w:t>闽侯</w:t>
                  </w:r>
                  <w:r>
                    <w:rPr>
                      <w:rFonts w:hint="default" w:ascii="Times New Roman" w:hAnsi="Times New Roman" w:eastAsia="宋体" w:cs="Times New Roman"/>
                      <w:color w:val="auto"/>
                      <w:kern w:val="2"/>
                      <w:sz w:val="21"/>
                      <w:szCs w:val="21"/>
                      <w:lang w:val="en-US" w:eastAsia="zh-CN" w:bidi="ar-SA"/>
                    </w:rPr>
                    <w:t>罗星塔以上流域范围新、扩建制革项目，严控新(扩)建植物制浆、印染、合成革及人造革、电镀项目</w:t>
                  </w:r>
                  <w:r>
                    <w:rPr>
                      <w:rFonts w:hint="eastAsia" w:cs="Times New Roman"/>
                      <w:color w:val="auto"/>
                      <w:kern w:val="2"/>
                      <w:sz w:val="21"/>
                      <w:szCs w:val="21"/>
                      <w:lang w:val="en-US" w:eastAsia="zh-CN" w:bidi="ar-SA"/>
                    </w:rPr>
                    <w:t>；</w:t>
                  </w:r>
                </w:p>
                <w:p w14:paraId="3EE5D9CD">
                  <w:pPr>
                    <w:pStyle w:val="5"/>
                    <w:spacing w:line="240" w:lineRule="auto"/>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kern w:val="2"/>
                      <w:sz w:val="21"/>
                      <w:szCs w:val="21"/>
                      <w:lang w:val="en-US" w:eastAsia="zh-CN" w:bidi="ar-SA"/>
                    </w:rPr>
                    <w:t>5.禁止在通风廊道和主导风向的上风向布局大气重污染企业，逐步将大气重污染企业和环境风险企业搬出城市建成区和生态保护红线范围。</w:t>
                  </w:r>
                </w:p>
              </w:tc>
              <w:tc>
                <w:tcPr>
                  <w:tcW w:w="1266" w:type="pct"/>
                  <w:tcBorders>
                    <w:tl2br w:val="nil"/>
                    <w:tr2bl w:val="nil"/>
                  </w:tcBorders>
                  <w:shd w:val="clear" w:color="auto" w:fill="auto"/>
                  <w:vAlign w:val="center"/>
                </w:tcPr>
                <w:p w14:paraId="48974750">
                  <w:pPr>
                    <w:pStyle w:val="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lang w:val="en-US" w:eastAsia="zh-CN"/>
                    </w:rPr>
                  </w:pPr>
                  <w:r>
                    <w:rPr>
                      <w:rFonts w:hint="eastAsia" w:ascii="Times New Roman" w:hAnsi="Times New Roman" w:eastAsia="宋体" w:cs="Times New Roman"/>
                      <w:color w:val="auto"/>
                      <w:kern w:val="2"/>
                      <w:sz w:val="21"/>
                      <w:szCs w:val="21"/>
                      <w:lang w:val="en-US" w:eastAsia="zh-CN" w:bidi="ar-SA"/>
                    </w:rPr>
                    <w:t>本项目主要从事</w:t>
                  </w:r>
                  <w:r>
                    <w:rPr>
                      <w:rFonts w:hint="eastAsia" w:cs="Times New Roman"/>
                      <w:color w:val="auto"/>
                      <w:kern w:val="2"/>
                      <w:sz w:val="21"/>
                      <w:szCs w:val="21"/>
                      <w:lang w:val="en-US" w:eastAsia="zh-CN" w:bidi="ar-SA"/>
                    </w:rPr>
                    <w:t>光学镜头、镜片</w:t>
                  </w:r>
                  <w:r>
                    <w:rPr>
                      <w:rFonts w:hint="eastAsia" w:ascii="Times New Roman" w:hAnsi="Times New Roman" w:eastAsia="宋体" w:cs="Times New Roman"/>
                      <w:color w:val="auto"/>
                      <w:kern w:val="2"/>
                      <w:sz w:val="21"/>
                      <w:szCs w:val="21"/>
                      <w:lang w:val="en-US" w:eastAsia="zh-CN" w:bidi="ar-SA"/>
                    </w:rPr>
                    <w:t>的生产，位于</w:t>
                  </w:r>
                  <w:r>
                    <w:rPr>
                      <w:rFonts w:hint="default" w:ascii="Times New Roman" w:hAnsi="Times New Roman" w:eastAsia="宋体" w:cs="Times New Roman"/>
                      <w:color w:val="auto"/>
                      <w:kern w:val="2"/>
                      <w:sz w:val="21"/>
                      <w:szCs w:val="21"/>
                      <w:lang w:val="en-US" w:eastAsia="zh-CN" w:bidi="ar-SA"/>
                    </w:rPr>
                    <w:t>福建省福州市闽侯县经济技术开发区一期延伸区综合大楼第五层</w:t>
                  </w:r>
                  <w:r>
                    <w:rPr>
                      <w:rFonts w:hint="eastAsia" w:ascii="Times New Roman" w:hAnsi="Times New Roman" w:eastAsia="宋体" w:cs="Times New Roman"/>
                      <w:color w:val="auto"/>
                      <w:kern w:val="2"/>
                      <w:sz w:val="21"/>
                      <w:szCs w:val="21"/>
                      <w:lang w:val="en-US" w:eastAsia="zh-CN" w:bidi="ar-SA"/>
                    </w:rPr>
                    <w:t>，项目建设与空间布局约束要求不冲突</w:t>
                  </w:r>
                </w:p>
              </w:tc>
              <w:tc>
                <w:tcPr>
                  <w:tcW w:w="366" w:type="pct"/>
                  <w:tcBorders>
                    <w:tl2br w:val="nil"/>
                    <w:tr2bl w:val="nil"/>
                  </w:tcBorders>
                  <w:shd w:val="clear" w:color="auto" w:fill="auto"/>
                  <w:vAlign w:val="center"/>
                </w:tcPr>
                <w:p w14:paraId="12571D60">
                  <w:pPr>
                    <w:pStyle w:val="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lang w:val="en-US"/>
                    </w:rPr>
                  </w:pPr>
                  <w:r>
                    <w:rPr>
                      <w:rFonts w:hint="eastAsia" w:ascii="Times New Roman" w:hAnsi="Times New Roman" w:eastAsia="宋体" w:cs="宋体"/>
                      <w:color w:val="auto"/>
                      <w:sz w:val="21"/>
                    </w:rPr>
                    <w:t>符合</w:t>
                  </w:r>
                </w:p>
              </w:tc>
            </w:tr>
            <w:tr w14:paraId="32BA39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7" w:type="pct"/>
                  <w:tcBorders>
                    <w:tl2br w:val="nil"/>
                    <w:tr2bl w:val="nil"/>
                  </w:tcBorders>
                  <w:shd w:val="clear" w:color="auto" w:fill="auto"/>
                  <w:vAlign w:val="center"/>
                </w:tcPr>
                <w:p w14:paraId="2F47C113">
                  <w:pPr>
                    <w:pStyle w:val="5"/>
                    <w:spacing w:line="240" w:lineRule="auto"/>
                    <w:ind w:firstLine="0" w:firstLineChars="0"/>
                    <w:jc w:val="both"/>
                    <w:rPr>
                      <w:rFonts w:hint="default" w:ascii="Times New Roman" w:hAnsi="Times New Roman" w:eastAsia="宋体"/>
                      <w:color w:val="auto"/>
                      <w:sz w:val="21"/>
                      <w:lang w:val="en-US"/>
                    </w:rPr>
                  </w:pPr>
                  <w:r>
                    <w:rPr>
                      <w:rFonts w:hint="eastAsia" w:ascii="Times New Roman" w:hAnsi="Times New Roman" w:eastAsia="宋体" w:cs="宋体"/>
                      <w:color w:val="auto"/>
                      <w:sz w:val="21"/>
                    </w:rPr>
                    <w:t>污染物排放管控</w:t>
                  </w:r>
                </w:p>
              </w:tc>
              <w:tc>
                <w:tcPr>
                  <w:tcW w:w="2950" w:type="pct"/>
                  <w:tcBorders>
                    <w:tl2br w:val="nil"/>
                    <w:tr2bl w:val="nil"/>
                  </w:tcBorders>
                  <w:shd w:val="clear" w:color="auto" w:fill="auto"/>
                  <w:vAlign w:val="center"/>
                </w:tcPr>
                <w:p w14:paraId="3CC84EBC">
                  <w:pPr>
                    <w:pStyle w:val="5"/>
                    <w:spacing w:line="240" w:lineRule="auto"/>
                    <w:ind w:left="0" w:lef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建设规划部门划定的县级以上城市建成区及福州市环境总体规划(2013-2030)划定的大气环境二级管控区的大气污染型工业企业(现阶段指排放二氧化硫、氮氧化物的工业企业，但不含使用天然气、液化石油气等作为燃料的非火电锅炉和工业炉窑排放二氧化硫、氮氧化物的工业企业)新增大气污染物排放量，按不低于1.5倍交易</w:t>
                  </w:r>
                  <w:r>
                    <w:rPr>
                      <w:rFonts w:hint="eastAsia" w:cs="Times New Roman"/>
                      <w:color w:val="auto"/>
                      <w:kern w:val="0"/>
                      <w:sz w:val="21"/>
                      <w:szCs w:val="21"/>
                      <w:lang w:val="en-US" w:eastAsia="zh-CN" w:bidi="ar"/>
                    </w:rPr>
                    <w:t>；</w:t>
                  </w:r>
                </w:p>
                <w:p w14:paraId="2DD13FCE">
                  <w:pPr>
                    <w:pStyle w:val="5"/>
                    <w:spacing w:line="240" w:lineRule="auto"/>
                    <w:ind w:left="0" w:lef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2.省级(含)以上工业园区外的工业企业新增主要污染物排放量(不含使用天然气、液化石油气等作为燃料的非火电锅炉和工业炉窑的工业企业新增的二氧化硫、氮氧化物排放量),按不低于1.2倍交易</w:t>
                  </w:r>
                  <w:r>
                    <w:rPr>
                      <w:rFonts w:hint="eastAsia" w:cs="Times New Roman"/>
                      <w:color w:val="auto"/>
                      <w:kern w:val="0"/>
                      <w:sz w:val="21"/>
                      <w:szCs w:val="21"/>
                      <w:lang w:val="en-US" w:eastAsia="zh-CN" w:bidi="ar"/>
                    </w:rPr>
                    <w:t>；</w:t>
                  </w:r>
                </w:p>
                <w:p w14:paraId="7F7523CF">
                  <w:pPr>
                    <w:pStyle w:val="5"/>
                    <w:spacing w:line="240" w:lineRule="auto"/>
                    <w:ind w:left="0" w:lef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3.涉新增VOCs排放项目，VOCs排放实行区域内倍量替代</w:t>
                  </w:r>
                  <w:r>
                    <w:rPr>
                      <w:rFonts w:hint="eastAsia" w:cs="Times New Roman"/>
                      <w:color w:val="auto"/>
                      <w:kern w:val="0"/>
                      <w:sz w:val="21"/>
                      <w:szCs w:val="21"/>
                      <w:lang w:val="en-US" w:eastAsia="zh-CN" w:bidi="ar"/>
                    </w:rPr>
                    <w:t>；</w:t>
                  </w:r>
                </w:p>
                <w:p w14:paraId="02A75D31">
                  <w:pPr>
                    <w:pStyle w:val="5"/>
                    <w:spacing w:line="240" w:lineRule="auto"/>
                    <w:ind w:left="0" w:leftChars="0" w:firstLine="0" w:firstLine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4.严格控制新建、改建、扩建钢铁、水泥、平板玻璃、有色金属冶炼、化工等工业项目。新建钢铁、火电、水泥、有色项目应当执行大气污染物特别排放限值。重点控制区新建化工、石化及燃煤锅炉项目应当执行大气污染物特别排放限值</w:t>
                  </w:r>
                  <w:r>
                    <w:rPr>
                      <w:rFonts w:hint="eastAsia" w:cs="Times New Roman"/>
                      <w:color w:val="auto"/>
                      <w:kern w:val="0"/>
                      <w:sz w:val="21"/>
                      <w:szCs w:val="21"/>
                      <w:lang w:val="en-US" w:eastAsia="zh-CN" w:bidi="ar"/>
                    </w:rPr>
                    <w:t>；</w:t>
                  </w:r>
                </w:p>
                <w:p w14:paraId="1D0ECAD0">
                  <w:pPr>
                    <w:pStyle w:val="5"/>
                    <w:spacing w:line="240" w:lineRule="auto"/>
                    <w:ind w:left="0" w:leftChars="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kern w:val="0"/>
                      <w:sz w:val="21"/>
                      <w:szCs w:val="21"/>
                      <w:lang w:val="en-US" w:eastAsia="zh-CN" w:bidi="ar"/>
                    </w:rPr>
                    <w:t>5.氟化工、印染、电镀等行业企业实行水污染物特别排放限值。</w:t>
                  </w:r>
                </w:p>
              </w:tc>
              <w:tc>
                <w:tcPr>
                  <w:tcW w:w="1266" w:type="pct"/>
                  <w:tcBorders>
                    <w:tl2br w:val="nil"/>
                    <w:tr2bl w:val="nil"/>
                  </w:tcBorders>
                  <w:shd w:val="clear" w:color="auto" w:fill="auto"/>
                  <w:vAlign w:val="center"/>
                </w:tcPr>
                <w:p w14:paraId="51A835F4">
                  <w:pPr>
                    <w:pStyle w:val="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lang w:val="en-US" w:eastAsia="zh-CN"/>
                    </w:rPr>
                  </w:pPr>
                  <w:r>
                    <w:rPr>
                      <w:rFonts w:hint="eastAsia" w:ascii="Times New Roman" w:hAnsi="Times New Roman" w:eastAsia="宋体"/>
                      <w:color w:val="auto"/>
                      <w:sz w:val="21"/>
                      <w:lang w:val="en-US" w:eastAsia="zh-CN"/>
                    </w:rPr>
                    <w:t>1、项目位于</w:t>
                  </w:r>
                  <w:r>
                    <w:rPr>
                      <w:rFonts w:hint="eastAsia"/>
                      <w:color w:val="auto"/>
                      <w:sz w:val="21"/>
                      <w:lang w:val="en-US" w:eastAsia="zh-CN"/>
                    </w:rPr>
                    <w:t>福建省福州市闽侯县经济技术开发区一期延伸区综合大楼第五层</w:t>
                  </w:r>
                  <w:r>
                    <w:rPr>
                      <w:rFonts w:hint="eastAsia" w:ascii="Times New Roman" w:hAnsi="Times New Roman" w:eastAsia="宋体"/>
                      <w:color w:val="auto"/>
                      <w:sz w:val="21"/>
                      <w:lang w:val="en-US" w:eastAsia="zh-CN"/>
                    </w:rPr>
                    <w:t>，属于其规定的污染物管控区域。项目涉少量VOCs排放，建设单位将严格按照文件规定要求对VOCs总量进行调剂。2、项目主要从事光学元组件的生产加工，不属于水泥、有色金属、钢铁、火电项目</w:t>
                  </w:r>
                </w:p>
              </w:tc>
              <w:tc>
                <w:tcPr>
                  <w:tcW w:w="366" w:type="pct"/>
                  <w:tcBorders>
                    <w:tl2br w:val="nil"/>
                    <w:tr2bl w:val="nil"/>
                  </w:tcBorders>
                  <w:shd w:val="clear" w:color="auto" w:fill="auto"/>
                  <w:vAlign w:val="center"/>
                </w:tcPr>
                <w:p w14:paraId="32BB36CB">
                  <w:pPr>
                    <w:pStyle w:val="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lang w:val="en-US"/>
                    </w:rPr>
                  </w:pPr>
                  <w:r>
                    <w:rPr>
                      <w:rFonts w:hint="eastAsia" w:ascii="Times New Roman" w:hAnsi="Times New Roman" w:eastAsia="宋体" w:cs="宋体"/>
                      <w:color w:val="auto"/>
                      <w:sz w:val="21"/>
                    </w:rPr>
                    <w:t>符合</w:t>
                  </w:r>
                </w:p>
              </w:tc>
            </w:tr>
            <w:tr w14:paraId="26ADBB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7" w:type="pct"/>
                  <w:tcBorders>
                    <w:tl2br w:val="nil"/>
                    <w:tr2bl w:val="nil"/>
                  </w:tcBorders>
                  <w:shd w:val="clear" w:color="auto" w:fill="auto"/>
                  <w:vAlign w:val="center"/>
                </w:tcPr>
                <w:p w14:paraId="37B05207">
                  <w:pPr>
                    <w:pStyle w:val="5"/>
                    <w:spacing w:line="240" w:lineRule="auto"/>
                    <w:ind w:firstLine="0" w:firstLineChars="0"/>
                    <w:jc w:val="both"/>
                    <w:rPr>
                      <w:rFonts w:hint="eastAsia" w:ascii="Times New Roman" w:hAnsi="Times New Roman" w:eastAsia="宋体" w:cs="宋体"/>
                      <w:color w:val="auto"/>
                      <w:sz w:val="21"/>
                    </w:rPr>
                  </w:pPr>
                  <w:r>
                    <w:rPr>
                      <w:rFonts w:hint="eastAsia" w:ascii="Times New Roman" w:hAnsi="Times New Roman" w:eastAsia="宋体" w:cs="宋体"/>
                      <w:color w:val="auto"/>
                      <w:sz w:val="21"/>
                    </w:rPr>
                    <w:t>环境风险防控</w:t>
                  </w:r>
                </w:p>
              </w:tc>
              <w:tc>
                <w:tcPr>
                  <w:tcW w:w="2950" w:type="pct"/>
                  <w:tcBorders>
                    <w:tl2br w:val="nil"/>
                    <w:tr2bl w:val="nil"/>
                  </w:tcBorders>
                  <w:shd w:val="clear" w:color="auto" w:fill="auto"/>
                  <w:vAlign w:val="center"/>
                </w:tcPr>
                <w:p w14:paraId="6F9E7D2B">
                  <w:pPr>
                    <w:pStyle w:val="5"/>
                    <w:spacing w:line="240" w:lineRule="auto"/>
                    <w:ind w:firstLine="0" w:firstLineChars="0"/>
                    <w:jc w:val="center"/>
                    <w:rPr>
                      <w:rFonts w:hint="default" w:ascii="Times New Roman" w:hAnsi="Times New Roman" w:eastAsia="宋体" w:cs="宋体"/>
                      <w:color w:val="auto"/>
                      <w:sz w:val="21"/>
                      <w:lang w:val="en-US" w:eastAsia="en-US"/>
                    </w:rPr>
                  </w:pPr>
                  <w:r>
                    <w:rPr>
                      <w:rFonts w:hint="eastAsia" w:ascii="Times New Roman" w:hAnsi="Times New Roman" w:eastAsia="宋体" w:cs="Times New Roman"/>
                      <w:color w:val="auto"/>
                      <w:kern w:val="0"/>
                      <w:sz w:val="21"/>
                      <w:szCs w:val="21"/>
                      <w:lang w:val="en-US" w:eastAsia="zh-CN" w:bidi="ar"/>
                    </w:rPr>
                    <w:t>单元内现有化学原料和化学制品制造业等具有潜在土壤污染环境风险的企业退役后，应开展土壤环境状况评估，经评估认为污染地块可能损害人体健康和环境，应当进行修复的，由造成污染的单位和个人负责被污染土壤的修复。</w:t>
                  </w:r>
                </w:p>
              </w:tc>
              <w:tc>
                <w:tcPr>
                  <w:tcW w:w="1266" w:type="pct"/>
                  <w:tcBorders>
                    <w:tl2br w:val="nil"/>
                    <w:tr2bl w:val="nil"/>
                  </w:tcBorders>
                  <w:shd w:val="clear" w:color="auto" w:fill="auto"/>
                  <w:vAlign w:val="center"/>
                </w:tcPr>
                <w:p w14:paraId="688F4429">
                  <w:pPr>
                    <w:pStyle w:val="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lang w:val="en-US" w:eastAsia="zh-CN"/>
                    </w:rPr>
                  </w:pPr>
                  <w:r>
                    <w:rPr>
                      <w:rFonts w:hint="eastAsia" w:ascii="Times New Roman" w:hAnsi="Times New Roman" w:eastAsia="宋体"/>
                      <w:color w:val="auto"/>
                      <w:sz w:val="21"/>
                      <w:lang w:val="en-US" w:eastAsia="zh-CN"/>
                    </w:rPr>
                    <w:t>项目不属于化学原料和化学制品制造业</w:t>
                  </w:r>
                </w:p>
              </w:tc>
              <w:tc>
                <w:tcPr>
                  <w:tcW w:w="366" w:type="pct"/>
                  <w:tcBorders>
                    <w:tl2br w:val="nil"/>
                    <w:tr2bl w:val="nil"/>
                  </w:tcBorders>
                  <w:shd w:val="clear" w:color="auto" w:fill="auto"/>
                  <w:vAlign w:val="center"/>
                </w:tcPr>
                <w:p w14:paraId="3CC212EB">
                  <w:pPr>
                    <w:pStyle w:val="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宋体"/>
                      <w:color w:val="auto"/>
                      <w:sz w:val="21"/>
                    </w:rPr>
                    <w:t>符合</w:t>
                  </w:r>
                </w:p>
              </w:tc>
            </w:tr>
            <w:tr w14:paraId="37F783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7" w:type="pct"/>
                  <w:tcBorders>
                    <w:tl2br w:val="nil"/>
                    <w:tr2bl w:val="nil"/>
                  </w:tcBorders>
                  <w:shd w:val="clear" w:color="auto" w:fill="auto"/>
                  <w:vAlign w:val="center"/>
                </w:tcPr>
                <w:p w14:paraId="071807C3">
                  <w:pPr>
                    <w:pStyle w:val="5"/>
                    <w:spacing w:line="240" w:lineRule="auto"/>
                    <w:ind w:firstLine="0" w:firstLineChars="0"/>
                    <w:jc w:val="both"/>
                    <w:rPr>
                      <w:rFonts w:hint="eastAsia" w:ascii="Times New Roman" w:hAnsi="Times New Roman" w:eastAsia="宋体" w:cs="宋体"/>
                      <w:color w:val="auto"/>
                      <w:sz w:val="21"/>
                    </w:rPr>
                  </w:pPr>
                  <w:r>
                    <w:rPr>
                      <w:rFonts w:hint="eastAsia" w:ascii="Times New Roman" w:hAnsi="Times New Roman" w:eastAsia="宋体" w:cs="宋体"/>
                      <w:color w:val="auto"/>
                      <w:sz w:val="21"/>
                    </w:rPr>
                    <w:t>资源开发效率要求</w:t>
                  </w:r>
                </w:p>
              </w:tc>
              <w:tc>
                <w:tcPr>
                  <w:tcW w:w="2950" w:type="pct"/>
                  <w:tcBorders>
                    <w:tl2br w:val="nil"/>
                    <w:tr2bl w:val="nil"/>
                  </w:tcBorders>
                  <w:shd w:val="clear" w:color="auto" w:fill="auto"/>
                  <w:vAlign w:val="center"/>
                </w:tcPr>
                <w:p w14:paraId="51389E95">
                  <w:pPr>
                    <w:pStyle w:val="5"/>
                    <w:spacing w:line="240" w:lineRule="auto"/>
                    <w:ind w:firstLine="0" w:firstLineChars="0"/>
                    <w:jc w:val="center"/>
                    <w:rPr>
                      <w:rFonts w:hint="default" w:ascii="Times New Roman" w:hAnsi="Times New Roman" w:eastAsia="宋体" w:cs="宋体"/>
                      <w:color w:val="auto"/>
                      <w:sz w:val="21"/>
                      <w:lang w:val="en-US" w:eastAsia="en-US"/>
                    </w:rPr>
                  </w:pPr>
                  <w:r>
                    <w:rPr>
                      <w:rFonts w:hint="eastAsia" w:ascii="Times New Roman" w:hAnsi="Times New Roman" w:eastAsia="宋体" w:cs="Times New Roman"/>
                      <w:color w:val="auto"/>
                      <w:kern w:val="0"/>
                      <w:sz w:val="21"/>
                      <w:szCs w:val="21"/>
                      <w:lang w:val="en-US" w:eastAsia="zh-CN" w:bidi="ar"/>
                    </w:rPr>
                    <w:t>高污染燃料禁燃区内禁止燃用高污染燃料，禁止新建、扩建燃用高污染燃料的设施。已建的燃用高污染燃料设施，限期改用电、天然气、液化石油气等清洁能源。</w:t>
                  </w:r>
                </w:p>
              </w:tc>
              <w:tc>
                <w:tcPr>
                  <w:tcW w:w="1266" w:type="pct"/>
                  <w:tcBorders>
                    <w:tl2br w:val="nil"/>
                    <w:tr2bl w:val="nil"/>
                  </w:tcBorders>
                  <w:shd w:val="clear" w:color="auto" w:fill="auto"/>
                  <w:vAlign w:val="center"/>
                </w:tcPr>
                <w:p w14:paraId="56FC0280">
                  <w:pPr>
                    <w:pStyle w:val="5"/>
                    <w:spacing w:line="240" w:lineRule="auto"/>
                    <w:ind w:firstLine="0" w:firstLineChars="0"/>
                    <w:jc w:val="center"/>
                    <w:rPr>
                      <w:rFonts w:hint="default" w:ascii="Times New Roman" w:hAnsi="Times New Roman" w:eastAsia="宋体"/>
                      <w:color w:val="auto"/>
                      <w:sz w:val="21"/>
                      <w:lang w:val="en-US" w:eastAsia="zh-CN"/>
                    </w:rPr>
                  </w:pPr>
                  <w:r>
                    <w:rPr>
                      <w:rFonts w:hint="eastAsia" w:ascii="Times New Roman" w:hAnsi="Times New Roman" w:eastAsia="宋体"/>
                      <w:color w:val="auto"/>
                      <w:sz w:val="21"/>
                      <w:lang w:val="en-US" w:eastAsia="zh-CN"/>
                    </w:rPr>
                    <w:t>本项目不涉及</w:t>
                  </w:r>
                </w:p>
              </w:tc>
              <w:tc>
                <w:tcPr>
                  <w:tcW w:w="366" w:type="pct"/>
                  <w:tcBorders>
                    <w:tl2br w:val="nil"/>
                    <w:tr2bl w:val="nil"/>
                  </w:tcBorders>
                  <w:shd w:val="clear" w:color="auto" w:fill="auto"/>
                  <w:vAlign w:val="center"/>
                </w:tcPr>
                <w:p w14:paraId="639AC11F">
                  <w:pPr>
                    <w:pStyle w:val="5"/>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宋体"/>
                      <w:color w:val="auto"/>
                      <w:sz w:val="21"/>
                    </w:rPr>
                    <w:t>符合</w:t>
                  </w:r>
                </w:p>
              </w:tc>
            </w:tr>
          </w:tbl>
          <w:p w14:paraId="1764E4B7">
            <w:pPr>
              <w:pStyle w:val="5"/>
              <w:ind w:left="0" w:leftChars="0" w:firstLine="0" w:firstLineChars="0"/>
              <w:rPr>
                <w:rFonts w:hint="eastAsia" w:ascii="Times New Roman" w:hAnsi="Times New Roman" w:eastAsia="宋体" w:cs="Times New Roman"/>
                <w:b/>
                <w:bCs/>
                <w:color w:val="auto"/>
                <w:kern w:val="2"/>
                <w:sz w:val="28"/>
                <w:szCs w:val="28"/>
                <w:lang w:val="en-US" w:eastAsia="zh-CN"/>
              </w:rPr>
            </w:pPr>
            <w:r>
              <w:rPr>
                <w:rFonts w:hint="eastAsia" w:ascii="Times New Roman" w:hAnsi="Times New Roman" w:eastAsia="宋体" w:cs="Times New Roman"/>
                <w:b/>
                <w:bCs/>
                <w:color w:val="auto"/>
                <w:kern w:val="2"/>
                <w:sz w:val="28"/>
                <w:szCs w:val="28"/>
                <w:lang w:val="en-US" w:eastAsia="zh-CN"/>
              </w:rPr>
              <w:t>1.</w:t>
            </w:r>
            <w:r>
              <w:rPr>
                <w:rFonts w:hint="eastAsia" w:cs="Times New Roman"/>
                <w:b/>
                <w:bCs/>
                <w:color w:val="auto"/>
                <w:kern w:val="2"/>
                <w:sz w:val="28"/>
                <w:szCs w:val="28"/>
                <w:lang w:val="en-US" w:eastAsia="zh-CN"/>
              </w:rPr>
              <w:t>10</w:t>
            </w:r>
            <w:r>
              <w:rPr>
                <w:rFonts w:hint="eastAsia" w:ascii="Times New Roman" w:hAnsi="Times New Roman" w:eastAsia="宋体" w:cs="Times New Roman"/>
                <w:b/>
                <w:bCs/>
                <w:color w:val="auto"/>
                <w:kern w:val="2"/>
                <w:sz w:val="28"/>
                <w:szCs w:val="28"/>
                <w:lang w:val="en-US" w:eastAsia="zh-CN"/>
              </w:rPr>
              <w:t>项目与《闽江流域产业布局规划》符合性分析</w:t>
            </w:r>
          </w:p>
          <w:p w14:paraId="6CF093C0">
            <w:pPr>
              <w:pStyle w:val="5"/>
              <w:bidi w:val="0"/>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根据《福州市发展和改革委员会关于印发实施《闽江流域（福州段）》产业布局规划的通知》（榕发改工〔2021〕39号）中闽江流域福州段产业准入负面清单，内容如下：</w:t>
            </w:r>
          </w:p>
          <w:p w14:paraId="79D0424C">
            <w:pPr>
              <w:pStyle w:val="5"/>
              <w:bidi w:val="0"/>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闽江流域干流、一级支流沿岸一公里范围内：</w:t>
            </w:r>
          </w:p>
          <w:p w14:paraId="5E4DF898">
            <w:pPr>
              <w:pStyle w:val="5"/>
              <w:bidi w:val="0"/>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1、禁止布局印染、印花、造纸、制革、电镀、化工、冶炼、炼油、酿造、化肥、燃料、农药等建设项目；</w:t>
            </w:r>
          </w:p>
          <w:p w14:paraId="0CB36F3C">
            <w:pPr>
              <w:pStyle w:val="5"/>
              <w:bidi w:val="0"/>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2、禁止布局产生含汞、镉、铬、砷、铅、镍、氰化物、持久性有机污染物、病原微生物、放射性等有毒有害物质的建设项目。</w:t>
            </w:r>
          </w:p>
          <w:p w14:paraId="510F78AB">
            <w:pPr>
              <w:pStyle w:val="5"/>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本项目不属于闽江干流、一级支流沿岸一公里范围内，且不属于印染、印花、造纸、制革、电镀、化工、冶炼、炼油、酿造、化肥、燃料、农药等上述禁止的布局产业，不涉及含汞、镉、铬、砷、铅、镍、氰化物、持久性有机污染物、病原微生物、放射性等有毒有害物质的产生，建设项目符合闽江流域产业布局规划。</w:t>
            </w:r>
          </w:p>
          <w:p w14:paraId="5BAC07A5">
            <w:pPr>
              <w:pStyle w:val="5"/>
              <w:ind w:left="0" w:leftChars="0" w:firstLine="0" w:firstLineChars="0"/>
              <w:rPr>
                <w:rFonts w:hint="eastAsia" w:ascii="Times New Roman" w:hAnsi="Times New Roman" w:eastAsia="宋体" w:cs="Times New Roman"/>
                <w:b/>
                <w:bCs/>
                <w:color w:val="auto"/>
                <w:kern w:val="2"/>
                <w:sz w:val="28"/>
                <w:szCs w:val="28"/>
                <w:lang w:val="en-US" w:eastAsia="zh-CN"/>
              </w:rPr>
            </w:pPr>
            <w:r>
              <w:rPr>
                <w:rFonts w:hint="eastAsia" w:ascii="Times New Roman" w:hAnsi="Times New Roman" w:eastAsia="宋体" w:cs="Times New Roman"/>
                <w:b/>
                <w:bCs/>
                <w:color w:val="auto"/>
                <w:kern w:val="2"/>
                <w:sz w:val="28"/>
                <w:szCs w:val="28"/>
                <w:lang w:val="en-US" w:eastAsia="zh-CN"/>
              </w:rPr>
              <w:t>1.11项目与《2021年福州市提升空气质量行动计划》的通知（榕环委办〔2021〕23号）《2022年度福州市蓝天保卫战行动计划》符合性分析</w:t>
            </w:r>
          </w:p>
          <w:p w14:paraId="501BA62B">
            <w:pPr>
              <w:pStyle w:val="5"/>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eastAsia"/>
                <w:color w:val="auto"/>
                <w:lang w:val="en-US" w:eastAsia="zh-CN"/>
              </w:rPr>
            </w:pPr>
            <w:r>
              <w:rPr>
                <w:rFonts w:hint="eastAsia" w:ascii="Times New Roman" w:hAnsi="Times New Roman" w:eastAsia="宋体"/>
                <w:color w:val="auto"/>
                <w:lang w:val="en-US" w:eastAsia="zh-CN"/>
              </w:rPr>
              <w:t>该行动计划要求新、改、扩建涉VOCs排放项目，应使用低（无）VOCs涂料、粘胶剂等，实施新建项目VOCs排放区域内倍量替代</w:t>
            </w:r>
            <w:r>
              <w:rPr>
                <w:rFonts w:hint="eastAsia"/>
                <w:color w:val="auto"/>
                <w:lang w:val="en-US" w:eastAsia="zh-CN"/>
              </w:rPr>
              <w:t>。</w:t>
            </w:r>
          </w:p>
          <w:p w14:paraId="78C2E89B">
            <w:pPr>
              <w:pStyle w:val="5"/>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color w:val="auto"/>
                <w:lang w:val="en-US" w:eastAsia="zh-CN"/>
              </w:rPr>
            </w:pPr>
            <w:r>
              <w:rPr>
                <w:rFonts w:hint="eastAsia" w:ascii="Times New Roman" w:hAnsi="Times New Roman" w:eastAsia="宋体"/>
                <w:color w:val="auto"/>
                <w:lang w:val="en-US" w:eastAsia="zh-CN"/>
              </w:rPr>
              <w:t>本项目涉及VOCs排放，从项目选用的原辅材料来看，</w:t>
            </w:r>
            <w:r>
              <w:rPr>
                <w:rFonts w:hint="eastAsia"/>
                <w:color w:val="auto"/>
                <w:lang w:val="en-US" w:eastAsia="zh-CN"/>
              </w:rPr>
              <w:t>本</w:t>
            </w:r>
            <w:r>
              <w:rPr>
                <w:rFonts w:hint="eastAsia" w:ascii="Times New Roman" w:hAnsi="Times New Roman" w:eastAsia="宋体"/>
                <w:color w:val="auto"/>
                <w:lang w:val="en-US" w:eastAsia="zh-CN"/>
              </w:rPr>
              <w:t>项目使用的低（无）VOCs含量的原辅材料名称及相关证明，符合使用低（无）VOCs涂料、粘胶剂等要求。在VOCs排放替代方面，项目落实区域内倍量替代，通过削减本企业其他生产线排放量或与其他企业进行排放量交易等方式，并提供相关的文件或协商记录作为支撑，满足新建项目VOCs排放区域内倍量替代的规定</w:t>
            </w:r>
            <w:r>
              <w:rPr>
                <w:rFonts w:hint="eastAsia"/>
                <w:color w:val="auto"/>
                <w:lang w:val="en-US" w:eastAsia="zh-CN"/>
              </w:rPr>
              <w:t>。</w:t>
            </w:r>
          </w:p>
        </w:tc>
      </w:tr>
    </w:tbl>
    <w:p w14:paraId="58E25138">
      <w:pPr>
        <w:spacing w:line="360" w:lineRule="auto"/>
        <w:outlineLvl w:val="0"/>
        <w:rPr>
          <w:rFonts w:eastAsia="黑体"/>
          <w:color w:val="auto"/>
          <w:sz w:val="30"/>
        </w:rPr>
        <w:sectPr>
          <w:footerReference r:id="rId5" w:type="default"/>
          <w:pgSz w:w="11906" w:h="16838" w:orient="landscape"/>
          <w:pgMar w:top="1701" w:right="1531" w:bottom="1701" w:left="1531" w:header="851" w:footer="1077" w:gutter="0"/>
          <w:pgBorders>
            <w:top w:val="none" w:sz="0" w:space="0"/>
            <w:left w:val="none" w:sz="0" w:space="0"/>
            <w:bottom w:val="none" w:sz="0" w:space="0"/>
            <w:right w:val="none" w:sz="0" w:space="0"/>
          </w:pgBorders>
          <w:pgNumType w:start="1"/>
          <w:cols w:space="720" w:num="1"/>
        </w:sectPr>
      </w:pPr>
    </w:p>
    <w:p w14:paraId="3924F3D4">
      <w:pPr>
        <w:pStyle w:val="204"/>
        <w:jc w:val="center"/>
        <w:outlineLvl w:val="0"/>
        <w:rPr>
          <w:rFonts w:ascii="黑体" w:hAnsi="黑体" w:eastAsia="黑体"/>
          <w:color w:val="auto"/>
          <w:sz w:val="30"/>
          <w:szCs w:val="30"/>
        </w:rPr>
      </w:pPr>
      <w:r>
        <w:rPr>
          <w:rFonts w:hint="eastAsia" w:ascii="黑体" w:hAnsi="黑体" w:eastAsia="黑体"/>
          <w:color w:val="auto"/>
          <w:sz w:val="30"/>
          <w:szCs w:val="30"/>
        </w:rPr>
        <w:t>二、建设项目工程分析</w:t>
      </w:r>
    </w:p>
    <w:tbl>
      <w:tblPr>
        <w:tblStyle w:val="38"/>
        <w:tblW w:w="0" w:type="auto"/>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autofit"/>
        <w:tblCellMar>
          <w:top w:w="0" w:type="dxa"/>
          <w:left w:w="108" w:type="dxa"/>
          <w:bottom w:w="0" w:type="dxa"/>
          <w:right w:w="108" w:type="dxa"/>
        </w:tblCellMar>
      </w:tblPr>
      <w:tblGrid>
        <w:gridCol w:w="736"/>
        <w:gridCol w:w="8324"/>
      </w:tblGrid>
      <w:tr w14:paraId="77FDB32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2805" w:hRule="atLeast"/>
          <w:jc w:val="center"/>
        </w:trPr>
        <w:tc>
          <w:tcPr>
            <w:tcW w:w="823" w:type="dxa"/>
            <w:noWrap w:val="0"/>
            <w:vAlign w:val="center"/>
          </w:tcPr>
          <w:p w14:paraId="3683206D">
            <w:pPr>
              <w:pStyle w:val="204"/>
              <w:spacing w:before="0" w:beforeAutospacing="0" w:after="0" w:afterAutospacing="0"/>
              <w:jc w:val="center"/>
              <w:rPr>
                <w:rFonts w:cs="宋体"/>
                <w:color w:val="auto"/>
                <w:sz w:val="21"/>
                <w:szCs w:val="21"/>
              </w:rPr>
            </w:pPr>
            <w:r>
              <w:rPr>
                <w:rFonts w:hint="eastAsia" w:cs="宋体"/>
                <w:color w:val="auto"/>
                <w:sz w:val="21"/>
                <w:szCs w:val="21"/>
              </w:rPr>
              <w:t>建设内容</w:t>
            </w:r>
          </w:p>
        </w:tc>
        <w:tc>
          <w:tcPr>
            <w:tcW w:w="8161" w:type="dxa"/>
            <w:noWrap w:val="0"/>
            <w:vAlign w:val="top"/>
          </w:tcPr>
          <w:p w14:paraId="2FD647B4">
            <w:pPr>
              <w:pStyle w:val="229"/>
              <w:keepNext w:val="0"/>
              <w:keepLines w:val="0"/>
              <w:spacing w:before="0" w:line="360" w:lineRule="auto"/>
              <w:ind w:left="0"/>
              <w:outlineLvl w:val="2"/>
              <w:rPr>
                <w:rFonts w:hint="default" w:ascii="Times New Roman" w:hAnsi="Times New Roman" w:eastAsia="宋体" w:cs="Times New Roman"/>
                <w:b/>
                <w:bCs/>
                <w:color w:val="auto"/>
                <w:spacing w:val="-2"/>
                <w:sz w:val="28"/>
                <w:szCs w:val="28"/>
                <w:lang w:val="en-US" w:eastAsia="zh-CN"/>
              </w:rPr>
            </w:pPr>
            <w:r>
              <w:rPr>
                <w:rFonts w:hint="default" w:ascii="Times New Roman" w:hAnsi="Times New Roman" w:eastAsia="宋体" w:cs="Times New Roman"/>
                <w:b/>
                <w:bCs/>
                <w:color w:val="auto"/>
                <w:spacing w:val="-2"/>
                <w:sz w:val="28"/>
                <w:szCs w:val="28"/>
                <w:lang w:val="en-US" w:eastAsia="zh-CN"/>
              </w:rPr>
              <w:t>2.1项目基本情况</w:t>
            </w:r>
          </w:p>
          <w:p w14:paraId="3ED874B8">
            <w:pPr>
              <w:pStyle w:val="229"/>
              <w:spacing w:before="0" w:line="360" w:lineRule="auto"/>
              <w:ind w:left="0"/>
              <w:rPr>
                <w:rFonts w:hint="default" w:ascii="Times New Roman" w:hAnsi="Times New Roman" w:eastAsia="宋体" w:cs="Times New Roman"/>
                <w:b/>
                <w:bCs/>
                <w:color w:val="auto"/>
                <w:spacing w:val="-2"/>
                <w:sz w:val="24"/>
                <w:szCs w:val="24"/>
                <w:lang w:val="en-US" w:eastAsia="zh-CN"/>
              </w:rPr>
            </w:pPr>
            <w:r>
              <w:rPr>
                <w:rFonts w:hint="default" w:ascii="Times New Roman" w:hAnsi="Times New Roman" w:eastAsia="宋体" w:cs="Times New Roman"/>
                <w:b/>
                <w:bCs/>
                <w:color w:val="auto"/>
                <w:spacing w:val="-2"/>
                <w:sz w:val="24"/>
                <w:szCs w:val="24"/>
                <w:lang w:val="en-US" w:eastAsia="zh-CN"/>
              </w:rPr>
              <w:t>2.1.1项目由来</w:t>
            </w:r>
          </w:p>
          <w:p w14:paraId="5CE0F75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福州铭辰光电有限公司是一家从事光学仪器制造、光电子器件制造等业务的公司（</w:t>
            </w:r>
            <w:r>
              <w:rPr>
                <w:rFonts w:hint="eastAsia" w:cs="Times New Roman"/>
                <w:color w:val="auto"/>
                <w:sz w:val="24"/>
                <w:lang w:val="en-US" w:eastAsia="zh-CN"/>
              </w:rPr>
              <w:t>营业执照</w:t>
            </w:r>
            <w:r>
              <w:rPr>
                <w:rFonts w:hint="eastAsia" w:ascii="Times New Roman" w:hAnsi="Times New Roman" w:eastAsia="宋体" w:cs="Times New Roman"/>
                <w:color w:val="auto"/>
                <w:sz w:val="24"/>
                <w:lang w:val="en-US" w:eastAsia="zh-CN"/>
              </w:rPr>
              <w:t>详见附件三），成立于2024年4月25日成立，</w:t>
            </w:r>
            <w:r>
              <w:rPr>
                <w:rFonts w:hint="eastAsia" w:ascii="Times New Roman" w:hAnsi="Times New Roman"/>
                <w:color w:val="auto"/>
                <w:sz w:val="24"/>
                <w:lang w:val="en-US" w:eastAsia="zh-CN"/>
              </w:rPr>
              <w:t>致力于光学仪器、光电子器件的专业生产制造，有着专业的水平源自雄厚的技术实力，目前福州铭辰光电有限公司为了发展更好的市场前景，决定将</w:t>
            </w:r>
            <w:r>
              <w:rPr>
                <w:rFonts w:hint="eastAsia" w:ascii="Times New Roman" w:hAnsi="Times New Roman" w:eastAsia="宋体" w:cs="Times New Roman"/>
                <w:color w:val="auto"/>
                <w:sz w:val="24"/>
                <w:lang w:val="en-US" w:eastAsia="zh-CN"/>
              </w:rPr>
              <w:t>企业建设在</w:t>
            </w:r>
            <w:r>
              <w:rPr>
                <w:rFonts w:hint="default" w:ascii="Times New Roman" w:hAnsi="Times New Roman" w:eastAsia="宋体" w:cs="Times New Roman"/>
                <w:color w:val="auto"/>
                <w:sz w:val="24"/>
                <w:lang w:val="en-US" w:eastAsia="zh-CN"/>
              </w:rPr>
              <w:t>福建省福州市闽侯县经济技术开发区一期延伸区综合大楼第五层</w:t>
            </w:r>
            <w:r>
              <w:rPr>
                <w:rFonts w:hint="eastAsia" w:ascii="Times New Roman" w:hAnsi="Times New Roman" w:eastAsia="宋体" w:cs="Times New Roman"/>
                <w:color w:val="auto"/>
                <w:sz w:val="24"/>
                <w:lang w:val="en-US" w:eastAsia="zh-CN"/>
              </w:rPr>
              <w:t>。本项目总投资</w:t>
            </w:r>
            <w:r>
              <w:rPr>
                <w:rFonts w:hint="eastAsia" w:ascii="Times New Roman" w:hAnsi="Times New Roman" w:eastAsia="宋体"/>
                <w:color w:val="auto"/>
                <w:sz w:val="24"/>
                <w:lang w:val="en-US" w:eastAsia="zh-CN"/>
              </w:rPr>
              <w:t>300</w:t>
            </w:r>
            <w:r>
              <w:rPr>
                <w:rFonts w:ascii="Times New Roman" w:hAnsi="Times New Roman"/>
                <w:color w:val="auto"/>
                <w:sz w:val="24"/>
              </w:rPr>
              <w:t>万元，租用</w:t>
            </w:r>
            <w:r>
              <w:rPr>
                <w:rFonts w:hint="eastAsia" w:ascii="Times New Roman" w:hAnsi="Times New Roman"/>
                <w:color w:val="auto"/>
                <w:sz w:val="24"/>
              </w:rPr>
              <w:t>闽侯县丹祥户外用品有限责任公司</w:t>
            </w:r>
            <w:r>
              <w:rPr>
                <w:rFonts w:ascii="Times New Roman" w:hAnsi="Times New Roman"/>
                <w:color w:val="auto"/>
                <w:sz w:val="24"/>
              </w:rPr>
              <w:t>厂房面积</w:t>
            </w:r>
            <w:r>
              <w:rPr>
                <w:rFonts w:hint="eastAsia" w:ascii="Times New Roman" w:hAnsi="Times New Roman" w:cs="宋体"/>
                <w:color w:val="auto"/>
                <w:sz w:val="24"/>
                <w:szCs w:val="24"/>
                <w:lang w:val="en-US" w:eastAsia="zh-CN"/>
              </w:rPr>
              <w:t>966.7</w:t>
            </w:r>
            <w:r>
              <w:rPr>
                <w:rFonts w:ascii="Times New Roman" w:hAnsi="Times New Roman"/>
                <w:color w:val="auto"/>
                <w:sz w:val="24"/>
              </w:rPr>
              <w:t>平方米</w:t>
            </w:r>
            <w:r>
              <w:rPr>
                <w:rFonts w:hint="eastAsia"/>
                <w:color w:val="auto"/>
                <w:sz w:val="24"/>
                <w:lang w:eastAsia="zh-CN"/>
              </w:rPr>
              <w:t>（</w:t>
            </w:r>
            <w:r>
              <w:rPr>
                <w:rFonts w:hint="eastAsia"/>
                <w:color w:val="auto"/>
                <w:sz w:val="24"/>
                <w:lang w:val="en-US" w:eastAsia="zh-CN"/>
              </w:rPr>
              <w:t>租赁合同详见附件四</w:t>
            </w:r>
            <w:r>
              <w:rPr>
                <w:rFonts w:hint="eastAsia"/>
                <w:color w:val="auto"/>
                <w:sz w:val="24"/>
                <w:lang w:eastAsia="zh-CN"/>
              </w:rPr>
              <w:t>）</w:t>
            </w:r>
            <w:r>
              <w:rPr>
                <w:rFonts w:ascii="Times New Roman" w:hAnsi="Times New Roman"/>
                <w:color w:val="auto"/>
                <w:sz w:val="24"/>
              </w:rPr>
              <w:t>。购买单轴研磨机、双轴透镜研磨机</w:t>
            </w:r>
            <w:r>
              <w:rPr>
                <w:rFonts w:hint="eastAsia"/>
                <w:color w:val="auto"/>
                <w:sz w:val="24"/>
                <w:lang w:eastAsia="zh-CN"/>
              </w:rPr>
              <w:t>、六轴研磨抛光机</w:t>
            </w:r>
            <w:r>
              <w:rPr>
                <w:rFonts w:ascii="Times New Roman" w:hAnsi="Times New Roman"/>
                <w:color w:val="auto"/>
                <w:sz w:val="24"/>
              </w:rPr>
              <w:t>等先进设备。原材料外购光学玻璃材料、抛光粉、金刚砂、切削液、无水乙醇、乙醚等，工艺：</w:t>
            </w:r>
            <w:r>
              <w:rPr>
                <w:rFonts w:hint="eastAsia" w:ascii="Times New Roman" w:hAnsi="Times New Roman"/>
                <w:color w:val="auto"/>
                <w:sz w:val="24"/>
              </w:rPr>
              <w:t>原材料接收与存储-CNC毛坯加工</w:t>
            </w:r>
            <w:r>
              <w:rPr>
                <w:rFonts w:ascii="Times New Roman" w:hAnsi="Times New Roman"/>
                <w:color w:val="auto"/>
                <w:sz w:val="24"/>
              </w:rPr>
              <w:t>-上盘-研磨-抛光-清洗-检测-包装。建成年产20万片光学镜片、10万个光学镜头。主要建筑面积：</w:t>
            </w:r>
            <w:r>
              <w:rPr>
                <w:rFonts w:hint="eastAsia" w:ascii="Times New Roman" w:hAnsi="Times New Roman"/>
                <w:color w:val="auto"/>
                <w:sz w:val="24"/>
                <w:lang w:val="en-US" w:eastAsia="zh-CN"/>
              </w:rPr>
              <w:t>966.7</w:t>
            </w:r>
            <w:r>
              <w:rPr>
                <w:rFonts w:ascii="Times New Roman" w:hAnsi="Times New Roman"/>
                <w:color w:val="auto"/>
                <w:sz w:val="24"/>
              </w:rPr>
              <w:t>平方米，生产能力</w:t>
            </w:r>
            <w:r>
              <w:rPr>
                <w:rFonts w:hint="eastAsia"/>
                <w:color w:val="auto"/>
                <w:sz w:val="24"/>
                <w:lang w:val="en-US" w:eastAsia="zh-CN"/>
              </w:rPr>
              <w:t>：</w:t>
            </w:r>
            <w:r>
              <w:rPr>
                <w:rFonts w:ascii="Times New Roman" w:hAnsi="Times New Roman"/>
                <w:color w:val="auto"/>
                <w:sz w:val="24"/>
              </w:rPr>
              <w:t>年产20万片光学镜片、</w:t>
            </w:r>
            <w:r>
              <w:rPr>
                <w:rFonts w:hint="eastAsia" w:ascii="Times New Roman" w:hAnsi="Times New Roman"/>
                <w:color w:val="auto"/>
                <w:sz w:val="24"/>
                <w:lang w:val="en-US" w:eastAsia="zh-CN"/>
              </w:rPr>
              <w:t>10</w:t>
            </w:r>
            <w:r>
              <w:rPr>
                <w:rFonts w:ascii="Times New Roman" w:hAnsi="Times New Roman"/>
                <w:color w:val="auto"/>
                <w:sz w:val="24"/>
              </w:rPr>
              <w:t>万个光学镜头</w:t>
            </w:r>
            <w:r>
              <w:rPr>
                <w:rFonts w:hint="eastAsia" w:ascii="Times New Roman" w:hAnsi="Times New Roman"/>
                <w:color w:val="auto"/>
                <w:sz w:val="24"/>
                <w:lang w:eastAsia="zh-CN"/>
              </w:rPr>
              <w:t>。</w:t>
            </w:r>
          </w:p>
          <w:p w14:paraId="1F1EFC5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olor w:val="auto"/>
                <w:sz w:val="24"/>
              </w:rPr>
            </w:pPr>
            <w:r>
              <w:rPr>
                <w:rFonts w:hint="eastAsia" w:ascii="Times New Roman" w:hAnsi="Times New Roman"/>
                <w:color w:val="auto"/>
                <w:sz w:val="24"/>
                <w:lang w:val="en-US" w:eastAsia="zh-CN"/>
              </w:rPr>
              <w:t>根据《中华人民共和国环境保护法》《中华人民共和国环境影响评价法》《建设项目环境保护管理条例》，本项目需进行环境影响评价工作，再对照《建设项目环境影响评价分类管理名录》（</w:t>
            </w:r>
            <w:r>
              <w:rPr>
                <w:rFonts w:hint="default" w:ascii="Times New Roman" w:hAnsi="Times New Roman"/>
                <w:color w:val="auto"/>
                <w:sz w:val="24"/>
                <w:lang w:val="en-US" w:eastAsia="zh-CN"/>
              </w:rPr>
              <w:t>2021</w:t>
            </w:r>
            <w:r>
              <w:rPr>
                <w:rFonts w:hint="eastAsia" w:ascii="Times New Roman" w:hAnsi="Times New Roman"/>
                <w:color w:val="auto"/>
                <w:sz w:val="24"/>
                <w:lang w:val="en-US" w:eastAsia="zh-CN"/>
              </w:rPr>
              <w:t>年版），本项目属于“三十七、仪器仪表制造业</w:t>
            </w:r>
            <w:r>
              <w:rPr>
                <w:rFonts w:hint="default" w:ascii="Times New Roman" w:hAnsi="Times New Roman"/>
                <w:color w:val="auto"/>
                <w:sz w:val="24"/>
                <w:lang w:val="en-US" w:eastAsia="zh-CN"/>
              </w:rPr>
              <w:t>40</w:t>
            </w:r>
            <w:r>
              <w:rPr>
                <w:rFonts w:hint="eastAsia" w:ascii="Times New Roman" w:hAnsi="Times New Roman"/>
                <w:color w:val="auto"/>
                <w:sz w:val="24"/>
                <w:lang w:val="en-US" w:eastAsia="zh-CN"/>
              </w:rPr>
              <w:t>”中的“光学仪器制造</w:t>
            </w:r>
            <w:r>
              <w:rPr>
                <w:rFonts w:hint="default" w:ascii="Times New Roman" w:hAnsi="Times New Roman"/>
                <w:color w:val="auto"/>
                <w:sz w:val="24"/>
                <w:lang w:val="en-US" w:eastAsia="zh-CN"/>
              </w:rPr>
              <w:t>404</w:t>
            </w:r>
            <w:r>
              <w:rPr>
                <w:rFonts w:hint="eastAsia" w:ascii="Times New Roman" w:hAnsi="Times New Roman"/>
                <w:color w:val="auto"/>
                <w:sz w:val="24"/>
                <w:lang w:val="en-US" w:eastAsia="zh-CN"/>
              </w:rPr>
              <w:t>”，本项目工艺流程包括</w:t>
            </w:r>
            <w:r>
              <w:rPr>
                <w:rFonts w:hint="eastAsia"/>
                <w:color w:val="auto"/>
                <w:sz w:val="24"/>
                <w:lang w:val="en-US" w:eastAsia="zh-CN"/>
              </w:rPr>
              <w:t>上盘、</w:t>
            </w:r>
            <w:r>
              <w:rPr>
                <w:rFonts w:ascii="Times New Roman" w:hAnsi="Times New Roman"/>
                <w:color w:val="auto"/>
                <w:sz w:val="24"/>
              </w:rPr>
              <w:t>研磨</w:t>
            </w:r>
            <w:r>
              <w:rPr>
                <w:rFonts w:hint="eastAsia" w:ascii="Times New Roman" w:hAnsi="Times New Roman"/>
                <w:color w:val="auto"/>
                <w:sz w:val="24"/>
                <w:lang w:eastAsia="zh-CN"/>
              </w:rPr>
              <w:t>、</w:t>
            </w:r>
            <w:r>
              <w:rPr>
                <w:rFonts w:ascii="Times New Roman" w:hAnsi="Times New Roman"/>
                <w:color w:val="auto"/>
                <w:sz w:val="24"/>
              </w:rPr>
              <w:t>抛光</w:t>
            </w:r>
            <w:r>
              <w:rPr>
                <w:rFonts w:hint="eastAsia" w:ascii="Times New Roman" w:hAnsi="Times New Roman"/>
                <w:color w:val="auto"/>
                <w:sz w:val="24"/>
                <w:lang w:val="en-US" w:eastAsia="zh-CN"/>
              </w:rPr>
              <w:t>等工序，使用原辅材料包括乙醚、乙醇、丙酮、汽油、</w:t>
            </w:r>
            <w:r>
              <w:rPr>
                <w:rFonts w:hint="eastAsia"/>
                <w:color w:val="auto"/>
                <w:sz w:val="24"/>
                <w:lang w:val="en-US" w:eastAsia="zh-CN"/>
              </w:rPr>
              <w:t>抛光胶</w:t>
            </w:r>
            <w:r>
              <w:rPr>
                <w:rFonts w:hint="eastAsia" w:ascii="Times New Roman" w:hAnsi="Times New Roman"/>
                <w:color w:val="auto"/>
                <w:sz w:val="24"/>
                <w:lang w:val="en-US" w:eastAsia="zh-CN"/>
              </w:rPr>
              <w:t>等，年使</w:t>
            </w:r>
            <w:r>
              <w:rPr>
                <w:rFonts w:hint="eastAsia"/>
                <w:color w:val="auto"/>
                <w:sz w:val="24"/>
                <w:lang w:val="en-US" w:eastAsia="zh-CN"/>
              </w:rPr>
              <w:t>用量低于10吨</w:t>
            </w:r>
            <w:r>
              <w:rPr>
                <w:rFonts w:hint="eastAsia" w:ascii="Times New Roman" w:hAnsi="Times New Roman"/>
                <w:color w:val="auto"/>
                <w:sz w:val="24"/>
                <w:lang w:val="en-US" w:eastAsia="zh-CN"/>
              </w:rPr>
              <w:t>，因此本项目应当编制环境影响报告表。为此</w:t>
            </w:r>
            <w:r>
              <w:rPr>
                <w:rFonts w:hint="eastAsia"/>
                <w:color w:val="auto"/>
                <w:sz w:val="24"/>
                <w:lang w:val="en-US" w:eastAsia="zh-CN"/>
              </w:rPr>
              <w:t>福州铭辰光电有限公司</w:t>
            </w:r>
            <w:r>
              <w:rPr>
                <w:rFonts w:hint="eastAsia" w:ascii="Times New Roman" w:hAnsi="Times New Roman"/>
                <w:color w:val="auto"/>
                <w:sz w:val="24"/>
                <w:lang w:val="en-US" w:eastAsia="zh-CN"/>
              </w:rPr>
              <w:t>委托我公司承担该项目环境影响报告表的编制工作（委托书详见附件一）。我公司技术人员经过现场勘察和工程分析，依据《</w:t>
            </w:r>
            <w:r>
              <w:rPr>
                <w:rFonts w:hint="eastAsia"/>
                <w:color w:val="auto"/>
                <w:sz w:val="24"/>
                <w:lang w:val="en-US" w:eastAsia="zh-CN"/>
              </w:rPr>
              <w:t>建设项目</w:t>
            </w:r>
            <w:r>
              <w:rPr>
                <w:rFonts w:hint="eastAsia" w:ascii="Times New Roman" w:hAnsi="Times New Roman"/>
                <w:color w:val="auto"/>
                <w:sz w:val="24"/>
                <w:lang w:val="en-US" w:eastAsia="zh-CN"/>
              </w:rPr>
              <w:t>环境影响</w:t>
            </w:r>
            <w:r>
              <w:rPr>
                <w:rFonts w:hint="eastAsia"/>
                <w:color w:val="auto"/>
                <w:sz w:val="24"/>
                <w:lang w:val="en-US" w:eastAsia="zh-CN"/>
              </w:rPr>
              <w:t>报告表编制技术指南</w:t>
            </w:r>
            <w:r>
              <w:rPr>
                <w:rFonts w:hint="eastAsia" w:ascii="Times New Roman" w:hAnsi="Times New Roman"/>
                <w:color w:val="auto"/>
                <w:sz w:val="24"/>
                <w:lang w:val="en-US" w:eastAsia="zh-CN"/>
              </w:rPr>
              <w:t>》的要求，编制了《</w:t>
            </w:r>
            <w:r>
              <w:rPr>
                <w:rFonts w:hint="eastAsia" w:ascii="Times New Roman" w:hAnsi="Times New Roman" w:eastAsia="宋体" w:cs="Times New Roman"/>
                <w:color w:val="auto"/>
                <w:sz w:val="24"/>
                <w:lang w:val="en-US" w:eastAsia="zh-CN"/>
              </w:rPr>
              <w:t>福州铭辰光电有限公司年产20万片光学镜片、10万个光学镜头项目环境影响报告表</w:t>
            </w:r>
            <w:r>
              <w:rPr>
                <w:rFonts w:hint="eastAsia" w:ascii="Times New Roman" w:hAnsi="Times New Roman"/>
                <w:color w:val="auto"/>
                <w:sz w:val="24"/>
                <w:lang w:val="en-US" w:eastAsia="zh-CN"/>
              </w:rPr>
              <w:t>》</w:t>
            </w:r>
            <w:r>
              <w:rPr>
                <w:rFonts w:hint="eastAsia"/>
                <w:color w:val="auto"/>
                <w:sz w:val="24"/>
                <w:lang w:val="en-US" w:eastAsia="zh-CN"/>
              </w:rPr>
              <w:t>，</w:t>
            </w:r>
            <w:r>
              <w:rPr>
                <w:rFonts w:hint="eastAsia" w:ascii="Times New Roman" w:hAnsi="Times New Roman"/>
                <w:color w:val="auto"/>
                <w:sz w:val="24"/>
                <w:lang w:val="en-US" w:eastAsia="zh-CN"/>
              </w:rPr>
              <w:t>对项目产生的污染</w:t>
            </w:r>
            <w:r>
              <w:rPr>
                <w:rFonts w:hint="eastAsia"/>
                <w:color w:val="auto"/>
                <w:sz w:val="24"/>
                <w:lang w:val="en-US" w:eastAsia="zh-CN"/>
              </w:rPr>
              <w:t>环节</w:t>
            </w:r>
            <w:r>
              <w:rPr>
                <w:rFonts w:hint="eastAsia" w:ascii="Times New Roman" w:hAnsi="Times New Roman"/>
                <w:color w:val="auto"/>
                <w:sz w:val="24"/>
                <w:lang w:val="en-US" w:eastAsia="zh-CN"/>
              </w:rPr>
              <w:t>和对环境的影响进行分析，从环境保护角度评估项目建设的可行性。</w:t>
            </w:r>
          </w:p>
          <w:p w14:paraId="0E373D4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ascii="Times New Roman" w:hAnsi="Times New Roman" w:cs="宋体"/>
                <w:b/>
                <w:bCs w:val="0"/>
                <w:color w:val="auto"/>
                <w:szCs w:val="21"/>
              </w:rPr>
            </w:pPr>
            <w:r>
              <w:rPr>
                <w:rFonts w:ascii="Times New Roman" w:hAnsi="Times New Roman"/>
                <w:b/>
                <w:bCs/>
                <w:color w:val="auto"/>
                <w:spacing w:val="-2"/>
                <w:sz w:val="24"/>
                <w:szCs w:val="24"/>
              </w:rPr>
              <w:t>表</w:t>
            </w:r>
            <w:r>
              <w:rPr>
                <w:rFonts w:ascii="Times New Roman" w:hAnsi="Times New Roman"/>
                <w:color w:val="auto"/>
                <w:spacing w:val="-53"/>
                <w:sz w:val="24"/>
                <w:szCs w:val="24"/>
              </w:rPr>
              <w:t xml:space="preserve"> </w:t>
            </w:r>
            <w:r>
              <w:rPr>
                <w:rFonts w:ascii="Times New Roman" w:hAnsi="Times New Roman" w:eastAsia="Times New Roman" w:cs="Times New Roman"/>
                <w:b/>
                <w:bCs/>
                <w:color w:val="auto"/>
                <w:spacing w:val="-2"/>
                <w:sz w:val="24"/>
                <w:szCs w:val="24"/>
              </w:rPr>
              <w:t xml:space="preserve">2.1-1 </w:t>
            </w:r>
            <w:r>
              <w:rPr>
                <w:rFonts w:ascii="Times New Roman" w:hAnsi="Times New Roman"/>
                <w:b/>
                <w:bCs/>
                <w:color w:val="auto"/>
                <w:spacing w:val="-2"/>
                <w:sz w:val="24"/>
                <w:szCs w:val="24"/>
              </w:rPr>
              <w:t>建设项目环境影响评价分类管理名录（摘录）</w:t>
            </w:r>
          </w:p>
          <w:tbl>
            <w:tblPr>
              <w:tblStyle w:val="38"/>
              <w:tblW w:w="80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3"/>
              <w:gridCol w:w="1953"/>
              <w:gridCol w:w="2754"/>
              <w:gridCol w:w="2030"/>
              <w:gridCol w:w="918"/>
            </w:tblGrid>
            <w:tr w14:paraId="23C32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2396" w:type="dxa"/>
                  <w:gridSpan w:val="2"/>
                  <w:tcBorders>
                    <w:tl2br w:val="single" w:color="auto" w:sz="4" w:space="0"/>
                  </w:tcBorders>
                  <w:shd w:val="clear" w:color="auto" w:fill="auto"/>
                  <w:noWrap w:val="0"/>
                  <w:vAlign w:val="center"/>
                </w:tcPr>
                <w:p w14:paraId="35F329B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 xml:space="preserve">            环评类别</w:t>
                  </w:r>
                </w:p>
                <w:p w14:paraId="090CE703">
                  <w:pPr>
                    <w:widowControl w:val="0"/>
                    <w:bidi w:val="0"/>
                    <w:adjustRightInd w:val="0"/>
                    <w:snapToGrid w:val="0"/>
                    <w:spacing w:before="10" w:beforeLines="10" w:after="10" w:afterLines="10" w:line="240" w:lineRule="auto"/>
                    <w:jc w:val="left"/>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项目类别</w:t>
                  </w:r>
                </w:p>
              </w:tc>
              <w:tc>
                <w:tcPr>
                  <w:tcW w:w="2754" w:type="dxa"/>
                  <w:tcBorders>
                    <w:tl2br w:val="nil"/>
                    <w:tr2bl w:val="nil"/>
                  </w:tcBorders>
                  <w:shd w:val="clear" w:color="auto" w:fill="auto"/>
                  <w:noWrap w:val="0"/>
                  <w:vAlign w:val="center"/>
                </w:tcPr>
                <w:p w14:paraId="5E8A553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报告书</w:t>
                  </w:r>
                </w:p>
              </w:tc>
              <w:tc>
                <w:tcPr>
                  <w:tcW w:w="2030" w:type="dxa"/>
                  <w:tcBorders>
                    <w:tl2br w:val="nil"/>
                    <w:tr2bl w:val="nil"/>
                  </w:tcBorders>
                  <w:shd w:val="clear" w:color="auto" w:fill="A4A4A4"/>
                  <w:noWrap w:val="0"/>
                  <w:vAlign w:val="center"/>
                </w:tcPr>
                <w:p w14:paraId="43DBE38F">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报告表</w:t>
                  </w:r>
                </w:p>
              </w:tc>
              <w:tc>
                <w:tcPr>
                  <w:tcW w:w="918" w:type="dxa"/>
                  <w:tcBorders>
                    <w:tl2br w:val="nil"/>
                    <w:tr2bl w:val="nil"/>
                  </w:tcBorders>
                  <w:noWrap w:val="0"/>
                  <w:vAlign w:val="center"/>
                </w:tcPr>
                <w:p w14:paraId="65F05CDD">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登记表</w:t>
                  </w:r>
                </w:p>
              </w:tc>
            </w:tr>
            <w:tr w14:paraId="774FB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98" w:type="dxa"/>
                  <w:gridSpan w:val="5"/>
                  <w:tcBorders>
                    <w:tl2br w:val="nil"/>
                    <w:tr2bl w:val="nil"/>
                  </w:tcBorders>
                  <w:shd w:val="clear" w:color="auto" w:fill="A4A4A4"/>
                  <w:noWrap w:val="0"/>
                  <w:vAlign w:val="center"/>
                </w:tcPr>
                <w:p w14:paraId="5F971E27">
                  <w:pPr>
                    <w:widowControl w:val="0"/>
                    <w:bidi w:val="0"/>
                    <w:adjustRightInd w:val="0"/>
                    <w:snapToGrid w:val="0"/>
                    <w:spacing w:before="10" w:beforeLines="10" w:after="10" w:afterLines="10" w:line="240" w:lineRule="auto"/>
                    <w:jc w:val="left"/>
                    <w:rPr>
                      <w:rFonts w:hint="default" w:ascii="Times New Roman" w:hAnsi="Times New Roman" w:eastAsia="宋体" w:cs="Times New Roman"/>
                      <w:color w:val="auto"/>
                      <w:kern w:val="0"/>
                      <w:sz w:val="21"/>
                      <w:szCs w:val="21"/>
                      <w:lang w:val="en-US" w:eastAsia="zh-CN" w:bidi="ar-SA"/>
                    </w:rPr>
                  </w:pPr>
                  <w:r>
                    <w:rPr>
                      <w:rFonts w:ascii="Times New Roman" w:hAnsi="Times New Roman"/>
                      <w:color w:val="auto"/>
                      <w:spacing w:val="8"/>
                      <w:sz w:val="21"/>
                      <w:szCs w:val="21"/>
                    </w:rPr>
                    <w:t>三十七、仪器仪表制造业</w:t>
                  </w:r>
                  <w:r>
                    <w:rPr>
                      <w:rFonts w:ascii="Times New Roman" w:hAnsi="Times New Roman"/>
                      <w:color w:val="auto"/>
                      <w:spacing w:val="-42"/>
                      <w:sz w:val="21"/>
                      <w:szCs w:val="21"/>
                    </w:rPr>
                    <w:t xml:space="preserve"> </w:t>
                  </w:r>
                  <w:r>
                    <w:rPr>
                      <w:rFonts w:ascii="Times New Roman" w:hAnsi="Times New Roman" w:eastAsia="Times New Roman" w:cs="Times New Roman"/>
                      <w:color w:val="auto"/>
                      <w:spacing w:val="8"/>
                      <w:sz w:val="21"/>
                      <w:szCs w:val="21"/>
                    </w:rPr>
                    <w:t>40</w:t>
                  </w:r>
                </w:p>
              </w:tc>
            </w:tr>
            <w:tr w14:paraId="68FFB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3" w:type="dxa"/>
                  <w:tcBorders>
                    <w:tl2br w:val="nil"/>
                    <w:tr2bl w:val="nil"/>
                  </w:tcBorders>
                  <w:shd w:val="clear" w:color="auto" w:fill="auto"/>
                  <w:noWrap w:val="0"/>
                  <w:vAlign w:val="center"/>
                </w:tcPr>
                <w:p w14:paraId="408665B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83</w:t>
                  </w:r>
                </w:p>
              </w:tc>
              <w:tc>
                <w:tcPr>
                  <w:tcW w:w="1953" w:type="dxa"/>
                  <w:tcBorders>
                    <w:tl2br w:val="nil"/>
                    <w:tr2bl w:val="nil"/>
                  </w:tcBorders>
                  <w:shd w:val="clear" w:color="auto" w:fill="auto"/>
                  <w:noWrap w:val="0"/>
                  <w:vAlign w:val="center"/>
                </w:tcPr>
                <w:p w14:paraId="01A87965">
                  <w:pPr>
                    <w:pStyle w:val="229"/>
                    <w:spacing w:before="46" w:line="228" w:lineRule="auto"/>
                    <w:jc w:val="both"/>
                    <w:rPr>
                      <w:rFonts w:hint="default" w:ascii="Times New Roman" w:hAnsi="Times New Roman" w:eastAsia="宋体" w:cs="Times New Roman"/>
                      <w:color w:val="auto"/>
                      <w:kern w:val="0"/>
                      <w:sz w:val="21"/>
                      <w:szCs w:val="21"/>
                      <w:lang w:val="en-US" w:eastAsia="zh-CN" w:bidi="ar-SA"/>
                    </w:rPr>
                  </w:pPr>
                  <w:r>
                    <w:rPr>
                      <w:rFonts w:ascii="Times New Roman" w:hAnsi="Times New Roman"/>
                      <w:color w:val="auto"/>
                      <w:spacing w:val="8"/>
                      <w:sz w:val="21"/>
                      <w:szCs w:val="21"/>
                    </w:rPr>
                    <w:t>通用仪器仪表制造</w:t>
                  </w:r>
                  <w:r>
                    <w:rPr>
                      <w:rFonts w:ascii="Times New Roman" w:hAnsi="Times New Roman" w:eastAsia="Times New Roman" w:cs="Times New Roman"/>
                      <w:color w:val="auto"/>
                      <w:spacing w:val="3"/>
                      <w:sz w:val="21"/>
                      <w:szCs w:val="21"/>
                    </w:rPr>
                    <w:t>401</w:t>
                  </w:r>
                  <w:r>
                    <w:rPr>
                      <w:rFonts w:ascii="Times New Roman" w:hAnsi="Times New Roman"/>
                      <w:color w:val="auto"/>
                      <w:spacing w:val="3"/>
                      <w:sz w:val="21"/>
                      <w:szCs w:val="21"/>
                    </w:rPr>
                    <w:t>；专用仪器仪表</w:t>
                  </w:r>
                  <w:r>
                    <w:rPr>
                      <w:rFonts w:ascii="Times New Roman" w:hAnsi="Times New Roman"/>
                      <w:color w:val="auto"/>
                      <w:spacing w:val="-3"/>
                      <w:sz w:val="21"/>
                      <w:szCs w:val="21"/>
                    </w:rPr>
                    <w:t>制造</w:t>
                  </w:r>
                  <w:r>
                    <w:rPr>
                      <w:rFonts w:ascii="Times New Roman" w:hAnsi="Times New Roman" w:eastAsia="Times New Roman" w:cs="Times New Roman"/>
                      <w:color w:val="auto"/>
                      <w:spacing w:val="-3"/>
                      <w:sz w:val="21"/>
                      <w:szCs w:val="21"/>
                    </w:rPr>
                    <w:t>402</w:t>
                  </w:r>
                  <w:r>
                    <w:rPr>
                      <w:rFonts w:ascii="Times New Roman" w:hAnsi="Times New Roman"/>
                      <w:color w:val="auto"/>
                      <w:spacing w:val="-3"/>
                      <w:sz w:val="21"/>
                      <w:szCs w:val="21"/>
                    </w:rPr>
                    <w:t>；钟表与计</w:t>
                  </w:r>
                  <w:r>
                    <w:rPr>
                      <w:rFonts w:ascii="Times New Roman" w:hAnsi="Times New Roman"/>
                      <w:color w:val="auto"/>
                      <w:spacing w:val="6"/>
                      <w:sz w:val="21"/>
                      <w:szCs w:val="21"/>
                    </w:rPr>
                    <w:t>时仪器制造</w:t>
                  </w:r>
                  <w:r>
                    <w:rPr>
                      <w:rFonts w:ascii="Times New Roman" w:hAnsi="Times New Roman" w:eastAsia="Times New Roman" w:cs="Times New Roman"/>
                      <w:color w:val="auto"/>
                      <w:spacing w:val="6"/>
                      <w:sz w:val="21"/>
                      <w:szCs w:val="21"/>
                    </w:rPr>
                    <w:t>403*</w:t>
                  </w:r>
                  <w:r>
                    <w:rPr>
                      <w:rFonts w:ascii="Times New Roman" w:hAnsi="Times New Roman"/>
                      <w:color w:val="auto"/>
                      <w:spacing w:val="6"/>
                      <w:sz w:val="21"/>
                      <w:szCs w:val="21"/>
                    </w:rPr>
                    <w:t>；</w:t>
                  </w:r>
                  <w:r>
                    <w:rPr>
                      <w:rFonts w:ascii="Times New Roman" w:hAnsi="Times New Roman"/>
                      <w:color w:val="auto"/>
                      <w:spacing w:val="7"/>
                      <w:sz w:val="21"/>
                      <w:szCs w:val="21"/>
                    </w:rPr>
                    <w:t>光学仪器制造</w:t>
                  </w:r>
                  <w:r>
                    <w:rPr>
                      <w:rFonts w:ascii="Times New Roman" w:hAnsi="Times New Roman" w:eastAsia="Times New Roman" w:cs="Times New Roman"/>
                      <w:color w:val="auto"/>
                      <w:spacing w:val="7"/>
                      <w:sz w:val="21"/>
                      <w:szCs w:val="21"/>
                    </w:rPr>
                    <w:t>404</w:t>
                  </w:r>
                  <w:r>
                    <w:rPr>
                      <w:rFonts w:ascii="Times New Roman" w:hAnsi="Times New Roman"/>
                      <w:color w:val="auto"/>
                      <w:spacing w:val="7"/>
                      <w:sz w:val="21"/>
                      <w:szCs w:val="21"/>
                    </w:rPr>
                    <w:t>；</w:t>
                  </w:r>
                  <w:r>
                    <w:rPr>
                      <w:rFonts w:ascii="Times New Roman" w:hAnsi="Times New Roman"/>
                      <w:color w:val="auto"/>
                      <w:spacing w:val="-4"/>
                      <w:sz w:val="21"/>
                      <w:szCs w:val="21"/>
                    </w:rPr>
                    <w:t>衡器制造</w:t>
                  </w:r>
                  <w:r>
                    <w:rPr>
                      <w:rFonts w:ascii="Times New Roman" w:hAnsi="Times New Roman" w:eastAsia="Times New Roman" w:cs="Times New Roman"/>
                      <w:color w:val="auto"/>
                      <w:spacing w:val="-4"/>
                      <w:sz w:val="21"/>
                      <w:szCs w:val="21"/>
                    </w:rPr>
                    <w:t>405</w:t>
                  </w:r>
                  <w:r>
                    <w:rPr>
                      <w:rFonts w:ascii="Times New Roman" w:hAnsi="Times New Roman"/>
                      <w:color w:val="auto"/>
                      <w:spacing w:val="-4"/>
                      <w:sz w:val="21"/>
                      <w:szCs w:val="21"/>
                    </w:rPr>
                    <w:t>；其他</w:t>
                  </w:r>
                  <w:r>
                    <w:rPr>
                      <w:rFonts w:ascii="Times New Roman" w:hAnsi="Times New Roman"/>
                      <w:color w:val="auto"/>
                      <w:spacing w:val="8"/>
                      <w:sz w:val="21"/>
                      <w:szCs w:val="21"/>
                    </w:rPr>
                    <w:t>仪器仪表制造业</w:t>
                  </w:r>
                  <w:r>
                    <w:rPr>
                      <w:rFonts w:ascii="Times New Roman" w:hAnsi="Times New Roman" w:eastAsia="Times New Roman" w:cs="Times New Roman"/>
                      <w:color w:val="auto"/>
                      <w:spacing w:val="4"/>
                      <w:sz w:val="21"/>
                      <w:szCs w:val="21"/>
                    </w:rPr>
                    <w:t>409</w:t>
                  </w:r>
                </w:p>
              </w:tc>
              <w:tc>
                <w:tcPr>
                  <w:tcW w:w="2754" w:type="dxa"/>
                  <w:tcBorders>
                    <w:tl2br w:val="nil"/>
                    <w:tr2bl w:val="nil"/>
                  </w:tcBorders>
                  <w:shd w:val="clear" w:color="auto" w:fill="auto"/>
                  <w:noWrap w:val="0"/>
                  <w:vAlign w:val="center"/>
                </w:tcPr>
                <w:p w14:paraId="6E4598BC">
                  <w:pPr>
                    <w:pStyle w:val="229"/>
                    <w:spacing w:before="69" w:line="251" w:lineRule="auto"/>
                    <w:ind w:right="108"/>
                    <w:rPr>
                      <w:rFonts w:ascii="Times New Roman" w:hAnsi="Times New Roman"/>
                      <w:color w:val="auto"/>
                      <w:sz w:val="21"/>
                      <w:szCs w:val="21"/>
                    </w:rPr>
                  </w:pPr>
                  <w:r>
                    <w:rPr>
                      <w:rFonts w:ascii="Times New Roman" w:hAnsi="Times New Roman"/>
                      <w:color w:val="auto"/>
                      <w:spacing w:val="7"/>
                      <w:sz w:val="21"/>
                      <w:szCs w:val="21"/>
                    </w:rPr>
                    <w:t>有电镀工艺</w:t>
                  </w:r>
                  <w:r>
                    <w:rPr>
                      <w:rFonts w:ascii="Times New Roman" w:hAnsi="Times New Roman"/>
                      <w:color w:val="auto"/>
                      <w:spacing w:val="1"/>
                      <w:sz w:val="21"/>
                      <w:szCs w:val="21"/>
                    </w:rPr>
                    <w:t>的；年用溶剂</w:t>
                  </w:r>
                </w:p>
                <w:p w14:paraId="1C70EC4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ascii="Times New Roman" w:hAnsi="Times New Roman"/>
                      <w:color w:val="auto"/>
                      <w:spacing w:val="3"/>
                      <w:sz w:val="21"/>
                      <w:szCs w:val="21"/>
                    </w:rPr>
                    <w:t>型涂料（含稀</w:t>
                  </w:r>
                  <w:r>
                    <w:rPr>
                      <w:rFonts w:ascii="Times New Roman" w:hAnsi="Times New Roman"/>
                      <w:color w:val="auto"/>
                      <w:spacing w:val="-6"/>
                      <w:sz w:val="21"/>
                      <w:szCs w:val="21"/>
                    </w:rPr>
                    <w:t>释剂）</w:t>
                  </w:r>
                  <w:r>
                    <w:rPr>
                      <w:rFonts w:ascii="Times New Roman" w:hAnsi="Times New Roman" w:eastAsia="Times New Roman" w:cs="Times New Roman"/>
                      <w:color w:val="auto"/>
                      <w:spacing w:val="-6"/>
                      <w:sz w:val="21"/>
                      <w:szCs w:val="21"/>
                    </w:rPr>
                    <w:t>10</w:t>
                  </w:r>
                  <w:r>
                    <w:rPr>
                      <w:rFonts w:ascii="Times New Roman" w:hAnsi="Times New Roman"/>
                      <w:color w:val="auto"/>
                      <w:spacing w:val="-6"/>
                      <w:sz w:val="21"/>
                      <w:szCs w:val="21"/>
                    </w:rPr>
                    <w:t>吨及</w:t>
                  </w:r>
                  <w:r>
                    <w:rPr>
                      <w:rFonts w:ascii="Times New Roman" w:hAnsi="Times New Roman"/>
                      <w:color w:val="auto"/>
                      <w:spacing w:val="-1"/>
                      <w:sz w:val="21"/>
                      <w:szCs w:val="21"/>
                    </w:rPr>
                    <w:t>以上的</w:t>
                  </w:r>
                </w:p>
              </w:tc>
              <w:tc>
                <w:tcPr>
                  <w:tcW w:w="2030" w:type="dxa"/>
                  <w:tcBorders>
                    <w:tl2br w:val="nil"/>
                    <w:tr2bl w:val="nil"/>
                  </w:tcBorders>
                  <w:shd w:val="clear" w:color="auto" w:fill="A4A4A4"/>
                  <w:noWrap w:val="0"/>
                  <w:vAlign w:val="center"/>
                </w:tcPr>
                <w:p w14:paraId="7C65F95A">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其他（年用非溶剂型低VOCs含量涂料10吨以下的除外）</w:t>
                  </w:r>
                </w:p>
              </w:tc>
              <w:tc>
                <w:tcPr>
                  <w:tcW w:w="918" w:type="dxa"/>
                  <w:tcBorders>
                    <w:tl2br w:val="nil"/>
                    <w:tr2bl w:val="nil"/>
                  </w:tcBorders>
                  <w:noWrap w:val="0"/>
                  <w:vAlign w:val="center"/>
                </w:tcPr>
                <w:p w14:paraId="6E112A9F">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w:t>
                  </w:r>
                </w:p>
              </w:tc>
            </w:tr>
          </w:tbl>
          <w:p w14:paraId="521E1DF3">
            <w:pPr>
              <w:pStyle w:val="229"/>
              <w:keepNext w:val="0"/>
              <w:keepLines w:val="0"/>
              <w:pageBreakBefore w:val="0"/>
              <w:widowControl/>
              <w:kinsoku/>
              <w:wordWrap/>
              <w:overflowPunct/>
              <w:topLinePunct w:val="0"/>
              <w:autoSpaceDE/>
              <w:autoSpaceDN/>
              <w:bidi w:val="0"/>
              <w:adjustRightInd/>
              <w:snapToGrid/>
              <w:spacing w:before="0" w:line="360" w:lineRule="auto"/>
              <w:ind w:left="0"/>
              <w:textAlignment w:val="auto"/>
              <w:outlineLvl w:val="9"/>
              <w:rPr>
                <w:rFonts w:ascii="Times New Roman" w:hAnsi="Times New Roman" w:eastAsia="宋体" w:cs="Times New Roman"/>
                <w:b/>
                <w:bCs/>
                <w:color w:val="auto"/>
                <w:spacing w:val="-2"/>
                <w:sz w:val="24"/>
                <w:szCs w:val="24"/>
                <w:lang w:eastAsia="zh-CN"/>
              </w:rPr>
            </w:pPr>
            <w:r>
              <w:rPr>
                <w:rFonts w:ascii="Times New Roman" w:hAnsi="Times New Roman" w:eastAsia="宋体" w:cs="Times New Roman"/>
                <w:b/>
                <w:bCs/>
                <w:color w:val="auto"/>
                <w:spacing w:val="-2"/>
                <w:sz w:val="24"/>
                <w:szCs w:val="24"/>
                <w:lang w:eastAsia="zh-CN"/>
              </w:rPr>
              <w:t>2.1.2项目基本情况</w:t>
            </w:r>
          </w:p>
          <w:p w14:paraId="77853BE7">
            <w:pPr>
              <w:pStyle w:val="229"/>
              <w:keepNext w:val="0"/>
              <w:keepLines w:val="0"/>
              <w:pageBreakBefore w:val="0"/>
              <w:widowControl w:val="0"/>
              <w:kinsoku/>
              <w:wordWrap/>
              <w:overflowPunct/>
              <w:topLinePunct w:val="0"/>
              <w:autoSpaceDE/>
              <w:autoSpaceDN/>
              <w:bidi w:val="0"/>
              <w:adjustRightInd/>
              <w:snapToGrid/>
              <w:spacing w:line="360" w:lineRule="auto"/>
              <w:ind w:left="0" w:firstLine="476" w:firstLineChars="200"/>
              <w:textAlignment w:val="auto"/>
              <w:rPr>
                <w:rFonts w:ascii="Times New Roman" w:hAnsi="Times New Roman" w:eastAsia="宋体"/>
                <w:color w:val="auto"/>
                <w:sz w:val="24"/>
                <w:szCs w:val="24"/>
              </w:rPr>
            </w:pPr>
            <w:r>
              <w:rPr>
                <w:rFonts w:ascii="Times New Roman" w:hAnsi="Times New Roman" w:eastAsia="宋体"/>
                <w:color w:val="auto"/>
                <w:spacing w:val="-1"/>
                <w:sz w:val="24"/>
                <w:szCs w:val="24"/>
              </w:rPr>
              <w:t>（</w:t>
            </w:r>
            <w:r>
              <w:rPr>
                <w:rFonts w:ascii="Times New Roman" w:hAnsi="Times New Roman" w:eastAsia="宋体" w:cs="Times New Roman"/>
                <w:color w:val="auto"/>
                <w:spacing w:val="-1"/>
                <w:sz w:val="24"/>
                <w:szCs w:val="24"/>
              </w:rPr>
              <w:t>1</w:t>
            </w:r>
            <w:r>
              <w:rPr>
                <w:rFonts w:ascii="Times New Roman" w:hAnsi="Times New Roman" w:eastAsia="宋体"/>
                <w:color w:val="auto"/>
                <w:spacing w:val="-1"/>
                <w:sz w:val="24"/>
                <w:szCs w:val="24"/>
              </w:rPr>
              <w:t>）项目名称：</w:t>
            </w:r>
            <w:r>
              <w:rPr>
                <w:rFonts w:hint="eastAsia" w:ascii="Times New Roman" w:hAnsi="Times New Roman" w:eastAsia="宋体" w:cs="Times New Roman"/>
                <w:color w:val="auto"/>
                <w:sz w:val="24"/>
                <w:lang w:val="en-US" w:eastAsia="zh-CN"/>
              </w:rPr>
              <w:t>福州铭辰光电有限公司年产20万片光学镜片、10万个光学镜头项目</w:t>
            </w:r>
          </w:p>
          <w:p w14:paraId="67FB1502">
            <w:pPr>
              <w:pStyle w:val="229"/>
              <w:keepNext w:val="0"/>
              <w:keepLines w:val="0"/>
              <w:pageBreakBefore w:val="0"/>
              <w:widowControl w:val="0"/>
              <w:kinsoku/>
              <w:wordWrap/>
              <w:overflowPunct/>
              <w:topLinePunct w:val="0"/>
              <w:autoSpaceDE/>
              <w:autoSpaceDN/>
              <w:bidi w:val="0"/>
              <w:adjustRightInd/>
              <w:snapToGrid/>
              <w:spacing w:line="360" w:lineRule="auto"/>
              <w:ind w:left="0" w:firstLine="472" w:firstLineChars="200"/>
              <w:textAlignment w:val="auto"/>
              <w:rPr>
                <w:rFonts w:ascii="Times New Roman" w:hAnsi="Times New Roman" w:eastAsia="宋体"/>
                <w:color w:val="auto"/>
                <w:sz w:val="24"/>
                <w:szCs w:val="24"/>
              </w:rPr>
            </w:pPr>
            <w:r>
              <w:rPr>
                <w:rFonts w:ascii="Times New Roman" w:hAnsi="Times New Roman" w:eastAsia="宋体"/>
                <w:color w:val="auto"/>
                <w:spacing w:val="-2"/>
                <w:sz w:val="24"/>
                <w:szCs w:val="24"/>
              </w:rPr>
              <w:t>（</w:t>
            </w:r>
            <w:r>
              <w:rPr>
                <w:rFonts w:ascii="Times New Roman" w:hAnsi="Times New Roman" w:eastAsia="宋体" w:cs="Times New Roman"/>
                <w:color w:val="auto"/>
                <w:spacing w:val="-2"/>
                <w:sz w:val="24"/>
                <w:szCs w:val="24"/>
              </w:rPr>
              <w:t>2</w:t>
            </w:r>
            <w:r>
              <w:rPr>
                <w:rFonts w:ascii="Times New Roman" w:hAnsi="Times New Roman" w:eastAsia="宋体"/>
                <w:color w:val="auto"/>
                <w:spacing w:val="-2"/>
                <w:sz w:val="24"/>
                <w:szCs w:val="24"/>
              </w:rPr>
              <w:t>）建设单位：</w:t>
            </w:r>
            <w:r>
              <w:rPr>
                <w:rFonts w:hint="eastAsia" w:ascii="Times New Roman" w:hAnsi="Times New Roman" w:eastAsia="宋体" w:cs="Times New Roman"/>
                <w:color w:val="auto"/>
                <w:sz w:val="24"/>
                <w:lang w:val="en-US" w:eastAsia="zh-CN"/>
              </w:rPr>
              <w:t>福州铭辰光电有限公司</w:t>
            </w:r>
          </w:p>
          <w:p w14:paraId="2F522933">
            <w:pPr>
              <w:pStyle w:val="229"/>
              <w:keepNext w:val="0"/>
              <w:keepLines w:val="0"/>
              <w:pageBreakBefore w:val="0"/>
              <w:widowControl w:val="0"/>
              <w:kinsoku/>
              <w:wordWrap/>
              <w:overflowPunct/>
              <w:topLinePunct w:val="0"/>
              <w:autoSpaceDE/>
              <w:autoSpaceDN/>
              <w:bidi w:val="0"/>
              <w:adjustRightInd/>
              <w:snapToGrid/>
              <w:spacing w:line="360" w:lineRule="auto"/>
              <w:ind w:left="0" w:firstLine="460" w:firstLineChars="200"/>
              <w:textAlignment w:val="auto"/>
              <w:rPr>
                <w:rFonts w:hint="eastAsia" w:ascii="Times New Roman" w:hAnsi="Times New Roman" w:eastAsia="宋体" w:cs="Times New Roman"/>
                <w:color w:val="auto"/>
                <w:sz w:val="24"/>
                <w:lang w:val="en-US" w:eastAsia="zh-CN"/>
              </w:rPr>
            </w:pPr>
            <w:r>
              <w:rPr>
                <w:rFonts w:ascii="Times New Roman" w:hAnsi="Times New Roman" w:eastAsia="宋体"/>
                <w:color w:val="auto"/>
                <w:spacing w:val="-5"/>
                <w:sz w:val="24"/>
                <w:szCs w:val="24"/>
              </w:rPr>
              <w:t>（</w:t>
            </w:r>
            <w:r>
              <w:rPr>
                <w:rFonts w:ascii="Times New Roman" w:hAnsi="Times New Roman" w:eastAsia="宋体" w:cs="Times New Roman"/>
                <w:color w:val="auto"/>
                <w:spacing w:val="-5"/>
                <w:sz w:val="24"/>
                <w:szCs w:val="24"/>
              </w:rPr>
              <w:t>3</w:t>
            </w:r>
            <w:r>
              <w:rPr>
                <w:rFonts w:ascii="Times New Roman" w:hAnsi="Times New Roman" w:eastAsia="宋体"/>
                <w:color w:val="auto"/>
                <w:spacing w:val="-5"/>
                <w:sz w:val="24"/>
                <w:szCs w:val="24"/>
              </w:rPr>
              <w:t>）建</w:t>
            </w:r>
            <w:r>
              <w:rPr>
                <w:rFonts w:ascii="Times New Roman" w:hAnsi="Times New Roman" w:eastAsia="宋体" w:cs="宋体"/>
                <w:color w:val="auto"/>
                <w:spacing w:val="-2"/>
                <w:sz w:val="24"/>
                <w:szCs w:val="24"/>
              </w:rPr>
              <w:t>设地点：</w:t>
            </w:r>
            <w:r>
              <w:rPr>
                <w:rFonts w:hint="default" w:ascii="Times New Roman" w:hAnsi="Times New Roman" w:eastAsia="宋体" w:cs="Times New Roman"/>
                <w:color w:val="auto"/>
                <w:sz w:val="24"/>
                <w:lang w:val="en-US" w:eastAsia="zh-CN"/>
              </w:rPr>
              <w:t>福建省福州市闽侯县经济技术开发区一期延伸区综合大楼第五层</w:t>
            </w:r>
          </w:p>
          <w:p w14:paraId="4F224289">
            <w:pPr>
              <w:pStyle w:val="229"/>
              <w:keepNext w:val="0"/>
              <w:keepLines w:val="0"/>
              <w:pageBreakBefore w:val="0"/>
              <w:widowControl w:val="0"/>
              <w:kinsoku/>
              <w:wordWrap/>
              <w:overflowPunct/>
              <w:topLinePunct w:val="0"/>
              <w:autoSpaceDE/>
              <w:autoSpaceDN/>
              <w:bidi w:val="0"/>
              <w:adjustRightInd/>
              <w:snapToGrid/>
              <w:spacing w:line="360" w:lineRule="auto"/>
              <w:ind w:left="0" w:firstLine="472" w:firstLineChars="200"/>
              <w:textAlignment w:val="auto"/>
              <w:rPr>
                <w:rFonts w:ascii="Times New Roman" w:hAnsi="Times New Roman" w:eastAsia="宋体" w:cs="宋体"/>
                <w:color w:val="auto"/>
                <w:spacing w:val="-2"/>
                <w:sz w:val="24"/>
                <w:szCs w:val="24"/>
              </w:rPr>
            </w:pPr>
            <w:r>
              <w:rPr>
                <w:rFonts w:ascii="Times New Roman" w:hAnsi="Times New Roman" w:eastAsia="宋体" w:cs="宋体"/>
                <w:color w:val="auto"/>
                <w:spacing w:val="-2"/>
                <w:sz w:val="24"/>
                <w:szCs w:val="24"/>
              </w:rPr>
              <w:t>（4）项目总投资：</w:t>
            </w:r>
            <w:r>
              <w:rPr>
                <w:rFonts w:hint="eastAsia" w:ascii="Times New Roman" w:hAnsi="Times New Roman" w:cs="宋体"/>
                <w:color w:val="auto"/>
                <w:spacing w:val="-2"/>
                <w:sz w:val="24"/>
                <w:szCs w:val="24"/>
                <w:lang w:val="en-US" w:eastAsia="zh-CN"/>
              </w:rPr>
              <w:t>3</w:t>
            </w:r>
            <w:r>
              <w:rPr>
                <w:rFonts w:ascii="Times New Roman" w:hAnsi="Times New Roman" w:eastAsia="宋体" w:cs="宋体"/>
                <w:color w:val="auto"/>
                <w:spacing w:val="-2"/>
                <w:sz w:val="24"/>
                <w:szCs w:val="24"/>
              </w:rPr>
              <w:t>00万元</w:t>
            </w:r>
          </w:p>
          <w:p w14:paraId="1B662B5B">
            <w:pPr>
              <w:pStyle w:val="229"/>
              <w:keepNext w:val="0"/>
              <w:keepLines w:val="0"/>
              <w:pageBreakBefore w:val="0"/>
              <w:widowControl w:val="0"/>
              <w:kinsoku/>
              <w:wordWrap/>
              <w:overflowPunct/>
              <w:topLinePunct w:val="0"/>
              <w:autoSpaceDE/>
              <w:autoSpaceDN/>
              <w:bidi w:val="0"/>
              <w:adjustRightInd/>
              <w:snapToGrid/>
              <w:spacing w:line="360" w:lineRule="auto"/>
              <w:ind w:left="0" w:firstLine="472" w:firstLineChars="200"/>
              <w:textAlignment w:val="auto"/>
              <w:rPr>
                <w:rFonts w:ascii="Times New Roman" w:hAnsi="Times New Roman" w:eastAsia="宋体" w:cs="宋体"/>
                <w:color w:val="auto"/>
                <w:spacing w:val="-2"/>
                <w:sz w:val="24"/>
                <w:szCs w:val="24"/>
              </w:rPr>
            </w:pPr>
            <w:r>
              <w:rPr>
                <w:rFonts w:ascii="Times New Roman" w:hAnsi="Times New Roman" w:eastAsia="宋体" w:cs="宋体"/>
                <w:color w:val="auto"/>
                <w:spacing w:val="-2"/>
                <w:sz w:val="24"/>
                <w:szCs w:val="24"/>
              </w:rPr>
              <w:t>（5）建设规模：建筑面积</w:t>
            </w:r>
            <w:r>
              <w:rPr>
                <w:rFonts w:hint="eastAsia" w:ascii="Times New Roman" w:hAnsi="Times New Roman" w:cs="宋体"/>
                <w:color w:val="auto"/>
                <w:spacing w:val="-2"/>
                <w:sz w:val="24"/>
                <w:szCs w:val="24"/>
                <w:lang w:val="en-US" w:eastAsia="zh-CN"/>
              </w:rPr>
              <w:t>966.7</w:t>
            </w:r>
            <w:r>
              <w:rPr>
                <w:rFonts w:ascii="Times New Roman" w:hAnsi="Times New Roman" w:eastAsia="宋体" w:cs="宋体"/>
                <w:color w:val="auto"/>
                <w:spacing w:val="-2"/>
                <w:sz w:val="24"/>
                <w:szCs w:val="24"/>
              </w:rPr>
              <w:t>m</w:t>
            </w:r>
            <w:r>
              <w:rPr>
                <w:rFonts w:ascii="Times New Roman" w:hAnsi="Times New Roman" w:eastAsia="宋体" w:cs="宋体"/>
                <w:color w:val="auto"/>
                <w:spacing w:val="-2"/>
                <w:sz w:val="24"/>
                <w:szCs w:val="24"/>
                <w:vertAlign w:val="superscript"/>
              </w:rPr>
              <w:t>2</w:t>
            </w:r>
          </w:p>
          <w:p w14:paraId="681FE4F1">
            <w:pPr>
              <w:pStyle w:val="229"/>
              <w:keepNext w:val="0"/>
              <w:keepLines w:val="0"/>
              <w:pageBreakBefore w:val="0"/>
              <w:widowControl w:val="0"/>
              <w:kinsoku/>
              <w:wordWrap/>
              <w:overflowPunct/>
              <w:topLinePunct w:val="0"/>
              <w:autoSpaceDE/>
              <w:autoSpaceDN/>
              <w:bidi w:val="0"/>
              <w:adjustRightInd/>
              <w:snapToGrid/>
              <w:spacing w:line="360" w:lineRule="auto"/>
              <w:ind w:left="0" w:firstLine="472" w:firstLineChars="200"/>
              <w:textAlignment w:val="auto"/>
              <w:rPr>
                <w:rFonts w:ascii="Times New Roman" w:hAnsi="Times New Roman" w:eastAsia="宋体" w:cs="宋体"/>
                <w:color w:val="auto"/>
                <w:spacing w:val="-2"/>
                <w:sz w:val="24"/>
                <w:szCs w:val="24"/>
              </w:rPr>
            </w:pPr>
            <w:r>
              <w:rPr>
                <w:rFonts w:ascii="Times New Roman" w:hAnsi="Times New Roman" w:eastAsia="宋体" w:cs="宋体"/>
                <w:color w:val="auto"/>
                <w:spacing w:val="-2"/>
                <w:sz w:val="24"/>
                <w:szCs w:val="24"/>
              </w:rPr>
              <w:t>（6）生产规模：年产20万片光学镜片、</w:t>
            </w:r>
            <w:r>
              <w:rPr>
                <w:rFonts w:hint="eastAsia" w:ascii="Times New Roman" w:hAnsi="Times New Roman" w:cs="宋体"/>
                <w:color w:val="auto"/>
                <w:spacing w:val="-2"/>
                <w:sz w:val="24"/>
                <w:szCs w:val="24"/>
                <w:lang w:val="en-US" w:eastAsia="zh-CN"/>
              </w:rPr>
              <w:t>1</w:t>
            </w:r>
            <w:r>
              <w:rPr>
                <w:rFonts w:ascii="Times New Roman" w:hAnsi="Times New Roman" w:eastAsia="宋体" w:cs="宋体"/>
                <w:color w:val="auto"/>
                <w:spacing w:val="-2"/>
                <w:sz w:val="24"/>
                <w:szCs w:val="24"/>
              </w:rPr>
              <w:t>0万个光学镜头项目</w:t>
            </w:r>
          </w:p>
          <w:p w14:paraId="479856EE">
            <w:pPr>
              <w:pStyle w:val="229"/>
              <w:keepNext w:val="0"/>
              <w:keepLines w:val="0"/>
              <w:pageBreakBefore w:val="0"/>
              <w:widowControl w:val="0"/>
              <w:kinsoku/>
              <w:wordWrap/>
              <w:overflowPunct/>
              <w:topLinePunct w:val="0"/>
              <w:autoSpaceDE/>
              <w:autoSpaceDN/>
              <w:bidi w:val="0"/>
              <w:adjustRightInd/>
              <w:snapToGrid/>
              <w:spacing w:line="360" w:lineRule="auto"/>
              <w:ind w:left="0" w:firstLine="472" w:firstLineChars="200"/>
              <w:textAlignment w:val="auto"/>
              <w:rPr>
                <w:rFonts w:ascii="Times New Roman" w:hAnsi="Times New Roman" w:eastAsia="宋体" w:cs="宋体"/>
                <w:color w:val="auto"/>
                <w:spacing w:val="-2"/>
                <w:sz w:val="24"/>
                <w:szCs w:val="24"/>
              </w:rPr>
            </w:pPr>
            <w:r>
              <w:rPr>
                <w:rFonts w:ascii="Times New Roman" w:hAnsi="Times New Roman" w:eastAsia="宋体" w:cs="宋体"/>
                <w:color w:val="auto"/>
                <w:spacing w:val="-2"/>
                <w:sz w:val="24"/>
                <w:szCs w:val="24"/>
              </w:rPr>
              <w:t>（7）职工人数：劳动定员</w:t>
            </w:r>
            <w:r>
              <w:rPr>
                <w:rFonts w:hint="eastAsia" w:ascii="Times New Roman" w:hAnsi="Times New Roman" w:cs="宋体"/>
                <w:color w:val="auto"/>
                <w:spacing w:val="-2"/>
                <w:sz w:val="24"/>
                <w:szCs w:val="24"/>
                <w:lang w:val="en-US" w:eastAsia="zh-CN"/>
              </w:rPr>
              <w:t>8</w:t>
            </w:r>
            <w:r>
              <w:rPr>
                <w:rFonts w:ascii="Times New Roman" w:hAnsi="Times New Roman" w:eastAsia="宋体" w:cs="宋体"/>
                <w:color w:val="auto"/>
                <w:spacing w:val="-2"/>
                <w:sz w:val="24"/>
                <w:szCs w:val="24"/>
              </w:rPr>
              <w:t>人，均不在厂内住宿，厂内</w:t>
            </w:r>
            <w:r>
              <w:rPr>
                <w:rFonts w:hint="eastAsia" w:ascii="Times New Roman" w:hAnsi="Times New Roman" w:eastAsia="宋体" w:cs="宋体"/>
                <w:color w:val="auto"/>
                <w:spacing w:val="-2"/>
                <w:sz w:val="24"/>
                <w:szCs w:val="24"/>
                <w:lang w:eastAsia="zh-CN"/>
              </w:rPr>
              <w:t>不</w:t>
            </w:r>
            <w:r>
              <w:rPr>
                <w:rFonts w:hint="eastAsia" w:ascii="Times New Roman" w:hAnsi="Times New Roman" w:eastAsia="宋体" w:cs="宋体"/>
                <w:color w:val="auto"/>
                <w:spacing w:val="-2"/>
                <w:sz w:val="24"/>
                <w:szCs w:val="24"/>
                <w:lang w:val="en-US" w:eastAsia="zh-CN"/>
              </w:rPr>
              <w:t>设置</w:t>
            </w:r>
            <w:r>
              <w:rPr>
                <w:rFonts w:ascii="Times New Roman" w:hAnsi="Times New Roman" w:eastAsia="宋体" w:cs="宋体"/>
                <w:color w:val="auto"/>
                <w:spacing w:val="-2"/>
                <w:sz w:val="24"/>
                <w:szCs w:val="24"/>
              </w:rPr>
              <w:t>食堂</w:t>
            </w:r>
          </w:p>
          <w:p w14:paraId="57974570">
            <w:pPr>
              <w:pStyle w:val="229"/>
              <w:keepNext w:val="0"/>
              <w:keepLines w:val="0"/>
              <w:pageBreakBefore w:val="0"/>
              <w:widowControl w:val="0"/>
              <w:kinsoku/>
              <w:wordWrap/>
              <w:overflowPunct/>
              <w:topLinePunct w:val="0"/>
              <w:autoSpaceDE/>
              <w:autoSpaceDN/>
              <w:bidi w:val="0"/>
              <w:adjustRightInd/>
              <w:snapToGrid/>
              <w:spacing w:line="360" w:lineRule="auto"/>
              <w:ind w:left="0" w:firstLine="472" w:firstLineChars="200"/>
              <w:textAlignment w:val="auto"/>
              <w:rPr>
                <w:rFonts w:hint="default" w:ascii="Times New Roman" w:hAnsi="Times New Roman" w:eastAsia="宋体" w:cs="宋体"/>
                <w:color w:val="auto"/>
                <w:spacing w:val="-2"/>
                <w:sz w:val="24"/>
                <w:szCs w:val="24"/>
                <w:lang w:val="en-US" w:eastAsia="zh-CN"/>
              </w:rPr>
            </w:pPr>
            <w:r>
              <w:rPr>
                <w:rFonts w:ascii="Times New Roman" w:hAnsi="Times New Roman" w:eastAsia="宋体" w:cs="宋体"/>
                <w:color w:val="auto"/>
                <w:spacing w:val="-2"/>
                <w:sz w:val="24"/>
                <w:szCs w:val="24"/>
              </w:rPr>
              <w:t>（8）工作制度：年工作</w:t>
            </w:r>
            <w:r>
              <w:rPr>
                <w:rFonts w:hint="eastAsia" w:ascii="Times New Roman" w:hAnsi="Times New Roman" w:cs="宋体"/>
                <w:color w:val="auto"/>
                <w:spacing w:val="-2"/>
                <w:sz w:val="24"/>
                <w:szCs w:val="24"/>
                <w:lang w:val="en-US" w:eastAsia="zh-CN"/>
              </w:rPr>
              <w:t>日为249天，总时长为1992小时</w:t>
            </w:r>
            <w:r>
              <w:rPr>
                <w:rFonts w:ascii="Times New Roman" w:hAnsi="Times New Roman" w:eastAsia="宋体" w:cs="宋体"/>
                <w:color w:val="auto"/>
                <w:spacing w:val="-2"/>
                <w:sz w:val="24"/>
                <w:szCs w:val="24"/>
              </w:rPr>
              <w:t>，单班制，每班8小时</w:t>
            </w:r>
            <w:r>
              <w:rPr>
                <w:rFonts w:hint="eastAsia" w:ascii="Times New Roman" w:hAnsi="Times New Roman" w:cs="宋体"/>
                <w:color w:val="auto"/>
                <w:spacing w:val="-2"/>
                <w:sz w:val="24"/>
                <w:szCs w:val="24"/>
                <w:lang w:eastAsia="zh-CN"/>
              </w:rPr>
              <w:t>，</w:t>
            </w:r>
            <w:r>
              <w:rPr>
                <w:rFonts w:hint="eastAsia" w:ascii="Times New Roman" w:hAnsi="Times New Roman" w:cs="宋体"/>
                <w:color w:val="auto"/>
                <w:spacing w:val="-2"/>
                <w:sz w:val="24"/>
                <w:szCs w:val="24"/>
                <w:lang w:val="en-US" w:eastAsia="zh-CN"/>
              </w:rPr>
              <w:t>夜间不生产</w:t>
            </w:r>
          </w:p>
          <w:p w14:paraId="4BFB274B">
            <w:pPr>
              <w:pStyle w:val="229"/>
              <w:keepNext w:val="0"/>
              <w:keepLines w:val="0"/>
              <w:pageBreakBefore w:val="0"/>
              <w:widowControl w:val="0"/>
              <w:kinsoku/>
              <w:wordWrap/>
              <w:overflowPunct/>
              <w:topLinePunct w:val="0"/>
              <w:autoSpaceDE/>
              <w:autoSpaceDN/>
              <w:bidi w:val="0"/>
              <w:adjustRightInd/>
              <w:snapToGrid/>
              <w:spacing w:line="360" w:lineRule="auto"/>
              <w:ind w:left="0" w:firstLine="468" w:firstLineChars="200"/>
              <w:textAlignment w:val="auto"/>
              <w:rPr>
                <w:rFonts w:ascii="Times New Roman" w:hAnsi="Times New Roman" w:eastAsia="宋体"/>
                <w:color w:val="auto"/>
                <w:sz w:val="24"/>
                <w:szCs w:val="24"/>
              </w:rPr>
            </w:pPr>
            <w:r>
              <w:rPr>
                <w:rFonts w:ascii="Times New Roman" w:hAnsi="Times New Roman" w:eastAsia="宋体"/>
                <w:color w:val="auto"/>
                <w:spacing w:val="-3"/>
                <w:sz w:val="24"/>
                <w:szCs w:val="24"/>
              </w:rPr>
              <w:t>（</w:t>
            </w:r>
            <w:r>
              <w:rPr>
                <w:rFonts w:ascii="Times New Roman" w:hAnsi="Times New Roman" w:eastAsia="宋体" w:cs="Times New Roman"/>
                <w:color w:val="auto"/>
                <w:spacing w:val="-3"/>
                <w:sz w:val="24"/>
                <w:szCs w:val="24"/>
              </w:rPr>
              <w:t>9</w:t>
            </w:r>
            <w:r>
              <w:rPr>
                <w:rFonts w:ascii="Times New Roman" w:hAnsi="Times New Roman" w:eastAsia="宋体"/>
                <w:color w:val="auto"/>
                <w:spacing w:val="-3"/>
                <w:sz w:val="24"/>
                <w:szCs w:val="24"/>
              </w:rPr>
              <w:t>）建设性质：新建</w:t>
            </w:r>
          </w:p>
          <w:p w14:paraId="6B1FA008">
            <w:pPr>
              <w:pStyle w:val="229"/>
              <w:keepNext w:val="0"/>
              <w:keepLines w:val="0"/>
              <w:pageBreakBefore w:val="0"/>
              <w:widowControl/>
              <w:kinsoku/>
              <w:wordWrap/>
              <w:overflowPunct/>
              <w:topLinePunct w:val="0"/>
              <w:autoSpaceDE/>
              <w:autoSpaceDN/>
              <w:bidi w:val="0"/>
              <w:adjustRightInd/>
              <w:snapToGrid/>
              <w:spacing w:line="360" w:lineRule="auto"/>
              <w:ind w:left="0"/>
              <w:textAlignment w:val="auto"/>
              <w:outlineLvl w:val="9"/>
              <w:rPr>
                <w:rFonts w:ascii="Times New Roman" w:hAnsi="Times New Roman" w:eastAsia="宋体" w:cs="Times New Roman"/>
                <w:b/>
                <w:bCs/>
                <w:color w:val="auto"/>
                <w:spacing w:val="-2"/>
                <w:sz w:val="24"/>
                <w:szCs w:val="24"/>
                <w:lang w:eastAsia="zh-CN"/>
              </w:rPr>
            </w:pPr>
            <w:r>
              <w:rPr>
                <w:rFonts w:ascii="Times New Roman" w:hAnsi="Times New Roman" w:eastAsia="宋体" w:cs="Times New Roman"/>
                <w:b/>
                <w:bCs/>
                <w:color w:val="auto"/>
                <w:spacing w:val="-2"/>
                <w:sz w:val="24"/>
                <w:szCs w:val="24"/>
                <w:lang w:eastAsia="zh-CN"/>
              </w:rPr>
              <w:t>2.1.3项目产品方案</w:t>
            </w:r>
          </w:p>
          <w:p w14:paraId="30472507">
            <w:pPr>
              <w:pStyle w:val="229"/>
              <w:keepNext w:val="0"/>
              <w:keepLines w:val="0"/>
              <w:pageBreakBefore w:val="0"/>
              <w:widowControl w:val="0"/>
              <w:kinsoku/>
              <w:wordWrap/>
              <w:overflowPunct/>
              <w:topLinePunct w:val="0"/>
              <w:autoSpaceDE/>
              <w:autoSpaceDN/>
              <w:bidi w:val="0"/>
              <w:adjustRightInd/>
              <w:snapToGrid/>
              <w:spacing w:line="360" w:lineRule="auto"/>
              <w:ind w:left="0" w:firstLine="472" w:firstLineChars="200"/>
              <w:textAlignment w:val="auto"/>
              <w:rPr>
                <w:rFonts w:ascii="Times New Roman" w:hAnsi="Times New Roman"/>
                <w:color w:val="auto"/>
                <w:sz w:val="24"/>
                <w:szCs w:val="24"/>
              </w:rPr>
            </w:pPr>
            <w:r>
              <w:rPr>
                <w:rFonts w:ascii="Times New Roman" w:hAnsi="Times New Roman"/>
                <w:color w:val="auto"/>
                <w:spacing w:val="-2"/>
                <w:sz w:val="24"/>
                <w:szCs w:val="24"/>
              </w:rPr>
              <w:t>本项目产品方案见表</w:t>
            </w:r>
            <w:r>
              <w:rPr>
                <w:rFonts w:ascii="Times New Roman" w:hAnsi="Times New Roman" w:eastAsia="Times New Roman" w:cs="Times New Roman"/>
                <w:color w:val="auto"/>
                <w:spacing w:val="-2"/>
                <w:sz w:val="24"/>
                <w:szCs w:val="24"/>
              </w:rPr>
              <w:t>2.1-2</w:t>
            </w:r>
            <w:r>
              <w:rPr>
                <w:rFonts w:ascii="Times New Roman" w:hAnsi="Times New Roman"/>
                <w:color w:val="auto"/>
                <w:spacing w:val="-2"/>
                <w:sz w:val="24"/>
                <w:szCs w:val="24"/>
              </w:rPr>
              <w:t>。</w:t>
            </w:r>
          </w:p>
          <w:p w14:paraId="0D3F876D">
            <w:pPr>
              <w:pStyle w:val="22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sz w:val="24"/>
                <w:szCs w:val="24"/>
              </w:rPr>
            </w:pPr>
            <w:r>
              <w:rPr>
                <w:rFonts w:ascii="Times New Roman" w:hAnsi="Times New Roman"/>
                <w:b/>
                <w:bCs/>
                <w:color w:val="auto"/>
                <w:spacing w:val="-2"/>
                <w:sz w:val="24"/>
                <w:szCs w:val="24"/>
              </w:rPr>
              <w:t>表</w:t>
            </w:r>
            <w:r>
              <w:rPr>
                <w:rFonts w:ascii="Times New Roman" w:hAnsi="Times New Roman" w:eastAsia="Times New Roman" w:cs="Times New Roman"/>
                <w:b/>
                <w:bCs/>
                <w:color w:val="auto"/>
                <w:spacing w:val="-2"/>
                <w:sz w:val="24"/>
                <w:szCs w:val="24"/>
              </w:rPr>
              <w:t>2.1-2</w:t>
            </w:r>
            <w:r>
              <w:rPr>
                <w:rFonts w:ascii="Times New Roman" w:hAnsi="Times New Roman"/>
                <w:b/>
                <w:bCs/>
                <w:color w:val="auto"/>
                <w:spacing w:val="-2"/>
                <w:sz w:val="24"/>
                <w:szCs w:val="24"/>
              </w:rPr>
              <w:t>本项目产品方案一览表</w:t>
            </w:r>
          </w:p>
          <w:p w14:paraId="1453EF2D">
            <w:pPr>
              <w:spacing w:line="17" w:lineRule="exact"/>
              <w:rPr>
                <w:rFonts w:ascii="Times New Roman" w:hAnsi="Times New Roman"/>
                <w:color w:val="auto"/>
              </w:rPr>
            </w:pPr>
          </w:p>
          <w:tbl>
            <w:tblPr>
              <w:tblStyle w:val="230"/>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71"/>
              <w:gridCol w:w="1360"/>
              <w:gridCol w:w="1601"/>
              <w:gridCol w:w="4468"/>
            </w:tblGrid>
            <w:tr w14:paraId="348152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4" w:hRule="atLeast"/>
                <w:jc w:val="center"/>
              </w:trPr>
              <w:tc>
                <w:tcPr>
                  <w:tcW w:w="414" w:type="pct"/>
                  <w:vAlign w:val="center"/>
                </w:tcPr>
                <w:p w14:paraId="3F048B69">
                  <w:pPr>
                    <w:pStyle w:val="229"/>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pacing w:val="5"/>
                      <w:sz w:val="21"/>
                      <w:szCs w:val="21"/>
                    </w:rPr>
                    <w:t>序号</w:t>
                  </w:r>
                </w:p>
              </w:tc>
              <w:tc>
                <w:tcPr>
                  <w:tcW w:w="839" w:type="pct"/>
                  <w:vAlign w:val="center"/>
                </w:tcPr>
                <w:p w14:paraId="0084A4F8">
                  <w:pPr>
                    <w:pStyle w:val="229"/>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pacing w:val="7"/>
                      <w:sz w:val="21"/>
                      <w:szCs w:val="21"/>
                    </w:rPr>
                    <w:t>产品名称</w:t>
                  </w:r>
                </w:p>
              </w:tc>
              <w:tc>
                <w:tcPr>
                  <w:tcW w:w="988" w:type="pct"/>
                  <w:vAlign w:val="center"/>
                </w:tcPr>
                <w:p w14:paraId="1380B508">
                  <w:pPr>
                    <w:pStyle w:val="229"/>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pacing w:val="7"/>
                      <w:sz w:val="21"/>
                      <w:szCs w:val="21"/>
                    </w:rPr>
                    <w:t>产品产能</w:t>
                  </w:r>
                </w:p>
              </w:tc>
              <w:tc>
                <w:tcPr>
                  <w:tcW w:w="2757" w:type="pct"/>
                  <w:vAlign w:val="center"/>
                </w:tcPr>
                <w:p w14:paraId="13B717B8">
                  <w:pPr>
                    <w:pStyle w:val="229"/>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pacing w:val="7"/>
                      <w:sz w:val="21"/>
                      <w:szCs w:val="21"/>
                    </w:rPr>
                    <w:t>产品用途</w:t>
                  </w:r>
                </w:p>
              </w:tc>
            </w:tr>
            <w:tr w14:paraId="55EF18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6" w:hRule="atLeast"/>
                <w:jc w:val="center"/>
              </w:trPr>
              <w:tc>
                <w:tcPr>
                  <w:tcW w:w="414" w:type="pct"/>
                  <w:vAlign w:val="center"/>
                </w:tcPr>
                <w:p w14:paraId="323AB085">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1</w:t>
                  </w:r>
                </w:p>
              </w:tc>
              <w:tc>
                <w:tcPr>
                  <w:tcW w:w="839" w:type="pct"/>
                  <w:vAlign w:val="center"/>
                </w:tcPr>
                <w:p w14:paraId="62D8A985">
                  <w:pPr>
                    <w:pStyle w:val="229"/>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eastAsia="宋体" w:cs="宋体"/>
                      <w:color w:val="auto"/>
                      <w:spacing w:val="-2"/>
                      <w:sz w:val="21"/>
                      <w:szCs w:val="21"/>
                    </w:rPr>
                    <w:t>光学镜片</w:t>
                  </w:r>
                </w:p>
              </w:tc>
              <w:tc>
                <w:tcPr>
                  <w:tcW w:w="988" w:type="pct"/>
                  <w:vAlign w:val="center"/>
                </w:tcPr>
                <w:p w14:paraId="1DEB9ABA">
                  <w:pPr>
                    <w:pStyle w:val="229"/>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hint="eastAsia" w:ascii="Times New Roman" w:hAnsi="Times New Roman" w:cs="Times New Roman"/>
                      <w:color w:val="auto"/>
                      <w:sz w:val="21"/>
                      <w:szCs w:val="21"/>
                      <w:lang w:val="en-US" w:eastAsia="zh-CN"/>
                    </w:rPr>
                    <w:t>20</w:t>
                  </w:r>
                  <w:r>
                    <w:rPr>
                      <w:rFonts w:ascii="Times New Roman" w:hAnsi="Times New Roman"/>
                      <w:color w:val="auto"/>
                      <w:sz w:val="21"/>
                      <w:szCs w:val="21"/>
                    </w:rPr>
                    <w:t>万片</w:t>
                  </w:r>
                  <w:r>
                    <w:rPr>
                      <w:rFonts w:ascii="Times New Roman" w:hAnsi="Times New Roman" w:eastAsia="Times New Roman" w:cs="Times New Roman"/>
                      <w:color w:val="auto"/>
                      <w:sz w:val="21"/>
                      <w:szCs w:val="21"/>
                    </w:rPr>
                    <w:t>/</w:t>
                  </w:r>
                  <w:r>
                    <w:rPr>
                      <w:rFonts w:ascii="Times New Roman" w:hAnsi="Times New Roman"/>
                      <w:color w:val="auto"/>
                      <w:sz w:val="21"/>
                      <w:szCs w:val="21"/>
                    </w:rPr>
                    <w:t>年</w:t>
                  </w:r>
                </w:p>
              </w:tc>
              <w:tc>
                <w:tcPr>
                  <w:tcW w:w="2757" w:type="pct"/>
                  <w:vAlign w:val="center"/>
                </w:tcPr>
                <w:p w14:paraId="186D9222">
                  <w:pPr>
                    <w:pStyle w:val="229"/>
                    <w:keepNext w:val="0"/>
                    <w:keepLines w:val="0"/>
                    <w:pageBreakBefore w:val="0"/>
                    <w:widowControl w:val="0"/>
                    <w:kinsoku/>
                    <w:wordWrap/>
                    <w:overflowPunct/>
                    <w:topLinePunct w:val="0"/>
                    <w:autoSpaceDE/>
                    <w:autoSpaceDN/>
                    <w:bidi w:val="0"/>
                    <w:adjustRightInd/>
                    <w:snapToGrid/>
                    <w:spacing w:line="240" w:lineRule="auto"/>
                    <w:ind w:left="0" w:right="0" w:hanging="206"/>
                    <w:jc w:val="center"/>
                    <w:textAlignment w:val="auto"/>
                    <w:rPr>
                      <w:rFonts w:ascii="Times New Roman" w:hAnsi="Times New Roman"/>
                      <w:color w:val="auto"/>
                      <w:sz w:val="21"/>
                      <w:szCs w:val="21"/>
                    </w:rPr>
                  </w:pPr>
                  <w:r>
                    <w:rPr>
                      <w:rFonts w:ascii="Times New Roman" w:hAnsi="Times New Roman"/>
                      <w:color w:val="auto"/>
                      <w:spacing w:val="8"/>
                      <w:sz w:val="21"/>
                      <w:szCs w:val="21"/>
                    </w:rPr>
                    <w:t>外售用于</w:t>
                  </w:r>
                  <w:r>
                    <w:rPr>
                      <w:rFonts w:hint="eastAsia" w:ascii="Times New Roman" w:hAnsi="Times New Roman"/>
                      <w:color w:val="auto"/>
                      <w:spacing w:val="8"/>
                      <w:sz w:val="21"/>
                      <w:szCs w:val="21"/>
                    </w:rPr>
                    <w:t>检测，医疗，激光</w:t>
                  </w:r>
                  <w:r>
                    <w:rPr>
                      <w:rFonts w:ascii="Times New Roman" w:hAnsi="Times New Roman"/>
                      <w:color w:val="auto"/>
                      <w:spacing w:val="8"/>
                      <w:sz w:val="21"/>
                      <w:szCs w:val="21"/>
                    </w:rPr>
                    <w:t>行业</w:t>
                  </w:r>
                </w:p>
              </w:tc>
            </w:tr>
            <w:tr w14:paraId="47C799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1" w:hRule="atLeast"/>
                <w:jc w:val="center"/>
              </w:trPr>
              <w:tc>
                <w:tcPr>
                  <w:tcW w:w="414" w:type="pct"/>
                  <w:vAlign w:val="center"/>
                </w:tcPr>
                <w:p w14:paraId="059A0A3E">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2</w:t>
                  </w:r>
                </w:p>
              </w:tc>
              <w:tc>
                <w:tcPr>
                  <w:tcW w:w="839" w:type="pct"/>
                  <w:vAlign w:val="center"/>
                </w:tcPr>
                <w:p w14:paraId="414B01D3">
                  <w:pPr>
                    <w:pStyle w:val="229"/>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eastAsia="宋体" w:cs="宋体"/>
                      <w:color w:val="auto"/>
                      <w:spacing w:val="-2"/>
                      <w:sz w:val="21"/>
                      <w:szCs w:val="21"/>
                    </w:rPr>
                    <w:t>光学镜头</w:t>
                  </w:r>
                </w:p>
              </w:tc>
              <w:tc>
                <w:tcPr>
                  <w:tcW w:w="988" w:type="pct"/>
                  <w:vAlign w:val="center"/>
                </w:tcPr>
                <w:p w14:paraId="32F030B8">
                  <w:pPr>
                    <w:pStyle w:val="229"/>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hint="eastAsia" w:ascii="Times New Roman" w:hAnsi="Times New Roman" w:cs="Times New Roman"/>
                      <w:color w:val="auto"/>
                      <w:spacing w:val="2"/>
                      <w:sz w:val="21"/>
                      <w:szCs w:val="21"/>
                      <w:lang w:val="en-US" w:eastAsia="zh-CN"/>
                    </w:rPr>
                    <w:t>10</w:t>
                  </w:r>
                  <w:r>
                    <w:rPr>
                      <w:rFonts w:ascii="Times New Roman" w:hAnsi="Times New Roman"/>
                      <w:color w:val="auto"/>
                      <w:spacing w:val="2"/>
                      <w:sz w:val="21"/>
                      <w:szCs w:val="21"/>
                    </w:rPr>
                    <w:t>万</w:t>
                  </w:r>
                  <w:r>
                    <w:rPr>
                      <w:rFonts w:hint="eastAsia" w:ascii="Times New Roman" w:hAnsi="Times New Roman"/>
                      <w:color w:val="auto"/>
                      <w:spacing w:val="2"/>
                      <w:sz w:val="21"/>
                      <w:szCs w:val="21"/>
                      <w:lang w:eastAsia="zh-CN"/>
                    </w:rPr>
                    <w:t>个</w:t>
                  </w:r>
                  <w:r>
                    <w:rPr>
                      <w:rFonts w:ascii="Times New Roman" w:hAnsi="Times New Roman" w:eastAsia="Times New Roman" w:cs="Times New Roman"/>
                      <w:color w:val="auto"/>
                      <w:spacing w:val="2"/>
                      <w:sz w:val="21"/>
                      <w:szCs w:val="21"/>
                    </w:rPr>
                    <w:t>/</w:t>
                  </w:r>
                  <w:r>
                    <w:rPr>
                      <w:rFonts w:ascii="Times New Roman" w:hAnsi="Times New Roman"/>
                      <w:color w:val="auto"/>
                      <w:spacing w:val="2"/>
                      <w:sz w:val="21"/>
                      <w:szCs w:val="21"/>
                    </w:rPr>
                    <w:t>年</w:t>
                  </w:r>
                </w:p>
              </w:tc>
              <w:tc>
                <w:tcPr>
                  <w:tcW w:w="2757" w:type="pct"/>
                  <w:vAlign w:val="center"/>
                </w:tcPr>
                <w:p w14:paraId="1A0E1F29">
                  <w:pPr>
                    <w:pStyle w:val="229"/>
                    <w:keepNext w:val="0"/>
                    <w:keepLines w:val="0"/>
                    <w:pageBreakBefore w:val="0"/>
                    <w:widowControl w:val="0"/>
                    <w:kinsoku/>
                    <w:wordWrap/>
                    <w:overflowPunct/>
                    <w:topLinePunct w:val="0"/>
                    <w:autoSpaceDE/>
                    <w:autoSpaceDN/>
                    <w:bidi w:val="0"/>
                    <w:adjustRightInd/>
                    <w:snapToGrid/>
                    <w:spacing w:line="240" w:lineRule="auto"/>
                    <w:ind w:left="0" w:right="0" w:hanging="206"/>
                    <w:jc w:val="center"/>
                    <w:textAlignment w:val="auto"/>
                    <w:rPr>
                      <w:rFonts w:ascii="Times New Roman" w:hAnsi="Times New Roman"/>
                      <w:color w:val="auto"/>
                      <w:sz w:val="21"/>
                      <w:szCs w:val="21"/>
                    </w:rPr>
                  </w:pPr>
                  <w:r>
                    <w:rPr>
                      <w:rFonts w:ascii="Times New Roman" w:hAnsi="Times New Roman"/>
                      <w:color w:val="auto"/>
                      <w:spacing w:val="8"/>
                      <w:sz w:val="21"/>
                      <w:szCs w:val="21"/>
                    </w:rPr>
                    <w:t>外售用于</w:t>
                  </w:r>
                  <w:r>
                    <w:rPr>
                      <w:rFonts w:hint="eastAsia" w:ascii="Times New Roman" w:hAnsi="Times New Roman"/>
                      <w:color w:val="auto"/>
                      <w:spacing w:val="8"/>
                      <w:sz w:val="21"/>
                      <w:szCs w:val="21"/>
                    </w:rPr>
                    <w:t>检测，医疗，激光</w:t>
                  </w:r>
                  <w:r>
                    <w:rPr>
                      <w:rFonts w:ascii="Times New Roman" w:hAnsi="Times New Roman"/>
                      <w:color w:val="auto"/>
                      <w:spacing w:val="8"/>
                      <w:sz w:val="21"/>
                      <w:szCs w:val="21"/>
                    </w:rPr>
                    <w:t>行业</w:t>
                  </w:r>
                </w:p>
              </w:tc>
            </w:tr>
          </w:tbl>
          <w:p w14:paraId="5A569B96">
            <w:pPr>
              <w:pStyle w:val="229"/>
              <w:keepNext w:val="0"/>
              <w:keepLines w:val="0"/>
              <w:pageBreakBefore w:val="0"/>
              <w:widowControl/>
              <w:kinsoku/>
              <w:wordWrap/>
              <w:overflowPunct/>
              <w:topLinePunct w:val="0"/>
              <w:autoSpaceDE/>
              <w:autoSpaceDN/>
              <w:bidi w:val="0"/>
              <w:adjustRightInd/>
              <w:snapToGrid/>
              <w:spacing w:before="0" w:line="360" w:lineRule="auto"/>
              <w:ind w:left="0"/>
              <w:textAlignment w:val="auto"/>
              <w:outlineLvl w:val="9"/>
              <w:rPr>
                <w:rFonts w:ascii="Times New Roman" w:hAnsi="Times New Roman" w:eastAsia="宋体" w:cs="Times New Roman"/>
                <w:b/>
                <w:bCs/>
                <w:color w:val="auto"/>
                <w:spacing w:val="-2"/>
                <w:sz w:val="24"/>
                <w:szCs w:val="24"/>
                <w:lang w:eastAsia="zh-CN"/>
              </w:rPr>
            </w:pPr>
            <w:r>
              <w:rPr>
                <w:rFonts w:ascii="Times New Roman" w:hAnsi="Times New Roman" w:eastAsia="宋体" w:cs="Times New Roman"/>
                <w:b/>
                <w:bCs/>
                <w:color w:val="auto"/>
                <w:spacing w:val="-2"/>
                <w:sz w:val="24"/>
                <w:szCs w:val="24"/>
                <w:lang w:eastAsia="zh-CN"/>
              </w:rPr>
              <w:t>2.1.4项目组成及建设内容</w:t>
            </w:r>
          </w:p>
          <w:p w14:paraId="2B8236D3">
            <w:pPr>
              <w:keepNext w:val="0"/>
              <w:keepLines w:val="0"/>
              <w:pageBreakBefore w:val="0"/>
              <w:widowControl w:val="0"/>
              <w:kinsoku/>
              <w:wordWrap/>
              <w:overflowPunct/>
              <w:topLinePunct w:val="0"/>
              <w:autoSpaceDE/>
              <w:autoSpaceDN/>
              <w:bidi w:val="0"/>
              <w:adjustRightInd/>
              <w:snapToGrid/>
              <w:spacing w:line="360" w:lineRule="auto"/>
              <w:ind w:firstLine="476" w:firstLineChars="200"/>
              <w:jc w:val="both"/>
              <w:textAlignment w:val="auto"/>
              <w:rPr>
                <w:rFonts w:ascii="Times New Roman" w:hAnsi="Times New Roman"/>
                <w:color w:val="auto"/>
                <w:spacing w:val="-1"/>
                <w:sz w:val="24"/>
                <w:szCs w:val="24"/>
              </w:rPr>
            </w:pPr>
            <w:r>
              <w:rPr>
                <w:rFonts w:ascii="Times New Roman" w:hAnsi="Times New Roman"/>
                <w:color w:val="auto"/>
                <w:spacing w:val="-1"/>
                <w:sz w:val="24"/>
                <w:szCs w:val="24"/>
              </w:rPr>
              <w:t>本项目组成及建设内容见表</w:t>
            </w:r>
            <w:r>
              <w:rPr>
                <w:rFonts w:ascii="Times New Roman" w:hAnsi="Times New Roman" w:eastAsia="Times New Roman" w:cs="Times New Roman"/>
                <w:color w:val="auto"/>
                <w:spacing w:val="-1"/>
                <w:sz w:val="24"/>
                <w:szCs w:val="24"/>
              </w:rPr>
              <w:t>2.1-3</w:t>
            </w:r>
            <w:r>
              <w:rPr>
                <w:rFonts w:ascii="Times New Roman" w:hAnsi="Times New Roman"/>
                <w:color w:val="auto"/>
                <w:spacing w:val="-1"/>
                <w:sz w:val="24"/>
                <w:szCs w:val="24"/>
              </w:rPr>
              <w:t>。</w:t>
            </w:r>
          </w:p>
          <w:p w14:paraId="36002F9C">
            <w:pPr>
              <w:pStyle w:val="22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rPr>
            </w:pPr>
            <w:r>
              <w:rPr>
                <w:rFonts w:ascii="Times New Roman" w:hAnsi="Times New Roman"/>
                <w:b/>
                <w:bCs/>
                <w:color w:val="auto"/>
                <w:spacing w:val="-2"/>
                <w:sz w:val="24"/>
                <w:szCs w:val="24"/>
              </w:rPr>
              <w:t>表</w:t>
            </w:r>
            <w:r>
              <w:rPr>
                <w:rFonts w:ascii="Times New Roman" w:hAnsi="Times New Roman" w:eastAsia="Times New Roman" w:cs="Times New Roman"/>
                <w:b/>
                <w:bCs/>
                <w:color w:val="auto"/>
                <w:spacing w:val="-2"/>
                <w:sz w:val="24"/>
                <w:szCs w:val="24"/>
              </w:rPr>
              <w:t>2.1-</w:t>
            </w:r>
            <w:r>
              <w:rPr>
                <w:rFonts w:hint="eastAsia" w:ascii="Times New Roman" w:hAnsi="Times New Roman" w:cs="Times New Roman"/>
                <w:b/>
                <w:bCs/>
                <w:color w:val="auto"/>
                <w:spacing w:val="-2"/>
                <w:sz w:val="24"/>
                <w:szCs w:val="24"/>
                <w:lang w:val="en-US" w:eastAsia="zh-CN"/>
              </w:rPr>
              <w:t>3</w:t>
            </w:r>
            <w:r>
              <w:rPr>
                <w:rFonts w:ascii="Times New Roman" w:hAnsi="Times New Roman"/>
                <w:b/>
                <w:bCs/>
                <w:color w:val="auto"/>
                <w:spacing w:val="-2"/>
                <w:sz w:val="24"/>
                <w:szCs w:val="24"/>
              </w:rPr>
              <w:t>本项目</w:t>
            </w:r>
            <w:r>
              <w:rPr>
                <w:rFonts w:hint="eastAsia" w:ascii="Times New Roman" w:hAnsi="Times New Roman"/>
                <w:b/>
                <w:bCs/>
                <w:color w:val="auto"/>
                <w:spacing w:val="-2"/>
                <w:sz w:val="24"/>
                <w:szCs w:val="24"/>
                <w:lang w:val="en-US" w:eastAsia="zh-CN"/>
              </w:rPr>
              <w:t>组成及建设内容</w:t>
            </w:r>
            <w:r>
              <w:rPr>
                <w:rFonts w:ascii="Times New Roman" w:hAnsi="Times New Roman"/>
                <w:b/>
                <w:bCs/>
                <w:color w:val="auto"/>
                <w:spacing w:val="-2"/>
                <w:sz w:val="24"/>
                <w:szCs w:val="24"/>
              </w:rPr>
              <w:t>一览表</w:t>
            </w:r>
          </w:p>
          <w:tbl>
            <w:tblPr>
              <w:tblStyle w:val="230"/>
              <w:tblW w:w="4977" w:type="pct"/>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53"/>
              <w:gridCol w:w="1680"/>
              <w:gridCol w:w="760"/>
              <w:gridCol w:w="4873"/>
            </w:tblGrid>
            <w:tr w14:paraId="267884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52" w:hRule="atLeast"/>
              </w:trPr>
              <w:tc>
                <w:tcPr>
                  <w:tcW w:w="467" w:type="pct"/>
                  <w:tcBorders>
                    <w:tl2br w:val="nil"/>
                    <w:tr2bl w:val="nil"/>
                  </w:tcBorders>
                  <w:vAlign w:val="center"/>
                </w:tcPr>
                <w:p w14:paraId="4C6A07E5">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pacing w:val="3"/>
                      <w:sz w:val="21"/>
                      <w:szCs w:val="21"/>
                    </w:rPr>
                    <w:t>工程</w:t>
                  </w:r>
                  <w:r>
                    <w:rPr>
                      <w:rFonts w:ascii="Times New Roman" w:hAnsi="Times New Roman"/>
                      <w:color w:val="auto"/>
                      <w:spacing w:val="6"/>
                      <w:sz w:val="21"/>
                      <w:szCs w:val="21"/>
                    </w:rPr>
                    <w:t>类别</w:t>
                  </w:r>
                </w:p>
              </w:tc>
              <w:tc>
                <w:tcPr>
                  <w:tcW w:w="1512" w:type="pct"/>
                  <w:gridSpan w:val="2"/>
                  <w:tcBorders>
                    <w:tl2br w:val="nil"/>
                    <w:tr2bl w:val="nil"/>
                  </w:tcBorders>
                  <w:vAlign w:val="center"/>
                </w:tcPr>
                <w:p w14:paraId="12898B37">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pacing w:val="6"/>
                      <w:sz w:val="21"/>
                      <w:szCs w:val="21"/>
                    </w:rPr>
                    <w:t>工程名称</w:t>
                  </w:r>
                </w:p>
              </w:tc>
              <w:tc>
                <w:tcPr>
                  <w:tcW w:w="3020" w:type="pct"/>
                  <w:tcBorders>
                    <w:tl2br w:val="nil"/>
                    <w:tr2bl w:val="nil"/>
                  </w:tcBorders>
                  <w:vAlign w:val="center"/>
                </w:tcPr>
                <w:p w14:paraId="797DD0AF">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pacing w:val="6"/>
                      <w:sz w:val="21"/>
                      <w:szCs w:val="21"/>
                    </w:rPr>
                    <w:t>工程内容</w:t>
                  </w:r>
                </w:p>
              </w:tc>
            </w:tr>
            <w:tr w14:paraId="104C56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87" w:hRule="atLeast"/>
              </w:trPr>
              <w:tc>
                <w:tcPr>
                  <w:tcW w:w="467" w:type="pct"/>
                  <w:vMerge w:val="restart"/>
                  <w:tcBorders>
                    <w:tl2br w:val="nil"/>
                    <w:tr2bl w:val="nil"/>
                  </w:tcBorders>
                  <w:vAlign w:val="center"/>
                </w:tcPr>
                <w:p w14:paraId="2BDDBFBD">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pacing w:val="3"/>
                      <w:sz w:val="21"/>
                      <w:szCs w:val="21"/>
                    </w:rPr>
                    <w:t>主体工程</w:t>
                  </w:r>
                </w:p>
              </w:tc>
              <w:tc>
                <w:tcPr>
                  <w:tcW w:w="1512" w:type="pct"/>
                  <w:gridSpan w:val="2"/>
                  <w:tcBorders>
                    <w:tl2br w:val="nil"/>
                    <w:tr2bl w:val="nil"/>
                  </w:tcBorders>
                  <w:vAlign w:val="center"/>
                </w:tcPr>
                <w:p w14:paraId="203B617D">
                  <w:pPr>
                    <w:pStyle w:val="229"/>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厂房</w:t>
                  </w:r>
                </w:p>
              </w:tc>
              <w:tc>
                <w:tcPr>
                  <w:tcW w:w="3020" w:type="pct"/>
                  <w:tcBorders>
                    <w:tl2br w:val="nil"/>
                    <w:tr2bl w:val="nil"/>
                  </w:tcBorders>
                  <w:shd w:val="clear" w:color="auto" w:fill="auto"/>
                  <w:vAlign w:val="center"/>
                </w:tcPr>
                <w:p w14:paraId="0B13DBBC">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宋体"/>
                      <w:color w:val="auto"/>
                      <w:sz w:val="21"/>
                      <w:szCs w:val="21"/>
                      <w:lang w:val="en-US" w:eastAsia="zh-CN" w:bidi="ar-SA"/>
                    </w:rPr>
                  </w:pPr>
                  <w:r>
                    <w:rPr>
                      <w:rFonts w:hint="default" w:ascii="Times New Roman" w:hAnsi="Times New Roman" w:eastAsia="宋体" w:cs="Times New Roman"/>
                      <w:color w:val="auto"/>
                      <w:sz w:val="21"/>
                      <w:szCs w:val="21"/>
                      <w:highlight w:val="none"/>
                      <w:lang w:val="en-US" w:eastAsia="zh-CN"/>
                    </w:rPr>
                    <w:t>建筑面积占地面</w:t>
                  </w:r>
                  <w:r>
                    <w:rPr>
                      <w:rFonts w:hint="eastAsia" w:ascii="Times New Roman" w:hAnsi="Times New Roman" w:eastAsia="宋体" w:cs="Times New Roman"/>
                      <w:color w:val="auto"/>
                      <w:sz w:val="21"/>
                      <w:szCs w:val="21"/>
                      <w:highlight w:val="none"/>
                      <w:lang w:val="en-US" w:eastAsia="zh-CN"/>
                    </w:rPr>
                    <w:t>966.7</w:t>
                  </w:r>
                  <w:r>
                    <w:rPr>
                      <w:rFonts w:hint="default" w:ascii="Times New Roman" w:hAnsi="Times New Roman" w:eastAsia="宋体" w:cs="Times New Roman"/>
                      <w:color w:val="auto"/>
                      <w:sz w:val="21"/>
                      <w:szCs w:val="21"/>
                      <w:highlight w:val="none"/>
                      <w:lang w:val="en-US" w:eastAsia="zh-CN"/>
                    </w:rPr>
                    <w:t>m</w:t>
                  </w:r>
                  <w:r>
                    <w:rPr>
                      <w:rFonts w:hint="eastAsia"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包含磨砂车间（涉及CNC毛坯加工、上盘、研磨工序）、抛光车间（涉及抛光、清洗工序）、检测车间（涉及检测、包装工序）</w:t>
                  </w:r>
                </w:p>
              </w:tc>
            </w:tr>
            <w:tr w14:paraId="42605B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3" w:hRule="atLeast"/>
              </w:trPr>
              <w:tc>
                <w:tcPr>
                  <w:tcW w:w="467" w:type="pct"/>
                  <w:vMerge w:val="restart"/>
                  <w:tcBorders>
                    <w:tl2br w:val="nil"/>
                    <w:tr2bl w:val="nil"/>
                  </w:tcBorders>
                  <w:vAlign w:val="center"/>
                </w:tcPr>
                <w:p w14:paraId="38448825">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pacing w:val="3"/>
                      <w:sz w:val="21"/>
                      <w:szCs w:val="21"/>
                    </w:rPr>
                    <w:t>辅助工程</w:t>
                  </w:r>
                </w:p>
              </w:tc>
              <w:tc>
                <w:tcPr>
                  <w:tcW w:w="1512" w:type="pct"/>
                  <w:gridSpan w:val="2"/>
                  <w:tcBorders>
                    <w:tl2br w:val="nil"/>
                    <w:tr2bl w:val="nil"/>
                  </w:tcBorders>
                  <w:vAlign w:val="center"/>
                </w:tcPr>
                <w:p w14:paraId="20F1E681">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pacing w:val="5"/>
                      <w:sz w:val="21"/>
                      <w:szCs w:val="21"/>
                    </w:rPr>
                    <w:t>仓库</w:t>
                  </w:r>
                </w:p>
              </w:tc>
              <w:tc>
                <w:tcPr>
                  <w:tcW w:w="3020" w:type="pct"/>
                  <w:tcBorders>
                    <w:tl2br w:val="nil"/>
                    <w:tr2bl w:val="nil"/>
                  </w:tcBorders>
                  <w:vAlign w:val="center"/>
                </w:tcPr>
                <w:p w14:paraId="2B69A2D8">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olor w:val="auto"/>
                      <w:sz w:val="21"/>
                      <w:szCs w:val="21"/>
                      <w:highlight w:val="none"/>
                      <w:lang w:val="en-US" w:eastAsia="zh-CN"/>
                    </w:rPr>
                    <w:t>用于原料堆放等</w:t>
                  </w:r>
                </w:p>
              </w:tc>
            </w:tr>
            <w:tr w14:paraId="12E7A7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3" w:hRule="atLeast"/>
              </w:trPr>
              <w:tc>
                <w:tcPr>
                  <w:tcW w:w="467" w:type="pct"/>
                  <w:vMerge w:val="continue"/>
                  <w:tcBorders>
                    <w:tl2br w:val="nil"/>
                    <w:tr2bl w:val="nil"/>
                  </w:tcBorders>
                  <w:vAlign w:val="center"/>
                </w:tcPr>
                <w:p w14:paraId="2F6E2005">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p>
              </w:tc>
              <w:tc>
                <w:tcPr>
                  <w:tcW w:w="1512" w:type="pct"/>
                  <w:gridSpan w:val="2"/>
                  <w:tcBorders>
                    <w:tl2br w:val="nil"/>
                    <w:tr2bl w:val="nil"/>
                  </w:tcBorders>
                  <w:vAlign w:val="center"/>
                </w:tcPr>
                <w:p w14:paraId="79F18C4E">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pacing w:val="5"/>
                      <w:sz w:val="21"/>
                      <w:szCs w:val="21"/>
                    </w:rPr>
                    <w:t>办公区</w:t>
                  </w:r>
                </w:p>
              </w:tc>
              <w:tc>
                <w:tcPr>
                  <w:tcW w:w="3020" w:type="pct"/>
                  <w:tcBorders>
                    <w:tl2br w:val="nil"/>
                    <w:tr2bl w:val="nil"/>
                  </w:tcBorders>
                  <w:vAlign w:val="center"/>
                </w:tcPr>
                <w:p w14:paraId="73250140">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olor w:val="auto"/>
                      <w:sz w:val="21"/>
                      <w:szCs w:val="21"/>
                      <w:highlight w:val="none"/>
                      <w:lang w:val="en-US" w:eastAsia="zh-CN"/>
                    </w:rPr>
                    <w:t>用于职工办公</w:t>
                  </w:r>
                  <w:r>
                    <w:rPr>
                      <w:rFonts w:hint="eastAsia" w:ascii="Times New Roman" w:hAnsi="Times New Roman"/>
                      <w:color w:val="auto"/>
                      <w:sz w:val="21"/>
                      <w:szCs w:val="21"/>
                      <w:highlight w:val="none"/>
                      <w:lang w:val="en-US" w:eastAsia="zh-CN"/>
                    </w:rPr>
                    <w:t>等</w:t>
                  </w:r>
                </w:p>
              </w:tc>
            </w:tr>
            <w:tr w14:paraId="319C21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467" w:type="pct"/>
                  <w:vMerge w:val="restart"/>
                  <w:tcBorders>
                    <w:tl2br w:val="nil"/>
                    <w:tr2bl w:val="nil"/>
                  </w:tcBorders>
                  <w:vAlign w:val="center"/>
                </w:tcPr>
                <w:p w14:paraId="70C267F2">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pacing w:val="1"/>
                      <w:sz w:val="21"/>
                      <w:szCs w:val="21"/>
                    </w:rPr>
                    <w:t>公用</w:t>
                  </w:r>
                </w:p>
                <w:p w14:paraId="3007AFD8">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pacing w:val="3"/>
                      <w:sz w:val="21"/>
                      <w:szCs w:val="21"/>
                    </w:rPr>
                    <w:t>工程</w:t>
                  </w:r>
                </w:p>
              </w:tc>
              <w:tc>
                <w:tcPr>
                  <w:tcW w:w="1512" w:type="pct"/>
                  <w:gridSpan w:val="2"/>
                  <w:tcBorders>
                    <w:tl2br w:val="nil"/>
                    <w:tr2bl w:val="nil"/>
                  </w:tcBorders>
                  <w:vAlign w:val="center"/>
                </w:tcPr>
                <w:p w14:paraId="3ACE0FAC">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pacing w:val="7"/>
                      <w:sz w:val="21"/>
                      <w:szCs w:val="21"/>
                    </w:rPr>
                    <w:t>供电工程</w:t>
                  </w:r>
                </w:p>
              </w:tc>
              <w:tc>
                <w:tcPr>
                  <w:tcW w:w="3020" w:type="pct"/>
                  <w:tcBorders>
                    <w:tl2br w:val="nil"/>
                    <w:tr2bl w:val="nil"/>
                  </w:tcBorders>
                  <w:vAlign w:val="center"/>
                </w:tcPr>
                <w:p w14:paraId="10A85750">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pacing w:val="4"/>
                      <w:sz w:val="21"/>
                      <w:szCs w:val="21"/>
                    </w:rPr>
                    <w:t>由市政供电系统</w:t>
                  </w:r>
                </w:p>
              </w:tc>
            </w:tr>
            <w:tr w14:paraId="7CA8AB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467" w:type="pct"/>
                  <w:vMerge w:val="continue"/>
                  <w:tcBorders>
                    <w:tl2br w:val="nil"/>
                    <w:tr2bl w:val="nil"/>
                  </w:tcBorders>
                  <w:vAlign w:val="center"/>
                </w:tcPr>
                <w:p w14:paraId="40C2E3DA">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p>
              </w:tc>
              <w:tc>
                <w:tcPr>
                  <w:tcW w:w="1512" w:type="pct"/>
                  <w:gridSpan w:val="2"/>
                  <w:tcBorders>
                    <w:tl2br w:val="nil"/>
                    <w:tr2bl w:val="nil"/>
                  </w:tcBorders>
                  <w:vAlign w:val="center"/>
                </w:tcPr>
                <w:p w14:paraId="592EFF96">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pacing w:val="7"/>
                      <w:sz w:val="21"/>
                      <w:szCs w:val="21"/>
                    </w:rPr>
                    <w:t>供水工程</w:t>
                  </w:r>
                </w:p>
              </w:tc>
              <w:tc>
                <w:tcPr>
                  <w:tcW w:w="3020" w:type="pct"/>
                  <w:tcBorders>
                    <w:tl2br w:val="nil"/>
                    <w:tr2bl w:val="nil"/>
                  </w:tcBorders>
                  <w:vAlign w:val="center"/>
                </w:tcPr>
                <w:p w14:paraId="4C805BEE">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pacing w:val="6"/>
                      <w:sz w:val="21"/>
                      <w:szCs w:val="21"/>
                    </w:rPr>
                    <w:t>由市政自来水管网供水</w:t>
                  </w:r>
                </w:p>
              </w:tc>
            </w:tr>
            <w:tr w14:paraId="719BB1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67" w:hRule="atLeast"/>
              </w:trPr>
              <w:tc>
                <w:tcPr>
                  <w:tcW w:w="467" w:type="pct"/>
                  <w:vMerge w:val="continue"/>
                  <w:tcBorders>
                    <w:tl2br w:val="nil"/>
                    <w:tr2bl w:val="nil"/>
                  </w:tcBorders>
                  <w:vAlign w:val="center"/>
                </w:tcPr>
                <w:p w14:paraId="26B31B30">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p>
              </w:tc>
              <w:tc>
                <w:tcPr>
                  <w:tcW w:w="1512" w:type="pct"/>
                  <w:gridSpan w:val="2"/>
                  <w:tcBorders>
                    <w:tl2br w:val="nil"/>
                    <w:tr2bl w:val="nil"/>
                  </w:tcBorders>
                  <w:vAlign w:val="center"/>
                </w:tcPr>
                <w:p w14:paraId="267AB180">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pacing w:val="7"/>
                      <w:sz w:val="21"/>
                      <w:szCs w:val="21"/>
                    </w:rPr>
                    <w:t>排水工程</w:t>
                  </w:r>
                </w:p>
              </w:tc>
              <w:tc>
                <w:tcPr>
                  <w:tcW w:w="3020" w:type="pct"/>
                  <w:tcBorders>
                    <w:tl2br w:val="nil"/>
                    <w:tr2bl w:val="nil"/>
                  </w:tcBorders>
                  <w:vAlign w:val="center"/>
                </w:tcPr>
                <w:p w14:paraId="046457E6">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hint="eastAsia" w:ascii="Times New Roman" w:hAnsi="Times New Roman"/>
                      <w:color w:val="auto"/>
                      <w:spacing w:val="8"/>
                      <w:sz w:val="21"/>
                      <w:szCs w:val="21"/>
                      <w:lang w:eastAsia="zh-CN"/>
                    </w:rPr>
                    <w:t>园区</w:t>
                  </w:r>
                  <w:r>
                    <w:rPr>
                      <w:rFonts w:ascii="Times New Roman" w:hAnsi="Times New Roman"/>
                      <w:color w:val="auto"/>
                      <w:spacing w:val="8"/>
                      <w:sz w:val="21"/>
                      <w:szCs w:val="21"/>
                    </w:rPr>
                    <w:t>排水实行雨污分流：雨水经厂内雨水沟排入市政雨水管网；项目生产废水经</w:t>
                  </w:r>
                  <w:r>
                    <w:rPr>
                      <w:rFonts w:hint="eastAsia" w:ascii="Times New Roman" w:hAnsi="Times New Roman"/>
                      <w:color w:val="auto"/>
                      <w:spacing w:val="8"/>
                      <w:sz w:val="21"/>
                      <w:szCs w:val="21"/>
                      <w:lang w:val="en-US" w:eastAsia="zh-CN"/>
                    </w:rPr>
                    <w:t>三格</w:t>
                  </w:r>
                  <w:r>
                    <w:rPr>
                      <w:rFonts w:ascii="Times New Roman" w:hAnsi="Times New Roman"/>
                      <w:color w:val="auto"/>
                      <w:spacing w:val="8"/>
                      <w:sz w:val="21"/>
                      <w:szCs w:val="21"/>
                    </w:rPr>
                    <w:t>沉淀</w:t>
                  </w:r>
                  <w:r>
                    <w:rPr>
                      <w:rFonts w:hint="eastAsia" w:ascii="Times New Roman" w:hAnsi="Times New Roman"/>
                      <w:color w:val="auto"/>
                      <w:spacing w:val="8"/>
                      <w:sz w:val="21"/>
                      <w:szCs w:val="21"/>
                      <w:lang w:val="en-US" w:eastAsia="zh-CN"/>
                    </w:rPr>
                    <w:t>桶沉淀与</w:t>
                  </w:r>
                  <w:r>
                    <w:rPr>
                      <w:rFonts w:ascii="Times New Roman" w:hAnsi="Times New Roman"/>
                      <w:color w:val="auto"/>
                      <w:spacing w:val="8"/>
                      <w:sz w:val="21"/>
                      <w:szCs w:val="21"/>
                    </w:rPr>
                    <w:t>生活污水</w:t>
                  </w:r>
                  <w:r>
                    <w:rPr>
                      <w:rFonts w:hint="eastAsia" w:ascii="Times New Roman" w:hAnsi="Times New Roman"/>
                      <w:color w:val="auto"/>
                      <w:spacing w:val="8"/>
                      <w:sz w:val="21"/>
                      <w:szCs w:val="21"/>
                      <w:lang w:val="en-US" w:eastAsia="zh-CN"/>
                    </w:rPr>
                    <w:t>一起</w:t>
                  </w:r>
                  <w:r>
                    <w:rPr>
                      <w:rFonts w:ascii="Times New Roman" w:hAnsi="Times New Roman"/>
                      <w:color w:val="auto"/>
                      <w:spacing w:val="8"/>
                      <w:sz w:val="21"/>
                      <w:szCs w:val="21"/>
                    </w:rPr>
                    <w:t>经化粪池处理后排入市政污水管网，最后均进</w:t>
                  </w:r>
                  <w:r>
                    <w:rPr>
                      <w:rFonts w:hint="eastAsia" w:ascii="Times New Roman" w:hAnsi="Times New Roman"/>
                      <w:color w:val="auto"/>
                      <w:spacing w:val="8"/>
                      <w:sz w:val="21"/>
                      <w:szCs w:val="21"/>
                      <w:lang w:val="en-US" w:eastAsia="zh-CN"/>
                    </w:rPr>
                    <w:t>闽侯县城关污水处理厂</w:t>
                  </w:r>
                  <w:r>
                    <w:rPr>
                      <w:rFonts w:ascii="Times New Roman" w:hAnsi="Times New Roman"/>
                      <w:color w:val="auto"/>
                      <w:spacing w:val="8"/>
                      <w:sz w:val="21"/>
                      <w:szCs w:val="21"/>
                    </w:rPr>
                    <w:t>统一处理</w:t>
                  </w:r>
                </w:p>
              </w:tc>
            </w:tr>
            <w:tr w14:paraId="296984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1" w:hRule="atLeast"/>
              </w:trPr>
              <w:tc>
                <w:tcPr>
                  <w:tcW w:w="467" w:type="pct"/>
                  <w:vMerge w:val="restart"/>
                  <w:tcBorders>
                    <w:tl2br w:val="nil"/>
                    <w:tr2bl w:val="nil"/>
                  </w:tcBorders>
                  <w:vAlign w:val="center"/>
                </w:tcPr>
                <w:p w14:paraId="28D7D149">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pacing w:val="4"/>
                      <w:sz w:val="21"/>
                      <w:szCs w:val="21"/>
                    </w:rPr>
                    <w:t>环保</w:t>
                  </w:r>
                </w:p>
                <w:p w14:paraId="35480290">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pacing w:val="3"/>
                      <w:sz w:val="21"/>
                      <w:szCs w:val="21"/>
                    </w:rPr>
                    <w:t>工程</w:t>
                  </w:r>
                </w:p>
              </w:tc>
              <w:tc>
                <w:tcPr>
                  <w:tcW w:w="1512" w:type="pct"/>
                  <w:gridSpan w:val="2"/>
                  <w:tcBorders>
                    <w:tl2br w:val="nil"/>
                    <w:tr2bl w:val="nil"/>
                  </w:tcBorders>
                  <w:vAlign w:val="center"/>
                </w:tcPr>
                <w:p w14:paraId="5BDBF34E">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hint="eastAsia" w:ascii="Times New Roman" w:hAnsi="Times New Roman"/>
                      <w:color w:val="auto"/>
                      <w:spacing w:val="7"/>
                      <w:sz w:val="21"/>
                      <w:szCs w:val="21"/>
                      <w:lang w:val="en-US" w:eastAsia="zh-CN"/>
                    </w:rPr>
                    <w:t>废</w:t>
                  </w:r>
                  <w:r>
                    <w:rPr>
                      <w:rFonts w:ascii="Times New Roman" w:hAnsi="Times New Roman"/>
                      <w:color w:val="auto"/>
                      <w:spacing w:val="7"/>
                      <w:sz w:val="21"/>
                      <w:szCs w:val="21"/>
                    </w:rPr>
                    <w:t>水处理设施</w:t>
                  </w:r>
                </w:p>
              </w:tc>
              <w:tc>
                <w:tcPr>
                  <w:tcW w:w="3020" w:type="pct"/>
                  <w:tcBorders>
                    <w:tl2br w:val="nil"/>
                    <w:tr2bl w:val="nil"/>
                  </w:tcBorders>
                  <w:vAlign w:val="center"/>
                </w:tcPr>
                <w:p w14:paraId="478105EC">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pacing w:val="8"/>
                      <w:sz w:val="21"/>
                      <w:szCs w:val="21"/>
                    </w:rPr>
                    <w:t>项目生产废水经</w:t>
                  </w:r>
                  <w:r>
                    <w:rPr>
                      <w:rFonts w:hint="eastAsia" w:ascii="Times New Roman" w:hAnsi="Times New Roman"/>
                      <w:color w:val="auto"/>
                      <w:spacing w:val="8"/>
                      <w:sz w:val="21"/>
                      <w:szCs w:val="21"/>
                      <w:lang w:val="en-US" w:eastAsia="zh-CN"/>
                    </w:rPr>
                    <w:t>三格</w:t>
                  </w:r>
                  <w:r>
                    <w:rPr>
                      <w:rFonts w:ascii="Times New Roman" w:hAnsi="Times New Roman"/>
                      <w:color w:val="auto"/>
                      <w:spacing w:val="8"/>
                      <w:sz w:val="21"/>
                      <w:szCs w:val="21"/>
                    </w:rPr>
                    <w:t>沉淀</w:t>
                  </w:r>
                  <w:r>
                    <w:rPr>
                      <w:rFonts w:hint="eastAsia" w:ascii="Times New Roman" w:hAnsi="Times New Roman"/>
                      <w:color w:val="auto"/>
                      <w:spacing w:val="8"/>
                      <w:sz w:val="21"/>
                      <w:szCs w:val="21"/>
                      <w:lang w:val="en-US" w:eastAsia="zh-CN"/>
                    </w:rPr>
                    <w:t>桶沉淀后与</w:t>
                  </w:r>
                  <w:r>
                    <w:rPr>
                      <w:rFonts w:ascii="Times New Roman" w:hAnsi="Times New Roman"/>
                      <w:color w:val="auto"/>
                      <w:spacing w:val="8"/>
                      <w:sz w:val="21"/>
                      <w:szCs w:val="21"/>
                    </w:rPr>
                    <w:t>生活污水</w:t>
                  </w:r>
                  <w:r>
                    <w:rPr>
                      <w:rFonts w:hint="eastAsia" w:ascii="Times New Roman" w:hAnsi="Times New Roman"/>
                      <w:color w:val="auto"/>
                      <w:spacing w:val="8"/>
                      <w:sz w:val="21"/>
                      <w:szCs w:val="21"/>
                      <w:lang w:val="en-US" w:eastAsia="zh-CN"/>
                    </w:rPr>
                    <w:t>一起通过</w:t>
                  </w:r>
                  <w:r>
                    <w:rPr>
                      <w:rFonts w:ascii="Times New Roman" w:hAnsi="Times New Roman"/>
                      <w:color w:val="auto"/>
                      <w:spacing w:val="8"/>
                      <w:sz w:val="21"/>
                      <w:szCs w:val="21"/>
                    </w:rPr>
                    <w:t>现有化粪池处理后，通过</w:t>
                  </w:r>
                  <w:r>
                    <w:rPr>
                      <w:rFonts w:ascii="Times New Roman" w:hAnsi="Times New Roman"/>
                      <w:color w:val="auto"/>
                      <w:spacing w:val="9"/>
                      <w:sz w:val="21"/>
                      <w:szCs w:val="21"/>
                    </w:rPr>
                    <w:t>市政污水管网，纳入</w:t>
                  </w:r>
                  <w:r>
                    <w:rPr>
                      <w:rFonts w:hint="eastAsia" w:ascii="Times New Roman" w:hAnsi="Times New Roman"/>
                      <w:color w:val="auto"/>
                      <w:spacing w:val="9"/>
                      <w:sz w:val="21"/>
                      <w:szCs w:val="21"/>
                      <w:lang w:val="en-US" w:eastAsia="zh-CN"/>
                    </w:rPr>
                    <w:t>闽侯县城关污水处理厂</w:t>
                  </w:r>
                  <w:r>
                    <w:rPr>
                      <w:rFonts w:ascii="Times New Roman" w:hAnsi="Times New Roman"/>
                      <w:color w:val="auto"/>
                      <w:spacing w:val="9"/>
                      <w:sz w:val="21"/>
                      <w:szCs w:val="21"/>
                    </w:rPr>
                    <w:t>处理</w:t>
                  </w:r>
                </w:p>
              </w:tc>
            </w:tr>
            <w:tr w14:paraId="4FB8C3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trPr>
              <w:tc>
                <w:tcPr>
                  <w:tcW w:w="467" w:type="pct"/>
                  <w:vMerge w:val="continue"/>
                  <w:tcBorders>
                    <w:tl2br w:val="nil"/>
                    <w:tr2bl w:val="nil"/>
                  </w:tcBorders>
                  <w:vAlign w:val="center"/>
                </w:tcPr>
                <w:p w14:paraId="7375367D">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p>
              </w:tc>
              <w:tc>
                <w:tcPr>
                  <w:tcW w:w="1512" w:type="pct"/>
                  <w:gridSpan w:val="2"/>
                  <w:tcBorders>
                    <w:tl2br w:val="nil"/>
                    <w:tr2bl w:val="nil"/>
                  </w:tcBorders>
                  <w:vAlign w:val="center"/>
                </w:tcPr>
                <w:p w14:paraId="2D40C1D5">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pacing w:val="8"/>
                      <w:sz w:val="21"/>
                      <w:szCs w:val="21"/>
                    </w:rPr>
                    <w:t>废气处理设施</w:t>
                  </w:r>
                </w:p>
              </w:tc>
              <w:tc>
                <w:tcPr>
                  <w:tcW w:w="3020" w:type="pct"/>
                  <w:tcBorders>
                    <w:tl2br w:val="nil"/>
                    <w:tr2bl w:val="nil"/>
                  </w:tcBorders>
                  <w:vAlign w:val="center"/>
                </w:tcPr>
                <w:p w14:paraId="21ECA79D">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hint="eastAsia" w:ascii="Times New Roman" w:hAnsi="Times New Roman"/>
                      <w:color w:val="auto"/>
                      <w:spacing w:val="8"/>
                      <w:sz w:val="21"/>
                      <w:szCs w:val="21"/>
                      <w:lang w:val="en-US" w:eastAsia="zh-CN"/>
                    </w:rPr>
                    <w:t>磨砂、抛光、检测</w:t>
                  </w:r>
                  <w:r>
                    <w:rPr>
                      <w:rFonts w:ascii="Times New Roman" w:hAnsi="Times New Roman"/>
                      <w:color w:val="auto"/>
                      <w:spacing w:val="8"/>
                      <w:sz w:val="21"/>
                      <w:szCs w:val="21"/>
                    </w:rPr>
                    <w:t>车间密闭，设置收集管道对</w:t>
                  </w:r>
                  <w:r>
                    <w:rPr>
                      <w:rFonts w:hint="eastAsia" w:ascii="Times New Roman" w:hAnsi="Times New Roman"/>
                      <w:color w:val="auto"/>
                      <w:spacing w:val="8"/>
                      <w:sz w:val="21"/>
                      <w:szCs w:val="21"/>
                      <w:lang w:val="en-US" w:eastAsia="zh-CN"/>
                    </w:rPr>
                    <w:t>废气</w:t>
                  </w:r>
                  <w:r>
                    <w:rPr>
                      <w:rFonts w:ascii="Times New Roman" w:hAnsi="Times New Roman"/>
                      <w:color w:val="auto"/>
                      <w:spacing w:val="8"/>
                      <w:sz w:val="21"/>
                      <w:szCs w:val="21"/>
                    </w:rPr>
                    <w:t>进行</w:t>
                  </w:r>
                  <w:r>
                    <w:rPr>
                      <w:rFonts w:ascii="Times New Roman" w:hAnsi="Times New Roman"/>
                      <w:color w:val="auto"/>
                      <w:spacing w:val="10"/>
                      <w:sz w:val="21"/>
                      <w:szCs w:val="21"/>
                    </w:rPr>
                    <w:t>收集</w:t>
                  </w:r>
                  <w:r>
                    <w:rPr>
                      <w:rFonts w:hint="eastAsia" w:ascii="Times New Roman" w:hAnsi="Times New Roman"/>
                      <w:color w:val="auto"/>
                      <w:spacing w:val="10"/>
                      <w:sz w:val="21"/>
                      <w:szCs w:val="21"/>
                      <w:lang w:eastAsia="zh-CN"/>
                    </w:rPr>
                    <w:t>，</w:t>
                  </w:r>
                  <w:r>
                    <w:rPr>
                      <w:rFonts w:ascii="Times New Roman" w:hAnsi="Times New Roman"/>
                      <w:color w:val="auto"/>
                      <w:spacing w:val="10"/>
                      <w:sz w:val="21"/>
                      <w:szCs w:val="21"/>
                    </w:rPr>
                    <w:t>经</w:t>
                  </w:r>
                  <w:r>
                    <w:rPr>
                      <w:rFonts w:hint="eastAsia" w:ascii="Times New Roman" w:hAnsi="Times New Roman"/>
                      <w:color w:val="auto"/>
                      <w:spacing w:val="10"/>
                      <w:sz w:val="21"/>
                      <w:szCs w:val="21"/>
                      <w:lang w:eastAsia="zh-CN"/>
                    </w:rPr>
                    <w:t>二级活性炭</w:t>
                  </w:r>
                  <w:r>
                    <w:rPr>
                      <w:rFonts w:ascii="Times New Roman" w:hAnsi="Times New Roman"/>
                      <w:color w:val="auto"/>
                      <w:spacing w:val="10"/>
                      <w:sz w:val="21"/>
                      <w:szCs w:val="21"/>
                    </w:rPr>
                    <w:t>吸附装置处理</w:t>
                  </w:r>
                  <w:r>
                    <w:rPr>
                      <w:rFonts w:hint="eastAsia" w:ascii="Times New Roman" w:hAnsi="Times New Roman"/>
                      <w:color w:val="auto"/>
                      <w:spacing w:val="10"/>
                      <w:sz w:val="21"/>
                      <w:szCs w:val="21"/>
                      <w:lang w:val="en-US" w:eastAsia="zh-CN"/>
                    </w:rPr>
                    <w:t>后</w:t>
                  </w:r>
                  <w:r>
                    <w:rPr>
                      <w:rFonts w:ascii="Times New Roman" w:hAnsi="Times New Roman"/>
                      <w:color w:val="auto"/>
                      <w:spacing w:val="10"/>
                      <w:sz w:val="21"/>
                      <w:szCs w:val="21"/>
                    </w:rPr>
                    <w:t>由</w:t>
                  </w:r>
                  <w:r>
                    <w:rPr>
                      <w:rFonts w:ascii="Times New Roman" w:hAnsi="Times New Roman" w:eastAsia="Times New Roman" w:cs="Times New Roman"/>
                      <w:color w:val="auto"/>
                      <w:spacing w:val="10"/>
                      <w:sz w:val="21"/>
                      <w:szCs w:val="21"/>
                    </w:rPr>
                    <w:t>1</w:t>
                  </w:r>
                  <w:r>
                    <w:rPr>
                      <w:rFonts w:hint="eastAsia" w:ascii="Times New Roman" w:hAnsi="Times New Roman"/>
                      <w:color w:val="auto"/>
                      <w:spacing w:val="10"/>
                      <w:sz w:val="21"/>
                      <w:szCs w:val="21"/>
                      <w:lang w:val="en-US" w:eastAsia="zh-CN"/>
                    </w:rPr>
                    <w:t>根</w:t>
                  </w:r>
                  <w:r>
                    <w:rPr>
                      <w:rFonts w:ascii="Times New Roman" w:hAnsi="Times New Roman" w:eastAsia="Times New Roman" w:cs="Times New Roman"/>
                      <w:color w:val="auto"/>
                      <w:spacing w:val="10"/>
                      <w:sz w:val="21"/>
                      <w:szCs w:val="21"/>
                    </w:rPr>
                    <w:t>15m</w:t>
                  </w:r>
                  <w:r>
                    <w:rPr>
                      <w:rFonts w:ascii="Times New Roman" w:hAnsi="Times New Roman"/>
                      <w:color w:val="auto"/>
                      <w:spacing w:val="10"/>
                      <w:sz w:val="21"/>
                      <w:szCs w:val="21"/>
                    </w:rPr>
                    <w:t>排气筒排放</w:t>
                  </w:r>
                </w:p>
              </w:tc>
            </w:tr>
            <w:tr w14:paraId="31D6B1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2" w:hRule="atLeast"/>
              </w:trPr>
              <w:tc>
                <w:tcPr>
                  <w:tcW w:w="467" w:type="pct"/>
                  <w:vMerge w:val="continue"/>
                  <w:tcBorders>
                    <w:tl2br w:val="nil"/>
                    <w:tr2bl w:val="nil"/>
                  </w:tcBorders>
                  <w:vAlign w:val="center"/>
                </w:tcPr>
                <w:p w14:paraId="124A3341">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p>
              </w:tc>
              <w:tc>
                <w:tcPr>
                  <w:tcW w:w="1512" w:type="pct"/>
                  <w:gridSpan w:val="2"/>
                  <w:tcBorders>
                    <w:tl2br w:val="nil"/>
                    <w:tr2bl w:val="nil"/>
                  </w:tcBorders>
                  <w:vAlign w:val="center"/>
                </w:tcPr>
                <w:p w14:paraId="325F5F51">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pacing w:val="6"/>
                      <w:sz w:val="21"/>
                      <w:szCs w:val="21"/>
                    </w:rPr>
                    <w:t>噪声防治措施</w:t>
                  </w:r>
                </w:p>
              </w:tc>
              <w:tc>
                <w:tcPr>
                  <w:tcW w:w="3020" w:type="pct"/>
                  <w:tcBorders>
                    <w:tl2br w:val="nil"/>
                    <w:tr2bl w:val="nil"/>
                  </w:tcBorders>
                  <w:vAlign w:val="center"/>
                </w:tcPr>
                <w:p w14:paraId="6F565972">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pacing w:val="9"/>
                      <w:sz w:val="21"/>
                      <w:szCs w:val="21"/>
                    </w:rPr>
                    <w:t>选用低噪声设备，利用厂房隔声、消声</w:t>
                  </w:r>
                </w:p>
              </w:tc>
            </w:tr>
            <w:tr w14:paraId="404E76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trPr>
              <w:tc>
                <w:tcPr>
                  <w:tcW w:w="467" w:type="pct"/>
                  <w:vMerge w:val="continue"/>
                  <w:tcBorders>
                    <w:tl2br w:val="nil"/>
                    <w:tr2bl w:val="nil"/>
                  </w:tcBorders>
                  <w:vAlign w:val="center"/>
                </w:tcPr>
                <w:p w14:paraId="7EEF9835">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p>
              </w:tc>
              <w:tc>
                <w:tcPr>
                  <w:tcW w:w="1041" w:type="pct"/>
                  <w:vMerge w:val="restart"/>
                  <w:tcBorders>
                    <w:tl2br w:val="nil"/>
                    <w:tr2bl w:val="nil"/>
                  </w:tcBorders>
                  <w:vAlign w:val="center"/>
                </w:tcPr>
                <w:p w14:paraId="3440BFAE">
                  <w:pPr>
                    <w:pStyle w:val="229"/>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color w:val="auto"/>
                      <w:sz w:val="21"/>
                      <w:szCs w:val="21"/>
                    </w:rPr>
                    <w:t>固体废</w:t>
                  </w:r>
                  <w:r>
                    <w:rPr>
                      <w:rFonts w:ascii="Times New Roman" w:hAnsi="Times New Roman"/>
                      <w:color w:val="auto"/>
                      <w:spacing w:val="6"/>
                      <w:sz w:val="21"/>
                      <w:szCs w:val="21"/>
                    </w:rPr>
                    <w:t>物处理</w:t>
                  </w:r>
                  <w:r>
                    <w:rPr>
                      <w:rFonts w:ascii="Times New Roman" w:hAnsi="Times New Roman"/>
                      <w:color w:val="auto"/>
                      <w:spacing w:val="3"/>
                      <w:sz w:val="21"/>
                      <w:szCs w:val="21"/>
                    </w:rPr>
                    <w:t>设施</w:t>
                  </w:r>
                </w:p>
              </w:tc>
              <w:tc>
                <w:tcPr>
                  <w:tcW w:w="470" w:type="pct"/>
                  <w:tcBorders>
                    <w:tl2br w:val="nil"/>
                    <w:tr2bl w:val="nil"/>
                  </w:tcBorders>
                  <w:vAlign w:val="center"/>
                </w:tcPr>
                <w:p w14:paraId="2DDF1C76">
                  <w:pPr>
                    <w:pStyle w:val="231"/>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olor w:val="auto"/>
                      <w:sz w:val="21"/>
                      <w:szCs w:val="21"/>
                      <w:lang w:val="en-US" w:eastAsia="zh-CN"/>
                    </w:rPr>
                  </w:pPr>
                  <w:r>
                    <w:rPr>
                      <w:rFonts w:ascii="Times New Roman" w:hAnsi="Times New Roman" w:eastAsia="宋体"/>
                      <w:color w:val="auto"/>
                      <w:sz w:val="21"/>
                      <w:szCs w:val="21"/>
                      <w:highlight w:val="none"/>
                    </w:rPr>
                    <w:t>生活垃圾</w:t>
                  </w:r>
                </w:p>
              </w:tc>
              <w:tc>
                <w:tcPr>
                  <w:tcW w:w="3020" w:type="pct"/>
                  <w:tcBorders>
                    <w:tl2br w:val="nil"/>
                    <w:tr2bl w:val="nil"/>
                  </w:tcBorders>
                  <w:vAlign w:val="center"/>
                </w:tcPr>
                <w:p w14:paraId="0697605B">
                  <w:pPr>
                    <w:pStyle w:val="231"/>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hint="eastAsia" w:ascii="Times New Roman" w:hAnsi="Times New Roman" w:eastAsia="宋体"/>
                      <w:color w:val="auto"/>
                      <w:sz w:val="21"/>
                      <w:szCs w:val="21"/>
                      <w:highlight w:val="none"/>
                      <w:lang w:eastAsia="zh-CN"/>
                    </w:rPr>
                    <w:t>园区</w:t>
                  </w:r>
                  <w:r>
                    <w:rPr>
                      <w:rFonts w:hint="eastAsia" w:ascii="Times New Roman" w:hAnsi="Times New Roman" w:eastAsia="宋体"/>
                      <w:color w:val="auto"/>
                      <w:sz w:val="21"/>
                      <w:szCs w:val="21"/>
                      <w:highlight w:val="none"/>
                    </w:rPr>
                    <w:t>内设置生活垃圾收集桶，分类收集后，委托环卫部门清运处置</w:t>
                  </w:r>
                </w:p>
              </w:tc>
            </w:tr>
            <w:tr w14:paraId="06E5EC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2" w:hRule="atLeast"/>
              </w:trPr>
              <w:tc>
                <w:tcPr>
                  <w:tcW w:w="467" w:type="pct"/>
                  <w:vMerge w:val="continue"/>
                  <w:tcBorders>
                    <w:tl2br w:val="nil"/>
                    <w:tr2bl w:val="nil"/>
                  </w:tcBorders>
                  <w:vAlign w:val="center"/>
                </w:tcPr>
                <w:p w14:paraId="1A73203F">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p>
              </w:tc>
              <w:tc>
                <w:tcPr>
                  <w:tcW w:w="1041" w:type="pct"/>
                  <w:vMerge w:val="continue"/>
                  <w:tcBorders>
                    <w:tl2br w:val="nil"/>
                    <w:tr2bl w:val="nil"/>
                  </w:tcBorders>
                  <w:vAlign w:val="center"/>
                </w:tcPr>
                <w:p w14:paraId="6F42904A">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p>
              </w:tc>
              <w:tc>
                <w:tcPr>
                  <w:tcW w:w="470" w:type="pct"/>
                  <w:tcBorders>
                    <w:tl2br w:val="nil"/>
                    <w:tr2bl w:val="nil"/>
                  </w:tcBorders>
                  <w:vAlign w:val="center"/>
                </w:tcPr>
                <w:p w14:paraId="71E2DE28">
                  <w:pPr>
                    <w:pStyle w:val="231"/>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olor w:val="auto"/>
                      <w:sz w:val="21"/>
                      <w:szCs w:val="21"/>
                      <w:lang w:val="en-US" w:eastAsia="zh-CN"/>
                    </w:rPr>
                  </w:pPr>
                  <w:r>
                    <w:rPr>
                      <w:rFonts w:ascii="Times New Roman" w:hAnsi="Times New Roman" w:eastAsia="宋体"/>
                      <w:color w:val="auto"/>
                      <w:sz w:val="21"/>
                      <w:szCs w:val="21"/>
                      <w:highlight w:val="none"/>
                    </w:rPr>
                    <w:t>危险废物</w:t>
                  </w:r>
                </w:p>
              </w:tc>
              <w:tc>
                <w:tcPr>
                  <w:tcW w:w="3020" w:type="pct"/>
                  <w:tcBorders>
                    <w:tl2br w:val="nil"/>
                    <w:tr2bl w:val="nil"/>
                  </w:tcBorders>
                  <w:vAlign w:val="center"/>
                </w:tcPr>
                <w:p w14:paraId="7799F8CE">
                  <w:pPr>
                    <w:pStyle w:val="231"/>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eastAsia="宋体"/>
                      <w:color w:val="auto"/>
                      <w:sz w:val="21"/>
                      <w:szCs w:val="21"/>
                      <w:highlight w:val="none"/>
                    </w:rPr>
                    <w:t>设置</w:t>
                  </w:r>
                  <w:r>
                    <w:rPr>
                      <w:rFonts w:hint="eastAsia" w:eastAsia="宋体"/>
                      <w:color w:val="auto"/>
                      <w:sz w:val="21"/>
                      <w:szCs w:val="21"/>
                      <w:highlight w:val="none"/>
                      <w:lang w:eastAsia="zh-CN"/>
                    </w:rPr>
                    <w:t>危废贮存库</w:t>
                  </w:r>
                  <w:r>
                    <w:rPr>
                      <w:rFonts w:ascii="Times New Roman" w:hAnsi="Times New Roman" w:eastAsia="宋体"/>
                      <w:color w:val="auto"/>
                      <w:sz w:val="21"/>
                      <w:szCs w:val="21"/>
                      <w:highlight w:val="none"/>
                    </w:rPr>
                    <w:t>，妥善分类收集后</w:t>
                  </w:r>
                  <w:r>
                    <w:rPr>
                      <w:rFonts w:hint="eastAsia" w:eastAsia="宋体"/>
                      <w:color w:val="auto"/>
                      <w:sz w:val="21"/>
                      <w:szCs w:val="21"/>
                      <w:highlight w:val="none"/>
                      <w:lang w:eastAsia="zh-CN"/>
                    </w:rPr>
                    <w:t>，</w:t>
                  </w:r>
                  <w:r>
                    <w:rPr>
                      <w:rFonts w:ascii="Times New Roman" w:hAnsi="Times New Roman" w:eastAsia="宋体"/>
                      <w:color w:val="auto"/>
                      <w:sz w:val="21"/>
                      <w:szCs w:val="21"/>
                      <w:highlight w:val="none"/>
                    </w:rPr>
                    <w:t>定期委托有资质单位统一处置</w:t>
                  </w:r>
                </w:p>
              </w:tc>
            </w:tr>
            <w:tr w14:paraId="36FEB5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1" w:hRule="atLeast"/>
              </w:trPr>
              <w:tc>
                <w:tcPr>
                  <w:tcW w:w="467" w:type="pct"/>
                  <w:vMerge w:val="continue"/>
                  <w:tcBorders>
                    <w:tl2br w:val="nil"/>
                    <w:tr2bl w:val="nil"/>
                  </w:tcBorders>
                  <w:vAlign w:val="center"/>
                </w:tcPr>
                <w:p w14:paraId="7C525BFF">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p>
              </w:tc>
              <w:tc>
                <w:tcPr>
                  <w:tcW w:w="1041" w:type="pct"/>
                  <w:vMerge w:val="continue"/>
                  <w:tcBorders>
                    <w:tl2br w:val="nil"/>
                    <w:tr2bl w:val="nil"/>
                  </w:tcBorders>
                  <w:vAlign w:val="center"/>
                </w:tcPr>
                <w:p w14:paraId="6C510F76">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p>
              </w:tc>
              <w:tc>
                <w:tcPr>
                  <w:tcW w:w="470" w:type="pct"/>
                  <w:tcBorders>
                    <w:tl2br w:val="nil"/>
                    <w:tr2bl w:val="nil"/>
                  </w:tcBorders>
                  <w:vAlign w:val="center"/>
                </w:tcPr>
                <w:p w14:paraId="13FCD349">
                  <w:pPr>
                    <w:pStyle w:val="231"/>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ascii="Times New Roman" w:hAnsi="Times New Roman" w:eastAsia="宋体"/>
                      <w:color w:val="auto"/>
                      <w:sz w:val="21"/>
                      <w:szCs w:val="21"/>
                      <w:highlight w:val="none"/>
                    </w:rPr>
                    <w:t>一般固体废物</w:t>
                  </w:r>
                </w:p>
              </w:tc>
              <w:tc>
                <w:tcPr>
                  <w:tcW w:w="3020" w:type="pct"/>
                  <w:tcBorders>
                    <w:tl2br w:val="nil"/>
                    <w:tr2bl w:val="nil"/>
                  </w:tcBorders>
                  <w:vAlign w:val="center"/>
                </w:tcPr>
                <w:p w14:paraId="36D84C03">
                  <w:pPr>
                    <w:pStyle w:val="231"/>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ascii="Times New Roman" w:hAnsi="Times New Roman"/>
                      <w:color w:val="auto"/>
                      <w:sz w:val="21"/>
                      <w:szCs w:val="21"/>
                    </w:rPr>
                  </w:pPr>
                  <w:r>
                    <w:rPr>
                      <w:rFonts w:hint="eastAsia" w:ascii="Times New Roman" w:hAnsi="Times New Roman" w:eastAsia="宋体"/>
                      <w:color w:val="auto"/>
                      <w:sz w:val="21"/>
                      <w:szCs w:val="21"/>
                      <w:highlight w:val="none"/>
                    </w:rPr>
                    <w:t>设置一般固废暂存</w:t>
                  </w:r>
                  <w:r>
                    <w:rPr>
                      <w:rFonts w:hint="eastAsia" w:ascii="Times New Roman" w:hAnsi="Times New Roman" w:eastAsia="宋体"/>
                      <w:color w:val="auto"/>
                      <w:sz w:val="21"/>
                      <w:szCs w:val="21"/>
                      <w:highlight w:val="none"/>
                      <w:lang w:val="en-US" w:eastAsia="zh-CN"/>
                    </w:rPr>
                    <w:t>间</w:t>
                  </w:r>
                  <w:r>
                    <w:rPr>
                      <w:rFonts w:hint="eastAsia" w:ascii="Times New Roman" w:hAnsi="Times New Roman" w:eastAsia="宋体"/>
                      <w:color w:val="auto"/>
                      <w:sz w:val="21"/>
                      <w:szCs w:val="21"/>
                      <w:highlight w:val="none"/>
                    </w:rPr>
                    <w:t>，</w:t>
                  </w:r>
                  <w:r>
                    <w:rPr>
                      <w:rFonts w:hint="eastAsia" w:eastAsia="宋体"/>
                      <w:color w:val="auto"/>
                      <w:sz w:val="21"/>
                      <w:szCs w:val="21"/>
                      <w:highlight w:val="none"/>
                      <w:lang w:eastAsia="zh-CN"/>
                    </w:rPr>
                    <w:t>一般工业固体废物</w:t>
                  </w:r>
                  <w:r>
                    <w:rPr>
                      <w:rFonts w:hint="eastAsia" w:ascii="Times New Roman" w:hAnsi="Times New Roman" w:eastAsia="宋体"/>
                      <w:color w:val="auto"/>
                      <w:sz w:val="21"/>
                      <w:szCs w:val="21"/>
                      <w:highlight w:val="none"/>
                    </w:rPr>
                    <w:t>分类收集、暂存后综合利用</w:t>
                  </w:r>
                </w:p>
              </w:tc>
            </w:tr>
          </w:tbl>
          <w:p w14:paraId="273DE1FA">
            <w:pPr>
              <w:pStyle w:val="22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olor w:val="auto"/>
              </w:rPr>
            </w:pPr>
          </w:p>
          <w:p w14:paraId="74FFB03B">
            <w:pPr>
              <w:pStyle w:val="229"/>
              <w:keepNext w:val="0"/>
              <w:keepLines w:val="0"/>
              <w:pageBreakBefore w:val="0"/>
              <w:widowControl/>
              <w:kinsoku/>
              <w:wordWrap/>
              <w:overflowPunct/>
              <w:topLinePunct w:val="0"/>
              <w:autoSpaceDE/>
              <w:autoSpaceDN/>
              <w:bidi w:val="0"/>
              <w:adjustRightInd/>
              <w:snapToGrid/>
              <w:spacing w:line="360" w:lineRule="auto"/>
              <w:ind w:left="0"/>
              <w:textAlignment w:val="auto"/>
              <w:outlineLvl w:val="9"/>
              <w:rPr>
                <w:rFonts w:ascii="Times New Roman" w:hAnsi="Times New Roman" w:eastAsia="宋体" w:cs="Times New Roman"/>
                <w:b/>
                <w:bCs/>
                <w:color w:val="auto"/>
                <w:spacing w:val="-2"/>
                <w:sz w:val="24"/>
                <w:szCs w:val="24"/>
                <w:lang w:eastAsia="zh-CN"/>
              </w:rPr>
            </w:pPr>
            <w:r>
              <w:rPr>
                <w:rFonts w:ascii="Times New Roman" w:hAnsi="Times New Roman" w:eastAsia="宋体" w:cs="Times New Roman"/>
                <w:b/>
                <w:bCs/>
                <w:color w:val="auto"/>
                <w:spacing w:val="-2"/>
                <w:sz w:val="24"/>
                <w:szCs w:val="24"/>
                <w:lang w:eastAsia="zh-CN"/>
              </w:rPr>
              <w:t>2.1.5主要生产设备</w:t>
            </w:r>
          </w:p>
          <w:p w14:paraId="0731DA85">
            <w:pPr>
              <w:keepNext w:val="0"/>
              <w:keepLines w:val="0"/>
              <w:pageBreakBefore w:val="0"/>
              <w:widowControl w:val="0"/>
              <w:kinsoku/>
              <w:wordWrap/>
              <w:overflowPunct/>
              <w:topLinePunct w:val="0"/>
              <w:autoSpaceDE/>
              <w:autoSpaceDN/>
              <w:bidi w:val="0"/>
              <w:adjustRightInd/>
              <w:snapToGrid/>
              <w:spacing w:line="360" w:lineRule="auto"/>
              <w:ind w:left="0" w:firstLine="472" w:firstLineChars="200"/>
              <w:jc w:val="both"/>
              <w:textAlignment w:val="auto"/>
              <w:rPr>
                <w:rFonts w:ascii="Times New Roman" w:hAnsi="Times New Roman"/>
                <w:color w:val="auto"/>
                <w:spacing w:val="-2"/>
                <w:sz w:val="24"/>
                <w:szCs w:val="24"/>
              </w:rPr>
            </w:pPr>
            <w:r>
              <w:rPr>
                <w:rFonts w:ascii="Times New Roman" w:hAnsi="Times New Roman"/>
                <w:color w:val="auto"/>
                <w:spacing w:val="-2"/>
                <w:sz w:val="24"/>
                <w:szCs w:val="24"/>
              </w:rPr>
              <w:t>项目主要生产设备见表</w:t>
            </w:r>
            <w:r>
              <w:rPr>
                <w:rFonts w:ascii="Times New Roman" w:hAnsi="Times New Roman" w:eastAsia="Times New Roman" w:cs="Times New Roman"/>
                <w:color w:val="auto"/>
                <w:spacing w:val="-1"/>
                <w:sz w:val="24"/>
                <w:szCs w:val="24"/>
              </w:rPr>
              <w:t>2.1-</w:t>
            </w:r>
            <w:r>
              <w:rPr>
                <w:rFonts w:hint="eastAsia" w:ascii="Times New Roman" w:hAnsi="Times New Roman" w:cs="Times New Roman"/>
                <w:color w:val="auto"/>
                <w:spacing w:val="-1"/>
                <w:sz w:val="24"/>
                <w:szCs w:val="24"/>
                <w:lang w:val="en-US" w:eastAsia="zh-CN"/>
              </w:rPr>
              <w:t>4</w:t>
            </w:r>
            <w:r>
              <w:rPr>
                <w:rFonts w:ascii="Times New Roman" w:hAnsi="Times New Roman"/>
                <w:color w:val="auto"/>
                <w:spacing w:val="-2"/>
                <w:sz w:val="24"/>
                <w:szCs w:val="24"/>
              </w:rPr>
              <w:t>。</w:t>
            </w:r>
          </w:p>
          <w:p w14:paraId="3E51CAA0">
            <w:pPr>
              <w:pStyle w:val="232"/>
              <w:bidi w:val="0"/>
              <w:rPr>
                <w:rFonts w:hint="eastAsia" w:ascii="Times New Roman" w:hAnsi="Times New Roman"/>
                <w:color w:val="auto"/>
                <w:lang w:val="en-US" w:eastAsia="zh-CN"/>
              </w:rPr>
            </w:pPr>
            <w:r>
              <w:rPr>
                <w:rFonts w:hint="eastAsia" w:ascii="Times New Roman" w:hAnsi="Times New Roman"/>
                <w:color w:val="auto"/>
                <w:lang w:val="en-US" w:eastAsia="zh-CN"/>
              </w:rPr>
              <w:t>表2.1-4项目主要生产设备一览表</w:t>
            </w:r>
          </w:p>
          <w:p w14:paraId="4176C58A">
            <w:pPr>
              <w:pStyle w:val="229"/>
              <w:keepNext w:val="0"/>
              <w:keepLines w:val="0"/>
              <w:pageBreakBefore w:val="0"/>
              <w:widowControl/>
              <w:kinsoku/>
              <w:wordWrap/>
              <w:overflowPunct/>
              <w:topLinePunct w:val="0"/>
              <w:autoSpaceDE/>
              <w:autoSpaceDN/>
              <w:bidi w:val="0"/>
              <w:adjustRightInd/>
              <w:snapToGrid/>
              <w:spacing w:line="360" w:lineRule="auto"/>
              <w:ind w:left="0"/>
              <w:jc w:val="center"/>
              <w:textAlignment w:val="auto"/>
              <w:outlineLvl w:val="9"/>
              <w:rPr>
                <w:rFonts w:hint="default" w:ascii="Times New Roman" w:hAnsi="Times New Roman" w:eastAsia="宋体" w:cs="Times New Roman"/>
                <w:b/>
                <w:bCs/>
                <w:color w:val="auto"/>
                <w:spacing w:val="-2"/>
                <w:sz w:val="24"/>
                <w:szCs w:val="24"/>
                <w:lang w:val="en-US" w:eastAsia="zh-CN"/>
              </w:rPr>
            </w:pPr>
            <w:r>
              <w:rPr>
                <w:rFonts w:hint="eastAsia" w:ascii="Times New Roman" w:hAnsi="Times New Roman" w:cs="Times New Roman"/>
                <w:b/>
                <w:bCs/>
                <w:color w:val="auto"/>
                <w:spacing w:val="-2"/>
                <w:sz w:val="24"/>
                <w:szCs w:val="24"/>
                <w:lang w:val="en-US" w:eastAsia="zh-CN"/>
              </w:rPr>
              <w:t>*</w:t>
            </w:r>
          </w:p>
          <w:p w14:paraId="6A6ED887">
            <w:pPr>
              <w:pStyle w:val="229"/>
              <w:keepNext w:val="0"/>
              <w:keepLines w:val="0"/>
              <w:pageBreakBefore w:val="0"/>
              <w:widowControl/>
              <w:kinsoku/>
              <w:wordWrap/>
              <w:overflowPunct/>
              <w:topLinePunct w:val="0"/>
              <w:autoSpaceDE/>
              <w:autoSpaceDN/>
              <w:bidi w:val="0"/>
              <w:adjustRightInd/>
              <w:snapToGrid/>
              <w:spacing w:line="360" w:lineRule="auto"/>
              <w:ind w:left="0"/>
              <w:textAlignment w:val="auto"/>
              <w:outlineLvl w:val="9"/>
              <w:rPr>
                <w:rFonts w:ascii="Times New Roman" w:hAnsi="Times New Roman" w:eastAsia="宋体" w:cs="Times New Roman"/>
                <w:b/>
                <w:bCs/>
                <w:color w:val="auto"/>
                <w:spacing w:val="-2"/>
                <w:sz w:val="24"/>
                <w:szCs w:val="24"/>
                <w:lang w:eastAsia="zh-CN"/>
              </w:rPr>
            </w:pPr>
            <w:r>
              <w:rPr>
                <w:rFonts w:ascii="Times New Roman" w:hAnsi="Times New Roman" w:eastAsia="宋体" w:cs="Times New Roman"/>
                <w:b/>
                <w:bCs/>
                <w:color w:val="auto"/>
                <w:spacing w:val="-2"/>
                <w:sz w:val="24"/>
                <w:szCs w:val="24"/>
                <w:lang w:eastAsia="zh-CN"/>
              </w:rPr>
              <w:t>2.1.6主要原辅材料</w:t>
            </w:r>
          </w:p>
          <w:p w14:paraId="0AF25FFF">
            <w:pPr>
              <w:pStyle w:val="229"/>
              <w:keepNext w:val="0"/>
              <w:keepLines w:val="0"/>
              <w:pageBreakBefore w:val="0"/>
              <w:widowControl w:val="0"/>
              <w:kinsoku/>
              <w:wordWrap/>
              <w:overflowPunct/>
              <w:topLinePunct w:val="0"/>
              <w:autoSpaceDE/>
              <w:autoSpaceDN/>
              <w:bidi w:val="0"/>
              <w:adjustRightInd/>
              <w:snapToGrid/>
              <w:spacing w:line="360" w:lineRule="auto"/>
              <w:ind w:left="0"/>
              <w:textAlignment w:val="auto"/>
              <w:rPr>
                <w:rFonts w:ascii="Times New Roman" w:hAnsi="Times New Roman"/>
                <w:color w:val="auto"/>
                <w:sz w:val="24"/>
                <w:szCs w:val="24"/>
              </w:rPr>
            </w:pPr>
            <w:r>
              <w:rPr>
                <w:rFonts w:ascii="Times New Roman" w:hAnsi="Times New Roman"/>
                <w:color w:val="auto"/>
                <w:spacing w:val="-1"/>
                <w:sz w:val="24"/>
                <w:szCs w:val="24"/>
              </w:rPr>
              <w:t>本项目主要原辅材料见表</w:t>
            </w:r>
            <w:r>
              <w:rPr>
                <w:rFonts w:ascii="Times New Roman" w:hAnsi="Times New Roman" w:eastAsia="Times New Roman" w:cs="Times New Roman"/>
                <w:color w:val="auto"/>
                <w:spacing w:val="-1"/>
                <w:sz w:val="24"/>
                <w:szCs w:val="24"/>
              </w:rPr>
              <w:t>2.1-5</w:t>
            </w:r>
            <w:r>
              <w:rPr>
                <w:rFonts w:ascii="Times New Roman" w:hAnsi="Times New Roman"/>
                <w:color w:val="auto"/>
                <w:spacing w:val="-1"/>
                <w:sz w:val="24"/>
                <w:szCs w:val="24"/>
              </w:rPr>
              <w:t>。</w:t>
            </w:r>
          </w:p>
          <w:p w14:paraId="49DEFA3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b/>
                <w:bCs/>
                <w:color w:val="auto"/>
                <w:spacing w:val="-3"/>
                <w:sz w:val="24"/>
                <w:szCs w:val="24"/>
              </w:rPr>
            </w:pPr>
            <w:r>
              <w:rPr>
                <w:rFonts w:ascii="Times New Roman" w:hAnsi="Times New Roman"/>
                <w:b/>
                <w:bCs/>
                <w:color w:val="auto"/>
                <w:spacing w:val="-3"/>
                <w:sz w:val="24"/>
                <w:szCs w:val="24"/>
              </w:rPr>
              <w:t>表</w:t>
            </w:r>
            <w:r>
              <w:rPr>
                <w:rFonts w:ascii="Times New Roman" w:hAnsi="Times New Roman" w:eastAsia="Times New Roman" w:cs="Times New Roman"/>
                <w:b/>
                <w:bCs/>
                <w:color w:val="auto"/>
                <w:spacing w:val="-3"/>
                <w:sz w:val="24"/>
                <w:szCs w:val="24"/>
              </w:rPr>
              <w:t>2.1-5</w:t>
            </w:r>
            <w:r>
              <w:rPr>
                <w:rFonts w:hint="eastAsia" w:ascii="Times New Roman" w:hAnsi="Times New Roman" w:cs="Times New Roman"/>
                <w:b/>
                <w:bCs/>
                <w:color w:val="auto"/>
                <w:spacing w:val="-3"/>
                <w:sz w:val="24"/>
                <w:szCs w:val="24"/>
                <w:lang w:val="en-US" w:eastAsia="zh-CN"/>
              </w:rPr>
              <w:t xml:space="preserve"> </w:t>
            </w:r>
            <w:r>
              <w:rPr>
                <w:rFonts w:ascii="Times New Roman" w:hAnsi="Times New Roman"/>
                <w:b/>
                <w:bCs/>
                <w:color w:val="auto"/>
                <w:spacing w:val="-3"/>
                <w:sz w:val="24"/>
                <w:szCs w:val="24"/>
              </w:rPr>
              <w:t>项目主要原辅材料表</w:t>
            </w:r>
          </w:p>
          <w:p w14:paraId="4E715DC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default" w:ascii="Times New Roman" w:hAnsi="Times New Roman" w:eastAsia="宋体" w:cs="宋体"/>
                <w:color w:val="auto"/>
                <w:kern w:val="2"/>
                <w:sz w:val="24"/>
                <w:szCs w:val="24"/>
                <w:lang w:val="en-US" w:eastAsia="zh-CN" w:bidi="ar-SA"/>
              </w:rPr>
            </w:pPr>
            <w:r>
              <w:rPr>
                <w:rFonts w:hint="eastAsia" w:cs="宋体"/>
                <w:color w:val="auto"/>
                <w:kern w:val="2"/>
                <w:sz w:val="24"/>
                <w:szCs w:val="24"/>
                <w:lang w:val="en-US" w:eastAsia="zh-CN" w:bidi="ar-SA"/>
              </w:rPr>
              <w:t>*</w:t>
            </w:r>
          </w:p>
          <w:p w14:paraId="6B1A38A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（1）光学玻璃材料</w:t>
            </w:r>
          </w:p>
          <w:p w14:paraId="41FABBE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光学玻璃材料是一种通过精密成分设计和严格制造工艺获得的高度纯净、均匀且具有特定、可控光学性能（尤其是折射率和阿贝数）的特种玻璃。其卓越的光学特性（高透过率、低散射、精确折射率与色散）和良好的物理化学稳定性，使其成为构建从日常消费电子产品到尖端科研和工业设备中无数光学元件的核心基础材料。</w:t>
            </w:r>
          </w:p>
          <w:p w14:paraId="69787335">
            <w:pPr>
              <w:keepNext w:val="0"/>
              <w:keepLines w:val="0"/>
              <w:pageBreakBefore w:val="0"/>
              <w:widowControl w:val="0"/>
              <w:numPr>
                <w:ilvl w:val="0"/>
                <w:numId w:val="2"/>
              </w:numP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抛光粉</w:t>
            </w:r>
          </w:p>
          <w:p w14:paraId="16318FC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硬度适中</w:t>
            </w:r>
            <w:r>
              <w:rPr>
                <w:rFonts w:hint="default" w:ascii="Times New Roman" w:hAnsi="Times New Roman" w:eastAsia="宋体" w:cs="宋体"/>
                <w:color w:val="auto"/>
                <w:kern w:val="2"/>
                <w:sz w:val="24"/>
                <w:szCs w:val="24"/>
                <w:lang w:val="en-US" w:eastAsia="zh-CN" w:bidi="ar-SA"/>
              </w:rPr>
              <w:t>，略高于多数光学玻璃，实现高效切削而不损伤基材。微晶结构：高活性晶面优先暴露，增强表面反应活性。</w:t>
            </w:r>
          </w:p>
          <w:p w14:paraId="2359613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（3）金刚砂</w:t>
            </w:r>
          </w:p>
          <w:p w14:paraId="2AAE410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金刚砂又称碳化硅，碳化硅由于化学性能稳定、导热系数高、热膨胀系数小、耐磨性能好，碳化硅的硬度很大，仅次于世界上最硬的金刚石（10级），具有优良的导热性能，是一种半导体，高温时能抗氧化。</w:t>
            </w:r>
          </w:p>
          <w:p w14:paraId="510817B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（4）切削液</w:t>
            </w:r>
          </w:p>
          <w:p w14:paraId="3797A64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玻璃磨削冷却液是一种用在切削、磨加工过程中，用来冷却和润滑刀具和加工件的工业用液体，本项目所使用的切削液其特性是不含矿物油、动物油，产品不会腐败，易储存、使用寿命长，同时具备良好的冷却性能、润滑性能、防锈性能、除油清洗功能、防腐功能、易稀释特点。棕黄色液体，</w:t>
            </w:r>
            <w:r>
              <w:rPr>
                <w:rFonts w:hint="default" w:ascii="Times New Roman" w:hAnsi="Times New Roman" w:eastAsia="宋体" w:cs="宋体"/>
                <w:color w:val="auto"/>
                <w:kern w:val="2"/>
                <w:sz w:val="24"/>
                <w:szCs w:val="24"/>
                <w:lang w:val="en-US" w:eastAsia="zh-CN" w:bidi="ar-SA"/>
              </w:rPr>
              <w:t>100%</w:t>
            </w:r>
            <w:r>
              <w:rPr>
                <w:rFonts w:hint="eastAsia" w:ascii="Times New Roman" w:hAnsi="Times New Roman" w:eastAsia="宋体" w:cs="宋体"/>
                <w:color w:val="auto"/>
                <w:kern w:val="2"/>
                <w:sz w:val="24"/>
                <w:szCs w:val="24"/>
                <w:lang w:val="en-US" w:eastAsia="zh-CN" w:bidi="ar-SA"/>
              </w:rPr>
              <w:t>溶于水，</w:t>
            </w:r>
            <w:r>
              <w:rPr>
                <w:rFonts w:hint="default" w:ascii="Times New Roman" w:hAnsi="Times New Roman" w:eastAsia="宋体" w:cs="宋体"/>
                <w:color w:val="auto"/>
                <w:kern w:val="2"/>
                <w:sz w:val="24"/>
                <w:szCs w:val="24"/>
                <w:lang w:val="en-US" w:eastAsia="zh-CN" w:bidi="ar-SA"/>
              </w:rPr>
              <w:t>pH</w:t>
            </w:r>
            <w:r>
              <w:rPr>
                <w:rFonts w:hint="eastAsia" w:ascii="Times New Roman" w:hAnsi="Times New Roman" w:eastAsia="宋体" w:cs="宋体"/>
                <w:color w:val="auto"/>
                <w:kern w:val="2"/>
                <w:sz w:val="24"/>
                <w:szCs w:val="24"/>
                <w:lang w:val="en-US" w:eastAsia="zh-CN" w:bidi="ar-SA"/>
              </w:rPr>
              <w:t>值</w:t>
            </w:r>
            <w:r>
              <w:rPr>
                <w:rFonts w:hint="default" w:ascii="Times New Roman" w:hAnsi="Times New Roman" w:eastAsia="宋体" w:cs="宋体"/>
                <w:color w:val="auto"/>
                <w:kern w:val="2"/>
                <w:sz w:val="24"/>
                <w:szCs w:val="24"/>
                <w:lang w:val="en-US" w:eastAsia="zh-CN" w:bidi="ar-SA"/>
              </w:rPr>
              <w:t>8.0~9.0</w:t>
            </w:r>
            <w:r>
              <w:rPr>
                <w:rFonts w:hint="eastAsia" w:ascii="Times New Roman" w:hAnsi="Times New Roman" w:eastAsia="宋体" w:cs="宋体"/>
                <w:color w:val="auto"/>
                <w:kern w:val="2"/>
                <w:sz w:val="24"/>
                <w:szCs w:val="24"/>
                <w:lang w:val="en-US" w:eastAsia="zh-CN" w:bidi="ar-SA"/>
              </w:rPr>
              <w:t>，沸点</w:t>
            </w:r>
            <w:r>
              <w:rPr>
                <w:rFonts w:hint="default" w:ascii="Times New Roman" w:hAnsi="Times New Roman" w:eastAsia="宋体" w:cs="宋体"/>
                <w:color w:val="auto"/>
                <w:kern w:val="2"/>
                <w:sz w:val="24"/>
                <w:szCs w:val="24"/>
                <w:lang w:val="en-US" w:eastAsia="zh-CN" w:bidi="ar-SA"/>
              </w:rPr>
              <w:t>&gt;100</w:t>
            </w:r>
            <w:r>
              <w:rPr>
                <w:rFonts w:hint="eastAsia" w:ascii="Times New Roman" w:hAnsi="Times New Roman" w:eastAsia="宋体" w:cs="宋体"/>
                <w:color w:val="auto"/>
                <w:kern w:val="2"/>
                <w:sz w:val="24"/>
                <w:szCs w:val="24"/>
                <w:lang w:val="en-US" w:eastAsia="zh-CN" w:bidi="ar-SA"/>
              </w:rPr>
              <w:t>℃，闪点：无（自灭），燃点：无（自灭），凝点：</w:t>
            </w:r>
            <w:r>
              <w:rPr>
                <w:rFonts w:hint="default" w:ascii="Times New Roman" w:hAnsi="Times New Roman" w:eastAsia="宋体" w:cs="宋体"/>
                <w:color w:val="auto"/>
                <w:kern w:val="2"/>
                <w:sz w:val="24"/>
                <w:szCs w:val="24"/>
                <w:lang w:val="en-US" w:eastAsia="zh-CN" w:bidi="ar-SA"/>
              </w:rPr>
              <w:t>-2</w:t>
            </w:r>
            <w:r>
              <w:rPr>
                <w:rFonts w:hint="eastAsia" w:ascii="Times New Roman" w:hAnsi="Times New Roman" w:eastAsia="宋体" w:cs="宋体"/>
                <w:color w:val="auto"/>
                <w:kern w:val="2"/>
                <w:sz w:val="24"/>
                <w:szCs w:val="24"/>
                <w:lang w:val="en-US" w:eastAsia="zh-CN" w:bidi="ar-SA"/>
              </w:rPr>
              <w:t>℃。</w:t>
            </w:r>
          </w:p>
          <w:p w14:paraId="71D50C5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（5）无水乙醇</w:t>
            </w:r>
          </w:p>
          <w:p w14:paraId="3220565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无色透明，易燃易挥发的液体。有酒的气味和刺激性辛辣味。溶于水、甲醇、乙醚和氯仿。能溶解许多有机化合物和若干无机化合物。具有吸湿性。能与水形成共沸混合物。蒸气与空气形成爆炸性混合物，爆炸极限4.3-19.0（体积）。无水乙醇相对密度0.7893（20/4</w:t>
            </w:r>
            <w:r>
              <w:rPr>
                <w:rFonts w:hint="default" w:ascii="Times New Roman" w:hAnsi="Times New Roman" w:eastAsia="宋体" w:cs="宋体"/>
                <w:color w:val="auto"/>
                <w:kern w:val="2"/>
                <w:sz w:val="24"/>
                <w:szCs w:val="24"/>
                <w:lang w:val="en-US" w:eastAsia="zh-CN" w:bidi="ar-SA"/>
              </w:rPr>
              <w:t>℃</w:t>
            </w:r>
            <w:r>
              <w:rPr>
                <w:rFonts w:hint="eastAsia" w:ascii="Times New Roman" w:hAnsi="Times New Roman" w:eastAsia="宋体" w:cs="宋体"/>
                <w:color w:val="auto"/>
                <w:kern w:val="2"/>
                <w:sz w:val="24"/>
                <w:szCs w:val="24"/>
                <w:lang w:val="en-US" w:eastAsia="zh-CN" w:bidi="ar-SA"/>
              </w:rPr>
              <w:t>），熔点-117.3</w:t>
            </w:r>
            <w:r>
              <w:rPr>
                <w:rFonts w:hint="default" w:ascii="Times New Roman" w:hAnsi="Times New Roman" w:eastAsia="宋体" w:cs="宋体"/>
                <w:color w:val="auto"/>
                <w:kern w:val="2"/>
                <w:sz w:val="24"/>
                <w:szCs w:val="24"/>
                <w:lang w:val="en-US" w:eastAsia="zh-CN" w:bidi="ar-SA"/>
              </w:rPr>
              <w:t>℃</w:t>
            </w:r>
            <w:r>
              <w:rPr>
                <w:rFonts w:hint="eastAsia" w:ascii="Times New Roman" w:hAnsi="Times New Roman" w:eastAsia="宋体" w:cs="宋体"/>
                <w:color w:val="auto"/>
                <w:kern w:val="2"/>
                <w:sz w:val="24"/>
                <w:szCs w:val="24"/>
                <w:lang w:val="en-US" w:eastAsia="zh-CN" w:bidi="ar-SA"/>
              </w:rPr>
              <w:t>，沸点78.32</w:t>
            </w:r>
            <w:r>
              <w:rPr>
                <w:rFonts w:hint="default" w:ascii="Times New Roman" w:hAnsi="Times New Roman" w:eastAsia="宋体" w:cs="宋体"/>
                <w:color w:val="auto"/>
                <w:kern w:val="2"/>
                <w:sz w:val="24"/>
                <w:szCs w:val="24"/>
                <w:lang w:val="en-US" w:eastAsia="zh-CN" w:bidi="ar-SA"/>
              </w:rPr>
              <w:t>℃</w:t>
            </w:r>
            <w:r>
              <w:rPr>
                <w:rFonts w:hint="eastAsia" w:ascii="Times New Roman" w:hAnsi="Times New Roman" w:eastAsia="宋体" w:cs="宋体"/>
                <w:color w:val="auto"/>
                <w:kern w:val="2"/>
                <w:sz w:val="24"/>
                <w:szCs w:val="24"/>
                <w:lang w:val="en-US" w:eastAsia="zh-CN" w:bidi="ar-SA"/>
              </w:rPr>
              <w:t>，折射率1.3614，比热容（23</w:t>
            </w:r>
            <w:r>
              <w:rPr>
                <w:rFonts w:hint="default" w:ascii="Times New Roman" w:hAnsi="Times New Roman" w:eastAsia="宋体" w:cs="宋体"/>
                <w:color w:val="auto"/>
                <w:kern w:val="2"/>
                <w:sz w:val="24"/>
                <w:szCs w:val="24"/>
                <w:lang w:val="en-US" w:eastAsia="zh-CN" w:bidi="ar-SA"/>
              </w:rPr>
              <w:t>℃</w:t>
            </w:r>
            <w:r>
              <w:rPr>
                <w:rFonts w:hint="eastAsia" w:ascii="Times New Roman" w:hAnsi="Times New Roman" w:eastAsia="宋体" w:cs="宋体"/>
                <w:color w:val="auto"/>
                <w:kern w:val="2"/>
                <w:sz w:val="24"/>
                <w:szCs w:val="24"/>
                <w:lang w:val="en-US" w:eastAsia="zh-CN" w:bidi="ar-SA"/>
              </w:rPr>
              <w:t>）2.58J/(g·</w:t>
            </w:r>
            <w:r>
              <w:rPr>
                <w:rFonts w:hint="default" w:ascii="Times New Roman" w:hAnsi="Times New Roman" w:eastAsia="宋体" w:cs="宋体"/>
                <w:color w:val="auto"/>
                <w:kern w:val="2"/>
                <w:sz w:val="24"/>
                <w:szCs w:val="24"/>
                <w:lang w:val="en-US" w:eastAsia="zh-CN" w:bidi="ar-SA"/>
              </w:rPr>
              <w:t>℃</w:t>
            </w:r>
            <w:r>
              <w:rPr>
                <w:rFonts w:hint="eastAsia" w:ascii="Times New Roman" w:hAnsi="Times New Roman" w:eastAsia="宋体" w:cs="宋体"/>
                <w:color w:val="auto"/>
                <w:kern w:val="2"/>
                <w:sz w:val="24"/>
                <w:szCs w:val="24"/>
                <w:lang w:val="en-US" w:eastAsia="zh-CN" w:bidi="ar-SA"/>
              </w:rPr>
              <w:t>），闪点12.8</w:t>
            </w:r>
            <w:r>
              <w:rPr>
                <w:rFonts w:hint="default" w:ascii="Times New Roman" w:hAnsi="Times New Roman" w:eastAsia="宋体" w:cs="宋体"/>
                <w:color w:val="auto"/>
                <w:kern w:val="2"/>
                <w:sz w:val="24"/>
                <w:szCs w:val="24"/>
                <w:lang w:val="en-US" w:eastAsia="zh-CN" w:bidi="ar-SA"/>
              </w:rPr>
              <w:t>℃</w:t>
            </w:r>
            <w:r>
              <w:rPr>
                <w:rFonts w:hint="eastAsia" w:ascii="Times New Roman" w:hAnsi="Times New Roman" w:eastAsia="宋体" w:cs="宋体"/>
                <w:color w:val="auto"/>
                <w:kern w:val="2"/>
                <w:sz w:val="24"/>
                <w:szCs w:val="24"/>
                <w:lang w:val="en-US" w:eastAsia="zh-CN" w:bidi="ar-SA"/>
              </w:rPr>
              <w:t>，相对密度0.816，沸点78.15</w:t>
            </w:r>
            <w:r>
              <w:rPr>
                <w:rFonts w:hint="default" w:ascii="Times New Roman" w:hAnsi="Times New Roman" w:eastAsia="宋体" w:cs="宋体"/>
                <w:color w:val="auto"/>
                <w:kern w:val="2"/>
                <w:sz w:val="24"/>
                <w:szCs w:val="24"/>
                <w:lang w:val="en-US" w:eastAsia="zh-CN" w:bidi="ar-SA"/>
              </w:rPr>
              <w:t>℃</w:t>
            </w:r>
            <w:r>
              <w:rPr>
                <w:rFonts w:hint="eastAsia" w:ascii="Times New Roman" w:hAnsi="Times New Roman" w:eastAsia="宋体" w:cs="宋体"/>
                <w:color w:val="auto"/>
                <w:kern w:val="2"/>
                <w:sz w:val="24"/>
                <w:szCs w:val="24"/>
                <w:lang w:val="en-US" w:eastAsia="zh-CN" w:bidi="ar-SA"/>
              </w:rPr>
              <w:t>，凝固点-114</w:t>
            </w:r>
            <w:r>
              <w:rPr>
                <w:rFonts w:hint="default" w:ascii="Times New Roman" w:hAnsi="Times New Roman" w:eastAsia="宋体" w:cs="宋体"/>
                <w:color w:val="auto"/>
                <w:kern w:val="2"/>
                <w:sz w:val="24"/>
                <w:szCs w:val="24"/>
                <w:lang w:val="en-US" w:eastAsia="zh-CN" w:bidi="ar-SA"/>
              </w:rPr>
              <w:t>℃</w:t>
            </w:r>
            <w:r>
              <w:rPr>
                <w:rFonts w:hint="eastAsia" w:ascii="Times New Roman" w:hAnsi="Times New Roman" w:eastAsia="宋体" w:cs="宋体"/>
                <w:color w:val="auto"/>
                <w:kern w:val="2"/>
                <w:sz w:val="24"/>
                <w:szCs w:val="24"/>
                <w:lang w:val="en-US" w:eastAsia="zh-CN" w:bidi="ar-SA"/>
              </w:rPr>
              <w:t>，自燃点793</w:t>
            </w:r>
            <w:r>
              <w:rPr>
                <w:rFonts w:hint="default" w:ascii="Times New Roman" w:hAnsi="Times New Roman" w:eastAsia="宋体" w:cs="宋体"/>
                <w:color w:val="auto"/>
                <w:kern w:val="2"/>
                <w:sz w:val="24"/>
                <w:szCs w:val="24"/>
                <w:lang w:val="en-US" w:eastAsia="zh-CN" w:bidi="ar-SA"/>
              </w:rPr>
              <w:t>℃</w:t>
            </w:r>
            <w:r>
              <w:rPr>
                <w:rFonts w:hint="eastAsia" w:ascii="Times New Roman" w:hAnsi="Times New Roman" w:eastAsia="宋体" w:cs="宋体"/>
                <w:color w:val="auto"/>
                <w:kern w:val="2"/>
                <w:sz w:val="24"/>
                <w:szCs w:val="24"/>
                <w:lang w:val="en-US" w:eastAsia="zh-CN" w:bidi="ar-SA"/>
              </w:rPr>
              <w:t>。乙醇易燃，具刺激性。其蒸气与空气可形成爆炸性混合物，遇明火、高热能引起燃烧爆炸。与氧化剂接触发生化学反应或引起燃烧。在火场中，受热的容器有爆炸危险。其蒸气比空气重，能在较低处扩散到相当远的地方，遇火源会着火回燃。本项目乙醇包装方式为玻璃瓶装，包装规格为500ml/瓶，最大贮存量为0.1t/a。</w:t>
            </w:r>
          </w:p>
          <w:p w14:paraId="67FDD21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（6）乙醚</w:t>
            </w:r>
          </w:p>
          <w:p w14:paraId="755F8BD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乙醚是一种古老的合成有机化合物之一。无色液体，极易挥发，气味特殊；极易燃，纯度较高的乙醚不可长时间敞口存放，否则其蒸气可能引来远处的明火进而起火。凝固点-116.2℃，沸点34.5℃，相对密度0.71。溶解性：微溶于水，溶于乙醇、苯、氯仿等多数有机溶剂。乙醚在12℃水中的溶解度为水体积的1/10。与10倍体积的氧混合成的混合气体，遇火或电火花即可发生剧烈爆炸，生成二氧化碳和水蒸气。长时间与氧接触和光照，可生成过氧化乙醚，后者为难挥发的粘稠液体，加热可爆炸。100℃以下，与酸、碱不起作用。本项目乙醚包装方式为玻璃瓶装，包装规格为500ml/瓶，最大贮存量为0.1t/a。</w:t>
            </w:r>
          </w:p>
          <w:p w14:paraId="4CE852D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（7）汽油</w:t>
            </w:r>
          </w:p>
          <w:p w14:paraId="7031C32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在研磨、抛光等加工环节后，元件表面会残留研</w:t>
            </w:r>
            <w:r>
              <w:rPr>
                <w:rFonts w:hint="eastAsia" w:cs="宋体"/>
                <w:color w:val="auto"/>
                <w:kern w:val="2"/>
                <w:sz w:val="24"/>
                <w:szCs w:val="24"/>
                <w:lang w:val="en-US" w:eastAsia="zh-CN" w:bidi="ar-SA"/>
              </w:rPr>
              <w:t>磨</w:t>
            </w:r>
            <w:r>
              <w:rPr>
                <w:rFonts w:hint="default" w:ascii="Times New Roman" w:hAnsi="Times New Roman" w:eastAsia="宋体" w:cs="宋体"/>
                <w:color w:val="auto"/>
                <w:kern w:val="2"/>
                <w:sz w:val="24"/>
                <w:szCs w:val="24"/>
                <w:lang w:val="en-US" w:eastAsia="zh-CN" w:bidi="ar-SA"/>
              </w:rPr>
              <w:t>、抛光</w:t>
            </w:r>
            <w:r>
              <w:rPr>
                <w:rFonts w:hint="eastAsia" w:cs="宋体"/>
                <w:color w:val="auto"/>
                <w:kern w:val="2"/>
                <w:sz w:val="24"/>
                <w:szCs w:val="24"/>
                <w:lang w:val="en-US" w:eastAsia="zh-CN" w:bidi="ar-SA"/>
              </w:rPr>
              <w:t>过程中的有机污染物</w:t>
            </w:r>
            <w:r>
              <w:rPr>
                <w:rFonts w:hint="default" w:ascii="Times New Roman" w:hAnsi="Times New Roman" w:eastAsia="宋体" w:cs="宋体"/>
                <w:color w:val="auto"/>
                <w:kern w:val="2"/>
                <w:sz w:val="24"/>
                <w:szCs w:val="24"/>
                <w:lang w:val="en-US" w:eastAsia="zh-CN" w:bidi="ar-SA"/>
              </w:rPr>
              <w:t>等，汽油可通过溶解这些有机污染物，配合清洗</w:t>
            </w:r>
            <w:r>
              <w:rPr>
                <w:rFonts w:hint="eastAsia" w:cs="宋体"/>
                <w:color w:val="auto"/>
                <w:kern w:val="2"/>
                <w:sz w:val="24"/>
                <w:szCs w:val="24"/>
                <w:lang w:val="en-US" w:eastAsia="zh-CN" w:bidi="ar-SA"/>
              </w:rPr>
              <w:t>工程</w:t>
            </w:r>
            <w:r>
              <w:rPr>
                <w:rFonts w:hint="default" w:ascii="Times New Roman" w:hAnsi="Times New Roman" w:eastAsia="宋体" w:cs="宋体"/>
                <w:color w:val="auto"/>
                <w:kern w:val="2"/>
                <w:sz w:val="24"/>
                <w:szCs w:val="24"/>
                <w:lang w:val="en-US" w:eastAsia="zh-CN" w:bidi="ar-SA"/>
              </w:rPr>
              <w:t>，快速清洁元件表面，且因挥发性强，清洗后无需额外的烘干步骤，能保持元件表面的洁净度和光学性能</w:t>
            </w:r>
          </w:p>
          <w:p w14:paraId="3D805DA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（8））丙酮</w:t>
            </w:r>
          </w:p>
          <w:p w14:paraId="5A1E82D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丙酮是一种无色透明易流动液体，有微香气味，极易挥发；熔点为-94.9℃；沸点为56.5℃；密度为0.7899g/cm3；饱和蒸气压24kPa（20℃）；临界温度235.5℃；临界压力：4.72MPa；引燃温度：465℃；爆炸下限（V/V）：2.2%；爆炸上限（V/V）：13.0%；可与水混溶，可混溶于乙醇、乙醚、氯仿、油类、烃类等多数有机溶剂。丙酮是脂肪族酮类具有代表性的的化合物，具有酮类的典型反应。例如：与亚硫酸氢钠形成无色结晶的加成物。与氰化氢反应生成丙酮氰醇。在还原剂的作用下生成异丙醇与频哪酮。丙酮对氧化剂比较稳定。在室温下不会被硝酸氧化。用酸性高锰酸钾强氧化剂做氧化剂时，生成乙酸、二氧化碳和水。在碱存在下发生双分子缩合，生成双丙酮醇。本项目丙酮包装方式采用玻璃瓶装，包装规格为500ml/瓶，最大贮存量为0.07t/a。</w:t>
            </w:r>
          </w:p>
          <w:p w14:paraId="76E5B5D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（9）</w:t>
            </w:r>
            <w:r>
              <w:rPr>
                <w:rFonts w:hint="eastAsia" w:cs="宋体"/>
                <w:color w:val="auto"/>
                <w:kern w:val="2"/>
                <w:sz w:val="24"/>
                <w:szCs w:val="24"/>
                <w:lang w:val="en-US" w:eastAsia="zh-CN" w:bidi="ar-SA"/>
              </w:rPr>
              <w:t>抛光胶</w:t>
            </w:r>
          </w:p>
          <w:p w14:paraId="32076BF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光学点胶上盘工艺中使用的热固性胶成分包括以下物质：沥青</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作为基础黏合材料，赋予胶体主要的粘接性和耐热性。部分配方中采用专用光学沥青以满足特定的光学加工需求</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松香</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用于调节胶体的弹性模量和软化温度，增加韧性并优化抛光性能</w:t>
            </w:r>
            <w:r>
              <w:rPr>
                <w:rFonts w:hint="eastAsia" w:cs="宋体"/>
                <w:color w:val="auto"/>
                <w:kern w:val="2"/>
                <w:sz w:val="24"/>
                <w:szCs w:val="24"/>
                <w:lang w:val="en-US" w:eastAsia="zh-CN" w:bidi="ar-SA"/>
              </w:rPr>
              <w:t>（检测报告</w:t>
            </w:r>
            <w:r>
              <w:rPr>
                <w:rFonts w:hint="eastAsia" w:ascii="Times New Roman" w:hAnsi="Times New Roman" w:eastAsia="宋体" w:cs="宋体"/>
                <w:color w:val="auto"/>
                <w:kern w:val="2"/>
                <w:sz w:val="24"/>
                <w:szCs w:val="24"/>
                <w:lang w:val="en-US" w:eastAsia="zh-CN" w:bidi="ar-SA"/>
              </w:rPr>
              <w:t>详见附件十五</w:t>
            </w:r>
            <w:r>
              <w:rPr>
                <w:rFonts w:hint="eastAsia" w:cs="宋体"/>
                <w:color w:val="auto"/>
                <w:kern w:val="2"/>
                <w:sz w:val="24"/>
                <w:szCs w:val="24"/>
                <w:lang w:val="en-US" w:eastAsia="zh-CN" w:bidi="ar-SA"/>
              </w:rPr>
              <w:t>）</w:t>
            </w:r>
            <w:r>
              <w:rPr>
                <w:rFonts w:hint="eastAsia" w:ascii="Times New Roman" w:hAnsi="Times New Roman" w:eastAsia="宋体" w:cs="宋体"/>
                <w:color w:val="auto"/>
                <w:kern w:val="2"/>
                <w:sz w:val="24"/>
                <w:szCs w:val="24"/>
                <w:lang w:val="en-US" w:eastAsia="zh-CN" w:bidi="ar-SA"/>
              </w:rPr>
              <w:t>。</w:t>
            </w:r>
          </w:p>
          <w:p w14:paraId="16BB7AC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（10）</w:t>
            </w:r>
            <w:r>
              <w:rPr>
                <w:rFonts w:hint="eastAsia" w:cs="宋体"/>
                <w:color w:val="auto"/>
                <w:kern w:val="2"/>
                <w:sz w:val="24"/>
                <w:szCs w:val="24"/>
                <w:lang w:val="en-US" w:eastAsia="zh-CN" w:bidi="ar-SA"/>
              </w:rPr>
              <w:t>防尘纸</w:t>
            </w:r>
          </w:p>
          <w:p w14:paraId="78F6C7C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一种专为洁净环境设计的特种材料，其成分和性质经过特殊优化，以满足电子、光学、半导体等行业对低发尘、高清洁度的要求</w:t>
            </w:r>
            <w:r>
              <w:rPr>
                <w:rFonts w:hint="eastAsia" w:ascii="Times New Roman" w:hAnsi="Times New Roman" w:eastAsia="宋体" w:cs="宋体"/>
                <w:color w:val="auto"/>
                <w:kern w:val="2"/>
                <w:sz w:val="24"/>
                <w:szCs w:val="24"/>
                <w:lang w:val="en-US" w:eastAsia="zh-CN" w:bidi="ar-SA"/>
              </w:rPr>
              <w:t>。</w:t>
            </w:r>
          </w:p>
          <w:p w14:paraId="7F1B5DA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（11）缓冲泡沫</w:t>
            </w:r>
            <w:r>
              <w:rPr>
                <w:rFonts w:hint="default" w:ascii="Times New Roman" w:hAnsi="Times New Roman" w:eastAsia="宋体" w:cs="宋体"/>
                <w:color w:val="auto"/>
                <w:kern w:val="2"/>
                <w:sz w:val="24"/>
                <w:szCs w:val="24"/>
                <w:lang w:val="en-US" w:eastAsia="zh-CN" w:bidi="ar-SA"/>
              </w:rPr>
              <w:t>（12）</w:t>
            </w:r>
            <w:r>
              <w:rPr>
                <w:rFonts w:hint="eastAsia" w:ascii="Times New Roman" w:hAnsi="Times New Roman" w:eastAsia="宋体" w:cs="宋体"/>
                <w:color w:val="auto"/>
                <w:kern w:val="2"/>
                <w:sz w:val="24"/>
                <w:szCs w:val="24"/>
                <w:lang w:val="en-US" w:eastAsia="zh-CN" w:bidi="ar-SA"/>
              </w:rPr>
              <w:t>纸箱</w:t>
            </w:r>
            <w:r>
              <w:rPr>
                <w:rFonts w:hint="default" w:ascii="Times New Roman" w:hAnsi="Times New Roman" w:eastAsia="宋体" w:cs="宋体"/>
                <w:color w:val="auto"/>
                <w:kern w:val="2"/>
                <w:sz w:val="24"/>
                <w:szCs w:val="24"/>
                <w:lang w:val="en-US" w:eastAsia="zh-CN" w:bidi="ar-SA"/>
              </w:rPr>
              <w:t>（13）</w:t>
            </w:r>
            <w:r>
              <w:rPr>
                <w:rFonts w:hint="eastAsia" w:ascii="Times New Roman" w:hAnsi="Times New Roman" w:eastAsia="宋体" w:cs="宋体"/>
                <w:color w:val="auto"/>
                <w:kern w:val="2"/>
                <w:sz w:val="24"/>
                <w:szCs w:val="24"/>
                <w:lang w:val="en-US" w:eastAsia="zh-CN" w:bidi="ar-SA"/>
              </w:rPr>
              <w:t>塑料盒</w:t>
            </w:r>
          </w:p>
          <w:p w14:paraId="0C16AC4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均</w:t>
            </w:r>
            <w:r>
              <w:rPr>
                <w:rFonts w:hint="default" w:ascii="Times New Roman" w:hAnsi="Times New Roman" w:eastAsia="宋体" w:cs="宋体"/>
                <w:color w:val="auto"/>
                <w:kern w:val="2"/>
                <w:sz w:val="24"/>
                <w:szCs w:val="24"/>
                <w:lang w:val="en-US" w:eastAsia="zh-CN" w:bidi="ar-SA"/>
              </w:rPr>
              <w:t>是一种用于保护物品免受冲击、震动或摩擦的材料</w:t>
            </w:r>
            <w:r>
              <w:rPr>
                <w:rFonts w:hint="eastAsia" w:ascii="Times New Roman" w:hAnsi="Times New Roman" w:eastAsia="宋体" w:cs="宋体"/>
                <w:color w:val="auto"/>
                <w:kern w:val="2"/>
                <w:sz w:val="24"/>
                <w:szCs w:val="24"/>
                <w:lang w:val="en-US" w:eastAsia="zh-CN" w:bidi="ar-SA"/>
              </w:rPr>
              <w:t>，项目用于包装工序。</w:t>
            </w:r>
          </w:p>
          <w:p w14:paraId="70F71BD3">
            <w:pPr>
              <w:pStyle w:val="229"/>
              <w:keepNext w:val="0"/>
              <w:keepLines w:val="0"/>
              <w:pageBreakBefore w:val="0"/>
              <w:kinsoku/>
              <w:wordWrap/>
              <w:overflowPunct/>
              <w:topLinePunct w:val="0"/>
              <w:autoSpaceDE/>
              <w:autoSpaceDN/>
              <w:bidi w:val="0"/>
              <w:adjustRightInd/>
              <w:snapToGrid/>
              <w:spacing w:before="0" w:line="360" w:lineRule="auto"/>
              <w:ind w:left="0"/>
              <w:textAlignment w:val="auto"/>
              <w:outlineLvl w:val="2"/>
              <w:rPr>
                <w:rFonts w:ascii="Times New Roman" w:hAnsi="Times New Roman"/>
                <w:color w:val="auto"/>
                <w:sz w:val="24"/>
                <w:szCs w:val="24"/>
              </w:rPr>
            </w:pPr>
            <w:r>
              <w:rPr>
                <w:rFonts w:ascii="Times New Roman" w:hAnsi="Times New Roman" w:eastAsia="Times New Roman" w:cs="Times New Roman"/>
                <w:b/>
                <w:bCs/>
                <w:color w:val="auto"/>
                <w:spacing w:val="-2"/>
                <w:sz w:val="24"/>
                <w:szCs w:val="24"/>
              </w:rPr>
              <w:t>2.1.</w:t>
            </w:r>
            <w:r>
              <w:rPr>
                <w:rFonts w:hint="eastAsia" w:ascii="Times New Roman" w:hAnsi="Times New Roman" w:eastAsia="宋体" w:cs="Times New Roman"/>
                <w:b/>
                <w:bCs/>
                <w:color w:val="auto"/>
                <w:spacing w:val="-2"/>
                <w:sz w:val="24"/>
                <w:szCs w:val="24"/>
                <w:lang w:val="en-US" w:eastAsia="zh-CN"/>
              </w:rPr>
              <w:t>7</w:t>
            </w:r>
            <w:r>
              <w:rPr>
                <w:rFonts w:ascii="Times New Roman" w:hAnsi="Times New Roman"/>
                <w:b/>
                <w:bCs/>
                <w:color w:val="auto"/>
                <w:spacing w:val="-2"/>
                <w:sz w:val="24"/>
                <w:szCs w:val="24"/>
              </w:rPr>
              <w:t>主要能源消耗</w:t>
            </w:r>
          </w:p>
          <w:p w14:paraId="4691A904">
            <w:pPr>
              <w:pStyle w:val="229"/>
              <w:spacing w:before="0" w:line="360" w:lineRule="auto"/>
              <w:ind w:left="0" w:firstLine="472" w:firstLineChars="200"/>
              <w:rPr>
                <w:rFonts w:ascii="Times New Roman" w:hAnsi="Times New Roman"/>
                <w:color w:val="auto"/>
                <w:sz w:val="24"/>
                <w:szCs w:val="24"/>
              </w:rPr>
            </w:pPr>
            <w:r>
              <w:rPr>
                <w:rFonts w:ascii="Times New Roman" w:hAnsi="Times New Roman"/>
                <w:color w:val="auto"/>
                <w:spacing w:val="-2"/>
                <w:sz w:val="24"/>
                <w:szCs w:val="24"/>
              </w:rPr>
              <w:t>项目主要能源消耗见表</w:t>
            </w:r>
            <w:r>
              <w:rPr>
                <w:rFonts w:ascii="Times New Roman" w:hAnsi="Times New Roman" w:eastAsia="Times New Roman" w:cs="Times New Roman"/>
                <w:color w:val="auto"/>
                <w:spacing w:val="-2"/>
                <w:sz w:val="24"/>
                <w:szCs w:val="24"/>
              </w:rPr>
              <w:t>2.1-</w:t>
            </w:r>
            <w:r>
              <w:rPr>
                <w:rFonts w:hint="eastAsia" w:ascii="Times New Roman" w:hAnsi="Times New Roman" w:eastAsia="宋体" w:cs="Times New Roman"/>
                <w:color w:val="auto"/>
                <w:spacing w:val="-2"/>
                <w:sz w:val="24"/>
                <w:szCs w:val="24"/>
                <w:lang w:val="en-US" w:eastAsia="zh-CN"/>
              </w:rPr>
              <w:t>6</w:t>
            </w:r>
            <w:r>
              <w:rPr>
                <w:rFonts w:ascii="Times New Roman" w:hAnsi="Times New Roman"/>
                <w:color w:val="auto"/>
                <w:spacing w:val="-2"/>
                <w:sz w:val="24"/>
                <w:szCs w:val="24"/>
              </w:rPr>
              <w:t>。</w:t>
            </w:r>
          </w:p>
          <w:p w14:paraId="79F52E15">
            <w:pPr>
              <w:pStyle w:val="229"/>
              <w:keepNext w:val="0"/>
              <w:keepLines w:val="0"/>
              <w:pageBreakBefore w:val="0"/>
              <w:widowControl w:val="0"/>
              <w:kinsoku/>
              <w:wordWrap/>
              <w:overflowPunct/>
              <w:topLinePunct w:val="0"/>
              <w:autoSpaceDE/>
              <w:autoSpaceDN/>
              <w:bidi w:val="0"/>
              <w:adjustRightInd/>
              <w:snapToGrid/>
              <w:spacing w:before="0" w:line="240" w:lineRule="auto"/>
              <w:ind w:left="0"/>
              <w:jc w:val="center"/>
              <w:textAlignment w:val="auto"/>
              <w:rPr>
                <w:rFonts w:ascii="Times New Roman" w:hAnsi="Times New Roman"/>
                <w:color w:val="auto"/>
                <w:sz w:val="24"/>
                <w:szCs w:val="24"/>
              </w:rPr>
            </w:pPr>
            <w:r>
              <w:rPr>
                <w:rFonts w:ascii="Times New Roman" w:hAnsi="Times New Roman"/>
                <w:b/>
                <w:bCs/>
                <w:color w:val="auto"/>
                <w:spacing w:val="-3"/>
                <w:sz w:val="24"/>
                <w:szCs w:val="24"/>
              </w:rPr>
              <w:t>表</w:t>
            </w:r>
            <w:r>
              <w:rPr>
                <w:rFonts w:ascii="Times New Roman" w:hAnsi="Times New Roman" w:eastAsia="Times New Roman" w:cs="Times New Roman"/>
                <w:b/>
                <w:bCs/>
                <w:color w:val="auto"/>
                <w:spacing w:val="-3"/>
                <w:sz w:val="24"/>
                <w:szCs w:val="24"/>
              </w:rPr>
              <w:t>2.1-6</w:t>
            </w:r>
            <w:r>
              <w:rPr>
                <w:rFonts w:ascii="Times New Roman" w:hAnsi="Times New Roman"/>
                <w:b/>
                <w:bCs/>
                <w:color w:val="auto"/>
                <w:spacing w:val="-3"/>
                <w:sz w:val="24"/>
                <w:szCs w:val="24"/>
              </w:rPr>
              <w:t>项目主要能源消耗</w:t>
            </w:r>
          </w:p>
          <w:p w14:paraId="06BCB1DE">
            <w:pPr>
              <w:spacing w:line="14" w:lineRule="exact"/>
              <w:rPr>
                <w:rFonts w:ascii="Times New Roman" w:hAnsi="Times New Roman"/>
                <w:color w:val="auto"/>
              </w:rPr>
            </w:pPr>
          </w:p>
          <w:tbl>
            <w:tblPr>
              <w:tblStyle w:val="230"/>
              <w:tblW w:w="7936" w:type="dxa"/>
              <w:tblInd w:w="10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64"/>
              <w:gridCol w:w="1421"/>
              <w:gridCol w:w="2216"/>
              <w:gridCol w:w="3535"/>
            </w:tblGrid>
            <w:tr w14:paraId="4C17C7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764" w:type="dxa"/>
                  <w:vAlign w:val="center"/>
                </w:tcPr>
                <w:p w14:paraId="4F066797">
                  <w:pPr>
                    <w:pStyle w:val="229"/>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color w:val="auto"/>
                      <w:sz w:val="21"/>
                      <w:szCs w:val="21"/>
                    </w:rPr>
                  </w:pPr>
                  <w:r>
                    <w:rPr>
                      <w:rFonts w:ascii="Times New Roman" w:hAnsi="Times New Roman"/>
                      <w:color w:val="auto"/>
                      <w:spacing w:val="5"/>
                      <w:sz w:val="21"/>
                      <w:szCs w:val="21"/>
                    </w:rPr>
                    <w:t>序号</w:t>
                  </w:r>
                </w:p>
              </w:tc>
              <w:tc>
                <w:tcPr>
                  <w:tcW w:w="1421" w:type="dxa"/>
                  <w:vAlign w:val="center"/>
                </w:tcPr>
                <w:p w14:paraId="6319FA6E">
                  <w:pPr>
                    <w:pStyle w:val="229"/>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color w:val="auto"/>
                      <w:sz w:val="21"/>
                      <w:szCs w:val="21"/>
                    </w:rPr>
                  </w:pPr>
                  <w:r>
                    <w:rPr>
                      <w:rFonts w:ascii="Times New Roman" w:hAnsi="Times New Roman"/>
                      <w:color w:val="auto"/>
                      <w:sz w:val="21"/>
                      <w:szCs w:val="21"/>
                    </w:rPr>
                    <w:t>能源</w:t>
                  </w:r>
                </w:p>
              </w:tc>
              <w:tc>
                <w:tcPr>
                  <w:tcW w:w="2216" w:type="dxa"/>
                  <w:vAlign w:val="center"/>
                </w:tcPr>
                <w:p w14:paraId="766F58F2">
                  <w:pPr>
                    <w:pStyle w:val="229"/>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color w:val="auto"/>
                      <w:sz w:val="21"/>
                      <w:szCs w:val="21"/>
                    </w:rPr>
                  </w:pPr>
                  <w:r>
                    <w:rPr>
                      <w:rFonts w:ascii="Times New Roman" w:hAnsi="Times New Roman"/>
                      <w:color w:val="auto"/>
                      <w:spacing w:val="6"/>
                      <w:sz w:val="21"/>
                      <w:szCs w:val="21"/>
                    </w:rPr>
                    <w:t>能源消耗量</w:t>
                  </w:r>
                </w:p>
              </w:tc>
              <w:tc>
                <w:tcPr>
                  <w:tcW w:w="3535" w:type="dxa"/>
                  <w:vAlign w:val="center"/>
                </w:tcPr>
                <w:p w14:paraId="77B3D164">
                  <w:pPr>
                    <w:pStyle w:val="229"/>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color w:val="auto"/>
                      <w:sz w:val="21"/>
                      <w:szCs w:val="21"/>
                    </w:rPr>
                  </w:pPr>
                  <w:r>
                    <w:rPr>
                      <w:rFonts w:ascii="Times New Roman" w:hAnsi="Times New Roman"/>
                      <w:color w:val="auto"/>
                      <w:spacing w:val="5"/>
                      <w:sz w:val="21"/>
                      <w:szCs w:val="21"/>
                    </w:rPr>
                    <w:t>能源来源</w:t>
                  </w:r>
                </w:p>
              </w:tc>
            </w:tr>
            <w:tr w14:paraId="5CC25C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764" w:type="dxa"/>
                  <w:vAlign w:val="center"/>
                </w:tcPr>
                <w:p w14:paraId="313C89D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1</w:t>
                  </w:r>
                </w:p>
              </w:tc>
              <w:tc>
                <w:tcPr>
                  <w:tcW w:w="1421" w:type="dxa"/>
                  <w:vAlign w:val="center"/>
                </w:tcPr>
                <w:p w14:paraId="32FEE3C5">
                  <w:pPr>
                    <w:pStyle w:val="229"/>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color w:val="auto"/>
                      <w:sz w:val="21"/>
                      <w:szCs w:val="21"/>
                    </w:rPr>
                  </w:pPr>
                  <w:r>
                    <w:rPr>
                      <w:rFonts w:ascii="Times New Roman" w:hAnsi="Times New Roman"/>
                      <w:color w:val="auto"/>
                      <w:sz w:val="21"/>
                      <w:szCs w:val="21"/>
                    </w:rPr>
                    <w:t>水</w:t>
                  </w:r>
                </w:p>
              </w:tc>
              <w:tc>
                <w:tcPr>
                  <w:tcW w:w="2216" w:type="dxa"/>
                  <w:vAlign w:val="center"/>
                </w:tcPr>
                <w:p w14:paraId="6AE6D42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hint="eastAsia" w:ascii="Times New Roman" w:hAnsi="Times New Roman" w:eastAsia="宋体" w:cs="Times New Roman"/>
                      <w:color w:val="auto"/>
                      <w:spacing w:val="3"/>
                      <w:sz w:val="21"/>
                      <w:szCs w:val="21"/>
                      <w:lang w:val="en-US" w:eastAsia="zh-CN"/>
                    </w:rPr>
                    <w:t>120</w:t>
                  </w:r>
                  <w:r>
                    <w:rPr>
                      <w:rFonts w:ascii="Times New Roman" w:hAnsi="Times New Roman" w:eastAsia="Times New Roman" w:cs="Times New Roman"/>
                      <w:color w:val="auto"/>
                      <w:spacing w:val="3"/>
                      <w:sz w:val="21"/>
                      <w:szCs w:val="21"/>
                    </w:rPr>
                    <w:t>t/a</w:t>
                  </w:r>
                </w:p>
              </w:tc>
              <w:tc>
                <w:tcPr>
                  <w:tcW w:w="3535" w:type="dxa"/>
                  <w:vAlign w:val="center"/>
                </w:tcPr>
                <w:p w14:paraId="4A794291">
                  <w:pPr>
                    <w:pStyle w:val="229"/>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color w:val="auto"/>
                      <w:sz w:val="21"/>
                      <w:szCs w:val="21"/>
                    </w:rPr>
                  </w:pPr>
                  <w:r>
                    <w:rPr>
                      <w:rFonts w:ascii="Times New Roman" w:hAnsi="Times New Roman"/>
                      <w:color w:val="auto"/>
                      <w:spacing w:val="8"/>
                      <w:sz w:val="21"/>
                      <w:szCs w:val="21"/>
                    </w:rPr>
                    <w:t>接市政供水系统</w:t>
                  </w:r>
                </w:p>
              </w:tc>
            </w:tr>
            <w:tr w14:paraId="2EEC45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764" w:type="dxa"/>
                  <w:vAlign w:val="center"/>
                </w:tcPr>
                <w:p w14:paraId="6EB776F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2</w:t>
                  </w:r>
                </w:p>
              </w:tc>
              <w:tc>
                <w:tcPr>
                  <w:tcW w:w="1421" w:type="dxa"/>
                  <w:vAlign w:val="center"/>
                </w:tcPr>
                <w:p w14:paraId="11FB1D6B">
                  <w:pPr>
                    <w:pStyle w:val="229"/>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color w:val="auto"/>
                      <w:sz w:val="21"/>
                      <w:szCs w:val="21"/>
                    </w:rPr>
                  </w:pPr>
                  <w:r>
                    <w:rPr>
                      <w:rFonts w:ascii="Times New Roman" w:hAnsi="Times New Roman"/>
                      <w:color w:val="auto"/>
                      <w:sz w:val="21"/>
                      <w:szCs w:val="21"/>
                    </w:rPr>
                    <w:t>电</w:t>
                  </w:r>
                </w:p>
              </w:tc>
              <w:tc>
                <w:tcPr>
                  <w:tcW w:w="2216" w:type="dxa"/>
                  <w:vAlign w:val="center"/>
                </w:tcPr>
                <w:p w14:paraId="4665A7B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hint="eastAsia" w:ascii="Times New Roman" w:hAnsi="Times New Roman" w:eastAsia="宋体" w:cs="Times New Roman"/>
                      <w:color w:val="auto"/>
                      <w:spacing w:val="3"/>
                      <w:sz w:val="21"/>
                      <w:szCs w:val="21"/>
                      <w:lang w:val="en-US" w:eastAsia="zh-CN"/>
                    </w:rPr>
                    <w:t>120000kWh/a</w:t>
                  </w:r>
                </w:p>
              </w:tc>
              <w:tc>
                <w:tcPr>
                  <w:tcW w:w="3535" w:type="dxa"/>
                  <w:vAlign w:val="center"/>
                </w:tcPr>
                <w:p w14:paraId="16C68A22">
                  <w:pPr>
                    <w:pStyle w:val="229"/>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color w:val="auto"/>
                      <w:sz w:val="21"/>
                      <w:szCs w:val="21"/>
                    </w:rPr>
                  </w:pPr>
                  <w:r>
                    <w:rPr>
                      <w:rFonts w:ascii="Times New Roman" w:hAnsi="Times New Roman"/>
                      <w:color w:val="auto"/>
                      <w:spacing w:val="8"/>
                      <w:sz w:val="21"/>
                      <w:szCs w:val="21"/>
                    </w:rPr>
                    <w:t>接市政供电系统</w:t>
                  </w:r>
                </w:p>
              </w:tc>
            </w:tr>
          </w:tbl>
          <w:p w14:paraId="0C086E98">
            <w:pPr>
              <w:pStyle w:val="229"/>
              <w:keepNext w:val="0"/>
              <w:keepLines w:val="0"/>
              <w:pageBreakBefore w:val="0"/>
              <w:widowControl w:val="0"/>
              <w:kinsoku/>
              <w:wordWrap/>
              <w:overflowPunct/>
              <w:topLinePunct w:val="0"/>
              <w:autoSpaceDE/>
              <w:autoSpaceDN/>
              <w:bidi w:val="0"/>
              <w:adjustRightInd/>
              <w:snapToGrid/>
              <w:spacing w:line="360" w:lineRule="auto"/>
              <w:ind w:left="0"/>
              <w:textAlignment w:val="auto"/>
              <w:outlineLvl w:val="2"/>
              <w:rPr>
                <w:rFonts w:ascii="Times New Roman" w:hAnsi="Times New Roman" w:eastAsia="Times New Roman" w:cs="Times New Roman"/>
                <w:b/>
                <w:bCs/>
                <w:color w:val="auto"/>
                <w:spacing w:val="-2"/>
                <w:sz w:val="24"/>
                <w:szCs w:val="24"/>
              </w:rPr>
            </w:pPr>
            <w:r>
              <w:rPr>
                <w:rFonts w:ascii="Times New Roman" w:hAnsi="Times New Roman" w:eastAsia="Times New Roman" w:cs="Times New Roman"/>
                <w:b/>
                <w:bCs/>
                <w:color w:val="auto"/>
                <w:spacing w:val="-2"/>
                <w:sz w:val="24"/>
                <w:szCs w:val="24"/>
              </w:rPr>
              <w:t>2.1.</w:t>
            </w:r>
            <w:r>
              <w:rPr>
                <w:rFonts w:hint="eastAsia" w:ascii="Times New Roman" w:hAnsi="Times New Roman" w:eastAsia="Times New Roman" w:cs="Times New Roman"/>
                <w:b/>
                <w:bCs/>
                <w:color w:val="auto"/>
                <w:spacing w:val="-2"/>
                <w:sz w:val="24"/>
                <w:szCs w:val="24"/>
                <w:lang w:val="en-US" w:eastAsia="zh-CN"/>
              </w:rPr>
              <w:t>8</w:t>
            </w:r>
            <w:r>
              <w:rPr>
                <w:rFonts w:ascii="Times New Roman" w:hAnsi="Times New Roman" w:eastAsia="Times New Roman" w:cs="Times New Roman"/>
                <w:b/>
                <w:bCs/>
                <w:color w:val="auto"/>
                <w:spacing w:val="-2"/>
                <w:sz w:val="24"/>
                <w:szCs w:val="24"/>
              </w:rPr>
              <w:t>项目水平衡</w:t>
            </w:r>
          </w:p>
          <w:p w14:paraId="44CB1CE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宋体"/>
                <w:color w:val="auto"/>
                <w:kern w:val="0"/>
                <w:sz w:val="24"/>
                <w:szCs w:val="24"/>
                <w:lang w:val="en-US" w:eastAsia="zh-CN" w:bidi="ar"/>
              </w:rPr>
            </w:pPr>
            <w:r>
              <w:rPr>
                <w:rFonts w:hint="eastAsia" w:ascii="Times New Roman" w:hAnsi="Times New Roman" w:eastAsia="宋体" w:cs="宋体"/>
                <w:color w:val="auto"/>
                <w:kern w:val="0"/>
                <w:sz w:val="24"/>
                <w:szCs w:val="24"/>
                <w:lang w:val="en-US" w:eastAsia="zh-CN" w:bidi="ar"/>
              </w:rPr>
              <w:t>（1）</w:t>
            </w:r>
            <w:r>
              <w:rPr>
                <w:rFonts w:hint="eastAsia" w:cs="宋体"/>
                <w:color w:val="auto"/>
                <w:sz w:val="24"/>
                <w:szCs w:val="24"/>
                <w:highlight w:val="none"/>
                <w:lang w:val="en-US" w:eastAsia="zh-CN" w:bidi="ar-SA"/>
              </w:rPr>
              <w:t>研磨</w:t>
            </w:r>
            <w:r>
              <w:rPr>
                <w:rFonts w:hint="eastAsia" w:ascii="Times New Roman" w:hAnsi="Times New Roman" w:eastAsia="宋体" w:cs="宋体"/>
                <w:color w:val="auto"/>
                <w:sz w:val="24"/>
                <w:szCs w:val="24"/>
                <w:highlight w:val="none"/>
                <w:lang w:val="en-US" w:eastAsia="zh-CN" w:bidi="ar-SA"/>
              </w:rPr>
              <w:t>补充水量</w:t>
            </w:r>
            <w:r>
              <w:rPr>
                <w:rFonts w:hint="eastAsia" w:ascii="Times New Roman" w:hAnsi="Times New Roman" w:eastAsia="宋体" w:cs="宋体"/>
                <w:color w:val="auto"/>
                <w:kern w:val="0"/>
                <w:sz w:val="24"/>
                <w:szCs w:val="24"/>
                <w:lang w:val="en-US" w:eastAsia="zh-CN" w:bidi="ar"/>
              </w:rPr>
              <w:t>：根据建设单位提供资料，新鲜水补充量约为</w:t>
            </w:r>
            <w:r>
              <w:rPr>
                <w:rFonts w:hint="eastAsia" w:ascii="Times New Roman" w:hAnsi="Times New Roman" w:eastAsia="宋体" w:cs="Times New Roman"/>
                <w:color w:val="auto"/>
                <w:kern w:val="0"/>
                <w:sz w:val="24"/>
                <w:szCs w:val="24"/>
                <w:lang w:val="en-US" w:eastAsia="zh-CN" w:bidi="ar"/>
              </w:rPr>
              <w:t>0.01t/d（2.49t/a）</w:t>
            </w:r>
            <w:r>
              <w:rPr>
                <w:rFonts w:hint="eastAsia" w:cs="宋体"/>
                <w:color w:val="auto"/>
                <w:kern w:val="0"/>
                <w:sz w:val="24"/>
                <w:szCs w:val="24"/>
                <w:lang w:val="en-US" w:eastAsia="zh-CN" w:bidi="ar"/>
              </w:rPr>
              <w:t>；</w:t>
            </w:r>
          </w:p>
          <w:p w14:paraId="6FB75EB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宋体"/>
                <w:color w:val="auto"/>
                <w:kern w:val="0"/>
                <w:sz w:val="24"/>
                <w:szCs w:val="24"/>
                <w:lang w:val="en-US" w:eastAsia="zh-CN" w:bidi="ar"/>
              </w:rPr>
            </w:pPr>
            <w:r>
              <w:rPr>
                <w:rFonts w:hint="eastAsia" w:ascii="Times New Roman" w:hAnsi="Times New Roman" w:eastAsia="宋体" w:cs="宋体"/>
                <w:color w:val="auto"/>
                <w:kern w:val="0"/>
                <w:sz w:val="24"/>
                <w:szCs w:val="24"/>
                <w:lang w:val="en-US" w:eastAsia="zh-CN" w:bidi="ar"/>
              </w:rPr>
              <w:t>（2）抛光工序</w:t>
            </w:r>
            <w:r>
              <w:rPr>
                <w:rFonts w:hint="eastAsia" w:cs="宋体"/>
                <w:color w:val="auto"/>
                <w:kern w:val="0"/>
                <w:sz w:val="24"/>
                <w:szCs w:val="24"/>
                <w:lang w:val="en-US" w:eastAsia="zh-CN" w:bidi="ar"/>
              </w:rPr>
              <w:t>用水：</w:t>
            </w:r>
            <w:r>
              <w:rPr>
                <w:rFonts w:hint="eastAsia" w:ascii="Times New Roman" w:hAnsi="Times New Roman" w:eastAsia="宋体" w:cs="宋体"/>
                <w:color w:val="auto"/>
                <w:kern w:val="0"/>
                <w:sz w:val="24"/>
                <w:szCs w:val="24"/>
                <w:lang w:val="en-US" w:eastAsia="zh-CN" w:bidi="ar"/>
              </w:rPr>
              <w:t>根据建设单位提供资料，使用新鲜水</w:t>
            </w:r>
            <w:r>
              <w:rPr>
                <w:rFonts w:hint="eastAsia" w:ascii="Times New Roman" w:hAnsi="Times New Roman" w:eastAsia="宋体" w:cs="Times New Roman"/>
                <w:color w:val="auto"/>
                <w:kern w:val="0"/>
                <w:sz w:val="24"/>
                <w:szCs w:val="24"/>
                <w:lang w:val="en-US" w:eastAsia="zh-CN" w:bidi="ar"/>
              </w:rPr>
              <w:t>0.03t/d（7.47t/a）</w:t>
            </w:r>
            <w:r>
              <w:rPr>
                <w:rFonts w:hint="eastAsia" w:ascii="Times New Roman" w:hAnsi="Times New Roman" w:eastAsia="宋体" w:cs="宋体"/>
                <w:color w:val="auto"/>
                <w:kern w:val="0"/>
                <w:sz w:val="24"/>
                <w:szCs w:val="24"/>
                <w:lang w:val="en-US" w:eastAsia="zh-CN" w:bidi="ar"/>
              </w:rPr>
              <w:t>；</w:t>
            </w:r>
          </w:p>
          <w:p w14:paraId="728DF5E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eastAsia" w:ascii="Times New Roman" w:hAnsi="Times New Roman" w:eastAsia="宋体" w:cs="宋体"/>
                <w:color w:val="auto"/>
                <w:kern w:val="0"/>
                <w:sz w:val="24"/>
                <w:szCs w:val="24"/>
                <w:lang w:val="en-US" w:eastAsia="zh-CN" w:bidi="ar"/>
              </w:rPr>
              <w:t>（</w:t>
            </w:r>
            <w:r>
              <w:rPr>
                <w:rFonts w:hint="eastAsia" w:cs="宋体"/>
                <w:color w:val="auto"/>
                <w:kern w:val="0"/>
                <w:sz w:val="24"/>
                <w:szCs w:val="24"/>
                <w:lang w:val="en-US" w:eastAsia="zh-CN" w:bidi="ar"/>
              </w:rPr>
              <w:t>3</w:t>
            </w:r>
            <w:r>
              <w:rPr>
                <w:rFonts w:hint="eastAsia" w:ascii="Times New Roman" w:hAnsi="Times New Roman" w:eastAsia="宋体" w:cs="宋体"/>
                <w:color w:val="auto"/>
                <w:kern w:val="0"/>
                <w:sz w:val="24"/>
                <w:szCs w:val="24"/>
                <w:lang w:val="en-US" w:eastAsia="zh-CN" w:bidi="ar"/>
              </w:rPr>
              <w:t>）</w:t>
            </w:r>
            <w:r>
              <w:rPr>
                <w:rFonts w:hint="eastAsia" w:cs="宋体"/>
                <w:color w:val="auto"/>
                <w:kern w:val="0"/>
                <w:sz w:val="24"/>
                <w:szCs w:val="24"/>
                <w:lang w:val="en-US" w:eastAsia="zh-CN" w:bidi="ar"/>
              </w:rPr>
              <w:t>超声</w:t>
            </w:r>
            <w:r>
              <w:rPr>
                <w:rFonts w:hint="eastAsia" w:ascii="Times New Roman" w:hAnsi="Times New Roman" w:eastAsia="宋体" w:cs="宋体"/>
                <w:color w:val="auto"/>
                <w:kern w:val="0"/>
                <w:sz w:val="24"/>
                <w:szCs w:val="24"/>
                <w:lang w:val="en-US" w:eastAsia="zh-CN" w:bidi="ar"/>
              </w:rPr>
              <w:t>清洗工序用水：根据建设单位提供资料，超声波清洗机用水量为</w:t>
            </w:r>
            <w:r>
              <w:rPr>
                <w:rFonts w:hint="eastAsia" w:ascii="Times New Roman" w:hAnsi="Times New Roman" w:eastAsia="宋体" w:cs="Times New Roman"/>
                <w:color w:val="auto"/>
                <w:kern w:val="0"/>
                <w:sz w:val="24"/>
                <w:szCs w:val="24"/>
                <w:lang w:val="en-US" w:eastAsia="zh-CN" w:bidi="ar"/>
              </w:rPr>
              <w:t>0.04t/d（9.96t/a）</w:t>
            </w:r>
            <w:r>
              <w:rPr>
                <w:rFonts w:hint="eastAsia" w:cs="Times New Roman"/>
                <w:color w:val="auto"/>
                <w:kern w:val="0"/>
                <w:sz w:val="24"/>
                <w:szCs w:val="24"/>
                <w:lang w:val="en-US" w:eastAsia="zh-CN" w:bidi="ar"/>
              </w:rPr>
              <w:t>。</w:t>
            </w:r>
          </w:p>
          <w:p w14:paraId="4EB14E2F">
            <w:pPr>
              <w:pStyle w:val="229"/>
              <w:keepNext w:val="0"/>
              <w:keepLines w:val="0"/>
              <w:pageBreakBefore w:val="0"/>
              <w:widowControl w:val="0"/>
              <w:kinsoku/>
              <w:wordWrap/>
              <w:overflowPunct/>
              <w:topLinePunct w:val="0"/>
              <w:autoSpaceDE/>
              <w:autoSpaceDN/>
              <w:bidi w:val="0"/>
              <w:adjustRightInd/>
              <w:snapToGrid/>
              <w:spacing w:line="360" w:lineRule="auto"/>
              <w:ind w:left="0" w:right="0" w:firstLine="468" w:firstLineChars="200"/>
              <w:textAlignment w:val="auto"/>
              <w:rPr>
                <w:rFonts w:hint="default" w:ascii="Times New Roman" w:hAnsi="Times New Roman" w:eastAsia="宋体"/>
                <w:color w:val="auto"/>
                <w:spacing w:val="-7"/>
                <w:sz w:val="24"/>
                <w:szCs w:val="24"/>
                <w:lang w:val="en-US" w:eastAsia="zh-CN"/>
              </w:rPr>
            </w:pPr>
            <w:r>
              <w:rPr>
                <w:rFonts w:ascii="Times New Roman" w:hAnsi="Times New Roman" w:eastAsia="宋体"/>
                <w:color w:val="auto"/>
                <w:spacing w:val="-3"/>
                <w:sz w:val="24"/>
                <w:szCs w:val="24"/>
              </w:rPr>
              <w:t>（</w:t>
            </w:r>
            <w:r>
              <w:rPr>
                <w:rFonts w:hint="eastAsia" w:ascii="Times New Roman" w:hAnsi="Times New Roman" w:cs="Times New Roman"/>
                <w:color w:val="auto"/>
                <w:spacing w:val="-3"/>
                <w:sz w:val="24"/>
                <w:szCs w:val="24"/>
                <w:lang w:val="en-US" w:eastAsia="zh-CN"/>
              </w:rPr>
              <w:t>4</w:t>
            </w:r>
            <w:r>
              <w:rPr>
                <w:rFonts w:ascii="Times New Roman" w:hAnsi="Times New Roman" w:eastAsia="宋体"/>
                <w:color w:val="auto"/>
                <w:spacing w:val="-3"/>
                <w:sz w:val="24"/>
                <w:szCs w:val="24"/>
              </w:rPr>
              <w:t>）职工生活用水</w:t>
            </w:r>
            <w:r>
              <w:rPr>
                <w:rFonts w:hint="eastAsia" w:ascii="Times New Roman" w:hAnsi="Times New Roman" w:eastAsia="宋体"/>
                <w:color w:val="auto"/>
                <w:spacing w:val="-3"/>
                <w:sz w:val="24"/>
                <w:szCs w:val="24"/>
                <w:lang w:eastAsia="zh-CN"/>
              </w:rPr>
              <w:t>：</w:t>
            </w:r>
            <w:r>
              <w:rPr>
                <w:rFonts w:ascii="Times New Roman" w:hAnsi="Times New Roman" w:eastAsia="宋体"/>
                <w:color w:val="auto"/>
                <w:spacing w:val="6"/>
                <w:sz w:val="24"/>
                <w:szCs w:val="24"/>
              </w:rPr>
              <w:t>本项目劳动定员</w:t>
            </w:r>
            <w:r>
              <w:rPr>
                <w:rFonts w:hint="eastAsia" w:ascii="Times New Roman" w:hAnsi="Times New Roman" w:eastAsia="宋体" w:cs="Times New Roman"/>
                <w:color w:val="auto"/>
                <w:spacing w:val="6"/>
                <w:sz w:val="24"/>
                <w:szCs w:val="24"/>
                <w:lang w:val="en-US" w:eastAsia="zh-CN"/>
              </w:rPr>
              <w:t>8</w:t>
            </w:r>
            <w:r>
              <w:rPr>
                <w:rFonts w:ascii="Times New Roman" w:hAnsi="Times New Roman" w:eastAsia="宋体"/>
                <w:color w:val="auto"/>
                <w:spacing w:val="6"/>
                <w:sz w:val="24"/>
                <w:szCs w:val="24"/>
              </w:rPr>
              <w:t>人，均不住厂，根据《建筑给水排水设计标准》</w:t>
            </w:r>
            <w:r>
              <w:rPr>
                <w:rFonts w:ascii="Times New Roman" w:hAnsi="Times New Roman" w:eastAsia="宋体"/>
                <w:color w:val="auto"/>
                <w:spacing w:val="-2"/>
                <w:sz w:val="24"/>
                <w:szCs w:val="24"/>
              </w:rPr>
              <w:t>（</w:t>
            </w:r>
            <w:r>
              <w:rPr>
                <w:rFonts w:ascii="Times New Roman" w:hAnsi="Times New Roman" w:eastAsia="宋体" w:cs="Times New Roman"/>
                <w:color w:val="auto"/>
                <w:spacing w:val="-2"/>
                <w:sz w:val="24"/>
                <w:szCs w:val="24"/>
              </w:rPr>
              <w:t>GB50015-2019</w:t>
            </w:r>
            <w:r>
              <w:rPr>
                <w:rFonts w:ascii="Times New Roman" w:hAnsi="Times New Roman" w:eastAsia="宋体"/>
                <w:color w:val="auto"/>
                <w:spacing w:val="-4"/>
                <w:sz w:val="24"/>
                <w:szCs w:val="24"/>
              </w:rPr>
              <w:t>），</w:t>
            </w:r>
            <w:r>
              <w:rPr>
                <w:rFonts w:ascii="Times New Roman" w:hAnsi="Times New Roman" w:eastAsia="宋体"/>
                <w:color w:val="auto"/>
                <w:spacing w:val="-2"/>
                <w:sz w:val="24"/>
                <w:szCs w:val="24"/>
              </w:rPr>
              <w:t>车间工人的生活用水定额应根据车间性质确定，一般宜</w:t>
            </w:r>
            <w:r>
              <w:rPr>
                <w:rFonts w:ascii="Times New Roman" w:hAnsi="Times New Roman" w:eastAsia="宋体"/>
                <w:color w:val="auto"/>
                <w:spacing w:val="-4"/>
                <w:sz w:val="24"/>
                <w:szCs w:val="24"/>
              </w:rPr>
              <w:t>采用</w:t>
            </w:r>
            <w:r>
              <w:rPr>
                <w:rFonts w:ascii="Times New Roman" w:hAnsi="Times New Roman" w:eastAsia="宋体" w:cs="Times New Roman"/>
                <w:color w:val="auto"/>
                <w:spacing w:val="-4"/>
                <w:sz w:val="24"/>
                <w:szCs w:val="24"/>
              </w:rPr>
              <w:t>30-50L/</w:t>
            </w:r>
            <w:r>
              <w:rPr>
                <w:rFonts w:ascii="Times New Roman" w:hAnsi="Times New Roman" w:eastAsia="宋体"/>
                <w:color w:val="auto"/>
                <w:spacing w:val="-4"/>
                <w:sz w:val="24"/>
                <w:szCs w:val="24"/>
              </w:rPr>
              <w:t>人·班，本项目不住厂职工生活用水定额按</w:t>
            </w:r>
            <w:r>
              <w:rPr>
                <w:rFonts w:ascii="Times New Roman" w:hAnsi="Times New Roman" w:eastAsia="宋体" w:cs="Times New Roman"/>
                <w:color w:val="auto"/>
                <w:spacing w:val="-4"/>
                <w:sz w:val="24"/>
                <w:szCs w:val="24"/>
              </w:rPr>
              <w:t>50L/</w:t>
            </w:r>
            <w:r>
              <w:rPr>
                <w:rFonts w:ascii="Times New Roman" w:hAnsi="Times New Roman" w:eastAsia="宋体"/>
                <w:color w:val="auto"/>
                <w:spacing w:val="-4"/>
                <w:sz w:val="24"/>
                <w:szCs w:val="24"/>
              </w:rPr>
              <w:t>人·班计。项</w:t>
            </w:r>
            <w:r>
              <w:rPr>
                <w:rFonts w:ascii="Times New Roman" w:hAnsi="Times New Roman" w:eastAsia="宋体"/>
                <w:color w:val="auto"/>
                <w:spacing w:val="-1"/>
                <w:sz w:val="24"/>
                <w:szCs w:val="24"/>
              </w:rPr>
              <w:t>目年工作日按</w:t>
            </w:r>
            <w:r>
              <w:rPr>
                <w:rFonts w:hint="eastAsia" w:ascii="Times New Roman" w:hAnsi="Times New Roman" w:eastAsia="宋体"/>
                <w:color w:val="auto"/>
                <w:spacing w:val="-1"/>
                <w:sz w:val="24"/>
                <w:szCs w:val="24"/>
                <w:lang w:val="en-US" w:eastAsia="zh-CN"/>
              </w:rPr>
              <w:t>1992小时（及</w:t>
            </w:r>
            <w:r>
              <w:rPr>
                <w:rFonts w:hint="eastAsia" w:ascii="Times New Roman" w:hAnsi="Times New Roman" w:eastAsia="宋体" w:cs="Times New Roman"/>
                <w:color w:val="auto"/>
                <w:spacing w:val="-1"/>
                <w:sz w:val="24"/>
                <w:szCs w:val="24"/>
                <w:lang w:val="en-US" w:eastAsia="zh-CN"/>
              </w:rPr>
              <w:t>249</w:t>
            </w:r>
            <w:r>
              <w:rPr>
                <w:rFonts w:ascii="Times New Roman" w:hAnsi="Times New Roman" w:eastAsia="宋体"/>
                <w:color w:val="auto"/>
                <w:spacing w:val="-1"/>
                <w:sz w:val="24"/>
                <w:szCs w:val="24"/>
              </w:rPr>
              <w:t>天</w:t>
            </w:r>
            <w:r>
              <w:rPr>
                <w:rFonts w:hint="eastAsia" w:ascii="Times New Roman" w:hAnsi="Times New Roman" w:eastAsia="宋体"/>
                <w:color w:val="auto"/>
                <w:spacing w:val="-1"/>
                <w:sz w:val="24"/>
                <w:szCs w:val="24"/>
                <w:lang w:val="en-US" w:eastAsia="zh-CN"/>
              </w:rPr>
              <w:t>）</w:t>
            </w:r>
            <w:r>
              <w:rPr>
                <w:rFonts w:ascii="Times New Roman" w:hAnsi="Times New Roman" w:eastAsia="宋体"/>
                <w:color w:val="auto"/>
                <w:spacing w:val="-1"/>
                <w:sz w:val="24"/>
                <w:szCs w:val="24"/>
              </w:rPr>
              <w:t>计，则本项目职工生活用水量约为</w:t>
            </w:r>
            <w:r>
              <w:rPr>
                <w:rFonts w:hint="eastAsia" w:ascii="Times New Roman" w:hAnsi="Times New Roman" w:eastAsia="宋体" w:cs="Times New Roman"/>
                <w:color w:val="auto"/>
                <w:spacing w:val="-1"/>
                <w:sz w:val="24"/>
                <w:szCs w:val="24"/>
                <w:lang w:val="en-US" w:eastAsia="zh-CN"/>
              </w:rPr>
              <w:t>0.4</w:t>
            </w:r>
            <w:r>
              <w:rPr>
                <w:rFonts w:ascii="Times New Roman" w:hAnsi="Times New Roman" w:eastAsia="宋体" w:cs="Times New Roman"/>
                <w:color w:val="auto"/>
                <w:spacing w:val="-1"/>
                <w:sz w:val="24"/>
                <w:szCs w:val="24"/>
              </w:rPr>
              <w:t>t/d</w:t>
            </w:r>
            <w:r>
              <w:rPr>
                <w:rFonts w:ascii="Times New Roman" w:hAnsi="Times New Roman" w:eastAsia="宋体"/>
                <w:color w:val="auto"/>
                <w:spacing w:val="-1"/>
                <w:sz w:val="24"/>
                <w:szCs w:val="24"/>
              </w:rPr>
              <w:t>（</w:t>
            </w:r>
            <w:r>
              <w:rPr>
                <w:rFonts w:hint="eastAsia" w:ascii="Times New Roman" w:hAnsi="Times New Roman" w:eastAsia="宋体"/>
                <w:color w:val="auto"/>
                <w:spacing w:val="-1"/>
                <w:sz w:val="24"/>
                <w:szCs w:val="24"/>
                <w:lang w:val="en-US" w:eastAsia="zh-CN"/>
              </w:rPr>
              <w:t>99.6</w:t>
            </w:r>
            <w:r>
              <w:rPr>
                <w:rFonts w:ascii="Times New Roman" w:hAnsi="Times New Roman" w:eastAsia="宋体" w:cs="Times New Roman"/>
                <w:color w:val="auto"/>
                <w:spacing w:val="-1"/>
                <w:sz w:val="24"/>
                <w:szCs w:val="24"/>
              </w:rPr>
              <w:t>t/a</w:t>
            </w:r>
            <w:r>
              <w:rPr>
                <w:rFonts w:ascii="Times New Roman" w:hAnsi="Times New Roman" w:eastAsia="宋体"/>
                <w:color w:val="auto"/>
                <w:spacing w:val="15"/>
                <w:sz w:val="24"/>
                <w:szCs w:val="24"/>
              </w:rPr>
              <w:t>），</w:t>
            </w:r>
            <w:r>
              <w:rPr>
                <w:rFonts w:ascii="Times New Roman" w:hAnsi="Times New Roman" w:eastAsia="宋体"/>
                <w:color w:val="auto"/>
                <w:spacing w:val="-1"/>
                <w:sz w:val="24"/>
                <w:szCs w:val="24"/>
              </w:rPr>
              <w:t>根据《排放源统计调查产排污计算方法和核算手册》中《生活源产排污系数手</w:t>
            </w:r>
            <w:r>
              <w:rPr>
                <w:rFonts w:ascii="Times New Roman" w:hAnsi="Times New Roman" w:eastAsia="宋体"/>
                <w:color w:val="auto"/>
                <w:spacing w:val="-7"/>
                <w:sz w:val="24"/>
                <w:szCs w:val="24"/>
              </w:rPr>
              <w:t>册》，人均日生活用水量</w:t>
            </w:r>
            <w:r>
              <w:rPr>
                <w:rFonts w:ascii="Times New Roman" w:hAnsi="Times New Roman" w:eastAsia="宋体" w:cs="Times New Roman"/>
                <w:color w:val="auto"/>
                <w:spacing w:val="-7"/>
                <w:sz w:val="24"/>
                <w:szCs w:val="24"/>
              </w:rPr>
              <w:t>≤150</w:t>
            </w:r>
            <w:r>
              <w:rPr>
                <w:rFonts w:ascii="Times New Roman" w:hAnsi="Times New Roman" w:eastAsia="宋体"/>
                <w:color w:val="auto"/>
                <w:spacing w:val="-7"/>
                <w:sz w:val="24"/>
                <w:szCs w:val="24"/>
              </w:rPr>
              <w:t>升</w:t>
            </w:r>
            <w:r>
              <w:rPr>
                <w:rFonts w:ascii="Times New Roman" w:hAnsi="Times New Roman" w:eastAsia="宋体" w:cs="Times New Roman"/>
                <w:color w:val="auto"/>
                <w:spacing w:val="-7"/>
                <w:sz w:val="24"/>
                <w:szCs w:val="24"/>
              </w:rPr>
              <w:t>/</w:t>
            </w:r>
            <w:r>
              <w:rPr>
                <w:rFonts w:ascii="Times New Roman" w:hAnsi="Times New Roman" w:eastAsia="宋体"/>
                <w:color w:val="auto"/>
                <w:spacing w:val="-7"/>
                <w:sz w:val="24"/>
                <w:szCs w:val="24"/>
              </w:rPr>
              <w:t>人·天时，折污系数取</w:t>
            </w:r>
            <w:r>
              <w:rPr>
                <w:rFonts w:ascii="Times New Roman" w:hAnsi="Times New Roman" w:eastAsia="宋体" w:cs="Times New Roman"/>
                <w:color w:val="auto"/>
                <w:spacing w:val="-7"/>
                <w:sz w:val="24"/>
                <w:szCs w:val="24"/>
              </w:rPr>
              <w:t>0.8</w:t>
            </w:r>
            <w:r>
              <w:rPr>
                <w:rFonts w:ascii="Times New Roman" w:hAnsi="Times New Roman" w:eastAsia="宋体"/>
                <w:color w:val="auto"/>
                <w:spacing w:val="-37"/>
                <w:sz w:val="24"/>
                <w:szCs w:val="24"/>
              </w:rPr>
              <w:t>，</w:t>
            </w:r>
            <w:r>
              <w:rPr>
                <w:rFonts w:ascii="Times New Roman" w:hAnsi="Times New Roman" w:eastAsia="宋体"/>
                <w:color w:val="auto"/>
                <w:spacing w:val="-1"/>
                <w:sz w:val="24"/>
                <w:szCs w:val="24"/>
              </w:rPr>
              <w:t>则项目生活污水产生量约</w:t>
            </w:r>
            <w:r>
              <w:rPr>
                <w:rFonts w:hint="eastAsia" w:ascii="Times New Roman" w:hAnsi="Times New Roman" w:eastAsia="宋体" w:cs="Times New Roman"/>
                <w:color w:val="auto"/>
                <w:spacing w:val="-1"/>
                <w:sz w:val="24"/>
                <w:szCs w:val="24"/>
                <w:lang w:val="en-US" w:eastAsia="zh-CN"/>
              </w:rPr>
              <w:t>0.32</w:t>
            </w:r>
            <w:r>
              <w:rPr>
                <w:rFonts w:ascii="Times New Roman" w:hAnsi="Times New Roman" w:eastAsia="宋体" w:cs="Times New Roman"/>
                <w:color w:val="auto"/>
                <w:spacing w:val="-1"/>
                <w:sz w:val="24"/>
                <w:szCs w:val="24"/>
              </w:rPr>
              <w:t>t/d</w:t>
            </w:r>
            <w:r>
              <w:rPr>
                <w:rFonts w:ascii="Times New Roman" w:hAnsi="Times New Roman" w:eastAsia="宋体"/>
                <w:color w:val="auto"/>
                <w:spacing w:val="-1"/>
                <w:sz w:val="24"/>
                <w:szCs w:val="24"/>
              </w:rPr>
              <w:t>（</w:t>
            </w:r>
            <w:r>
              <w:rPr>
                <w:rFonts w:hint="eastAsia" w:ascii="Times New Roman" w:hAnsi="Times New Roman" w:eastAsia="宋体"/>
                <w:color w:val="auto"/>
                <w:spacing w:val="-1"/>
                <w:sz w:val="24"/>
                <w:szCs w:val="24"/>
                <w:lang w:val="en-US" w:eastAsia="zh-CN"/>
              </w:rPr>
              <w:t>79.68</w:t>
            </w:r>
            <w:r>
              <w:rPr>
                <w:rFonts w:ascii="Times New Roman" w:hAnsi="Times New Roman" w:eastAsia="宋体" w:cs="Times New Roman"/>
                <w:color w:val="auto"/>
                <w:spacing w:val="-2"/>
                <w:sz w:val="24"/>
                <w:szCs w:val="24"/>
              </w:rPr>
              <w:t>t/a</w:t>
            </w:r>
            <w:r>
              <w:rPr>
                <w:rFonts w:ascii="Times New Roman" w:hAnsi="Times New Roman" w:eastAsia="宋体"/>
                <w:color w:val="auto"/>
                <w:spacing w:val="-2"/>
                <w:sz w:val="24"/>
                <w:szCs w:val="24"/>
              </w:rPr>
              <w:t>）。</w:t>
            </w:r>
            <w:r>
              <w:rPr>
                <w:rFonts w:hint="eastAsia" w:ascii="Times New Roman" w:hAnsi="Times New Roman"/>
                <w:color w:val="auto"/>
                <w:spacing w:val="-2"/>
                <w:sz w:val="24"/>
                <w:szCs w:val="24"/>
                <w:lang w:val="en-US" w:eastAsia="zh-CN"/>
              </w:rPr>
              <w:t>项目水平衡详见</w:t>
            </w:r>
            <w:r>
              <w:rPr>
                <w:rFonts w:ascii="Times New Roman" w:hAnsi="Times New Roman" w:eastAsia="宋体"/>
                <w:color w:val="auto"/>
                <w:spacing w:val="-7"/>
                <w:sz w:val="24"/>
                <w:szCs w:val="24"/>
              </w:rPr>
              <w:t>图2.1-</w:t>
            </w:r>
            <w:r>
              <w:rPr>
                <w:rFonts w:hint="eastAsia" w:ascii="Times New Roman" w:hAnsi="Times New Roman"/>
                <w:color w:val="auto"/>
                <w:spacing w:val="-7"/>
                <w:sz w:val="24"/>
                <w:szCs w:val="24"/>
                <w:lang w:val="en-US" w:eastAsia="zh-CN"/>
              </w:rPr>
              <w:t>1。</w:t>
            </w:r>
          </w:p>
          <w:p w14:paraId="3005F037">
            <w:pPr>
              <w:pStyle w:val="229"/>
              <w:keepNext w:val="0"/>
              <w:keepLines w:val="0"/>
              <w:pageBreakBefore w:val="0"/>
              <w:widowControl w:val="0"/>
              <w:kinsoku/>
              <w:wordWrap/>
              <w:overflowPunct/>
              <w:topLinePunct w:val="0"/>
              <w:autoSpaceDE/>
              <w:autoSpaceDN/>
              <w:bidi w:val="0"/>
              <w:adjustRightInd/>
              <w:snapToGrid/>
              <w:spacing w:line="360" w:lineRule="auto"/>
              <w:ind w:left="0"/>
              <w:textAlignment w:val="auto"/>
              <w:outlineLvl w:val="2"/>
              <w:rPr>
                <w:rFonts w:hint="eastAsia" w:ascii="Times New Roman" w:hAnsi="Times New Roman" w:eastAsia="宋体" w:cs="Times New Roman"/>
                <w:b/>
                <w:bCs/>
                <w:color w:val="auto"/>
                <w:spacing w:val="-2"/>
                <w:sz w:val="24"/>
                <w:szCs w:val="24"/>
                <w:lang w:eastAsia="zh-CN"/>
              </w:rPr>
            </w:pPr>
            <w:r>
              <w:rPr>
                <w:rFonts w:hint="eastAsia" w:ascii="Times New Roman" w:hAnsi="Times New Roman" w:eastAsia="宋体" w:cs="Times New Roman"/>
                <w:b/>
                <w:bCs/>
                <w:color w:val="auto"/>
                <w:spacing w:val="-2"/>
                <w:sz w:val="24"/>
                <w:szCs w:val="24"/>
                <w:lang w:eastAsia="zh-CN"/>
              </w:rPr>
              <w:drawing>
                <wp:inline distT="0" distB="0" distL="114300" distR="114300">
                  <wp:extent cx="4950460" cy="2122805"/>
                  <wp:effectExtent l="0" t="0" r="0" b="0"/>
                  <wp:docPr id="33" name="ECB019B1-382A-4266-B25C-5B523AA43C14-1" descr="C:/Users/AA/AppData/Local/Temp/wps.GdwaJp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CB019B1-382A-4266-B25C-5B523AA43C14-1" descr="C:/Users/AA/AppData/Local/Temp/wps.GdwaJpwps"/>
                          <pic:cNvPicPr>
                            <a:picLocks noChangeAspect="1"/>
                          </pic:cNvPicPr>
                        </pic:nvPicPr>
                        <pic:blipFill>
                          <a:blip r:embed="rId22"/>
                          <a:stretch>
                            <a:fillRect/>
                          </a:stretch>
                        </pic:blipFill>
                        <pic:spPr>
                          <a:xfrm>
                            <a:off x="0" y="0"/>
                            <a:ext cx="4950460" cy="2122805"/>
                          </a:xfrm>
                          <a:prstGeom prst="rect">
                            <a:avLst/>
                          </a:prstGeom>
                          <a:noFill/>
                          <a:ln>
                            <a:noFill/>
                          </a:ln>
                        </pic:spPr>
                      </pic:pic>
                    </a:graphicData>
                  </a:graphic>
                </wp:inline>
              </w:drawing>
            </w:r>
          </w:p>
          <w:p w14:paraId="246A0C26">
            <w:pPr>
              <w:pStyle w:val="229"/>
              <w:keepNext w:val="0"/>
              <w:keepLines w:val="0"/>
              <w:pageBreakBefore w:val="0"/>
              <w:widowControl w:val="0"/>
              <w:kinsoku/>
              <w:wordWrap/>
              <w:overflowPunct/>
              <w:topLinePunct w:val="0"/>
              <w:autoSpaceDE/>
              <w:autoSpaceDN/>
              <w:bidi w:val="0"/>
              <w:adjustRightInd/>
              <w:snapToGrid/>
              <w:spacing w:line="360" w:lineRule="auto"/>
              <w:ind w:left="0"/>
              <w:jc w:val="center"/>
              <w:textAlignment w:val="auto"/>
              <w:outlineLvl w:val="2"/>
              <w:rPr>
                <w:rFonts w:hint="default" w:ascii="Times New Roman" w:hAnsi="Times New Roman" w:eastAsia="宋体" w:cs="Times New Roman"/>
                <w:b/>
                <w:bCs/>
                <w:color w:val="auto"/>
                <w:spacing w:val="-2"/>
                <w:sz w:val="24"/>
                <w:szCs w:val="24"/>
                <w:lang w:val="en-US" w:eastAsia="zh-CN"/>
              </w:rPr>
            </w:pPr>
            <w:r>
              <w:rPr>
                <w:rFonts w:ascii="Times New Roman" w:hAnsi="Times New Roman"/>
                <w:b/>
                <w:bCs/>
                <w:color w:val="auto"/>
                <w:spacing w:val="-3"/>
                <w:sz w:val="24"/>
                <w:szCs w:val="24"/>
              </w:rPr>
              <w:t>图</w:t>
            </w:r>
            <w:r>
              <w:rPr>
                <w:rFonts w:ascii="Times New Roman" w:hAnsi="Times New Roman" w:eastAsia="Times New Roman" w:cs="Times New Roman"/>
                <w:b/>
                <w:bCs/>
                <w:color w:val="auto"/>
                <w:spacing w:val="-3"/>
                <w:sz w:val="24"/>
                <w:szCs w:val="24"/>
              </w:rPr>
              <w:t>2.1-</w:t>
            </w:r>
            <w:r>
              <w:rPr>
                <w:rFonts w:hint="eastAsia" w:ascii="Times New Roman" w:hAnsi="Times New Roman" w:cs="Times New Roman"/>
                <w:b/>
                <w:bCs/>
                <w:color w:val="auto"/>
                <w:spacing w:val="-3"/>
                <w:sz w:val="24"/>
                <w:szCs w:val="24"/>
                <w:lang w:val="en-US" w:eastAsia="zh-CN"/>
              </w:rPr>
              <w:t>1</w:t>
            </w:r>
            <w:r>
              <w:rPr>
                <w:rFonts w:hint="eastAsia" w:ascii="Times New Roman" w:hAnsi="Times New Roman" w:eastAsia="宋体" w:cs="Times New Roman"/>
                <w:b/>
                <w:bCs/>
                <w:color w:val="auto"/>
                <w:spacing w:val="-2"/>
                <w:sz w:val="24"/>
                <w:szCs w:val="24"/>
                <w:lang w:val="en-US" w:eastAsia="zh-CN"/>
              </w:rPr>
              <w:t>项目水平衡图</w:t>
            </w:r>
            <w:r>
              <w:rPr>
                <w:rFonts w:hint="eastAsia" w:ascii="Times New Roman" w:hAnsi="Times New Roman" w:cs="Times New Roman"/>
                <w:b/>
                <w:bCs/>
                <w:color w:val="auto"/>
                <w:spacing w:val="-2"/>
                <w:sz w:val="24"/>
                <w:szCs w:val="24"/>
                <w:lang w:val="en-US" w:eastAsia="zh-CN"/>
              </w:rPr>
              <w:t>（t/a）</w:t>
            </w:r>
          </w:p>
          <w:p w14:paraId="06599B11">
            <w:pPr>
              <w:pStyle w:val="229"/>
              <w:keepNext w:val="0"/>
              <w:keepLines w:val="0"/>
              <w:pageBreakBefore w:val="0"/>
              <w:widowControl w:val="0"/>
              <w:kinsoku/>
              <w:wordWrap/>
              <w:overflowPunct/>
              <w:topLinePunct w:val="0"/>
              <w:autoSpaceDE/>
              <w:autoSpaceDN/>
              <w:bidi w:val="0"/>
              <w:adjustRightInd/>
              <w:snapToGrid/>
              <w:spacing w:line="360" w:lineRule="auto"/>
              <w:ind w:left="0"/>
              <w:textAlignment w:val="auto"/>
              <w:outlineLvl w:val="2"/>
              <w:rPr>
                <w:rFonts w:ascii="Times New Roman" w:hAnsi="Times New Roman"/>
                <w:color w:val="auto"/>
                <w:sz w:val="24"/>
                <w:szCs w:val="24"/>
              </w:rPr>
            </w:pPr>
            <w:r>
              <w:rPr>
                <w:rFonts w:ascii="Times New Roman" w:hAnsi="Times New Roman" w:eastAsia="Times New Roman" w:cs="Times New Roman"/>
                <w:b/>
                <w:bCs/>
                <w:color w:val="auto"/>
                <w:spacing w:val="-2"/>
                <w:sz w:val="24"/>
                <w:szCs w:val="24"/>
              </w:rPr>
              <w:t>2.1.9</w:t>
            </w:r>
            <w:r>
              <w:rPr>
                <w:rFonts w:ascii="Times New Roman" w:hAnsi="Times New Roman"/>
                <w:b/>
                <w:bCs/>
                <w:color w:val="auto"/>
                <w:spacing w:val="-2"/>
                <w:sz w:val="24"/>
                <w:szCs w:val="24"/>
              </w:rPr>
              <w:t>平面布置合理性分析</w:t>
            </w:r>
          </w:p>
          <w:p w14:paraId="68D2FEEB">
            <w:pPr>
              <w:pStyle w:val="229"/>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jc w:val="both"/>
              <w:textAlignment w:val="auto"/>
              <w:rPr>
                <w:rFonts w:ascii="Times New Roman" w:hAnsi="Times New Roman" w:eastAsia="宋体" w:cs="宋体"/>
                <w:color w:val="auto"/>
                <w:sz w:val="24"/>
                <w:szCs w:val="24"/>
              </w:rPr>
            </w:pPr>
            <w:r>
              <w:rPr>
                <w:rFonts w:ascii="Times New Roman" w:hAnsi="Times New Roman" w:eastAsia="宋体"/>
                <w:color w:val="auto"/>
                <w:spacing w:val="-1"/>
                <w:sz w:val="24"/>
                <w:szCs w:val="24"/>
              </w:rPr>
              <w:t>本项目位于</w:t>
            </w:r>
            <w:r>
              <w:rPr>
                <w:rFonts w:hint="default" w:ascii="Times New Roman" w:hAnsi="Times New Roman" w:eastAsia="宋体" w:cs="宋体"/>
                <w:color w:val="auto"/>
                <w:spacing w:val="-1"/>
                <w:sz w:val="24"/>
                <w:szCs w:val="24"/>
                <w:lang w:val="en-US" w:eastAsia="zh-CN"/>
              </w:rPr>
              <w:t>福建省福州市闽侯县经济技术开发区一期延伸区综合大楼第五层</w:t>
            </w:r>
            <w:r>
              <w:rPr>
                <w:rFonts w:ascii="Times New Roman" w:hAnsi="Times New Roman" w:eastAsia="宋体" w:cs="宋体"/>
                <w:color w:val="auto"/>
                <w:spacing w:val="-1"/>
                <w:sz w:val="24"/>
                <w:szCs w:val="24"/>
              </w:rPr>
              <w:t>。</w:t>
            </w:r>
            <w:r>
              <w:rPr>
                <w:rFonts w:hint="eastAsia" w:ascii="Times New Roman" w:hAnsi="Times New Roman" w:eastAsia="宋体" w:cs="宋体"/>
                <w:color w:val="auto"/>
                <w:spacing w:val="-1"/>
                <w:sz w:val="24"/>
                <w:szCs w:val="24"/>
                <w:lang w:eastAsia="zh-CN"/>
              </w:rPr>
              <w:t>园区</w:t>
            </w:r>
            <w:r>
              <w:rPr>
                <w:rFonts w:ascii="Times New Roman" w:hAnsi="Times New Roman" w:eastAsia="宋体" w:cs="宋体"/>
                <w:color w:val="auto"/>
                <w:spacing w:val="-1"/>
                <w:sz w:val="24"/>
                <w:szCs w:val="24"/>
              </w:rPr>
              <w:t>总平面布置在符合规定及要求的基础上，结</w:t>
            </w:r>
            <w:r>
              <w:rPr>
                <w:rFonts w:ascii="Times New Roman" w:hAnsi="Times New Roman" w:eastAsia="宋体"/>
                <w:color w:val="auto"/>
                <w:spacing w:val="1"/>
                <w:sz w:val="24"/>
                <w:szCs w:val="24"/>
              </w:rPr>
              <w:t>合工艺</w:t>
            </w:r>
            <w:r>
              <w:rPr>
                <w:rFonts w:ascii="Times New Roman" w:hAnsi="Times New Roman" w:eastAsia="宋体"/>
                <w:color w:val="auto"/>
                <w:sz w:val="24"/>
                <w:szCs w:val="24"/>
              </w:rPr>
              <w:t>生产要求及用地现有自然条件，满足生产运输、安全卫生、环境保护及施工管理等方面的需要，同时考虑企业在生产、交通运输、动力设施等方面的协作关系，做到生产工艺流程顺畅，通道宽度适中。总体布置统筹规划，远近</w:t>
            </w:r>
            <w:r>
              <w:rPr>
                <w:rFonts w:ascii="Times New Roman" w:hAnsi="Times New Roman" w:eastAsia="宋体"/>
                <w:color w:val="auto"/>
                <w:spacing w:val="-5"/>
                <w:sz w:val="24"/>
                <w:szCs w:val="24"/>
              </w:rPr>
              <w:t>期结合，各子项布局合理紧凑，协调统一。总图设计根据企业规划发展要求，</w:t>
            </w:r>
            <w:r>
              <w:rPr>
                <w:rFonts w:ascii="Times New Roman" w:hAnsi="Times New Roman" w:eastAsia="宋体"/>
                <w:color w:val="auto"/>
                <w:sz w:val="24"/>
                <w:szCs w:val="24"/>
              </w:rPr>
              <w:t>本着总体规</w:t>
            </w:r>
            <w:r>
              <w:rPr>
                <w:rFonts w:ascii="Times New Roman" w:hAnsi="Times New Roman" w:eastAsia="宋体" w:cs="宋体"/>
                <w:color w:val="auto"/>
                <w:sz w:val="24"/>
                <w:szCs w:val="24"/>
              </w:rPr>
              <w:t>划，分步实施的原则，统筹考虑了场地的利用和总体布置。</w:t>
            </w:r>
          </w:p>
          <w:p w14:paraId="792CA84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宋体"/>
                <w:color w:val="auto"/>
                <w:kern w:val="2"/>
                <w:sz w:val="24"/>
                <w:szCs w:val="24"/>
                <w:lang w:val="en-US" w:eastAsia="zh-CN" w:bidi="ar-SA"/>
              </w:rPr>
            </w:pPr>
            <w:r>
              <w:rPr>
                <w:rFonts w:ascii="Times New Roman" w:hAnsi="Times New Roman" w:eastAsia="宋体" w:cs="宋体"/>
                <w:color w:val="auto"/>
                <w:sz w:val="24"/>
                <w:szCs w:val="24"/>
              </w:rPr>
              <w:t>每层楼的功能划分明确清晰，便于工艺流程的进行和成品的堆放，物料流向顺畅，符合防火、安全、卫生等有关规范，总体布局功能分区明确，便于生产的连续性，项目平面布置基本合理。</w:t>
            </w:r>
          </w:p>
        </w:tc>
      </w:tr>
      <w:tr w14:paraId="6F43CEC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1474" w:hRule="atLeast"/>
          <w:jc w:val="center"/>
        </w:trPr>
        <w:tc>
          <w:tcPr>
            <w:tcW w:w="823" w:type="dxa"/>
            <w:noWrap w:val="0"/>
            <w:vAlign w:val="center"/>
          </w:tcPr>
          <w:p w14:paraId="52D641EF">
            <w:pPr>
              <w:pStyle w:val="204"/>
              <w:spacing w:before="0" w:beforeAutospacing="0" w:after="0" w:afterAutospacing="0"/>
              <w:jc w:val="center"/>
              <w:rPr>
                <w:rFonts w:cs="宋体"/>
                <w:color w:val="auto"/>
                <w:sz w:val="21"/>
                <w:szCs w:val="21"/>
              </w:rPr>
            </w:pPr>
            <w:r>
              <w:rPr>
                <w:rFonts w:hint="eastAsia" w:cs="宋体"/>
                <w:color w:val="auto"/>
                <w:sz w:val="21"/>
                <w:szCs w:val="21"/>
              </w:rPr>
              <w:t>工艺流程和产排污环节</w:t>
            </w:r>
          </w:p>
        </w:tc>
        <w:tc>
          <w:tcPr>
            <w:tcW w:w="8161" w:type="dxa"/>
            <w:noWrap w:val="0"/>
            <w:vAlign w:val="top"/>
          </w:tcPr>
          <w:p w14:paraId="24836C14">
            <w:pPr>
              <w:pStyle w:val="229"/>
              <w:keepNext w:val="0"/>
              <w:keepLines w:val="0"/>
              <w:pageBreakBefore w:val="0"/>
              <w:widowControl w:val="0"/>
              <w:kinsoku/>
              <w:wordWrap/>
              <w:overflowPunct/>
              <w:topLinePunct w:val="0"/>
              <w:autoSpaceDE/>
              <w:autoSpaceDN/>
              <w:bidi w:val="0"/>
              <w:adjustRightInd/>
              <w:snapToGrid/>
              <w:spacing w:line="360" w:lineRule="auto"/>
              <w:ind w:left="0"/>
              <w:textAlignment w:val="auto"/>
              <w:outlineLvl w:val="1"/>
              <w:rPr>
                <w:rFonts w:ascii="Times New Roman" w:hAnsi="Times New Roman"/>
                <w:color w:val="auto"/>
                <w:sz w:val="21"/>
              </w:rPr>
            </w:pPr>
            <w:r>
              <w:rPr>
                <w:rFonts w:ascii="Times New Roman" w:hAnsi="Times New Roman" w:eastAsia="Times New Roman" w:cs="Times New Roman"/>
                <w:b/>
                <w:bCs/>
                <w:color w:val="auto"/>
                <w:spacing w:val="-2"/>
                <w:sz w:val="28"/>
                <w:szCs w:val="28"/>
              </w:rPr>
              <w:t>2.2</w:t>
            </w:r>
            <w:r>
              <w:rPr>
                <w:rFonts w:ascii="Times New Roman" w:hAnsi="Times New Roman"/>
                <w:b/>
                <w:bCs/>
                <w:color w:val="auto"/>
                <w:spacing w:val="-2"/>
                <w:sz w:val="28"/>
                <w:szCs w:val="28"/>
              </w:rPr>
              <w:t>生产工艺流程及产污环节</w:t>
            </w:r>
          </w:p>
          <w:p w14:paraId="61C209E0">
            <w:pPr>
              <w:pStyle w:val="229"/>
              <w:keepNext w:val="0"/>
              <w:keepLines w:val="0"/>
              <w:pageBreakBefore w:val="0"/>
              <w:widowControl w:val="0"/>
              <w:kinsoku/>
              <w:wordWrap/>
              <w:overflowPunct/>
              <w:topLinePunct w:val="0"/>
              <w:autoSpaceDE/>
              <w:autoSpaceDN/>
              <w:bidi w:val="0"/>
              <w:adjustRightInd/>
              <w:snapToGrid/>
              <w:spacing w:line="360" w:lineRule="auto"/>
              <w:ind w:left="0"/>
              <w:textAlignment w:val="auto"/>
              <w:outlineLvl w:val="2"/>
              <w:rPr>
                <w:rFonts w:ascii="Times New Roman" w:hAnsi="Times New Roman"/>
                <w:color w:val="auto"/>
                <w:sz w:val="21"/>
              </w:rPr>
            </w:pPr>
            <w:r>
              <w:rPr>
                <w:rFonts w:ascii="Times New Roman" w:hAnsi="Times New Roman" w:eastAsia="Times New Roman" w:cs="Times New Roman"/>
                <w:b/>
                <w:bCs/>
                <w:color w:val="auto"/>
                <w:spacing w:val="-2"/>
                <w:sz w:val="24"/>
                <w:szCs w:val="24"/>
              </w:rPr>
              <w:t>2.2.1</w:t>
            </w:r>
            <w:r>
              <w:rPr>
                <w:rFonts w:ascii="Times New Roman" w:hAnsi="Times New Roman"/>
                <w:b/>
                <w:bCs/>
                <w:color w:val="auto"/>
                <w:spacing w:val="-2"/>
                <w:sz w:val="24"/>
                <w:szCs w:val="24"/>
              </w:rPr>
              <w:t>工艺流程及工艺介绍</w:t>
            </w:r>
          </w:p>
          <w:p w14:paraId="3F070975">
            <w:pPr>
              <w:pStyle w:val="229"/>
              <w:keepNext w:val="0"/>
              <w:keepLines w:val="0"/>
              <w:pageBreakBefore w:val="0"/>
              <w:widowControl w:val="0"/>
              <w:kinsoku/>
              <w:wordWrap/>
              <w:overflowPunct/>
              <w:topLinePunct w:val="0"/>
              <w:autoSpaceDE/>
              <w:autoSpaceDN/>
              <w:bidi w:val="0"/>
              <w:adjustRightInd/>
              <w:snapToGrid/>
              <w:spacing w:line="360" w:lineRule="auto"/>
              <w:ind w:left="0"/>
              <w:jc w:val="center"/>
              <w:textAlignment w:val="auto"/>
              <w:outlineLvl w:val="2"/>
              <w:rPr>
                <w:rFonts w:hint="default" w:ascii="Times New Roman" w:hAnsi="Times New Roman" w:eastAsia="宋体"/>
                <w:b/>
                <w:bCs/>
                <w:color w:val="auto"/>
                <w:spacing w:val="-3"/>
                <w:sz w:val="24"/>
                <w:szCs w:val="24"/>
                <w:lang w:val="en-US" w:eastAsia="zh-CN"/>
              </w:rPr>
            </w:pPr>
            <w:r>
              <w:rPr>
                <w:rFonts w:hint="eastAsia" w:ascii="Times New Roman" w:hAnsi="Times New Roman"/>
                <w:b/>
                <w:bCs/>
                <w:color w:val="auto"/>
                <w:spacing w:val="-3"/>
                <w:sz w:val="24"/>
                <w:szCs w:val="24"/>
                <w:lang w:val="en-US" w:eastAsia="zh-CN"/>
              </w:rPr>
              <w:t>*</w:t>
            </w:r>
          </w:p>
          <w:p w14:paraId="0F7F26C7">
            <w:pPr>
              <w:pStyle w:val="229"/>
              <w:keepNext w:val="0"/>
              <w:keepLines w:val="0"/>
              <w:pageBreakBefore w:val="0"/>
              <w:widowControl w:val="0"/>
              <w:kinsoku/>
              <w:wordWrap/>
              <w:overflowPunct/>
              <w:topLinePunct w:val="0"/>
              <w:autoSpaceDE/>
              <w:autoSpaceDN/>
              <w:bidi w:val="0"/>
              <w:adjustRightInd/>
              <w:snapToGrid/>
              <w:spacing w:line="360" w:lineRule="auto"/>
              <w:ind w:left="0"/>
              <w:jc w:val="center"/>
              <w:textAlignment w:val="auto"/>
              <w:outlineLvl w:val="2"/>
              <w:rPr>
                <w:rFonts w:hint="eastAsia" w:ascii="Times New Roman" w:hAnsi="Times New Roman" w:eastAsia="宋体" w:cs="宋体"/>
                <w:color w:val="auto"/>
                <w:kern w:val="2"/>
                <w:sz w:val="24"/>
                <w:szCs w:val="24"/>
                <w:lang w:val="en-US" w:eastAsia="zh-CN" w:bidi="ar-SA"/>
              </w:rPr>
            </w:pPr>
            <w:r>
              <w:rPr>
                <w:rFonts w:ascii="Times New Roman" w:hAnsi="Times New Roman"/>
                <w:b/>
                <w:bCs/>
                <w:color w:val="auto"/>
                <w:spacing w:val="-3"/>
                <w:sz w:val="24"/>
                <w:szCs w:val="24"/>
              </w:rPr>
              <w:t>图</w:t>
            </w:r>
            <w:r>
              <w:rPr>
                <w:rFonts w:ascii="Times New Roman" w:hAnsi="Times New Roman" w:eastAsia="Times New Roman" w:cs="Times New Roman"/>
                <w:b/>
                <w:bCs/>
                <w:color w:val="auto"/>
                <w:spacing w:val="-3"/>
                <w:sz w:val="24"/>
                <w:szCs w:val="24"/>
              </w:rPr>
              <w:t>2.</w:t>
            </w:r>
            <w:r>
              <w:rPr>
                <w:rFonts w:hint="eastAsia" w:ascii="Times New Roman" w:hAnsi="Times New Roman" w:eastAsia="宋体" w:cs="Times New Roman"/>
                <w:b/>
                <w:bCs/>
                <w:color w:val="auto"/>
                <w:spacing w:val="-3"/>
                <w:sz w:val="24"/>
                <w:szCs w:val="24"/>
                <w:lang w:val="en-US" w:eastAsia="zh-CN"/>
              </w:rPr>
              <w:t>2</w:t>
            </w:r>
            <w:r>
              <w:rPr>
                <w:rFonts w:ascii="Times New Roman" w:hAnsi="Times New Roman" w:eastAsia="Times New Roman" w:cs="Times New Roman"/>
                <w:b/>
                <w:bCs/>
                <w:color w:val="auto"/>
                <w:spacing w:val="-3"/>
                <w:sz w:val="24"/>
                <w:szCs w:val="24"/>
              </w:rPr>
              <w:t>-</w:t>
            </w:r>
            <w:r>
              <w:rPr>
                <w:rFonts w:hint="eastAsia" w:ascii="Times New Roman" w:hAnsi="Times New Roman" w:cs="Times New Roman"/>
                <w:b/>
                <w:bCs/>
                <w:color w:val="auto"/>
                <w:spacing w:val="-3"/>
                <w:sz w:val="24"/>
                <w:szCs w:val="24"/>
                <w:lang w:val="en-US" w:eastAsia="zh-CN"/>
              </w:rPr>
              <w:t>1</w:t>
            </w:r>
            <w:r>
              <w:rPr>
                <w:rFonts w:hint="eastAsia" w:ascii="Times New Roman" w:hAnsi="Times New Roman" w:cs="Times New Roman"/>
                <w:b/>
                <w:bCs/>
                <w:color w:val="auto"/>
                <w:spacing w:val="-2"/>
                <w:sz w:val="24"/>
                <w:szCs w:val="24"/>
                <w:lang w:val="en-US" w:eastAsia="zh-CN"/>
              </w:rPr>
              <w:t>工艺流程</w:t>
            </w:r>
            <w:r>
              <w:rPr>
                <w:rFonts w:hint="eastAsia" w:ascii="Times New Roman" w:hAnsi="Times New Roman" w:eastAsia="宋体" w:cs="Times New Roman"/>
                <w:b/>
                <w:bCs/>
                <w:color w:val="auto"/>
                <w:spacing w:val="-2"/>
                <w:sz w:val="24"/>
                <w:szCs w:val="24"/>
                <w:lang w:val="en-US" w:eastAsia="zh-CN"/>
              </w:rPr>
              <w:t>图</w:t>
            </w:r>
          </w:p>
          <w:p w14:paraId="085E1D59">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eastAsia"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一、原</w:t>
            </w:r>
            <w:r>
              <w:rPr>
                <w:rFonts w:hint="eastAsia" w:cs="Times New Roman"/>
                <w:color w:val="auto"/>
                <w:spacing w:val="-4"/>
                <w:sz w:val="24"/>
                <w:szCs w:val="24"/>
                <w:lang w:val="en-US" w:eastAsia="zh-CN" w:bidi="ar-SA"/>
              </w:rPr>
              <w:t>材料接收与存储</w:t>
            </w:r>
            <w:r>
              <w:rPr>
                <w:rFonts w:hint="default" w:ascii="Times New Roman" w:hAnsi="Times New Roman" w:eastAsia="宋体" w:cs="Times New Roman"/>
                <w:color w:val="auto"/>
                <w:spacing w:val="-4"/>
                <w:sz w:val="24"/>
                <w:szCs w:val="24"/>
                <w:lang w:val="en-US" w:eastAsia="zh-CN" w:bidi="ar-SA"/>
              </w:rPr>
              <w:t>​</w:t>
            </w:r>
          </w:p>
          <w:p w14:paraId="35D85BFA">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原材料为外购的</w:t>
            </w:r>
            <w:r>
              <w:rPr>
                <w:rFonts w:hint="eastAsia" w:ascii="Times New Roman" w:hAnsi="Times New Roman" w:eastAsia="宋体" w:cs="Times New Roman"/>
                <w:color w:val="auto"/>
                <w:spacing w:val="-4"/>
                <w:sz w:val="24"/>
                <w:szCs w:val="24"/>
                <w:lang w:val="en-US" w:eastAsia="zh-CN" w:bidi="ar-SA"/>
              </w:rPr>
              <w:t>光学玻璃材料</w:t>
            </w:r>
            <w:r>
              <w:rPr>
                <w:rFonts w:hint="default" w:ascii="Times New Roman" w:hAnsi="Times New Roman" w:eastAsia="宋体" w:cs="Times New Roman"/>
                <w:color w:val="auto"/>
                <w:spacing w:val="-4"/>
                <w:sz w:val="24"/>
                <w:szCs w:val="24"/>
                <w:lang w:val="en-US" w:eastAsia="zh-CN" w:bidi="ar-SA"/>
              </w:rPr>
              <w:t>，进厂前需进行外观及尺寸抽检，确认无明显裂纹、崩边等缺陷。原材料存储于干燥通风的原料仓库，采用</w:t>
            </w:r>
            <w:r>
              <w:rPr>
                <w:rFonts w:hint="eastAsia" w:ascii="Times New Roman" w:hAnsi="Times New Roman" w:eastAsia="宋体" w:cs="Times New Roman"/>
                <w:color w:val="auto"/>
                <w:spacing w:val="-4"/>
                <w:sz w:val="24"/>
                <w:szCs w:val="24"/>
                <w:lang w:val="en-US" w:eastAsia="zh-CN" w:bidi="ar-SA"/>
              </w:rPr>
              <w:t>塑料</w:t>
            </w:r>
            <w:r>
              <w:rPr>
                <w:rFonts w:hint="default" w:ascii="Times New Roman" w:hAnsi="Times New Roman" w:eastAsia="宋体" w:cs="Times New Roman"/>
                <w:color w:val="auto"/>
                <w:spacing w:val="-4"/>
                <w:sz w:val="24"/>
                <w:szCs w:val="24"/>
                <w:lang w:val="en-US" w:eastAsia="zh-CN" w:bidi="ar-SA"/>
              </w:rPr>
              <w:t>托盘分层堆放，避免挤压破损。存储过程中无污染物产生，但需做好防雨防潮措施，防止玻璃表面受潮滋生霉斑。​</w:t>
            </w:r>
          </w:p>
          <w:p w14:paraId="436C9DA7">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eastAsia" w:ascii="Times New Roman" w:hAnsi="Times New Roman" w:eastAsia="宋体" w:cs="Times New Roman"/>
                <w:color w:val="auto"/>
                <w:spacing w:val="-4"/>
                <w:sz w:val="24"/>
                <w:szCs w:val="24"/>
                <w:lang w:val="en-US" w:eastAsia="zh-CN" w:bidi="ar-SA"/>
              </w:rPr>
            </w:pPr>
            <w:r>
              <w:rPr>
                <w:rFonts w:hint="eastAsia" w:ascii="Times New Roman" w:hAnsi="Times New Roman" w:eastAsia="宋体" w:cs="Times New Roman"/>
                <w:color w:val="auto"/>
                <w:spacing w:val="-4"/>
                <w:sz w:val="24"/>
                <w:szCs w:val="24"/>
                <w:lang w:val="en-US" w:eastAsia="zh-CN" w:bidi="ar-SA"/>
              </w:rPr>
              <w:t>二、CNC</w:t>
            </w:r>
            <w:r>
              <w:rPr>
                <w:rFonts w:hint="default" w:ascii="Times New Roman" w:hAnsi="Times New Roman" w:eastAsia="宋体" w:cs="Times New Roman"/>
                <w:color w:val="auto"/>
                <w:spacing w:val="-4"/>
                <w:sz w:val="24"/>
                <w:szCs w:val="24"/>
                <w:lang w:val="en-US" w:eastAsia="zh-CN" w:bidi="ar-SA"/>
              </w:rPr>
              <w:t>毛坯加工</w:t>
            </w:r>
          </w:p>
          <w:p w14:paraId="2DB819CC">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eastAsia"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CNC毛坯加工工艺是指通过数控（CNC）设备对</w:t>
            </w:r>
            <w:r>
              <w:rPr>
                <w:rFonts w:hint="eastAsia" w:ascii="Times New Roman" w:hAnsi="Times New Roman" w:eastAsia="宋体" w:cs="Times New Roman"/>
                <w:color w:val="auto"/>
                <w:spacing w:val="-4"/>
                <w:sz w:val="24"/>
                <w:szCs w:val="24"/>
                <w:lang w:val="en-US" w:eastAsia="zh-CN" w:bidi="ar-SA"/>
              </w:rPr>
              <w:t>光学玻璃材料</w:t>
            </w:r>
            <w:r>
              <w:rPr>
                <w:rFonts w:hint="default" w:ascii="Times New Roman" w:hAnsi="Times New Roman" w:eastAsia="宋体" w:cs="Times New Roman"/>
                <w:color w:val="auto"/>
                <w:spacing w:val="-4"/>
                <w:sz w:val="24"/>
                <w:szCs w:val="24"/>
                <w:lang w:val="en-US" w:eastAsia="zh-CN" w:bidi="ar-SA"/>
              </w:rPr>
              <w:t>进行初步切削加工，使其接近最终</w:t>
            </w:r>
            <w:r>
              <w:rPr>
                <w:rFonts w:hint="eastAsia" w:ascii="Times New Roman" w:hAnsi="Times New Roman" w:eastAsia="宋体" w:cs="Times New Roman"/>
                <w:color w:val="auto"/>
                <w:spacing w:val="-4"/>
                <w:sz w:val="24"/>
                <w:szCs w:val="24"/>
                <w:lang w:val="en-US" w:eastAsia="zh-CN" w:bidi="ar-SA"/>
              </w:rPr>
              <w:t>毛坯</w:t>
            </w:r>
            <w:r>
              <w:rPr>
                <w:rFonts w:hint="default" w:ascii="Times New Roman" w:hAnsi="Times New Roman" w:eastAsia="宋体" w:cs="Times New Roman"/>
                <w:color w:val="auto"/>
                <w:spacing w:val="-4"/>
                <w:sz w:val="24"/>
                <w:szCs w:val="24"/>
                <w:lang w:val="en-US" w:eastAsia="zh-CN" w:bidi="ar-SA"/>
              </w:rPr>
              <w:t>零件形状和尺寸的过程</w:t>
            </w:r>
            <w:r>
              <w:rPr>
                <w:rFonts w:hint="eastAsia" w:ascii="Times New Roman" w:hAnsi="Times New Roman" w:eastAsia="宋体" w:cs="Times New Roman"/>
                <w:color w:val="auto"/>
                <w:spacing w:val="-4"/>
                <w:sz w:val="24"/>
                <w:szCs w:val="24"/>
                <w:lang w:val="en-US" w:eastAsia="zh-CN" w:bidi="ar-SA"/>
              </w:rPr>
              <w:t>。</w:t>
            </w:r>
          </w:p>
          <w:p w14:paraId="1B42B22C">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eastAsia" w:ascii="Times New Roman" w:hAnsi="Times New Roman" w:eastAsia="宋体" w:cs="Times New Roman"/>
                <w:color w:val="auto"/>
                <w:spacing w:val="-4"/>
                <w:sz w:val="24"/>
                <w:szCs w:val="24"/>
                <w:lang w:val="en-US" w:eastAsia="zh-CN" w:bidi="ar-SA"/>
              </w:rPr>
              <w:t>涉及物料：光学玻璃材料，切削液</w:t>
            </w:r>
          </w:p>
          <w:p w14:paraId="5795AF8F">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eastAsia" w:ascii="Times New Roman" w:hAnsi="Times New Roman" w:eastAsia="宋体" w:cs="Times New Roman"/>
                <w:color w:val="auto"/>
                <w:spacing w:val="-4"/>
                <w:sz w:val="24"/>
                <w:szCs w:val="24"/>
                <w:lang w:val="en-US" w:eastAsia="zh-CN" w:bidi="ar-SA"/>
              </w:rPr>
            </w:pPr>
            <w:r>
              <w:rPr>
                <w:rFonts w:hint="eastAsia" w:ascii="Times New Roman" w:hAnsi="Times New Roman" w:eastAsia="宋体" w:cs="Times New Roman"/>
                <w:color w:val="auto"/>
                <w:spacing w:val="-4"/>
                <w:sz w:val="24"/>
                <w:szCs w:val="24"/>
                <w:lang w:val="en-US" w:eastAsia="zh-CN" w:bidi="ar-SA"/>
              </w:rPr>
              <w:t>工艺目的：</w:t>
            </w:r>
            <w:r>
              <w:rPr>
                <w:rFonts w:hint="default" w:ascii="Times New Roman" w:hAnsi="Times New Roman" w:eastAsia="宋体" w:cs="Times New Roman"/>
                <w:color w:val="auto"/>
                <w:spacing w:val="-4"/>
                <w:sz w:val="24"/>
                <w:szCs w:val="24"/>
                <w:lang w:val="en-US" w:eastAsia="zh-CN" w:bidi="ar-SA"/>
              </w:rPr>
              <w:t>去除毛坯表面的多余材料，修正毛坯的铸造/锻造误差（如余量不均、变形等）。为后续</w:t>
            </w:r>
            <w:r>
              <w:rPr>
                <w:rFonts w:hint="eastAsia" w:ascii="Times New Roman" w:hAnsi="Times New Roman" w:eastAsia="宋体" w:cs="Times New Roman"/>
                <w:color w:val="auto"/>
                <w:spacing w:val="-4"/>
                <w:sz w:val="24"/>
                <w:szCs w:val="24"/>
                <w:lang w:val="en-US" w:eastAsia="zh-CN" w:bidi="ar-SA"/>
              </w:rPr>
              <w:t>研磨、抛光工序</w:t>
            </w:r>
            <w:r>
              <w:rPr>
                <w:rFonts w:hint="default" w:ascii="Times New Roman" w:hAnsi="Times New Roman" w:eastAsia="宋体" w:cs="Times New Roman"/>
                <w:color w:val="auto"/>
                <w:spacing w:val="-4"/>
                <w:sz w:val="24"/>
                <w:szCs w:val="24"/>
                <w:lang w:val="en-US" w:eastAsia="zh-CN" w:bidi="ar-SA"/>
              </w:rPr>
              <w:t>提供形状规则、尺寸精度合格的半成品。简化后续工序的加工难度，提高整体生产效率</w:t>
            </w:r>
            <w:r>
              <w:rPr>
                <w:rFonts w:hint="eastAsia" w:ascii="Times New Roman" w:hAnsi="Times New Roman" w:eastAsia="宋体" w:cs="Times New Roman"/>
                <w:color w:val="auto"/>
                <w:spacing w:val="-4"/>
                <w:sz w:val="24"/>
                <w:szCs w:val="24"/>
                <w:lang w:val="en-US" w:eastAsia="zh-CN" w:bidi="ar-SA"/>
              </w:rPr>
              <w:t>。</w:t>
            </w:r>
          </w:p>
          <w:p w14:paraId="2FF41915">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eastAsia" w:ascii="Times New Roman" w:hAnsi="Times New Roman" w:eastAsia="宋体" w:cs="Times New Roman"/>
                <w:color w:val="auto"/>
                <w:spacing w:val="-4"/>
                <w:sz w:val="24"/>
                <w:szCs w:val="24"/>
                <w:lang w:val="en-US" w:eastAsia="zh-CN" w:bidi="ar-SA"/>
              </w:rPr>
              <w:t>操作过程：将毛坯通过平口钳等夹具固定在设备加工平台上，由金刚石砂轮刀具根据控制中心编制的刀具路径进行加工，加工过程产生的热量由切削液进行冷却。</w:t>
            </w:r>
          </w:p>
          <w:p w14:paraId="24545220">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eastAsia" w:ascii="Times New Roman" w:hAnsi="Times New Roman" w:eastAsia="宋体" w:cs="Times New Roman"/>
                <w:color w:val="auto"/>
                <w:spacing w:val="-4"/>
                <w:sz w:val="24"/>
                <w:szCs w:val="24"/>
                <w:lang w:val="en-US" w:eastAsia="zh-CN" w:bidi="ar-SA"/>
              </w:rPr>
              <w:t>环境因素：加工过程会存在玻璃</w:t>
            </w:r>
            <w:r>
              <w:rPr>
                <w:rFonts w:hint="eastAsia" w:cs="Times New Roman"/>
                <w:color w:val="auto"/>
                <w:spacing w:val="-4"/>
                <w:sz w:val="24"/>
                <w:szCs w:val="24"/>
                <w:lang w:val="en-US" w:eastAsia="zh-CN" w:bidi="ar-SA"/>
              </w:rPr>
              <w:t>废料</w:t>
            </w:r>
            <w:r>
              <w:rPr>
                <w:rFonts w:hint="eastAsia" w:ascii="Times New Roman" w:hAnsi="Times New Roman" w:eastAsia="宋体" w:cs="Times New Roman"/>
                <w:color w:val="auto"/>
                <w:spacing w:val="-4"/>
                <w:sz w:val="24"/>
                <w:szCs w:val="24"/>
                <w:lang w:val="en-US" w:eastAsia="zh-CN" w:bidi="ar-SA"/>
              </w:rPr>
              <w:t>固废，在水箱内经过砂网过滤后收集按固废进行回收。</w:t>
            </w:r>
          </w:p>
          <w:p w14:paraId="19F237D5">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eastAsia" w:cs="Times New Roman"/>
                <w:color w:val="auto"/>
                <w:spacing w:val="-4"/>
                <w:sz w:val="24"/>
                <w:szCs w:val="24"/>
                <w:lang w:val="en-US" w:eastAsia="zh-CN" w:bidi="ar-SA"/>
              </w:rPr>
              <w:t>三</w:t>
            </w:r>
            <w:r>
              <w:rPr>
                <w:rFonts w:hint="default" w:ascii="Times New Roman" w:hAnsi="Times New Roman" w:eastAsia="宋体" w:cs="Times New Roman"/>
                <w:color w:val="auto"/>
                <w:spacing w:val="-4"/>
                <w:sz w:val="24"/>
                <w:szCs w:val="24"/>
                <w:lang w:val="en-US" w:eastAsia="zh-CN" w:bidi="ar-SA"/>
              </w:rPr>
              <w:t>、上盘​</w:t>
            </w:r>
          </w:p>
          <w:p w14:paraId="69597711">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工艺目的：将单个</w:t>
            </w:r>
            <w:r>
              <w:rPr>
                <w:rFonts w:hint="eastAsia" w:ascii="Times New Roman" w:hAnsi="Times New Roman" w:eastAsia="宋体" w:cs="Times New Roman"/>
                <w:color w:val="auto"/>
                <w:spacing w:val="-4"/>
                <w:sz w:val="24"/>
                <w:szCs w:val="24"/>
                <w:lang w:val="en-US" w:eastAsia="zh-CN" w:bidi="ar-SA"/>
              </w:rPr>
              <w:t>光学玻璃材料</w:t>
            </w:r>
            <w:r>
              <w:rPr>
                <w:rFonts w:hint="default" w:ascii="Times New Roman" w:hAnsi="Times New Roman" w:eastAsia="宋体" w:cs="Times New Roman"/>
                <w:color w:val="auto"/>
                <w:spacing w:val="-4"/>
                <w:sz w:val="24"/>
                <w:szCs w:val="24"/>
                <w:lang w:val="en-US" w:eastAsia="zh-CN" w:bidi="ar-SA"/>
              </w:rPr>
              <w:t>固定在金属托盘（又称“磨盘”）上，便于后续批量加工，保证加工过程中工件的稳定性。​</w:t>
            </w:r>
          </w:p>
          <w:p w14:paraId="0FBB8E45">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操作过程：根据玻璃尺寸选择适配的磨盘，在磨盘表面均匀涂抹</w:t>
            </w:r>
            <w:r>
              <w:rPr>
                <w:rFonts w:hint="eastAsia" w:cs="Times New Roman"/>
                <w:color w:val="auto"/>
                <w:spacing w:val="-4"/>
                <w:sz w:val="24"/>
                <w:szCs w:val="24"/>
                <w:lang w:val="en-US" w:eastAsia="zh-CN" w:bidi="ar-SA"/>
              </w:rPr>
              <w:t>抛光胶</w:t>
            </w:r>
            <w:r>
              <w:rPr>
                <w:rFonts w:hint="default" w:ascii="Times New Roman" w:hAnsi="Times New Roman" w:eastAsia="宋体" w:cs="Times New Roman"/>
                <w:color w:val="auto"/>
                <w:spacing w:val="-4"/>
                <w:sz w:val="24"/>
                <w:szCs w:val="24"/>
                <w:lang w:val="en-US" w:eastAsia="zh-CN" w:bidi="ar-SA"/>
              </w:rPr>
              <w:t>，将</w:t>
            </w:r>
            <w:r>
              <w:rPr>
                <w:rFonts w:hint="eastAsia" w:ascii="Times New Roman" w:hAnsi="Times New Roman" w:eastAsia="宋体" w:cs="Times New Roman"/>
                <w:color w:val="auto"/>
                <w:spacing w:val="-4"/>
                <w:sz w:val="24"/>
                <w:szCs w:val="24"/>
                <w:lang w:val="en-US" w:eastAsia="zh-CN" w:bidi="ar-SA"/>
              </w:rPr>
              <w:t>光学玻璃材料</w:t>
            </w:r>
            <w:r>
              <w:rPr>
                <w:rFonts w:hint="default" w:ascii="Times New Roman" w:hAnsi="Times New Roman" w:eastAsia="宋体" w:cs="Times New Roman"/>
                <w:color w:val="auto"/>
                <w:spacing w:val="-4"/>
                <w:sz w:val="24"/>
                <w:szCs w:val="24"/>
                <w:lang w:val="en-US" w:eastAsia="zh-CN" w:bidi="ar-SA"/>
              </w:rPr>
              <w:t>按预设间距排列并按压固定。​</w:t>
            </w:r>
          </w:p>
          <w:p w14:paraId="55F7838A">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涉及物料：</w:t>
            </w:r>
            <w:r>
              <w:rPr>
                <w:rFonts w:hint="eastAsia" w:ascii="Times New Roman" w:hAnsi="Times New Roman" w:eastAsia="宋体" w:cs="Times New Roman"/>
                <w:color w:val="auto"/>
                <w:spacing w:val="-4"/>
                <w:sz w:val="24"/>
                <w:szCs w:val="24"/>
                <w:lang w:val="en-US" w:eastAsia="zh-CN" w:bidi="ar-SA"/>
              </w:rPr>
              <w:t>光学玻璃材料</w:t>
            </w:r>
            <w:r>
              <w:rPr>
                <w:rFonts w:hint="default" w:ascii="Times New Roman" w:hAnsi="Times New Roman" w:eastAsia="宋体" w:cs="Times New Roman"/>
                <w:color w:val="auto"/>
                <w:spacing w:val="-4"/>
                <w:sz w:val="24"/>
                <w:szCs w:val="24"/>
                <w:lang w:val="en-US" w:eastAsia="zh-CN" w:bidi="ar-SA"/>
              </w:rPr>
              <w:t>、金属</w:t>
            </w:r>
            <w:r>
              <w:rPr>
                <w:rFonts w:hint="eastAsia" w:ascii="Times New Roman" w:hAnsi="Times New Roman" w:cs="Times New Roman"/>
                <w:color w:val="auto"/>
                <w:spacing w:val="-4"/>
                <w:sz w:val="24"/>
                <w:szCs w:val="24"/>
                <w:lang w:val="en-US" w:eastAsia="zh-CN" w:bidi="ar-SA"/>
              </w:rPr>
              <w:t>托</w:t>
            </w:r>
            <w:r>
              <w:rPr>
                <w:rFonts w:hint="default" w:ascii="Times New Roman" w:hAnsi="Times New Roman" w:eastAsia="宋体" w:cs="Times New Roman"/>
                <w:color w:val="auto"/>
                <w:spacing w:val="-4"/>
                <w:sz w:val="24"/>
                <w:szCs w:val="24"/>
                <w:lang w:val="en-US" w:eastAsia="zh-CN" w:bidi="ar-SA"/>
              </w:rPr>
              <w:t>盘、</w:t>
            </w:r>
            <w:r>
              <w:rPr>
                <w:rFonts w:hint="eastAsia" w:cs="Times New Roman"/>
                <w:color w:val="auto"/>
                <w:spacing w:val="-4"/>
                <w:sz w:val="24"/>
                <w:szCs w:val="24"/>
                <w:lang w:val="en-US" w:eastAsia="zh-CN" w:bidi="ar-SA"/>
              </w:rPr>
              <w:t>抛光胶</w:t>
            </w:r>
            <w:r>
              <w:rPr>
                <w:rFonts w:hint="default" w:ascii="Times New Roman" w:hAnsi="Times New Roman" w:eastAsia="宋体" w:cs="Times New Roman"/>
                <w:color w:val="auto"/>
                <w:spacing w:val="-4"/>
                <w:sz w:val="24"/>
                <w:szCs w:val="24"/>
                <w:lang w:val="en-US" w:eastAsia="zh-CN" w:bidi="ar-SA"/>
              </w:rPr>
              <w:t>。​</w:t>
            </w:r>
          </w:p>
          <w:p w14:paraId="473FDBEA">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环境因素：过程中</w:t>
            </w:r>
            <w:r>
              <w:rPr>
                <w:rFonts w:hint="eastAsia" w:cs="Times New Roman"/>
                <w:color w:val="auto"/>
                <w:spacing w:val="-4"/>
                <w:sz w:val="24"/>
                <w:szCs w:val="24"/>
                <w:lang w:val="en-US" w:eastAsia="zh-CN" w:bidi="ar-SA"/>
              </w:rPr>
              <w:t>抛光胶</w:t>
            </w:r>
            <w:r>
              <w:rPr>
                <w:rFonts w:hint="default" w:ascii="Times New Roman" w:hAnsi="Times New Roman" w:eastAsia="宋体" w:cs="Times New Roman"/>
                <w:color w:val="auto"/>
                <w:spacing w:val="-4"/>
                <w:sz w:val="24"/>
                <w:szCs w:val="24"/>
                <w:lang w:val="en-US" w:eastAsia="zh-CN" w:bidi="ar-SA"/>
              </w:rPr>
              <w:t>会挥发</w:t>
            </w:r>
            <w:r>
              <w:rPr>
                <w:rFonts w:hint="eastAsia" w:cs="Times New Roman"/>
                <w:color w:val="auto"/>
                <w:spacing w:val="-4"/>
                <w:sz w:val="24"/>
                <w:szCs w:val="24"/>
                <w:lang w:val="en-US" w:eastAsia="zh-CN" w:bidi="ar-SA"/>
              </w:rPr>
              <w:t>（按完全挥发机）</w:t>
            </w:r>
            <w:r>
              <w:rPr>
                <w:rFonts w:hint="default" w:ascii="Times New Roman" w:hAnsi="Times New Roman" w:eastAsia="宋体" w:cs="Times New Roman"/>
                <w:color w:val="auto"/>
                <w:spacing w:val="-4"/>
                <w:sz w:val="24"/>
                <w:szCs w:val="24"/>
                <w:lang w:val="en-US" w:eastAsia="zh-CN" w:bidi="ar-SA"/>
              </w:rPr>
              <w:t>有机废气（VOCs），</w:t>
            </w:r>
            <w:r>
              <w:rPr>
                <w:rFonts w:hint="eastAsia" w:ascii="Times New Roman" w:hAnsi="Times New Roman" w:eastAsia="宋体" w:cs="Times New Roman"/>
                <w:color w:val="auto"/>
                <w:spacing w:val="-4"/>
                <w:sz w:val="24"/>
                <w:szCs w:val="24"/>
                <w:lang w:val="en-US" w:eastAsia="zh-CN" w:bidi="ar-SA"/>
              </w:rPr>
              <w:t>通过二级活性炭吸附装置处理达标后由15m高排气筒排放</w:t>
            </w:r>
            <w:r>
              <w:rPr>
                <w:rFonts w:hint="default" w:ascii="Times New Roman" w:hAnsi="Times New Roman" w:eastAsia="宋体" w:cs="Times New Roman"/>
                <w:color w:val="auto"/>
                <w:spacing w:val="-4"/>
                <w:sz w:val="24"/>
                <w:szCs w:val="24"/>
                <w:lang w:val="en-US" w:eastAsia="zh-CN" w:bidi="ar-SA"/>
              </w:rPr>
              <w:t>；废</w:t>
            </w:r>
            <w:r>
              <w:rPr>
                <w:rFonts w:hint="eastAsia" w:cs="Times New Roman"/>
                <w:color w:val="auto"/>
                <w:spacing w:val="-4"/>
                <w:sz w:val="24"/>
                <w:szCs w:val="24"/>
                <w:lang w:val="en-US" w:eastAsia="zh-CN" w:bidi="ar-SA"/>
              </w:rPr>
              <w:t>抛光胶</w:t>
            </w:r>
            <w:r>
              <w:rPr>
                <w:rFonts w:hint="default" w:ascii="Times New Roman" w:hAnsi="Times New Roman" w:eastAsia="宋体" w:cs="Times New Roman"/>
                <w:color w:val="auto"/>
                <w:spacing w:val="-4"/>
                <w:sz w:val="24"/>
                <w:szCs w:val="24"/>
                <w:lang w:val="en-US" w:eastAsia="zh-CN" w:bidi="ar-SA"/>
              </w:rPr>
              <w:t>属危险废物，需分类暂存交由有资质单位处置。​</w:t>
            </w:r>
          </w:p>
          <w:p w14:paraId="5593EC3C">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eastAsia" w:cs="Times New Roman"/>
                <w:color w:val="auto"/>
                <w:spacing w:val="-4"/>
                <w:sz w:val="24"/>
                <w:szCs w:val="24"/>
                <w:lang w:val="en-US" w:eastAsia="zh-CN" w:bidi="ar-SA"/>
              </w:rPr>
              <w:t>四</w:t>
            </w:r>
            <w:r>
              <w:rPr>
                <w:rFonts w:hint="default" w:ascii="Times New Roman" w:hAnsi="Times New Roman" w:eastAsia="宋体" w:cs="Times New Roman"/>
                <w:color w:val="auto"/>
                <w:spacing w:val="-4"/>
                <w:sz w:val="24"/>
                <w:szCs w:val="24"/>
                <w:lang w:val="en-US" w:eastAsia="zh-CN" w:bidi="ar-SA"/>
              </w:rPr>
              <w:t>、研磨​</w:t>
            </w:r>
          </w:p>
          <w:p w14:paraId="779634EC">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工艺目的：进一步细化玻璃表面，去除砂痕，降低表面粗糙度（Ra≤0.1μm），为后续抛光做准备。​</w:t>
            </w:r>
          </w:p>
          <w:p w14:paraId="615E7C87">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操作过程：将工件固定在研磨机工作台上，研磨盘旋转过程中</w:t>
            </w:r>
            <w:r>
              <w:rPr>
                <w:rFonts w:hint="eastAsia" w:cs="Times New Roman"/>
                <w:color w:val="auto"/>
                <w:spacing w:val="-4"/>
                <w:sz w:val="24"/>
                <w:szCs w:val="24"/>
                <w:lang w:val="en-US" w:eastAsia="zh-CN" w:bidi="ar-SA"/>
              </w:rPr>
              <w:t>加入研磨液（</w:t>
            </w:r>
            <w:r>
              <w:rPr>
                <w:rFonts w:hint="eastAsia" w:ascii="Times New Roman" w:hAnsi="Times New Roman" w:eastAsia="宋体" w:cs="Times New Roman"/>
                <w:color w:val="auto"/>
                <w:spacing w:val="-4"/>
                <w:sz w:val="24"/>
                <w:szCs w:val="24"/>
                <w:lang w:val="en-US" w:eastAsia="zh-CN" w:bidi="ar-SA"/>
              </w:rPr>
              <w:t>自来水＋金刚砂组成比例按3:1）</w:t>
            </w:r>
            <w:r>
              <w:rPr>
                <w:rFonts w:hint="default" w:ascii="Times New Roman" w:hAnsi="Times New Roman" w:eastAsia="宋体" w:cs="Times New Roman"/>
                <w:color w:val="auto"/>
                <w:spacing w:val="-4"/>
                <w:sz w:val="24"/>
                <w:szCs w:val="24"/>
                <w:lang w:val="en-US" w:eastAsia="zh-CN" w:bidi="ar-SA"/>
              </w:rPr>
              <w:t>，与玻璃表面的机械摩擦实现细化加工，研磨时间根据工件精度要求控制在30-60分钟。​</w:t>
            </w:r>
          </w:p>
          <w:p w14:paraId="31969760">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涉及物料：玻璃工件、研磨盘。​</w:t>
            </w:r>
          </w:p>
          <w:p w14:paraId="7286E1DC">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eastAsia"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废水：研磨过程中产生的清洗废水，主要污染物为SS和微量重金属（如研磨盘磨损产生的铁离子），排入车间</w:t>
            </w:r>
            <w:r>
              <w:rPr>
                <w:rFonts w:hint="eastAsia" w:ascii="Times New Roman" w:hAnsi="Times New Roman" w:cs="Times New Roman"/>
                <w:color w:val="auto"/>
                <w:spacing w:val="-4"/>
                <w:sz w:val="24"/>
                <w:szCs w:val="24"/>
                <w:lang w:val="en-US" w:eastAsia="zh-CN" w:bidi="ar-SA"/>
              </w:rPr>
              <w:t>三格</w:t>
            </w:r>
            <w:r>
              <w:rPr>
                <w:rFonts w:hint="default" w:ascii="Times New Roman" w:hAnsi="Times New Roman" w:eastAsia="宋体" w:cs="Times New Roman"/>
                <w:color w:val="auto"/>
                <w:spacing w:val="-4"/>
                <w:sz w:val="24"/>
                <w:szCs w:val="24"/>
                <w:lang w:val="en-US" w:eastAsia="zh-CN" w:bidi="ar-SA"/>
              </w:rPr>
              <w:t>沉淀</w:t>
            </w:r>
            <w:r>
              <w:rPr>
                <w:rFonts w:hint="eastAsia" w:cs="Times New Roman"/>
                <w:color w:val="auto"/>
                <w:spacing w:val="-4"/>
                <w:sz w:val="24"/>
                <w:szCs w:val="24"/>
                <w:lang w:val="en-US" w:eastAsia="zh-CN" w:bidi="ar-SA"/>
              </w:rPr>
              <w:t>桶</w:t>
            </w:r>
            <w:r>
              <w:rPr>
                <w:rFonts w:hint="default" w:ascii="Times New Roman" w:hAnsi="Times New Roman" w:eastAsia="宋体" w:cs="Times New Roman"/>
                <w:color w:val="auto"/>
                <w:spacing w:val="-4"/>
                <w:sz w:val="24"/>
                <w:szCs w:val="24"/>
                <w:lang w:val="en-US" w:eastAsia="zh-CN" w:bidi="ar-SA"/>
              </w:rPr>
              <w:t>沉淀后</w:t>
            </w:r>
            <w:r>
              <w:rPr>
                <w:rFonts w:hint="eastAsia" w:cs="Times New Roman"/>
                <w:color w:val="auto"/>
                <w:spacing w:val="-4"/>
                <w:sz w:val="24"/>
                <w:szCs w:val="24"/>
                <w:lang w:val="en-US" w:eastAsia="zh-CN" w:bidi="ar-SA"/>
              </w:rPr>
              <w:t>排入化粪池</w:t>
            </w:r>
            <w:r>
              <w:rPr>
                <w:rFonts w:hint="default" w:ascii="Times New Roman" w:hAnsi="Times New Roman" w:eastAsia="宋体" w:cs="Times New Roman"/>
                <w:color w:val="auto"/>
                <w:spacing w:val="-4"/>
                <w:sz w:val="24"/>
                <w:szCs w:val="24"/>
                <w:lang w:val="en-US" w:eastAsia="zh-CN" w:bidi="ar-SA"/>
              </w:rPr>
              <w:t>。​</w:t>
            </w:r>
          </w:p>
          <w:p w14:paraId="175E139E">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eastAsia" w:cs="Times New Roman"/>
                <w:color w:val="auto"/>
                <w:spacing w:val="-4"/>
                <w:sz w:val="24"/>
                <w:szCs w:val="24"/>
                <w:lang w:val="en-US" w:eastAsia="zh-CN" w:bidi="ar-SA"/>
              </w:rPr>
              <w:t>五</w:t>
            </w:r>
            <w:r>
              <w:rPr>
                <w:rFonts w:hint="default" w:ascii="Times New Roman" w:hAnsi="Times New Roman" w:eastAsia="宋体" w:cs="Times New Roman"/>
                <w:color w:val="auto"/>
                <w:spacing w:val="-4"/>
                <w:sz w:val="24"/>
                <w:szCs w:val="24"/>
                <w:lang w:val="en-US" w:eastAsia="zh-CN" w:bidi="ar-SA"/>
              </w:rPr>
              <w:t>、抛光​</w:t>
            </w:r>
          </w:p>
          <w:p w14:paraId="1F99F087">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工艺目的：通过抛光粉与玻璃表面的化学机械作用，消除研磨痕迹，使工件表面达到镜面效果（Ra≤0.01μm），满足光学透光性能要求。​</w:t>
            </w:r>
          </w:p>
          <w:p w14:paraId="2B897C7D">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设备与物料：抛光机，抛光粉。​</w:t>
            </w:r>
          </w:p>
          <w:p w14:paraId="52C1ABC6">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环境因素：​</w:t>
            </w:r>
          </w:p>
          <w:p w14:paraId="73436D89">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eastAsia"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固体废物：</w:t>
            </w:r>
            <w:r>
              <w:rPr>
                <w:rFonts w:hint="eastAsia" w:ascii="Times New Roman" w:hAnsi="Times New Roman" w:eastAsia="宋体" w:cs="Times New Roman"/>
                <w:color w:val="auto"/>
                <w:spacing w:val="-4"/>
                <w:sz w:val="24"/>
                <w:szCs w:val="24"/>
                <w:lang w:val="en-US" w:eastAsia="zh-CN" w:bidi="ar-SA"/>
              </w:rPr>
              <w:t>抛光残渣</w:t>
            </w:r>
            <w:r>
              <w:rPr>
                <w:rFonts w:hint="default" w:ascii="Times New Roman" w:hAnsi="Times New Roman" w:eastAsia="宋体" w:cs="Times New Roman"/>
                <w:color w:val="auto"/>
                <w:spacing w:val="-4"/>
                <w:sz w:val="24"/>
                <w:szCs w:val="24"/>
                <w:lang w:val="en-US" w:eastAsia="zh-CN" w:bidi="ar-SA"/>
              </w:rPr>
              <w:t>属一般工业固体废物，分类收集后外售；​</w:t>
            </w:r>
          </w:p>
          <w:p w14:paraId="58DCC29E">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eastAsia"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废水：抛光后的清洗废水含抛光粉颗粒和少量有机物，污染物为SS和COD，排入车间</w:t>
            </w:r>
            <w:r>
              <w:rPr>
                <w:rFonts w:hint="eastAsia" w:ascii="Times New Roman" w:hAnsi="Times New Roman" w:cs="Times New Roman"/>
                <w:color w:val="auto"/>
                <w:spacing w:val="-4"/>
                <w:sz w:val="24"/>
                <w:szCs w:val="24"/>
                <w:lang w:val="en-US" w:eastAsia="zh-CN" w:bidi="ar-SA"/>
              </w:rPr>
              <w:t>三格</w:t>
            </w:r>
            <w:r>
              <w:rPr>
                <w:rFonts w:hint="default" w:ascii="Times New Roman" w:hAnsi="Times New Roman" w:eastAsia="宋体" w:cs="Times New Roman"/>
                <w:color w:val="auto"/>
                <w:spacing w:val="-4"/>
                <w:sz w:val="24"/>
                <w:szCs w:val="24"/>
                <w:lang w:val="en-US" w:eastAsia="zh-CN" w:bidi="ar-SA"/>
              </w:rPr>
              <w:t>沉淀</w:t>
            </w:r>
            <w:r>
              <w:rPr>
                <w:rFonts w:hint="eastAsia" w:cs="Times New Roman"/>
                <w:color w:val="auto"/>
                <w:spacing w:val="-4"/>
                <w:sz w:val="24"/>
                <w:szCs w:val="24"/>
                <w:lang w:val="en-US" w:eastAsia="zh-CN" w:bidi="ar-SA"/>
              </w:rPr>
              <w:t>桶</w:t>
            </w:r>
            <w:r>
              <w:rPr>
                <w:rFonts w:hint="default" w:ascii="Times New Roman" w:hAnsi="Times New Roman" w:eastAsia="宋体" w:cs="Times New Roman"/>
                <w:color w:val="auto"/>
                <w:spacing w:val="-4"/>
                <w:sz w:val="24"/>
                <w:szCs w:val="24"/>
                <w:lang w:val="en-US" w:eastAsia="zh-CN" w:bidi="ar-SA"/>
              </w:rPr>
              <w:t>沉淀后</w:t>
            </w:r>
            <w:r>
              <w:rPr>
                <w:rFonts w:hint="eastAsia" w:cs="Times New Roman"/>
                <w:color w:val="auto"/>
                <w:spacing w:val="-4"/>
                <w:sz w:val="24"/>
                <w:szCs w:val="24"/>
                <w:lang w:val="en-US" w:eastAsia="zh-CN" w:bidi="ar-SA"/>
              </w:rPr>
              <w:t>排入化粪池</w:t>
            </w:r>
            <w:r>
              <w:rPr>
                <w:rFonts w:hint="default" w:ascii="Times New Roman" w:hAnsi="Times New Roman" w:eastAsia="宋体" w:cs="Times New Roman"/>
                <w:color w:val="auto"/>
                <w:spacing w:val="-4"/>
                <w:sz w:val="24"/>
                <w:szCs w:val="24"/>
                <w:lang w:val="en-US" w:eastAsia="zh-CN" w:bidi="ar-SA"/>
              </w:rPr>
              <w:t>；​</w:t>
            </w:r>
          </w:p>
          <w:p w14:paraId="1784C409">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eastAsia"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噪声：抛光机运行噪声约75-85dB(A)，通过设备基础减振、车间隔声等措施控制。​</w:t>
            </w:r>
          </w:p>
          <w:p w14:paraId="49E6AA1E">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eastAsia" w:cs="Times New Roman"/>
                <w:color w:val="auto"/>
                <w:spacing w:val="-4"/>
                <w:sz w:val="24"/>
                <w:szCs w:val="24"/>
                <w:lang w:val="en-US" w:eastAsia="zh-CN" w:bidi="ar-SA"/>
              </w:rPr>
              <w:t>六</w:t>
            </w:r>
            <w:r>
              <w:rPr>
                <w:rFonts w:hint="default" w:ascii="Times New Roman" w:hAnsi="Times New Roman" w:eastAsia="宋体" w:cs="Times New Roman"/>
                <w:color w:val="auto"/>
                <w:spacing w:val="-4"/>
                <w:sz w:val="24"/>
                <w:szCs w:val="24"/>
                <w:lang w:val="en-US" w:eastAsia="zh-CN" w:bidi="ar-SA"/>
              </w:rPr>
              <w:t>、清洗​</w:t>
            </w:r>
          </w:p>
          <w:p w14:paraId="4FE3D387">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工艺目的：去除工件表面残留的染物，确保表面洁净度</w:t>
            </w:r>
          </w:p>
          <w:p w14:paraId="66F3ECB9">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操作过程：采用</w:t>
            </w:r>
            <w:r>
              <w:rPr>
                <w:rFonts w:hint="eastAsia" w:ascii="Times New Roman" w:hAnsi="Times New Roman" w:eastAsia="宋体" w:cs="Times New Roman"/>
                <w:color w:val="auto"/>
                <w:spacing w:val="-4"/>
                <w:sz w:val="24"/>
                <w:szCs w:val="24"/>
                <w:lang w:val="en-US" w:eastAsia="zh-CN" w:bidi="ar-SA"/>
              </w:rPr>
              <w:t>手工清洗擦拭</w:t>
            </w:r>
            <w:r>
              <w:rPr>
                <w:rFonts w:hint="default" w:ascii="Times New Roman" w:hAnsi="Times New Roman" w:eastAsia="宋体" w:cs="Times New Roman"/>
                <w:color w:val="auto"/>
                <w:spacing w:val="-4"/>
                <w:sz w:val="24"/>
                <w:szCs w:val="24"/>
                <w:lang w:val="en-US" w:eastAsia="zh-CN" w:bidi="ar-SA"/>
              </w:rPr>
              <w:t>​</w:t>
            </w:r>
          </w:p>
          <w:p w14:paraId="2FDCBCB3">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第一槽：丙酮第</w:t>
            </w:r>
            <w:r>
              <w:rPr>
                <w:rFonts w:hint="eastAsia" w:ascii="Times New Roman" w:hAnsi="Times New Roman" w:eastAsia="宋体" w:cs="Times New Roman"/>
                <w:color w:val="auto"/>
                <w:spacing w:val="-4"/>
                <w:sz w:val="24"/>
                <w:szCs w:val="24"/>
                <w:lang w:val="en-US" w:eastAsia="zh-CN" w:bidi="ar-SA"/>
              </w:rPr>
              <w:t>一槽浸泡</w:t>
            </w:r>
          </w:p>
          <w:p w14:paraId="481F6054">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第</w:t>
            </w:r>
            <w:r>
              <w:rPr>
                <w:rFonts w:hint="eastAsia" w:ascii="Times New Roman" w:hAnsi="Times New Roman" w:eastAsia="宋体" w:cs="Times New Roman"/>
                <w:color w:val="auto"/>
                <w:spacing w:val="-4"/>
                <w:sz w:val="24"/>
                <w:szCs w:val="24"/>
                <w:lang w:val="en-US" w:eastAsia="zh-CN" w:bidi="ar-SA"/>
              </w:rPr>
              <w:t>二</w:t>
            </w:r>
            <w:r>
              <w:rPr>
                <w:rFonts w:hint="default" w:ascii="Times New Roman" w:hAnsi="Times New Roman" w:eastAsia="宋体" w:cs="Times New Roman"/>
                <w:color w:val="auto"/>
                <w:spacing w:val="-4"/>
                <w:sz w:val="24"/>
                <w:szCs w:val="24"/>
                <w:lang w:val="en-US" w:eastAsia="zh-CN" w:bidi="ar-SA"/>
              </w:rPr>
              <w:t>槽：</w:t>
            </w:r>
            <w:r>
              <w:rPr>
                <w:rFonts w:hint="eastAsia" w:ascii="Times New Roman" w:hAnsi="Times New Roman" w:eastAsia="宋体" w:cs="Times New Roman"/>
                <w:color w:val="auto"/>
                <w:spacing w:val="-4"/>
                <w:sz w:val="24"/>
                <w:szCs w:val="24"/>
                <w:lang w:val="en-US" w:eastAsia="zh-CN" w:bidi="ar-SA"/>
              </w:rPr>
              <w:t>丙酮＋酒精</w:t>
            </w:r>
            <w:r>
              <w:rPr>
                <w:rFonts w:hint="eastAsia" w:cs="Times New Roman"/>
                <w:color w:val="auto"/>
                <w:spacing w:val="-4"/>
                <w:sz w:val="24"/>
                <w:szCs w:val="24"/>
                <w:lang w:val="en-US" w:eastAsia="zh-CN" w:bidi="ar-SA"/>
              </w:rPr>
              <w:t>+汽油</w:t>
            </w:r>
          </w:p>
          <w:p w14:paraId="19DBCD94">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eastAsia" w:ascii="Times New Roman" w:hAnsi="Times New Roman" w:eastAsia="宋体" w:cs="Times New Roman"/>
                <w:color w:val="auto"/>
                <w:spacing w:val="-4"/>
                <w:sz w:val="24"/>
                <w:szCs w:val="24"/>
                <w:lang w:val="en-US" w:eastAsia="zh-CN" w:bidi="ar-SA"/>
              </w:rPr>
              <w:t>第三</w:t>
            </w:r>
            <w:r>
              <w:rPr>
                <w:rFonts w:hint="eastAsia" w:cs="Times New Roman"/>
                <w:color w:val="auto"/>
                <w:spacing w:val="-4"/>
                <w:sz w:val="24"/>
                <w:szCs w:val="24"/>
                <w:lang w:val="en-US" w:eastAsia="zh-CN" w:bidi="ar-SA"/>
              </w:rPr>
              <w:t>槽</w:t>
            </w:r>
            <w:r>
              <w:rPr>
                <w:rFonts w:hint="eastAsia" w:ascii="Times New Roman" w:hAnsi="Times New Roman" w:eastAsia="宋体" w:cs="Times New Roman"/>
                <w:color w:val="auto"/>
                <w:spacing w:val="-4"/>
                <w:sz w:val="24"/>
                <w:szCs w:val="24"/>
                <w:lang w:val="en-US" w:eastAsia="zh-CN" w:bidi="ar-SA"/>
              </w:rPr>
              <w:t>：无水乙醇擦拭</w:t>
            </w:r>
          </w:p>
          <w:p w14:paraId="3AF51BFA">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涉及物料：抛光后的玻璃工件、丙酮、无水乙醇</w:t>
            </w:r>
            <w:r>
              <w:rPr>
                <w:rFonts w:hint="eastAsia" w:cs="Times New Roman"/>
                <w:color w:val="auto"/>
                <w:spacing w:val="-4"/>
                <w:sz w:val="24"/>
                <w:szCs w:val="24"/>
                <w:lang w:val="en-US" w:eastAsia="zh-CN" w:bidi="ar-SA"/>
              </w:rPr>
              <w:t>、汽油</w:t>
            </w:r>
          </w:p>
          <w:p w14:paraId="5F1C65AC">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环境因素：​</w:t>
            </w:r>
          </w:p>
          <w:p w14:paraId="013385EF">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eastAsia"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废气：丙酮、酒精挥发产生的VOCs，</w:t>
            </w:r>
            <w:r>
              <w:rPr>
                <w:rFonts w:hint="eastAsia" w:ascii="Times New Roman" w:hAnsi="Times New Roman" w:eastAsia="宋体" w:cs="Times New Roman"/>
                <w:color w:val="auto"/>
                <w:spacing w:val="-4"/>
                <w:sz w:val="24"/>
                <w:szCs w:val="24"/>
                <w:lang w:val="en-US" w:eastAsia="zh-CN" w:bidi="ar-SA"/>
              </w:rPr>
              <w:t>通过二级活性炭吸附装置处理达标后由15m高排气筒排放。</w:t>
            </w:r>
          </w:p>
          <w:p w14:paraId="30354936">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eastAsia"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废液：废丙酮、废酒精属危险废物（HW06类），需用专用密闭容器收集，暂存于</w:t>
            </w:r>
            <w:r>
              <w:rPr>
                <w:rFonts w:hint="eastAsia" w:cs="Times New Roman"/>
                <w:color w:val="auto"/>
                <w:spacing w:val="-4"/>
                <w:sz w:val="24"/>
                <w:szCs w:val="24"/>
                <w:lang w:val="en-US" w:eastAsia="zh-CN" w:bidi="ar-SA"/>
              </w:rPr>
              <w:t>危废贮存库</w:t>
            </w:r>
            <w:r>
              <w:rPr>
                <w:rFonts w:hint="default" w:ascii="Times New Roman" w:hAnsi="Times New Roman" w:eastAsia="宋体" w:cs="Times New Roman"/>
                <w:color w:val="auto"/>
                <w:spacing w:val="-4"/>
                <w:sz w:val="24"/>
                <w:szCs w:val="24"/>
                <w:lang w:val="en-US" w:eastAsia="zh-CN" w:bidi="ar-SA"/>
              </w:rPr>
              <w:t>并交由有资质单位处置；清洗废水经车间</w:t>
            </w:r>
            <w:r>
              <w:rPr>
                <w:rFonts w:hint="eastAsia" w:ascii="Times New Roman" w:hAnsi="Times New Roman" w:cs="Times New Roman"/>
                <w:color w:val="auto"/>
                <w:spacing w:val="-4"/>
                <w:sz w:val="24"/>
                <w:szCs w:val="24"/>
                <w:lang w:val="en-US" w:eastAsia="zh-CN" w:bidi="ar-SA"/>
              </w:rPr>
              <w:t>三格</w:t>
            </w:r>
            <w:r>
              <w:rPr>
                <w:rFonts w:hint="default" w:ascii="Times New Roman" w:hAnsi="Times New Roman" w:eastAsia="宋体" w:cs="Times New Roman"/>
                <w:color w:val="auto"/>
                <w:spacing w:val="-4"/>
                <w:sz w:val="24"/>
                <w:szCs w:val="24"/>
                <w:lang w:val="en-US" w:eastAsia="zh-CN" w:bidi="ar-SA"/>
              </w:rPr>
              <w:t>沉淀</w:t>
            </w:r>
            <w:r>
              <w:rPr>
                <w:rFonts w:hint="eastAsia" w:cs="Times New Roman"/>
                <w:color w:val="auto"/>
                <w:spacing w:val="-4"/>
                <w:sz w:val="24"/>
                <w:szCs w:val="24"/>
                <w:lang w:val="en-US" w:eastAsia="zh-CN" w:bidi="ar-SA"/>
              </w:rPr>
              <w:t>桶</w:t>
            </w:r>
            <w:r>
              <w:rPr>
                <w:rFonts w:hint="default" w:ascii="Times New Roman" w:hAnsi="Times New Roman" w:eastAsia="宋体" w:cs="Times New Roman"/>
                <w:color w:val="auto"/>
                <w:spacing w:val="-4"/>
                <w:sz w:val="24"/>
                <w:szCs w:val="24"/>
                <w:lang w:val="en-US" w:eastAsia="zh-CN" w:bidi="ar-SA"/>
              </w:rPr>
              <w:t>沉淀后</w:t>
            </w:r>
            <w:r>
              <w:rPr>
                <w:rFonts w:hint="eastAsia" w:cs="Times New Roman"/>
                <w:color w:val="auto"/>
                <w:spacing w:val="-4"/>
                <w:sz w:val="24"/>
                <w:szCs w:val="24"/>
                <w:lang w:val="en-US" w:eastAsia="zh-CN" w:bidi="ar-SA"/>
              </w:rPr>
              <w:t>排入化粪池。</w:t>
            </w:r>
            <w:r>
              <w:rPr>
                <w:rFonts w:hint="default" w:ascii="Times New Roman" w:hAnsi="Times New Roman" w:eastAsia="宋体" w:cs="Times New Roman"/>
                <w:color w:val="auto"/>
                <w:spacing w:val="-4"/>
                <w:sz w:val="24"/>
                <w:szCs w:val="24"/>
                <w:lang w:val="en-US" w:eastAsia="zh-CN" w:bidi="ar-SA"/>
              </w:rPr>
              <w:t>​</w:t>
            </w:r>
          </w:p>
          <w:p w14:paraId="723CDCDA">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eastAsia"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固体废物：废活性炭（饱和后）属危险废物，按危废管理要求处置。​</w:t>
            </w:r>
          </w:p>
          <w:p w14:paraId="5A227E29">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eastAsia" w:cs="Times New Roman"/>
                <w:color w:val="auto"/>
                <w:spacing w:val="-4"/>
                <w:sz w:val="24"/>
                <w:szCs w:val="24"/>
                <w:lang w:val="en-US" w:eastAsia="zh-CN" w:bidi="ar-SA"/>
              </w:rPr>
              <w:t>七</w:t>
            </w:r>
            <w:r>
              <w:rPr>
                <w:rFonts w:hint="default" w:ascii="Times New Roman" w:hAnsi="Times New Roman" w:eastAsia="宋体" w:cs="Times New Roman"/>
                <w:color w:val="auto"/>
                <w:spacing w:val="-4"/>
                <w:sz w:val="24"/>
                <w:szCs w:val="24"/>
                <w:lang w:val="en-US" w:eastAsia="zh-CN" w:bidi="ar-SA"/>
              </w:rPr>
              <w:t>、检测​</w:t>
            </w:r>
          </w:p>
          <w:p w14:paraId="67695141">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工艺目的：通过光学仪器检测工件的表面质量、尺寸精度、透光率等指标，确保符合产品标准。​</w:t>
            </w:r>
          </w:p>
          <w:p w14:paraId="2BF15739">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检测项目与方法：​</w:t>
            </w:r>
          </w:p>
          <w:p w14:paraId="45E5C852">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eastAsia"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表面缺陷：采用强光照明下目视检测或显微镜（放大倍数100-200倍）检查，无尘布蘸有丙酮-乙醚混合液（体积比 1:1）擦拭表面，去除残留污渍；</w:t>
            </w:r>
          </w:p>
          <w:p w14:paraId="543A6C78">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eastAsia"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尺寸精度：使用千分尺、测长仪测量；​</w:t>
            </w:r>
          </w:p>
          <w:p w14:paraId="4166454E">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eastAsia"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光学性能：通过分光光度计检测透光率（要求≥90%）。​</w:t>
            </w:r>
          </w:p>
          <w:p w14:paraId="65D05F8F">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eastAsia"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固体废物：废无尘布（沾染有机溶剂）属危险废物，废混合液属HW06类危废，均按危废管理要求处置；不合格品</w:t>
            </w:r>
            <w:r>
              <w:rPr>
                <w:rFonts w:hint="eastAsia" w:ascii="Times New Roman" w:hAnsi="Times New Roman" w:eastAsia="宋体" w:cs="Times New Roman"/>
                <w:color w:val="auto"/>
                <w:spacing w:val="-4"/>
                <w:sz w:val="24"/>
                <w:szCs w:val="24"/>
                <w:lang w:val="en-US" w:eastAsia="zh-CN" w:bidi="ar-SA"/>
              </w:rPr>
              <w:t>妥善收集后外售给其他企业回收综合利用</w:t>
            </w:r>
            <w:r>
              <w:rPr>
                <w:rFonts w:hint="default" w:ascii="Times New Roman" w:hAnsi="Times New Roman" w:eastAsia="宋体" w:cs="Times New Roman"/>
                <w:color w:val="auto"/>
                <w:spacing w:val="-4"/>
                <w:sz w:val="24"/>
                <w:szCs w:val="24"/>
                <w:lang w:val="en-US" w:eastAsia="zh-CN" w:bidi="ar-SA"/>
              </w:rPr>
              <w:t>。​</w:t>
            </w:r>
          </w:p>
          <w:p w14:paraId="1B1562F9">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eastAsia" w:cs="Times New Roman"/>
                <w:color w:val="auto"/>
                <w:spacing w:val="-4"/>
                <w:sz w:val="24"/>
                <w:szCs w:val="24"/>
                <w:lang w:val="en-US" w:eastAsia="zh-CN" w:bidi="ar-SA"/>
              </w:rPr>
              <w:t>八</w:t>
            </w:r>
            <w:r>
              <w:rPr>
                <w:rFonts w:hint="default" w:ascii="Times New Roman" w:hAnsi="Times New Roman" w:eastAsia="宋体" w:cs="Times New Roman"/>
                <w:color w:val="auto"/>
                <w:spacing w:val="-4"/>
                <w:sz w:val="24"/>
                <w:szCs w:val="24"/>
                <w:lang w:val="en-US" w:eastAsia="zh-CN" w:bidi="ar-SA"/>
              </w:rPr>
              <w:t>、包装​</w:t>
            </w:r>
          </w:p>
          <w:p w14:paraId="184F073F">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工艺目的：对合格产品进行包装，防止运输和存储过程中产生划伤、污染。​</w:t>
            </w:r>
          </w:p>
          <w:p w14:paraId="7440662D">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eastAsia" w:ascii="Times New Roman" w:hAnsi="Times New Roman" w:eastAsia="宋体" w:cs="Times New Roman"/>
                <w:color w:val="auto"/>
                <w:spacing w:val="-4"/>
                <w:sz w:val="24"/>
                <w:szCs w:val="24"/>
                <w:lang w:val="en-US" w:eastAsia="zh-CN" w:bidi="ar-SA"/>
              </w:rPr>
            </w:pPr>
            <w:r>
              <w:rPr>
                <w:rFonts w:hint="default" w:ascii="Times New Roman" w:hAnsi="Times New Roman" w:eastAsia="宋体" w:cs="Times New Roman"/>
                <w:color w:val="auto"/>
                <w:spacing w:val="-4"/>
                <w:sz w:val="24"/>
                <w:szCs w:val="24"/>
                <w:lang w:val="en-US" w:eastAsia="zh-CN" w:bidi="ar-SA"/>
              </w:rPr>
              <w:t>固体废物：包装过程中产生的废</w:t>
            </w:r>
            <w:r>
              <w:rPr>
                <w:rFonts w:hint="eastAsia" w:cs="Times New Roman"/>
                <w:color w:val="auto"/>
                <w:spacing w:val="-4"/>
                <w:sz w:val="24"/>
                <w:szCs w:val="24"/>
                <w:lang w:val="en-US" w:eastAsia="zh-CN" w:bidi="ar-SA"/>
              </w:rPr>
              <w:t>包装</w:t>
            </w:r>
            <w:r>
              <w:rPr>
                <w:rFonts w:hint="default" w:ascii="Times New Roman" w:hAnsi="Times New Roman" w:eastAsia="宋体" w:cs="Times New Roman"/>
                <w:color w:val="auto"/>
                <w:spacing w:val="-4"/>
                <w:sz w:val="24"/>
                <w:szCs w:val="24"/>
                <w:lang w:val="en-US" w:eastAsia="zh-CN" w:bidi="ar-SA"/>
              </w:rPr>
              <w:t>属一般工业固体废物，可回收利用；不合格包装材料统一收集后外售。​</w:t>
            </w:r>
          </w:p>
          <w:p w14:paraId="7A7E6CC5">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en-US" w:bidi="ar-SA"/>
              </w:rPr>
            </w:pPr>
            <w:r>
              <w:rPr>
                <w:rFonts w:hint="eastAsia" w:ascii="Times New Roman" w:hAnsi="Times New Roman" w:eastAsia="宋体" w:cs="Times New Roman"/>
                <w:color w:val="auto"/>
                <w:spacing w:val="-4"/>
                <w:sz w:val="24"/>
                <w:szCs w:val="24"/>
                <w:lang w:val="en-US" w:eastAsia="zh-CN" w:bidi="ar-SA"/>
              </w:rPr>
              <w:t>产污环节：</w:t>
            </w:r>
          </w:p>
          <w:p w14:paraId="6A4E4983">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default" w:ascii="Times New Roman" w:hAnsi="Times New Roman" w:eastAsia="宋体" w:cs="Times New Roman"/>
                <w:color w:val="auto"/>
                <w:spacing w:val="-4"/>
                <w:sz w:val="24"/>
                <w:szCs w:val="24"/>
                <w:lang w:val="en-US" w:eastAsia="en-US" w:bidi="ar-SA"/>
              </w:rPr>
            </w:pPr>
            <w:r>
              <w:rPr>
                <w:rFonts w:hint="eastAsia" w:ascii="Times New Roman" w:hAnsi="Times New Roman" w:eastAsia="宋体" w:cs="Times New Roman"/>
                <w:color w:val="auto"/>
                <w:spacing w:val="-4"/>
                <w:sz w:val="24"/>
                <w:szCs w:val="24"/>
                <w:lang w:val="en-US" w:eastAsia="zh-CN" w:bidi="ar-SA"/>
              </w:rPr>
              <w:t>废水：研磨、抛光及</w:t>
            </w:r>
            <w:r>
              <w:rPr>
                <w:rFonts w:hint="eastAsia" w:cs="Times New Roman"/>
                <w:color w:val="auto"/>
                <w:spacing w:val="-4"/>
                <w:sz w:val="24"/>
                <w:szCs w:val="24"/>
                <w:lang w:val="en-US" w:eastAsia="zh-CN" w:bidi="ar-SA"/>
              </w:rPr>
              <w:t>超声</w:t>
            </w:r>
            <w:r>
              <w:rPr>
                <w:rFonts w:hint="eastAsia" w:ascii="Times New Roman" w:hAnsi="Times New Roman" w:eastAsia="宋体" w:cs="Times New Roman"/>
                <w:color w:val="auto"/>
                <w:spacing w:val="-4"/>
                <w:sz w:val="24"/>
                <w:szCs w:val="24"/>
                <w:lang w:val="en-US" w:eastAsia="zh-CN" w:bidi="ar-SA"/>
              </w:rPr>
              <w:t>清洗工序产生的生产废水和员工生活污水；</w:t>
            </w:r>
          </w:p>
          <w:p w14:paraId="070C594E">
            <w:pPr>
              <w:keepNext w:val="0"/>
              <w:keepLines w:val="0"/>
              <w:pageBreakBefore w:val="0"/>
              <w:widowControl/>
              <w:suppressLineNumbers w:val="0"/>
              <w:kinsoku/>
              <w:wordWrap/>
              <w:overflowPunct/>
              <w:topLinePunct w:val="0"/>
              <w:autoSpaceDE/>
              <w:autoSpaceDN/>
              <w:bidi w:val="0"/>
              <w:adjustRightInd/>
              <w:snapToGrid/>
              <w:spacing w:line="360" w:lineRule="auto"/>
              <w:ind w:firstLine="464" w:firstLineChars="200"/>
              <w:jc w:val="left"/>
              <w:textAlignment w:val="auto"/>
              <w:rPr>
                <w:rFonts w:hint="eastAsia" w:ascii="Times New Roman" w:hAnsi="Times New Roman" w:eastAsia="宋体" w:cs="Times New Roman"/>
                <w:color w:val="auto"/>
                <w:spacing w:val="-4"/>
                <w:sz w:val="24"/>
                <w:szCs w:val="24"/>
                <w:lang w:val="en-US" w:eastAsia="zh-CN" w:bidi="ar-SA"/>
              </w:rPr>
            </w:pPr>
            <w:r>
              <w:rPr>
                <w:rFonts w:hint="eastAsia" w:ascii="Times New Roman" w:hAnsi="Times New Roman" w:eastAsia="宋体" w:cs="Times New Roman"/>
                <w:color w:val="auto"/>
                <w:spacing w:val="-4"/>
                <w:sz w:val="24"/>
                <w:szCs w:val="24"/>
                <w:lang w:val="en-US" w:eastAsia="zh-CN" w:bidi="ar-SA"/>
              </w:rPr>
              <w:t>废气：</w:t>
            </w:r>
            <w:r>
              <w:rPr>
                <w:rFonts w:hint="default" w:ascii="Times New Roman" w:hAnsi="Times New Roman" w:eastAsia="宋体" w:cs="Times New Roman"/>
                <w:color w:val="auto"/>
                <w:spacing w:val="-4"/>
                <w:sz w:val="24"/>
                <w:szCs w:val="24"/>
                <w:lang w:val="en-US" w:eastAsia="zh-CN" w:bidi="ar-SA"/>
              </w:rPr>
              <w:t>本项目产生的废气包括</w:t>
            </w:r>
            <w:r>
              <w:rPr>
                <w:rFonts w:hint="eastAsia" w:ascii="Times New Roman" w:hAnsi="Times New Roman" w:eastAsia="宋体" w:cs="Times New Roman"/>
                <w:color w:val="auto"/>
                <w:spacing w:val="-4"/>
                <w:sz w:val="24"/>
                <w:szCs w:val="24"/>
                <w:lang w:val="en-US" w:eastAsia="zh-CN" w:bidi="ar-SA"/>
              </w:rPr>
              <w:t>上盘废气、检测废气、</w:t>
            </w:r>
            <w:r>
              <w:rPr>
                <w:rFonts w:hint="eastAsia" w:cs="Times New Roman"/>
                <w:color w:val="auto"/>
                <w:spacing w:val="-4"/>
                <w:sz w:val="24"/>
                <w:szCs w:val="24"/>
                <w:lang w:val="en-US" w:eastAsia="zh-CN" w:bidi="ar-SA"/>
              </w:rPr>
              <w:t>清洗</w:t>
            </w:r>
            <w:r>
              <w:rPr>
                <w:rFonts w:hint="eastAsia" w:ascii="Times New Roman" w:hAnsi="Times New Roman" w:eastAsia="宋体" w:cs="Times New Roman"/>
                <w:color w:val="auto"/>
                <w:spacing w:val="-4"/>
                <w:sz w:val="24"/>
                <w:szCs w:val="24"/>
                <w:lang w:val="en-US" w:eastAsia="zh-CN" w:bidi="ar-SA"/>
              </w:rPr>
              <w:t>废气</w:t>
            </w:r>
          </w:p>
          <w:p w14:paraId="137227FD">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宋体"/>
                <w:color w:val="auto"/>
                <w:sz w:val="24"/>
                <w:szCs w:val="24"/>
                <w:lang w:val="en-US" w:eastAsia="en-US" w:bidi="ar-SA"/>
              </w:rPr>
            </w:pPr>
            <w:r>
              <w:rPr>
                <w:rFonts w:hint="eastAsia" w:ascii="Times New Roman" w:hAnsi="Times New Roman" w:eastAsia="宋体" w:cs="宋体"/>
                <w:color w:val="auto"/>
                <w:sz w:val="24"/>
                <w:szCs w:val="24"/>
                <w:lang w:val="en-US" w:eastAsia="zh-CN" w:bidi="ar-SA"/>
              </w:rPr>
              <w:t>噪声：本项目噪声主要来自空压机等设备产生的机械噪声。</w:t>
            </w:r>
          </w:p>
          <w:p w14:paraId="4B9C82C0">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ascii="宋体" w:hAnsi="宋体"/>
                <w:bCs/>
                <w:color w:val="auto"/>
                <w:szCs w:val="21"/>
              </w:rPr>
            </w:pPr>
            <w:r>
              <w:rPr>
                <w:rFonts w:hint="eastAsia" w:ascii="Times New Roman" w:hAnsi="Times New Roman" w:eastAsia="宋体" w:cs="宋体"/>
                <w:color w:val="auto"/>
                <w:sz w:val="24"/>
                <w:szCs w:val="24"/>
                <w:lang w:val="en-US" w:eastAsia="zh-CN" w:bidi="ar-SA"/>
              </w:rPr>
              <w:t>固体废物：检验过程中产生的不合格品及包装袋等、沉淀污泥、废活性炭、废切削液含切削液污泥及员工生活垃圾。</w:t>
            </w:r>
          </w:p>
        </w:tc>
      </w:tr>
      <w:tr w14:paraId="1AABDB3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2819" w:hRule="atLeast"/>
          <w:jc w:val="center"/>
        </w:trPr>
        <w:tc>
          <w:tcPr>
            <w:tcW w:w="823" w:type="dxa"/>
            <w:noWrap w:val="0"/>
            <w:vAlign w:val="center"/>
          </w:tcPr>
          <w:p w14:paraId="41BE7554">
            <w:pPr>
              <w:pStyle w:val="204"/>
              <w:spacing w:before="0" w:beforeAutospacing="0" w:after="0" w:afterAutospacing="0"/>
              <w:jc w:val="center"/>
              <w:rPr>
                <w:rFonts w:cs="宋体"/>
                <w:color w:val="auto"/>
                <w:sz w:val="21"/>
                <w:szCs w:val="21"/>
              </w:rPr>
            </w:pPr>
            <w:r>
              <w:rPr>
                <w:rFonts w:hint="eastAsia" w:cs="宋体"/>
                <w:bCs/>
                <w:color w:val="auto"/>
                <w:sz w:val="21"/>
                <w:szCs w:val="21"/>
              </w:rPr>
              <w:t>与项目有关的原有环境污染问题</w:t>
            </w:r>
          </w:p>
        </w:tc>
        <w:tc>
          <w:tcPr>
            <w:tcW w:w="8161" w:type="dxa"/>
            <w:shd w:val="clear" w:color="auto" w:fill="auto"/>
            <w:noWrap w:val="0"/>
            <w:vAlign w:val="center"/>
          </w:tcPr>
          <w:p w14:paraId="7E1F0EC3">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eastAsia="Times New Roman" w:cs="Times New Roman"/>
                <w:b/>
                <w:bCs/>
                <w:color w:val="auto"/>
                <w:spacing w:val="-2"/>
                <w:sz w:val="28"/>
                <w:szCs w:val="28"/>
                <w:lang w:val="en-US" w:eastAsia="zh-CN" w:bidi="ar-SA"/>
              </w:rPr>
            </w:pPr>
            <w:r>
              <w:rPr>
                <w:rFonts w:hint="eastAsia" w:ascii="Times New Roman" w:hAnsi="Times New Roman" w:eastAsia="Times New Roman" w:cs="Times New Roman"/>
                <w:b/>
                <w:bCs/>
                <w:color w:val="auto"/>
                <w:spacing w:val="-2"/>
                <w:sz w:val="28"/>
                <w:szCs w:val="28"/>
                <w:lang w:val="en-US" w:eastAsia="zh-CN" w:bidi="ar-SA"/>
              </w:rPr>
              <w:t>2.3</w:t>
            </w:r>
            <w:r>
              <w:rPr>
                <w:rFonts w:hint="eastAsia" w:ascii="Times New Roman" w:hAnsi="Times New Roman" w:eastAsia="宋体" w:cs="Arial"/>
                <w:b/>
                <w:bCs/>
                <w:snapToGrid w:val="0"/>
                <w:color w:val="auto"/>
                <w:kern w:val="44"/>
                <w:sz w:val="28"/>
                <w:szCs w:val="30"/>
                <w:lang w:val="en-US" w:eastAsia="zh-CN"/>
              </w:rPr>
              <w:t>出租方建设项目基本情况</w:t>
            </w:r>
          </w:p>
          <w:p w14:paraId="3734493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宋体"/>
                <w:color w:val="auto"/>
                <w:sz w:val="24"/>
                <w:szCs w:val="24"/>
                <w:lang w:val="en-US" w:eastAsia="zh-CN" w:bidi="ar-SA"/>
              </w:rPr>
            </w:pPr>
            <w:r>
              <w:rPr>
                <w:rFonts w:hint="eastAsia" w:ascii="Times New Roman" w:hAnsi="Times New Roman"/>
                <w:color w:val="auto"/>
                <w:sz w:val="24"/>
              </w:rPr>
              <w:t>闽侯县丹祥户外用品有限责任公司</w:t>
            </w:r>
            <w:r>
              <w:rPr>
                <w:rFonts w:hint="eastAsia" w:ascii="Times New Roman" w:hAnsi="Times New Roman" w:eastAsia="宋体" w:cs="宋体"/>
                <w:color w:val="auto"/>
                <w:sz w:val="24"/>
                <w:szCs w:val="24"/>
                <w:lang w:val="en-US" w:eastAsia="zh-CN" w:bidi="ar-SA"/>
              </w:rPr>
              <w:t>主要从事</w:t>
            </w:r>
            <w:r>
              <w:rPr>
                <w:rFonts w:hint="eastAsia" w:ascii="Times New Roman" w:hAnsi="Times New Roman" w:cs="宋体"/>
                <w:color w:val="auto"/>
                <w:sz w:val="24"/>
                <w:szCs w:val="24"/>
                <w:lang w:val="en-US" w:eastAsia="zh-CN" w:bidi="ar-SA"/>
              </w:rPr>
              <w:t>生产</w:t>
            </w:r>
            <w:r>
              <w:rPr>
                <w:rFonts w:hint="eastAsia" w:ascii="Times New Roman" w:hAnsi="Times New Roman" w:eastAsia="宋体" w:cs="宋体"/>
                <w:color w:val="auto"/>
                <w:sz w:val="24"/>
                <w:szCs w:val="24"/>
                <w:lang w:val="en-US" w:eastAsia="zh-CN" w:bidi="ar-SA"/>
              </w:rPr>
              <w:t>光</w:t>
            </w:r>
            <w:r>
              <w:rPr>
                <w:rFonts w:hint="eastAsia" w:ascii="Times New Roman" w:hAnsi="Times New Roman" w:cs="Times New Roman"/>
                <w:color w:val="auto"/>
                <w:sz w:val="24"/>
              </w:rPr>
              <w:t>户外防水防寒服装、高尔夫服装、下水裤、鞋类、登山杖等户外用品及日用</w:t>
            </w:r>
            <w:r>
              <w:rPr>
                <w:rFonts w:hint="eastAsia" w:ascii="Times New Roman" w:hAnsi="Times New Roman" w:cs="Times New Roman"/>
                <w:color w:val="auto"/>
                <w:sz w:val="24"/>
                <w:lang w:val="en-US" w:eastAsia="zh-CN"/>
              </w:rPr>
              <w:t>品，</w:t>
            </w:r>
            <w:r>
              <w:rPr>
                <w:rFonts w:hint="eastAsia" w:cs="Times New Roman"/>
                <w:color w:val="auto"/>
                <w:sz w:val="24"/>
                <w:lang w:val="en-US" w:eastAsia="zh-CN"/>
              </w:rPr>
              <w:t>该司目前还在运行，</w:t>
            </w:r>
            <w:r>
              <w:rPr>
                <w:rFonts w:hint="eastAsia" w:ascii="Times New Roman" w:hAnsi="Times New Roman" w:cs="Times New Roman"/>
                <w:color w:val="auto"/>
                <w:sz w:val="24"/>
                <w:lang w:val="en-US" w:eastAsia="zh-CN"/>
              </w:rPr>
              <w:t>符合国家产业政策，选</w:t>
            </w:r>
            <w:r>
              <w:rPr>
                <w:rFonts w:hint="eastAsia" w:ascii="Times New Roman" w:hAnsi="Times New Roman" w:eastAsia="宋体" w:cs="宋体"/>
                <w:color w:val="auto"/>
                <w:sz w:val="24"/>
                <w:szCs w:val="24"/>
                <w:lang w:val="en-US" w:eastAsia="zh-CN" w:bidi="ar-SA"/>
              </w:rPr>
              <w:t>址合理。</w:t>
            </w:r>
            <w:r>
              <w:rPr>
                <w:rFonts w:hint="eastAsia" w:ascii="Times New Roman" w:hAnsi="Times New Roman"/>
                <w:color w:val="auto"/>
                <w:sz w:val="24"/>
              </w:rPr>
              <w:t>闽侯县丹祥户外用品有限责任公司</w:t>
            </w:r>
            <w:r>
              <w:rPr>
                <w:rFonts w:hint="eastAsia" w:ascii="Times New Roman" w:hAnsi="Times New Roman" w:cs="Times New Roman"/>
                <w:color w:val="auto"/>
                <w:sz w:val="24"/>
                <w:lang w:val="en-US" w:eastAsia="zh-CN"/>
              </w:rPr>
              <w:t>分出</w:t>
            </w:r>
            <w:r>
              <w:rPr>
                <w:rFonts w:hint="default" w:ascii="Times New Roman" w:hAnsi="Times New Roman"/>
                <w:color w:val="auto"/>
                <w:sz w:val="24"/>
                <w:lang w:val="en-US" w:eastAsia="zh-CN"/>
              </w:rPr>
              <w:t>福建省福州市闽侯县经济技术开发区一期延伸区综合大楼第五层</w:t>
            </w:r>
            <w:r>
              <w:rPr>
                <w:rFonts w:hint="eastAsia" w:ascii="Times New Roman" w:hAnsi="Times New Roman"/>
                <w:color w:val="auto"/>
                <w:sz w:val="24"/>
                <w:lang w:val="en-US" w:eastAsia="zh-CN"/>
              </w:rPr>
              <w:t>出租</w:t>
            </w:r>
            <w:r>
              <w:rPr>
                <w:rFonts w:hint="eastAsia" w:ascii="Times New Roman" w:hAnsi="Times New Roman" w:cs="Times New Roman"/>
                <w:color w:val="auto"/>
                <w:sz w:val="24"/>
                <w:lang w:val="en-US" w:eastAsia="zh-CN"/>
              </w:rPr>
              <w:t>给福州铭辰光电有限公司，</w:t>
            </w:r>
            <w:r>
              <w:rPr>
                <w:rFonts w:hint="eastAsia" w:ascii="Times New Roman" w:hAnsi="Times New Roman"/>
                <w:color w:val="auto"/>
                <w:sz w:val="24"/>
              </w:rPr>
              <w:t>闽侯县丹祥户外用品有限责任公司</w:t>
            </w:r>
            <w:r>
              <w:rPr>
                <w:rFonts w:hint="eastAsia"/>
                <w:color w:val="auto"/>
                <w:sz w:val="24"/>
                <w:lang w:val="en-US" w:eastAsia="zh-CN"/>
              </w:rPr>
              <w:t>生产</w:t>
            </w:r>
            <w:r>
              <w:rPr>
                <w:rFonts w:hint="eastAsia" w:ascii="Times New Roman" w:hAnsi="Times New Roman" w:cs="Times New Roman"/>
                <w:color w:val="auto"/>
                <w:sz w:val="24"/>
                <w:lang w:val="en-US" w:eastAsia="zh-CN"/>
              </w:rPr>
              <w:t>采用了先进的工艺技术，符合清</w:t>
            </w:r>
            <w:r>
              <w:rPr>
                <w:rFonts w:hint="eastAsia" w:ascii="Times New Roman" w:hAnsi="Times New Roman" w:eastAsia="宋体" w:cs="宋体"/>
                <w:color w:val="auto"/>
                <w:sz w:val="24"/>
                <w:szCs w:val="24"/>
                <w:lang w:val="en-US" w:eastAsia="zh-CN" w:bidi="ar-SA"/>
              </w:rPr>
              <w:t>洁生产要求，所在区域环境质量现状较好，满足所在区域环境质量要求，项目建设能与周边环境相容。通过对本项目的环境影响评价分析，项目运营过程中的废水、废气、噪声、固废等污染物对周围环境空气、水环境、声环境等造成一定的影响，经采取综合性、积极有效的防治措施后排放的污染物符合国家、省规定的污染物排放标准，废水、废气、噪声能达标排放，符合总量控制要求，经预测分析对项目周边环境影响较小。工程投产后具有较大的经济效益和良好的社会效益。</w:t>
            </w:r>
          </w:p>
          <w:p w14:paraId="1B2910D2">
            <w:pPr>
              <w:jc w:val="both"/>
              <w:rPr>
                <w:rFonts w:hint="eastAsia" w:ascii="Times New Roman" w:hAnsi="Times New Roman" w:eastAsia="Times New Roman" w:cs="Times New Roman"/>
                <w:b/>
                <w:bCs/>
                <w:color w:val="auto"/>
                <w:spacing w:val="-2"/>
                <w:sz w:val="28"/>
                <w:szCs w:val="28"/>
                <w:lang w:val="en-US" w:eastAsia="zh-CN" w:bidi="ar-SA"/>
              </w:rPr>
            </w:pPr>
            <w:r>
              <w:rPr>
                <w:rFonts w:hint="eastAsia" w:ascii="Times New Roman" w:hAnsi="Times New Roman" w:eastAsia="Times New Roman" w:cs="Times New Roman"/>
                <w:b/>
                <w:bCs/>
                <w:color w:val="auto"/>
                <w:spacing w:val="-2"/>
                <w:sz w:val="28"/>
                <w:szCs w:val="28"/>
                <w:lang w:val="en-US" w:eastAsia="zh-CN" w:bidi="ar-SA"/>
              </w:rPr>
              <w:t>2.4现有环境污染问题</w:t>
            </w:r>
          </w:p>
          <w:p w14:paraId="7E93844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bCs/>
                <w:color w:val="auto"/>
                <w:sz w:val="21"/>
                <w:szCs w:val="21"/>
                <w:lang w:val="en-US" w:eastAsia="zh-CN" w:bidi="ar-SA"/>
              </w:rPr>
            </w:pPr>
            <w:r>
              <w:rPr>
                <w:rFonts w:hint="eastAsia" w:ascii="Times New Roman" w:hAnsi="Times New Roman" w:eastAsia="宋体" w:cs="宋体"/>
                <w:color w:val="auto"/>
                <w:sz w:val="24"/>
                <w:szCs w:val="24"/>
                <w:lang w:val="en-US" w:eastAsia="zh-CN" w:bidi="ar-SA"/>
              </w:rPr>
              <w:t>现项目为新建项目，不存在现有项目的环境污染问题。</w:t>
            </w:r>
          </w:p>
        </w:tc>
      </w:tr>
    </w:tbl>
    <w:p w14:paraId="2609BEF7">
      <w:pPr>
        <w:pStyle w:val="204"/>
        <w:jc w:val="center"/>
        <w:rPr>
          <w:rFonts w:ascii="黑体" w:hAnsi="黑体" w:eastAsia="黑体"/>
          <w:color w:val="auto"/>
          <w:sz w:val="36"/>
          <w:szCs w:val="36"/>
        </w:rPr>
        <w:sectPr>
          <w:pgSz w:w="11906" w:h="16838" w:orient="landscape"/>
          <w:pgMar w:top="1701" w:right="1531" w:bottom="1701" w:left="1531" w:header="851" w:footer="851" w:gutter="0"/>
          <w:pgBorders>
            <w:top w:val="none" w:sz="0" w:space="0"/>
            <w:left w:val="none" w:sz="0" w:space="0"/>
            <w:bottom w:val="none" w:sz="0" w:space="0"/>
            <w:right w:val="none" w:sz="0" w:space="0"/>
          </w:pgBorders>
          <w:cols w:space="720" w:num="1"/>
        </w:sectPr>
      </w:pPr>
    </w:p>
    <w:p w14:paraId="3446DBFE">
      <w:pPr>
        <w:pStyle w:val="204"/>
        <w:spacing w:before="0" w:beforeAutospacing="0" w:after="0" w:afterAutospacing="0" w:line="14" w:lineRule="auto"/>
        <w:jc w:val="center"/>
        <w:outlineLvl w:val="9"/>
        <w:rPr>
          <w:rFonts w:hint="eastAsia" w:ascii="黑体" w:hAnsi="黑体" w:eastAsia="黑体"/>
          <w:color w:val="auto"/>
          <w:sz w:val="30"/>
          <w:szCs w:val="30"/>
        </w:rPr>
      </w:pPr>
    </w:p>
    <w:p w14:paraId="22C6A196">
      <w:pPr>
        <w:pStyle w:val="204"/>
        <w:jc w:val="center"/>
        <w:outlineLvl w:val="0"/>
        <w:rPr>
          <w:rFonts w:ascii="Times New Roman" w:hAnsi="Times New Roman" w:eastAsia="黑体"/>
          <w:color w:val="auto"/>
          <w:sz w:val="30"/>
          <w:szCs w:val="30"/>
        </w:rPr>
      </w:pPr>
      <w:r>
        <w:rPr>
          <w:rFonts w:hint="eastAsia" w:ascii="Times New Roman" w:hAnsi="Times New Roman" w:eastAsia="黑体"/>
          <w:color w:val="auto"/>
          <w:sz w:val="30"/>
          <w:szCs w:val="30"/>
        </w:rPr>
        <w:t>三、区域环境质量现状、环境保护目标及评价标准</w:t>
      </w:r>
    </w:p>
    <w:tbl>
      <w:tblPr>
        <w:tblStyle w:val="38"/>
        <w:tblW w:w="0" w:type="auto"/>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autofit"/>
        <w:tblCellMar>
          <w:top w:w="0" w:type="dxa"/>
          <w:left w:w="108" w:type="dxa"/>
          <w:bottom w:w="0" w:type="dxa"/>
          <w:right w:w="108" w:type="dxa"/>
        </w:tblCellMar>
      </w:tblPr>
      <w:tblGrid>
        <w:gridCol w:w="421"/>
        <w:gridCol w:w="8640"/>
      </w:tblGrid>
      <w:tr w14:paraId="40D6976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891" w:hRule="atLeast"/>
          <w:jc w:val="center"/>
        </w:trPr>
        <w:tc>
          <w:tcPr>
            <w:tcW w:w="800" w:type="dxa"/>
            <w:noWrap w:val="0"/>
            <w:vAlign w:val="center"/>
          </w:tcPr>
          <w:p w14:paraId="447EAAFF">
            <w:pPr>
              <w:jc w:val="center"/>
              <w:rPr>
                <w:rFonts w:hint="eastAsia" w:ascii="Times New Roman" w:hAnsi="Times New Roman" w:cs="宋体"/>
                <w:color w:val="auto"/>
                <w:szCs w:val="21"/>
              </w:rPr>
            </w:pPr>
            <w:r>
              <w:rPr>
                <w:rFonts w:hint="eastAsia" w:ascii="Times New Roman" w:hAnsi="Times New Roman" w:cs="宋体"/>
                <w:color w:val="auto"/>
                <w:szCs w:val="21"/>
              </w:rPr>
              <w:t>区域</w:t>
            </w:r>
          </w:p>
          <w:p w14:paraId="57C83741">
            <w:pPr>
              <w:jc w:val="center"/>
              <w:rPr>
                <w:rFonts w:hint="eastAsia" w:ascii="Times New Roman" w:hAnsi="Times New Roman" w:cs="宋体"/>
                <w:color w:val="auto"/>
                <w:szCs w:val="21"/>
              </w:rPr>
            </w:pPr>
            <w:r>
              <w:rPr>
                <w:rFonts w:hint="eastAsia" w:ascii="Times New Roman" w:hAnsi="Times New Roman" w:cs="宋体"/>
                <w:color w:val="auto"/>
                <w:szCs w:val="21"/>
              </w:rPr>
              <w:t>环境</w:t>
            </w:r>
          </w:p>
          <w:p w14:paraId="051E5E75">
            <w:pPr>
              <w:jc w:val="center"/>
              <w:rPr>
                <w:rFonts w:hint="eastAsia" w:ascii="Times New Roman" w:hAnsi="Times New Roman" w:cs="宋体"/>
                <w:color w:val="auto"/>
                <w:szCs w:val="21"/>
              </w:rPr>
            </w:pPr>
            <w:r>
              <w:rPr>
                <w:rFonts w:hint="eastAsia" w:ascii="Times New Roman" w:hAnsi="Times New Roman" w:cs="宋体"/>
                <w:color w:val="auto"/>
                <w:szCs w:val="21"/>
              </w:rPr>
              <w:t>质量</w:t>
            </w:r>
          </w:p>
          <w:p w14:paraId="3DD1B3F5">
            <w:pPr>
              <w:jc w:val="center"/>
              <w:rPr>
                <w:rFonts w:ascii="Times New Roman" w:hAnsi="Times New Roman" w:cs="宋体"/>
                <w:color w:val="auto"/>
                <w:szCs w:val="21"/>
              </w:rPr>
            </w:pPr>
            <w:r>
              <w:rPr>
                <w:rFonts w:hint="eastAsia" w:ascii="Times New Roman" w:hAnsi="Times New Roman" w:cs="宋体"/>
                <w:color w:val="auto"/>
                <w:szCs w:val="21"/>
              </w:rPr>
              <w:t>现状</w:t>
            </w:r>
          </w:p>
        </w:tc>
        <w:tc>
          <w:tcPr>
            <w:tcW w:w="8190" w:type="dxa"/>
            <w:noWrap w:val="0"/>
            <w:vAlign w:val="center"/>
          </w:tcPr>
          <w:p w14:paraId="49D48A80">
            <w:pPr>
              <w:pStyle w:val="3"/>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0" w:leftChars="0" w:firstLine="0" w:firstLineChars="0"/>
              <w:textAlignment w:val="auto"/>
              <w:rPr>
                <w:rFonts w:ascii="Times New Roman" w:hAnsi="Times New Roman" w:eastAsia="宋体"/>
                <w:b/>
                <w:bCs/>
                <w:color w:val="auto"/>
                <w:sz w:val="28"/>
                <w:szCs w:val="28"/>
                <w:highlight w:val="none"/>
              </w:rPr>
            </w:pPr>
            <w:bookmarkStart w:id="2" w:name="_Toc12042"/>
            <w:r>
              <w:rPr>
                <w:rFonts w:hint="default" w:ascii="Times New Roman" w:hAnsi="Times New Roman" w:eastAsia="宋体" w:cs="Times New Roman"/>
                <w:b/>
                <w:bCs/>
                <w:color w:val="auto"/>
                <w:kern w:val="2"/>
                <w:sz w:val="28"/>
                <w:szCs w:val="28"/>
                <w:lang w:val="en-US" w:eastAsia="zh-CN" w:bidi="ar-SA"/>
              </w:rPr>
              <w:t>3.1</w:t>
            </w:r>
            <w:r>
              <w:rPr>
                <w:rFonts w:hint="eastAsia" w:ascii="Times New Roman" w:hAnsi="Times New Roman" w:eastAsia="宋体"/>
                <w:b/>
                <w:bCs/>
                <w:color w:val="auto"/>
                <w:sz w:val="28"/>
                <w:szCs w:val="28"/>
                <w:highlight w:val="none"/>
              </w:rPr>
              <w:t>区域环境质量现状</w:t>
            </w:r>
            <w:bookmarkEnd w:id="2"/>
          </w:p>
          <w:p w14:paraId="554648F6">
            <w:pPr>
              <w:pStyle w:val="4"/>
              <w:keepNext/>
              <w:keepLines/>
              <w:pageBreakBefore w:val="0"/>
              <w:widowControl w:val="0"/>
              <w:numPr>
                <w:ilvl w:val="2"/>
                <w:numId w:val="0"/>
              </w:numPr>
              <w:tabs>
                <w:tab w:val="left" w:pos="0"/>
                <w:tab w:val="left" w:pos="420"/>
              </w:tabs>
              <w:kinsoku/>
              <w:wordWrap/>
              <w:overflowPunct/>
              <w:topLinePunct w:val="0"/>
              <w:autoSpaceDE/>
              <w:autoSpaceDN/>
              <w:bidi w:val="0"/>
              <w:adjustRightInd/>
              <w:snapToGrid/>
              <w:spacing w:before="0" w:after="0" w:line="360" w:lineRule="auto"/>
              <w:ind w:left="0" w:leftChars="0" w:firstLine="0" w:firstLineChars="0"/>
              <w:textAlignment w:val="auto"/>
              <w:rPr>
                <w:rFonts w:hint="eastAsia" w:ascii="Times New Roman" w:hAnsi="Times New Roman" w:eastAsia="宋体"/>
                <w:b/>
                <w:bCs/>
                <w:color w:val="auto"/>
                <w:sz w:val="24"/>
                <w:szCs w:val="24"/>
                <w:highlight w:val="none"/>
                <w:lang w:val="en-US" w:eastAsia="zh-CN"/>
              </w:rPr>
            </w:pPr>
            <w:r>
              <w:rPr>
                <w:rFonts w:hint="default" w:ascii="Times New Roman" w:hAnsi="Times New Roman" w:eastAsia="宋体" w:cs="Times New Roman"/>
                <w:b/>
                <w:bCs/>
                <w:color w:val="auto"/>
                <w:kern w:val="2"/>
                <w:sz w:val="24"/>
                <w:szCs w:val="24"/>
                <w:lang w:val="en-US" w:eastAsia="zh-CN" w:bidi="ar-SA"/>
              </w:rPr>
              <w:t>3.1.1</w:t>
            </w:r>
            <w:r>
              <w:rPr>
                <w:rFonts w:hint="eastAsia" w:ascii="Times New Roman" w:hAnsi="Times New Roman" w:eastAsia="宋体"/>
                <w:b/>
                <w:bCs/>
                <w:color w:val="auto"/>
                <w:sz w:val="24"/>
                <w:szCs w:val="24"/>
                <w:highlight w:val="none"/>
                <w:lang w:val="en-US" w:eastAsia="zh-CN"/>
              </w:rPr>
              <w:t>地表水环境质量现状</w:t>
            </w:r>
          </w:p>
          <w:p w14:paraId="1D98C9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w:t>
            </w:r>
            <w:r>
              <w:rPr>
                <w:rFonts w:hint="default" w:ascii="Times New Roman" w:hAnsi="Times New Roman" w:eastAsia="宋体" w:cs="Times New Roman"/>
                <w:color w:val="auto"/>
                <w:kern w:val="2"/>
                <w:sz w:val="24"/>
                <w:szCs w:val="20"/>
                <w:highlight w:val="none"/>
                <w:lang w:val="en-US" w:eastAsia="zh-CN" w:bidi="ar-SA"/>
              </w:rPr>
              <w:t>1</w:t>
            </w:r>
            <w:r>
              <w:rPr>
                <w:rFonts w:hint="eastAsia" w:ascii="Times New Roman" w:hAnsi="Times New Roman" w:eastAsia="宋体" w:cs="Times New Roman"/>
                <w:color w:val="auto"/>
                <w:kern w:val="2"/>
                <w:sz w:val="24"/>
                <w:szCs w:val="20"/>
                <w:highlight w:val="none"/>
                <w:lang w:val="en-US" w:eastAsia="zh-CN" w:bidi="ar-SA"/>
              </w:rPr>
              <w:t xml:space="preserve">）地表水功能区划 </w:t>
            </w:r>
          </w:p>
          <w:p w14:paraId="2E0001E4">
            <w:pPr>
              <w:pStyle w:val="233"/>
              <w:ind w:firstLine="480"/>
              <w:rPr>
                <w:rFonts w:ascii="Times New Roman" w:hAnsi="Times New Roman"/>
                <w:color w:val="auto"/>
                <w:highlight w:val="none"/>
              </w:rPr>
            </w:pPr>
            <w:r>
              <w:rPr>
                <w:rFonts w:hint="eastAsia" w:ascii="Times New Roman" w:hAnsi="Times New Roman" w:eastAsia="宋体" w:cs="Times New Roman"/>
                <w:color w:val="auto"/>
                <w:kern w:val="2"/>
                <w:sz w:val="24"/>
                <w:szCs w:val="20"/>
                <w:highlight w:val="none"/>
                <w:lang w:val="en-US" w:eastAsia="zh-CN" w:bidi="ar-SA"/>
              </w:rPr>
              <w:t>本项目附近水域为西侧的</w:t>
            </w:r>
            <w:r>
              <w:rPr>
                <w:rFonts w:hint="eastAsia" w:ascii="Times New Roman" w:hAnsi="Times New Roman" w:eastAsia="宋体" w:cs="Arial"/>
                <w:i w:val="0"/>
                <w:iCs w:val="0"/>
                <w:caps w:val="0"/>
                <w:color w:val="auto"/>
                <w:spacing w:val="0"/>
                <w:sz w:val="24"/>
                <w:szCs w:val="24"/>
                <w:shd w:val="clear" w:fill="FFFFFF"/>
                <w:lang w:eastAsia="zh-CN"/>
              </w:rPr>
              <w:t>荆溪</w:t>
            </w:r>
            <w:r>
              <w:rPr>
                <w:rFonts w:hint="eastAsia" w:ascii="Times New Roman" w:hAnsi="Times New Roman"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根据福州市人民政府关于《福州市水功能区划》的批复(榕政综(2019)316号)</w:t>
            </w:r>
            <w:r>
              <w:rPr>
                <w:rFonts w:hint="eastAsia" w:ascii="Times New Roman" w:hAnsi="Times New Roman"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项目周边水域所处</w:t>
            </w:r>
            <w:r>
              <w:rPr>
                <w:rFonts w:hint="eastAsia" w:ascii="Times New Roman" w:hAnsi="Times New Roman" w:eastAsia="宋体" w:cs="Arial"/>
                <w:i w:val="0"/>
                <w:iCs w:val="0"/>
                <w:caps w:val="0"/>
                <w:color w:val="auto"/>
                <w:spacing w:val="0"/>
                <w:sz w:val="24"/>
                <w:szCs w:val="24"/>
                <w:shd w:val="clear" w:fill="FFFFFF"/>
                <w:lang w:eastAsia="zh-CN"/>
              </w:rPr>
              <w:t>荆溪</w:t>
            </w:r>
            <w:r>
              <w:rPr>
                <w:rFonts w:hint="eastAsia" w:ascii="Times New Roman" w:hAnsi="Times New Roman" w:eastAsia="宋体" w:cs="Times New Roman"/>
                <w:color w:val="auto"/>
                <w:kern w:val="2"/>
                <w:sz w:val="24"/>
                <w:szCs w:val="20"/>
                <w:highlight w:val="none"/>
                <w:lang w:val="en-US" w:eastAsia="zh-CN" w:bidi="ar-SA"/>
              </w:rPr>
              <w:t>“</w:t>
            </w:r>
            <w:r>
              <w:rPr>
                <w:rFonts w:hint="eastAsia" w:ascii="Times New Roman" w:hAnsi="Times New Roman" w:cs="Times New Roman"/>
                <w:color w:val="auto"/>
                <w:kern w:val="2"/>
                <w:sz w:val="24"/>
                <w:szCs w:val="20"/>
                <w:highlight w:val="none"/>
                <w:lang w:val="en-US" w:eastAsia="zh-CN" w:bidi="ar-SA"/>
              </w:rPr>
              <w:t>关东汇合处以上</w:t>
            </w:r>
            <w:r>
              <w:rPr>
                <w:rFonts w:hint="eastAsia" w:ascii="Times New Roman" w:hAnsi="Times New Roman" w:eastAsia="宋体" w:cs="Times New Roman"/>
                <w:color w:val="auto"/>
                <w:kern w:val="2"/>
                <w:sz w:val="24"/>
                <w:szCs w:val="20"/>
                <w:highlight w:val="none"/>
                <w:lang w:val="en-US" w:eastAsia="zh-CN" w:bidi="ar-SA"/>
              </w:rPr>
              <w:t>”断面，该断面功能为农业、</w:t>
            </w:r>
            <w:r>
              <w:rPr>
                <w:rFonts w:hint="eastAsia" w:ascii="Times New Roman" w:hAnsi="Times New Roman" w:cs="Times New Roman"/>
                <w:color w:val="auto"/>
                <w:kern w:val="2"/>
                <w:sz w:val="24"/>
                <w:szCs w:val="20"/>
                <w:highlight w:val="none"/>
                <w:lang w:val="en-US" w:eastAsia="zh-CN" w:bidi="ar-SA"/>
              </w:rPr>
              <w:t>渔</w:t>
            </w:r>
            <w:r>
              <w:rPr>
                <w:rFonts w:hint="eastAsia" w:ascii="Times New Roman" w:hAnsi="Times New Roman" w:eastAsia="宋体" w:cs="Times New Roman"/>
                <w:color w:val="auto"/>
                <w:kern w:val="2"/>
                <w:sz w:val="24"/>
                <w:szCs w:val="20"/>
                <w:highlight w:val="none"/>
                <w:lang w:val="en-US" w:eastAsia="zh-CN" w:bidi="ar-SA"/>
              </w:rPr>
              <w:t>业，水质保护目标为Ⅲ类，水质执行《地表水环境质量标准》(GB3838-2002)中Ⅲ类水质标准，详见表</w:t>
            </w:r>
            <w:r>
              <w:rPr>
                <w:rFonts w:hint="eastAsia" w:ascii="Times New Roman" w:hAnsi="Times New Roman" w:cs="Times New Roman"/>
                <w:color w:val="auto"/>
                <w:kern w:val="2"/>
                <w:sz w:val="24"/>
                <w:szCs w:val="20"/>
                <w:highlight w:val="none"/>
                <w:lang w:val="en-US" w:eastAsia="zh-CN" w:bidi="ar-SA"/>
              </w:rPr>
              <w:t xml:space="preserve"> 3.1-1</w:t>
            </w:r>
            <w:r>
              <w:rPr>
                <w:rFonts w:ascii="Times New Roman" w:hAnsi="Times New Roman"/>
                <w:color w:val="auto"/>
                <w:highlight w:val="none"/>
              </w:rPr>
              <w:t>。</w:t>
            </w:r>
          </w:p>
          <w:p w14:paraId="221B2ECD">
            <w:pPr>
              <w:pStyle w:val="235"/>
              <w:keepNext/>
              <w:keepLines/>
              <w:pageBreakBefore w:val="0"/>
              <w:widowControl w:val="0"/>
              <w:numPr>
                <w:ilvl w:val="7"/>
                <w:numId w:val="0"/>
              </w:numPr>
              <w:tabs>
                <w:tab w:val="left" w:pos="0"/>
              </w:tabs>
              <w:kinsoku/>
              <w:wordWrap/>
              <w:overflowPunct/>
              <w:topLinePunct w:val="0"/>
              <w:autoSpaceDE/>
              <w:autoSpaceDN/>
              <w:bidi w:val="0"/>
              <w:adjustRightInd/>
              <w:snapToGrid/>
              <w:spacing w:before="0" w:after="0"/>
              <w:ind w:left="420" w:leftChars="0" w:firstLine="0" w:firstLineChars="0"/>
              <w:textAlignment w:val="auto"/>
              <w:rPr>
                <w:rFonts w:hint="eastAsia" w:ascii="Times New Roman" w:hAnsi="Times New Roman" w:eastAsia="宋体"/>
                <w:color w:val="auto"/>
                <w:highlight w:val="none"/>
              </w:rPr>
            </w:pPr>
            <w:bookmarkStart w:id="3" w:name="_Ref6142"/>
            <w:r>
              <w:rPr>
                <w:rFonts w:hint="eastAsia" w:ascii="Times New Roman" w:hAnsi="Times New Roman" w:eastAsia="宋体" w:cs="宋体"/>
                <w:b/>
                <w:bCs/>
                <w:color w:val="auto"/>
                <w:kern w:val="0"/>
                <w:sz w:val="24"/>
                <w:szCs w:val="21"/>
                <w:lang w:val="zh-CN" w:eastAsia="zh-CN" w:bidi="ar-SA"/>
              </w:rPr>
              <w:t>表3.1-1</w:t>
            </w:r>
            <w:r>
              <w:rPr>
                <w:rFonts w:hint="eastAsia" w:ascii="Times New Roman" w:hAnsi="Times New Roman" w:eastAsia="宋体"/>
                <w:color w:val="auto"/>
                <w:highlight w:val="none"/>
              </w:rPr>
              <w:t xml:space="preserve"> </w:t>
            </w:r>
            <w:bookmarkEnd w:id="3"/>
            <w:r>
              <w:rPr>
                <w:rFonts w:hint="eastAsia" w:ascii="Times New Roman" w:hAnsi="Times New Roman" w:eastAsia="宋体"/>
                <w:color w:val="auto"/>
                <w:highlight w:val="none"/>
              </w:rPr>
              <w:t>地表水环境质量标准（摘录） 单位：mg/L（除pH外）</w:t>
            </w:r>
          </w:p>
          <w:tbl>
            <w:tblPr>
              <w:tblStyle w:val="3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54"/>
              <w:gridCol w:w="948"/>
              <w:gridCol w:w="1054"/>
              <w:gridCol w:w="1052"/>
              <w:gridCol w:w="1054"/>
              <w:gridCol w:w="1052"/>
              <w:gridCol w:w="1052"/>
              <w:gridCol w:w="1055"/>
            </w:tblGrid>
            <w:tr w14:paraId="13B5ED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5" w:type="pct"/>
                  <w:tcBorders>
                    <w:tl2br w:val="nil"/>
                    <w:tr2bl w:val="nil"/>
                  </w:tcBorders>
                  <w:vAlign w:val="center"/>
                </w:tcPr>
                <w:p w14:paraId="431D894A">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水质类别</w:t>
                  </w:r>
                </w:p>
              </w:tc>
              <w:tc>
                <w:tcPr>
                  <w:tcW w:w="563" w:type="pct"/>
                  <w:tcBorders>
                    <w:tl2br w:val="nil"/>
                    <w:tr2bl w:val="nil"/>
                  </w:tcBorders>
                  <w:vAlign w:val="center"/>
                </w:tcPr>
                <w:p w14:paraId="1BEC0DDB">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pH</w:t>
                  </w:r>
                </w:p>
              </w:tc>
              <w:tc>
                <w:tcPr>
                  <w:tcW w:w="625" w:type="pct"/>
                  <w:tcBorders>
                    <w:tl2br w:val="nil"/>
                    <w:tr2bl w:val="nil"/>
                  </w:tcBorders>
                  <w:vAlign w:val="center"/>
                </w:tcPr>
                <w:p w14:paraId="54792879">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COD</w:t>
                  </w:r>
                </w:p>
              </w:tc>
              <w:tc>
                <w:tcPr>
                  <w:tcW w:w="624" w:type="pct"/>
                  <w:tcBorders>
                    <w:tl2br w:val="nil"/>
                    <w:tr2bl w:val="nil"/>
                  </w:tcBorders>
                  <w:vAlign w:val="center"/>
                </w:tcPr>
                <w:p w14:paraId="01F80FD1">
                  <w:pPr>
                    <w:keepNext w:val="0"/>
                    <w:keepLines w:val="0"/>
                    <w:widowControl/>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宋体"/>
                      <w:color w:val="auto"/>
                      <w:kern w:val="0"/>
                      <w:sz w:val="21"/>
                      <w:szCs w:val="21"/>
                      <w:lang w:val="en-US" w:eastAsia="zh-CN" w:bidi="ar"/>
                    </w:rPr>
                    <w:t>高锰酸盐指数</w:t>
                  </w:r>
                </w:p>
              </w:tc>
              <w:tc>
                <w:tcPr>
                  <w:tcW w:w="625" w:type="pct"/>
                  <w:tcBorders>
                    <w:tl2br w:val="nil"/>
                    <w:tr2bl w:val="nil"/>
                  </w:tcBorders>
                  <w:vAlign w:val="center"/>
                </w:tcPr>
                <w:p w14:paraId="6BE596F8">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BOD</w:t>
                  </w:r>
                  <w:r>
                    <w:rPr>
                      <w:rFonts w:hint="eastAsia" w:ascii="Times New Roman" w:hAnsi="Times New Roman" w:cs="Times New Roman"/>
                      <w:color w:val="auto"/>
                      <w:kern w:val="0"/>
                      <w:sz w:val="21"/>
                      <w:szCs w:val="21"/>
                      <w:highlight w:val="none"/>
                      <w:vertAlign w:val="subscript"/>
                      <w:lang w:val="en-US" w:eastAsia="zh-CN"/>
                    </w:rPr>
                    <w:t>5</w:t>
                  </w:r>
                </w:p>
              </w:tc>
              <w:tc>
                <w:tcPr>
                  <w:tcW w:w="624" w:type="pct"/>
                  <w:tcBorders>
                    <w:tl2br w:val="nil"/>
                    <w:tr2bl w:val="nil"/>
                  </w:tcBorders>
                  <w:vAlign w:val="center"/>
                </w:tcPr>
                <w:p w14:paraId="7E5043CC">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氨氮</w:t>
                  </w:r>
                </w:p>
              </w:tc>
              <w:tc>
                <w:tcPr>
                  <w:tcW w:w="624" w:type="pct"/>
                  <w:tcBorders>
                    <w:tl2br w:val="nil"/>
                    <w:tr2bl w:val="nil"/>
                  </w:tcBorders>
                  <w:vAlign w:val="center"/>
                </w:tcPr>
                <w:p w14:paraId="073E7747">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总氮</w:t>
                  </w:r>
                </w:p>
              </w:tc>
              <w:tc>
                <w:tcPr>
                  <w:tcW w:w="626" w:type="pct"/>
                  <w:tcBorders>
                    <w:tl2br w:val="nil"/>
                    <w:tr2bl w:val="nil"/>
                  </w:tcBorders>
                  <w:vAlign w:val="center"/>
                </w:tcPr>
                <w:p w14:paraId="3F0E54C6">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总磷</w:t>
                  </w:r>
                </w:p>
              </w:tc>
            </w:tr>
            <w:tr w14:paraId="101906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5" w:type="pct"/>
                  <w:tcBorders>
                    <w:tl2br w:val="nil"/>
                    <w:tr2bl w:val="nil"/>
                  </w:tcBorders>
                  <w:vAlign w:val="center"/>
                </w:tcPr>
                <w:p w14:paraId="49502BA9">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Ⅲ</w:t>
                  </w:r>
                  <w:r>
                    <w:rPr>
                      <w:rFonts w:hint="eastAsia" w:ascii="Times New Roman" w:hAnsi="Times New Roman" w:cs="Times New Roman"/>
                      <w:color w:val="auto"/>
                      <w:kern w:val="0"/>
                      <w:sz w:val="21"/>
                      <w:szCs w:val="21"/>
                      <w:highlight w:val="none"/>
                      <w:lang w:val="en-US" w:eastAsia="zh-CN"/>
                    </w:rPr>
                    <w:t>类</w:t>
                  </w:r>
                </w:p>
              </w:tc>
              <w:tc>
                <w:tcPr>
                  <w:tcW w:w="563" w:type="pct"/>
                  <w:tcBorders>
                    <w:tl2br w:val="nil"/>
                    <w:tr2bl w:val="nil"/>
                  </w:tcBorders>
                  <w:vAlign w:val="center"/>
                </w:tcPr>
                <w:p w14:paraId="374339E3">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6~9</w:t>
                  </w:r>
                </w:p>
              </w:tc>
              <w:tc>
                <w:tcPr>
                  <w:tcW w:w="625" w:type="pct"/>
                  <w:tcBorders>
                    <w:tl2br w:val="nil"/>
                    <w:tr2bl w:val="nil"/>
                  </w:tcBorders>
                  <w:vAlign w:val="center"/>
                </w:tcPr>
                <w:p w14:paraId="04FDE16D">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lang w:val="en-US" w:eastAsia="zh-CN" w:bidi="ar"/>
                    </w:rPr>
                    <w:t>≤</w:t>
                  </w:r>
                  <w:r>
                    <w:rPr>
                      <w:rFonts w:hint="eastAsia" w:ascii="Times New Roman" w:hAnsi="Times New Roman" w:eastAsia="宋体" w:cs="Times New Roman"/>
                      <w:color w:val="auto"/>
                      <w:kern w:val="0"/>
                      <w:sz w:val="21"/>
                      <w:szCs w:val="21"/>
                      <w:lang w:val="en-US" w:eastAsia="zh-CN" w:bidi="ar"/>
                    </w:rPr>
                    <w:t>20</w:t>
                  </w:r>
                </w:p>
              </w:tc>
              <w:tc>
                <w:tcPr>
                  <w:tcW w:w="624" w:type="pct"/>
                  <w:tcBorders>
                    <w:tl2br w:val="nil"/>
                    <w:tr2bl w:val="nil"/>
                  </w:tcBorders>
                  <w:vAlign w:val="center"/>
                </w:tcPr>
                <w:p w14:paraId="6FB8BE27">
                  <w:pPr>
                    <w:keepNext w:val="0"/>
                    <w:keepLines w:val="0"/>
                    <w:widowControl/>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lang w:val="en-US" w:eastAsia="zh-CN" w:bidi="ar"/>
                    </w:rPr>
                    <w:t>≤</w:t>
                  </w:r>
                  <w:r>
                    <w:rPr>
                      <w:rFonts w:hint="eastAsia" w:ascii="Times New Roman" w:hAnsi="Times New Roman" w:cs="Times New Roman"/>
                      <w:color w:val="auto"/>
                      <w:kern w:val="0"/>
                      <w:sz w:val="21"/>
                      <w:szCs w:val="21"/>
                      <w:lang w:val="en-US" w:eastAsia="zh-CN" w:bidi="ar"/>
                    </w:rPr>
                    <w:t>6</w:t>
                  </w:r>
                </w:p>
              </w:tc>
              <w:tc>
                <w:tcPr>
                  <w:tcW w:w="625" w:type="pct"/>
                  <w:tcBorders>
                    <w:tl2br w:val="nil"/>
                    <w:tr2bl w:val="nil"/>
                  </w:tcBorders>
                  <w:vAlign w:val="center"/>
                </w:tcPr>
                <w:p w14:paraId="481F1837">
                  <w:pPr>
                    <w:keepNext w:val="0"/>
                    <w:keepLines w:val="0"/>
                    <w:widowControl/>
                    <w:suppressLineNumbers w:val="0"/>
                    <w:spacing w:before="0" w:beforeAutospacing="0" w:after="0" w:afterAutospacing="0" w:line="240" w:lineRule="auto"/>
                    <w:ind w:left="0" w:right="0"/>
                    <w:jc w:val="center"/>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lang w:val="en-US" w:eastAsia="zh-CN" w:bidi="ar"/>
                    </w:rPr>
                    <w:t>≤</w:t>
                  </w:r>
                  <w:r>
                    <w:rPr>
                      <w:rFonts w:hint="eastAsia" w:ascii="Times New Roman" w:hAnsi="Times New Roman" w:cs="Times New Roman"/>
                      <w:color w:val="auto"/>
                      <w:kern w:val="0"/>
                      <w:sz w:val="21"/>
                      <w:szCs w:val="21"/>
                      <w:lang w:val="en-US" w:eastAsia="zh-CN" w:bidi="ar"/>
                    </w:rPr>
                    <w:t>4</w:t>
                  </w:r>
                </w:p>
              </w:tc>
              <w:tc>
                <w:tcPr>
                  <w:tcW w:w="624" w:type="pct"/>
                  <w:tcBorders>
                    <w:tl2br w:val="nil"/>
                    <w:tr2bl w:val="nil"/>
                  </w:tcBorders>
                  <w:vAlign w:val="center"/>
                </w:tcPr>
                <w:p w14:paraId="6A8A21A4">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lang w:val="en-US" w:eastAsia="zh-CN" w:bidi="ar"/>
                    </w:rPr>
                    <w:t>≤</w:t>
                  </w:r>
                  <w:r>
                    <w:rPr>
                      <w:rFonts w:hint="eastAsia" w:ascii="Times New Roman" w:hAnsi="Times New Roman" w:cs="Times New Roman"/>
                      <w:color w:val="auto"/>
                      <w:kern w:val="0"/>
                      <w:sz w:val="21"/>
                      <w:szCs w:val="21"/>
                      <w:lang w:val="en-US" w:eastAsia="zh-CN" w:bidi="ar"/>
                    </w:rPr>
                    <w:t>1.0</w:t>
                  </w:r>
                </w:p>
              </w:tc>
              <w:tc>
                <w:tcPr>
                  <w:tcW w:w="624" w:type="pct"/>
                  <w:tcBorders>
                    <w:tl2br w:val="nil"/>
                    <w:tr2bl w:val="nil"/>
                  </w:tcBorders>
                  <w:vAlign w:val="center"/>
                </w:tcPr>
                <w:p w14:paraId="18853B66">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lang w:val="en-US" w:eastAsia="zh-CN" w:bidi="ar"/>
                    </w:rPr>
                    <w:t>≤</w:t>
                  </w:r>
                  <w:r>
                    <w:rPr>
                      <w:rFonts w:hint="eastAsia" w:ascii="Times New Roman" w:hAnsi="Times New Roman" w:cs="Times New Roman"/>
                      <w:color w:val="auto"/>
                      <w:kern w:val="0"/>
                      <w:sz w:val="21"/>
                      <w:szCs w:val="21"/>
                      <w:lang w:val="en-US" w:eastAsia="zh-CN" w:bidi="ar"/>
                    </w:rPr>
                    <w:t>1.0</w:t>
                  </w:r>
                </w:p>
              </w:tc>
              <w:tc>
                <w:tcPr>
                  <w:tcW w:w="626" w:type="pct"/>
                  <w:tcBorders>
                    <w:tl2br w:val="nil"/>
                    <w:tr2bl w:val="nil"/>
                  </w:tcBorders>
                  <w:vAlign w:val="center"/>
                </w:tcPr>
                <w:p w14:paraId="7B0DE6D8">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lang w:val="en-US" w:eastAsia="zh-CN" w:bidi="ar"/>
                    </w:rPr>
                    <w:t>≤</w:t>
                  </w:r>
                  <w:r>
                    <w:rPr>
                      <w:rFonts w:hint="eastAsia" w:ascii="Times New Roman" w:hAnsi="Times New Roman" w:cs="Times New Roman"/>
                      <w:color w:val="auto"/>
                      <w:kern w:val="0"/>
                      <w:sz w:val="21"/>
                      <w:szCs w:val="21"/>
                      <w:lang w:val="en-US" w:eastAsia="zh-CN" w:bidi="ar"/>
                    </w:rPr>
                    <w:t>0.2</w:t>
                  </w:r>
                </w:p>
              </w:tc>
            </w:tr>
          </w:tbl>
          <w:p w14:paraId="48B446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w:t>
            </w:r>
            <w:r>
              <w:rPr>
                <w:rFonts w:hint="default" w:ascii="Times New Roman" w:hAnsi="Times New Roman" w:eastAsia="宋体" w:cs="Times New Roman"/>
                <w:color w:val="auto"/>
                <w:kern w:val="2"/>
                <w:sz w:val="24"/>
                <w:szCs w:val="20"/>
                <w:highlight w:val="none"/>
                <w:lang w:val="en-US" w:eastAsia="zh-CN" w:bidi="ar-SA"/>
              </w:rPr>
              <w:t>2</w:t>
            </w:r>
            <w:r>
              <w:rPr>
                <w:rFonts w:hint="eastAsia" w:ascii="Times New Roman" w:hAnsi="Times New Roman" w:eastAsia="宋体" w:cs="Times New Roman"/>
                <w:color w:val="auto"/>
                <w:kern w:val="2"/>
                <w:sz w:val="24"/>
                <w:szCs w:val="20"/>
                <w:highlight w:val="none"/>
                <w:lang w:val="en-US" w:eastAsia="zh-CN" w:bidi="ar-SA"/>
              </w:rPr>
              <w:t xml:space="preserve">）地表水环境现状 </w:t>
            </w:r>
          </w:p>
          <w:p w14:paraId="5C6703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0"/>
                <w:highlight w:val="none"/>
                <w:lang w:val="en-US" w:eastAsia="zh-CN" w:bidi="ar-SA"/>
              </w:rPr>
            </w:pPr>
            <w:r>
              <w:rPr>
                <w:rFonts w:hint="eastAsia" w:ascii="Times New Roman" w:hAnsi="Times New Roman" w:cs="Times New Roman"/>
                <w:color w:val="auto"/>
                <w:kern w:val="2"/>
                <w:sz w:val="24"/>
                <w:szCs w:val="20"/>
                <w:highlight w:val="none"/>
                <w:lang w:val="en-US" w:eastAsia="zh-CN" w:bidi="ar-SA"/>
              </w:rPr>
              <w:t>①</w:t>
            </w:r>
            <w:r>
              <w:rPr>
                <w:rFonts w:hint="eastAsia" w:ascii="Times New Roman" w:hAnsi="Times New Roman" w:eastAsia="宋体" w:cs="Times New Roman"/>
                <w:color w:val="auto"/>
                <w:kern w:val="2"/>
                <w:sz w:val="24"/>
                <w:szCs w:val="20"/>
                <w:highlight w:val="none"/>
                <w:lang w:val="en-US" w:eastAsia="zh-CN" w:bidi="ar-SA"/>
              </w:rPr>
              <w:t>地表水水质现状调查</w:t>
            </w:r>
          </w:p>
          <w:p w14:paraId="1EE379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为了解项目地表水水质环境质量现状，根据福州市人民政府网站发布的2023年福州市水环境质量状况可知，2023年，主要流域9个国考断面I-III类水质比例为100%，36个省考以上断面I-II类水质比例为100%；54个省考小流域断面I-II类水质比例为100%。县级以上集中式饮用水源地水质达标率头100%。</w:t>
            </w:r>
          </w:p>
          <w:p w14:paraId="49E192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本项目排放污水经处理达标后排入市政污水管网，送往</w:t>
            </w:r>
            <w:r>
              <w:rPr>
                <w:rFonts w:hint="eastAsia" w:ascii="Times New Roman" w:hAnsi="Times New Roman" w:cs="Times New Roman"/>
                <w:color w:val="auto"/>
                <w:kern w:val="2"/>
                <w:sz w:val="24"/>
                <w:szCs w:val="20"/>
                <w:highlight w:val="none"/>
                <w:lang w:val="en-US" w:eastAsia="zh-CN" w:bidi="ar-SA"/>
              </w:rPr>
              <w:t>闽侯县</w:t>
            </w:r>
            <w:r>
              <w:rPr>
                <w:rFonts w:hint="eastAsia" w:ascii="Times New Roman" w:hAnsi="Times New Roman" w:eastAsia="宋体" w:cs="Times New Roman"/>
                <w:color w:val="auto"/>
                <w:kern w:val="2"/>
                <w:sz w:val="24"/>
                <w:szCs w:val="20"/>
                <w:highlight w:val="none"/>
                <w:lang w:val="en-US" w:eastAsia="zh-CN" w:bidi="ar-SA"/>
              </w:rPr>
              <w:t>污水处理</w:t>
            </w:r>
            <w:r>
              <w:rPr>
                <w:rFonts w:hint="eastAsia" w:ascii="Times New Roman" w:hAnsi="Times New Roman" w:cs="Times New Roman"/>
                <w:color w:val="auto"/>
                <w:kern w:val="2"/>
                <w:sz w:val="24"/>
                <w:szCs w:val="20"/>
                <w:highlight w:val="none"/>
                <w:lang w:val="en-US" w:eastAsia="zh-CN" w:bidi="ar-SA"/>
              </w:rPr>
              <w:t>厂</w:t>
            </w:r>
            <w:r>
              <w:rPr>
                <w:rFonts w:hint="eastAsia" w:ascii="Times New Roman" w:hAnsi="Times New Roman" w:eastAsia="宋体" w:cs="Times New Roman"/>
                <w:color w:val="auto"/>
                <w:kern w:val="2"/>
                <w:sz w:val="24"/>
                <w:szCs w:val="20"/>
                <w:highlight w:val="none"/>
                <w:lang w:val="en-US" w:eastAsia="zh-CN" w:bidi="ar-SA"/>
              </w:rPr>
              <w:t>集中处理，项目污水不直接排入周边地表水体，几乎不会改变周边水环境质量现状。</w:t>
            </w:r>
          </w:p>
          <w:p w14:paraId="174EE0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right="0"/>
              <w:jc w:val="both"/>
              <w:textAlignment w:val="auto"/>
              <w:rPr>
                <w:rFonts w:hint="eastAsia" w:ascii="Times New Roman" w:hAnsi="Times New Roman" w:cs="Times New Roman"/>
                <w:color w:val="auto"/>
                <w:kern w:val="2"/>
                <w:sz w:val="24"/>
                <w:szCs w:val="20"/>
                <w:highlight w:val="none"/>
                <w:lang w:val="en-US" w:eastAsia="zh-CN" w:bidi="ar-SA"/>
              </w:rPr>
            </w:pPr>
            <w:r>
              <w:rPr>
                <w:rFonts w:ascii="Times New Roman" w:hAnsi="Times New Roman"/>
                <w:color w:val="auto"/>
              </w:rPr>
              <w:drawing>
                <wp:inline distT="0" distB="0" distL="114300" distR="114300">
                  <wp:extent cx="5486400" cy="3162300"/>
                  <wp:effectExtent l="0" t="0" r="0" b="0"/>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23"/>
                          <a:stretch>
                            <a:fillRect/>
                          </a:stretch>
                        </pic:blipFill>
                        <pic:spPr>
                          <a:xfrm>
                            <a:off x="0" y="0"/>
                            <a:ext cx="5486400" cy="3162300"/>
                          </a:xfrm>
                          <a:prstGeom prst="rect">
                            <a:avLst/>
                          </a:prstGeom>
                          <a:noFill/>
                          <a:ln>
                            <a:noFill/>
                          </a:ln>
                        </pic:spPr>
                      </pic:pic>
                    </a:graphicData>
                  </a:graphic>
                </wp:inline>
              </w:drawing>
            </w:r>
          </w:p>
          <w:p w14:paraId="6EED11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center"/>
              <w:textAlignment w:val="auto"/>
              <w:rPr>
                <w:rFonts w:hint="default" w:ascii="Times New Roman" w:hAnsi="Times New Roman" w:cs="Times New Roman"/>
                <w:b/>
                <w:bCs/>
                <w:color w:val="auto"/>
                <w:kern w:val="2"/>
                <w:sz w:val="24"/>
                <w:szCs w:val="20"/>
                <w:highlight w:val="none"/>
                <w:lang w:val="en-US" w:eastAsia="zh-CN" w:bidi="ar-SA"/>
              </w:rPr>
            </w:pPr>
            <w:r>
              <w:rPr>
                <w:rFonts w:hint="eastAsia" w:ascii="Times New Roman" w:hAnsi="Times New Roman" w:cs="Times New Roman"/>
                <w:b/>
                <w:bCs/>
                <w:color w:val="auto"/>
                <w:kern w:val="2"/>
                <w:sz w:val="24"/>
                <w:szCs w:val="20"/>
                <w:highlight w:val="none"/>
                <w:lang w:val="en-US" w:eastAsia="zh-CN" w:bidi="ar-SA"/>
              </w:rPr>
              <w:t>图3.1-1 水环境质量现状引用截图</w:t>
            </w:r>
          </w:p>
          <w:p w14:paraId="484368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0"/>
                <w:highlight w:val="none"/>
                <w:lang w:val="en-US" w:eastAsia="zh-CN" w:bidi="ar-SA"/>
              </w:rPr>
            </w:pPr>
            <w:r>
              <w:rPr>
                <w:rFonts w:hint="eastAsia" w:ascii="Times New Roman" w:hAnsi="Times New Roman" w:cs="Times New Roman"/>
                <w:color w:val="auto"/>
                <w:kern w:val="2"/>
                <w:sz w:val="24"/>
                <w:szCs w:val="20"/>
                <w:highlight w:val="none"/>
                <w:lang w:val="en-US" w:eastAsia="zh-CN" w:bidi="ar-SA"/>
              </w:rPr>
              <w:t>②</w:t>
            </w:r>
            <w:r>
              <w:rPr>
                <w:rFonts w:hint="eastAsia" w:ascii="Times New Roman" w:hAnsi="Times New Roman" w:eastAsia="宋体" w:cs="Times New Roman"/>
                <w:color w:val="auto"/>
                <w:kern w:val="2"/>
                <w:sz w:val="24"/>
                <w:szCs w:val="20"/>
                <w:highlight w:val="none"/>
                <w:lang w:val="en-US" w:eastAsia="zh-CN" w:bidi="ar-SA"/>
              </w:rPr>
              <w:t>引用资料的有效性分析</w:t>
            </w:r>
          </w:p>
          <w:p w14:paraId="5414AD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根据《建设项目环境影响报告表编制技术指南（污染影响类）（试行）》（环办环评</w:t>
            </w:r>
            <w:r>
              <w:rPr>
                <w:rFonts w:hint="eastAsia" w:ascii="Times New Roman" w:hAnsi="Times New Roman"/>
                <w:color w:val="auto"/>
                <w:sz w:val="24"/>
                <w:szCs w:val="24"/>
                <w:highlight w:val="none"/>
              </w:rPr>
              <w:t>〔</w:t>
            </w:r>
            <w:r>
              <w:rPr>
                <w:rFonts w:ascii="Times New Roman" w:hAnsi="Times New Roman"/>
                <w:color w:val="auto"/>
                <w:sz w:val="24"/>
                <w:szCs w:val="24"/>
                <w:highlight w:val="none"/>
              </w:rPr>
              <w:t>202</w:t>
            </w:r>
            <w:r>
              <w:rPr>
                <w:rFonts w:hint="eastAsia" w:ascii="Times New Roman" w:hAnsi="Times New Roman"/>
                <w:color w:val="auto"/>
                <w:sz w:val="24"/>
                <w:szCs w:val="24"/>
                <w:highlight w:val="none"/>
                <w:lang w:val="en-US" w:eastAsia="zh-CN"/>
              </w:rPr>
              <w:t>0</w:t>
            </w:r>
            <w:r>
              <w:rPr>
                <w:rFonts w:hint="eastAsia" w:ascii="Times New Roman" w:hAnsi="Times New Roman"/>
                <w:color w:val="auto"/>
                <w:sz w:val="24"/>
                <w:szCs w:val="24"/>
                <w:highlight w:val="none"/>
              </w:rPr>
              <w:t>〕</w:t>
            </w:r>
            <w:r>
              <w:rPr>
                <w:rFonts w:hint="eastAsia" w:ascii="Times New Roman" w:hAnsi="Times New Roman" w:eastAsia="宋体" w:cs="Times New Roman"/>
                <w:color w:val="auto"/>
                <w:kern w:val="2"/>
                <w:sz w:val="24"/>
                <w:szCs w:val="24"/>
                <w:highlight w:val="none"/>
                <w:lang w:val="en-US" w:eastAsia="zh-CN" w:bidi="ar-SA"/>
              </w:rPr>
              <w:t>3</w:t>
            </w:r>
            <w:r>
              <w:rPr>
                <w:rFonts w:hint="eastAsia" w:ascii="Times New Roman" w:hAnsi="Times New Roman" w:eastAsia="宋体" w:cs="Times New Roman"/>
                <w:color w:val="auto"/>
                <w:kern w:val="2"/>
                <w:sz w:val="24"/>
                <w:szCs w:val="20"/>
                <w:highlight w:val="none"/>
                <w:lang w:val="en-US" w:eastAsia="zh-CN" w:bidi="ar-SA"/>
              </w:rPr>
              <w:t>3号）的要求：“地表水环境区域环境质量现状引用与建设项目距离近的有效数据，包括近3年的规划环境影响评价的监测数据，所在流域控制单元内国家、地方控制断面监测数据，生态环境主管部门发布的水环境质量数据或地表水达标情况的结论”，本次评价选取福州市人民政府网站发布的水环境质量</w:t>
            </w:r>
            <w:bookmarkStart w:id="9" w:name="_GoBack"/>
            <w:bookmarkEnd w:id="9"/>
            <w:r>
              <w:rPr>
                <w:rFonts w:hint="eastAsia" w:cs="Times New Roman"/>
                <w:color w:val="auto"/>
                <w:kern w:val="2"/>
                <w:sz w:val="24"/>
                <w:szCs w:val="20"/>
                <w:highlight w:val="none"/>
                <w:lang w:val="en-US" w:eastAsia="zh-CN" w:bidi="ar-SA"/>
              </w:rPr>
              <w:t>状况</w:t>
            </w:r>
            <w:r>
              <w:rPr>
                <w:rFonts w:hint="eastAsia" w:ascii="Times New Roman" w:hAnsi="Times New Roman" w:eastAsia="宋体" w:cs="Times New Roman"/>
                <w:color w:val="auto"/>
                <w:kern w:val="2"/>
                <w:sz w:val="24"/>
                <w:szCs w:val="20"/>
                <w:highlight w:val="none"/>
                <w:lang w:val="en-US" w:eastAsia="zh-CN" w:bidi="ar-SA"/>
              </w:rPr>
              <w:t>，符合</w:t>
            </w:r>
            <w:r>
              <w:rPr>
                <w:rFonts w:hint="eastAsia" w:ascii="Times New Roman" w:hAnsi="Times New Roman"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建设项目环境影响报告表编制技术指南（污染影响类）（试行）》（环办环评</w:t>
            </w:r>
            <w:r>
              <w:rPr>
                <w:rFonts w:hint="eastAsia" w:ascii="Times New Roman" w:hAnsi="Times New Roman"/>
                <w:color w:val="auto"/>
                <w:sz w:val="24"/>
                <w:szCs w:val="24"/>
                <w:highlight w:val="none"/>
              </w:rPr>
              <w:t>〔</w:t>
            </w:r>
            <w:r>
              <w:rPr>
                <w:rFonts w:ascii="Times New Roman" w:hAnsi="Times New Roman"/>
                <w:color w:val="auto"/>
                <w:sz w:val="24"/>
                <w:szCs w:val="24"/>
                <w:highlight w:val="none"/>
              </w:rPr>
              <w:t>202</w:t>
            </w:r>
            <w:r>
              <w:rPr>
                <w:rFonts w:hint="eastAsia" w:ascii="Times New Roman" w:hAnsi="Times New Roman"/>
                <w:color w:val="auto"/>
                <w:sz w:val="24"/>
                <w:szCs w:val="24"/>
                <w:highlight w:val="none"/>
                <w:lang w:val="en-US" w:eastAsia="zh-CN"/>
              </w:rPr>
              <w:t>0</w:t>
            </w:r>
            <w:r>
              <w:rPr>
                <w:rFonts w:hint="eastAsia" w:ascii="Times New Roman" w:hAnsi="Times New Roman"/>
                <w:color w:val="auto"/>
                <w:sz w:val="24"/>
                <w:szCs w:val="24"/>
                <w:highlight w:val="none"/>
              </w:rPr>
              <w:t>〕</w:t>
            </w:r>
            <w:r>
              <w:rPr>
                <w:rFonts w:hint="eastAsia" w:ascii="Times New Roman" w:hAnsi="Times New Roman" w:eastAsia="宋体" w:cs="Times New Roman"/>
                <w:color w:val="auto"/>
                <w:kern w:val="2"/>
                <w:sz w:val="24"/>
                <w:szCs w:val="20"/>
                <w:highlight w:val="none"/>
                <w:lang w:val="en-US" w:eastAsia="zh-CN" w:bidi="ar-SA"/>
              </w:rPr>
              <w:t>33号）的要求。</w:t>
            </w:r>
          </w:p>
          <w:p w14:paraId="042B2B1D">
            <w:pPr>
              <w:pStyle w:val="4"/>
              <w:keepNext/>
              <w:keepLines/>
              <w:pageBreakBefore w:val="0"/>
              <w:widowControl w:val="0"/>
              <w:numPr>
                <w:ilvl w:val="2"/>
                <w:numId w:val="0"/>
              </w:numPr>
              <w:tabs>
                <w:tab w:val="left" w:pos="0"/>
                <w:tab w:val="left" w:pos="420"/>
              </w:tabs>
              <w:kinsoku/>
              <w:wordWrap/>
              <w:overflowPunct/>
              <w:topLinePunct w:val="0"/>
              <w:autoSpaceDE/>
              <w:autoSpaceDN/>
              <w:bidi w:val="0"/>
              <w:adjustRightInd/>
              <w:snapToGrid/>
              <w:spacing w:before="0" w:after="0" w:line="360" w:lineRule="auto"/>
              <w:ind w:left="0" w:leftChars="0" w:firstLine="0" w:firstLineChars="0"/>
              <w:textAlignment w:val="auto"/>
              <w:rPr>
                <w:rFonts w:hint="eastAsia" w:ascii="Times New Roman" w:hAnsi="Times New Roman" w:eastAsia="宋体"/>
                <w:b/>
                <w:bCs/>
                <w:color w:val="auto"/>
                <w:sz w:val="28"/>
                <w:szCs w:val="28"/>
                <w:highlight w:val="none"/>
                <w:lang w:val="en-US" w:eastAsia="zh-CN"/>
              </w:rPr>
            </w:pPr>
            <w:r>
              <w:rPr>
                <w:rFonts w:hint="default" w:ascii="Times New Roman" w:hAnsi="Times New Roman" w:eastAsia="宋体" w:cs="Times New Roman"/>
                <w:b/>
                <w:bCs/>
                <w:color w:val="auto"/>
                <w:kern w:val="2"/>
                <w:sz w:val="28"/>
                <w:szCs w:val="28"/>
                <w:lang w:val="en-US" w:eastAsia="zh-CN" w:bidi="ar-SA"/>
              </w:rPr>
              <w:t>3.1.2</w:t>
            </w:r>
            <w:r>
              <w:rPr>
                <w:rFonts w:hint="eastAsia" w:ascii="Times New Roman" w:hAnsi="Times New Roman" w:eastAsia="宋体"/>
                <w:b/>
                <w:bCs/>
                <w:color w:val="auto"/>
                <w:sz w:val="28"/>
                <w:szCs w:val="28"/>
                <w:highlight w:val="none"/>
                <w:lang w:val="en-US" w:eastAsia="zh-CN"/>
              </w:rPr>
              <w:t>大气环境质量现状</w:t>
            </w:r>
          </w:p>
          <w:p w14:paraId="2D62EB07">
            <w:pPr>
              <w:pStyle w:val="4"/>
              <w:keepNext/>
              <w:keepLines/>
              <w:pageBreakBefore w:val="0"/>
              <w:widowControl w:val="0"/>
              <w:numPr>
                <w:ilvl w:val="2"/>
                <w:numId w:val="0"/>
              </w:numPr>
              <w:tabs>
                <w:tab w:val="left" w:pos="0"/>
                <w:tab w:val="left" w:pos="420"/>
              </w:tabs>
              <w:kinsoku/>
              <w:wordWrap/>
              <w:overflowPunct/>
              <w:topLinePunct w:val="0"/>
              <w:autoSpaceDE/>
              <w:autoSpaceDN/>
              <w:bidi w:val="0"/>
              <w:adjustRightInd/>
              <w:snapToGrid/>
              <w:spacing w:before="0" w:after="0" w:line="360" w:lineRule="auto"/>
              <w:ind w:left="0" w:leftChars="0" w:firstLine="0" w:firstLineChars="0"/>
              <w:textAlignment w:val="auto"/>
              <w:rPr>
                <w:rFonts w:hint="default" w:ascii="Times New Roman" w:hAnsi="Times New Roman" w:eastAsia="宋体"/>
                <w:b/>
                <w:bCs/>
                <w:color w:val="auto"/>
                <w:sz w:val="24"/>
                <w:szCs w:val="24"/>
                <w:highlight w:val="none"/>
              </w:rPr>
            </w:pPr>
            <w:r>
              <w:rPr>
                <w:rFonts w:hint="default" w:ascii="Times New Roman" w:hAnsi="Times New Roman" w:eastAsia="宋体" w:cs="Times New Roman"/>
                <w:b/>
                <w:bCs/>
                <w:color w:val="auto"/>
                <w:kern w:val="2"/>
                <w:sz w:val="24"/>
                <w:szCs w:val="24"/>
                <w:lang w:val="en-US" w:eastAsia="zh-CN" w:bidi="ar-SA"/>
              </w:rPr>
              <w:t>3.1.</w:t>
            </w:r>
            <w:r>
              <w:rPr>
                <w:rFonts w:hint="eastAsia" w:ascii="Times New Roman" w:hAnsi="Times New Roman" w:eastAsia="宋体" w:cs="Times New Roman"/>
                <w:b/>
                <w:bCs/>
                <w:color w:val="auto"/>
                <w:kern w:val="2"/>
                <w:sz w:val="24"/>
                <w:szCs w:val="24"/>
                <w:lang w:val="en-US" w:eastAsia="zh-CN" w:bidi="ar-SA"/>
              </w:rPr>
              <w:t>2.1</w:t>
            </w:r>
            <w:r>
              <w:rPr>
                <w:rFonts w:hint="default" w:ascii="Times New Roman" w:hAnsi="Times New Roman" w:eastAsia="宋体"/>
                <w:b/>
                <w:bCs/>
                <w:color w:val="auto"/>
                <w:sz w:val="24"/>
                <w:szCs w:val="24"/>
                <w:highlight w:val="none"/>
                <w:lang w:val="en-US" w:eastAsia="zh-CN"/>
              </w:rPr>
              <w:t>区域达标判断</w:t>
            </w:r>
          </w:p>
          <w:p w14:paraId="7561B2B6">
            <w:pPr>
              <w:pStyle w:val="229"/>
              <w:keepNext w:val="0"/>
              <w:keepLines w:val="0"/>
              <w:pageBreakBefore w:val="0"/>
              <w:widowControl w:val="0"/>
              <w:kinsoku/>
              <w:wordWrap w:val="0"/>
              <w:overflowPunct w:val="0"/>
              <w:topLinePunct/>
              <w:autoSpaceDE/>
              <w:autoSpaceDN/>
              <w:bidi w:val="0"/>
              <w:adjustRightInd/>
              <w:snapToGrid/>
              <w:spacing w:line="360" w:lineRule="auto"/>
              <w:ind w:left="0" w:leftChars="0" w:right="0" w:firstLine="480" w:firstLineChars="200"/>
              <w:jc w:val="both"/>
              <w:textAlignment w:val="auto"/>
              <w:rPr>
                <w:rFonts w:hint="default" w:ascii="Times New Roman" w:hAnsi="Times New Roman" w:cs="Times New Roman"/>
                <w:color w:val="auto"/>
                <w:sz w:val="24"/>
                <w:szCs w:val="24"/>
                <w:highlight w:val="none"/>
              </w:rPr>
            </w:pPr>
            <w:r>
              <w:rPr>
                <w:rFonts w:hint="eastAsia" w:ascii="Times New Roman" w:hAnsi="Times New Roman"/>
                <w:color w:val="auto"/>
                <w:sz w:val="24"/>
                <w:szCs w:val="24"/>
                <w:highlight w:val="none"/>
                <w:lang w:eastAsia="zh-CN"/>
              </w:rPr>
              <w:t>（</w:t>
            </w:r>
            <w:r>
              <w:rPr>
                <w:rFonts w:hint="eastAsia" w:ascii="Times New Roman" w:hAnsi="Times New Roman"/>
                <w:color w:val="auto"/>
                <w:sz w:val="24"/>
                <w:szCs w:val="24"/>
                <w:highlight w:val="none"/>
                <w:lang w:val="en-US" w:eastAsia="zh-CN"/>
              </w:rPr>
              <w:t>1</w:t>
            </w:r>
            <w:r>
              <w:rPr>
                <w:rFonts w:hint="eastAsia" w:ascii="Times New Roman" w:hAnsi="Times New Roman"/>
                <w:color w:val="auto"/>
                <w:sz w:val="24"/>
                <w:szCs w:val="24"/>
                <w:highlight w:val="none"/>
                <w:lang w:eastAsia="zh-CN"/>
              </w:rPr>
              <w:t>）</w:t>
            </w:r>
            <w:r>
              <w:rPr>
                <w:rFonts w:hint="default" w:ascii="Times New Roman" w:hAnsi="Times New Roman"/>
                <w:color w:val="auto"/>
                <w:sz w:val="24"/>
                <w:szCs w:val="24"/>
                <w:highlight w:val="none"/>
              </w:rPr>
              <w:t>根据《建设项目环境影响报告表编制技术指南（污染影响类）（试行）》，常规污染物引用与建设项目距离近的有效数据，包括近3年的规划环境影响评价的监测数据，国家、地方环境空气质量监测网数据或生态环境主管部门公开发布的质量数据等。</w:t>
            </w:r>
            <w:r>
              <w:rPr>
                <w:rFonts w:hint="default" w:ascii="Times New Roman" w:hAnsi="Times New Roman"/>
                <w:color w:val="auto"/>
                <w:sz w:val="24"/>
                <w:szCs w:val="24"/>
                <w:highlight w:val="none"/>
                <w:lang w:val="en-US" w:eastAsia="zh-CN"/>
              </w:rPr>
              <w:t>因此</w:t>
            </w:r>
            <w:r>
              <w:rPr>
                <w:rFonts w:hint="default" w:ascii="Times New Roman" w:hAnsi="Times New Roman" w:cs="Times New Roman"/>
                <w:color w:val="auto"/>
                <w:spacing w:val="-4"/>
                <w:sz w:val="24"/>
                <w:szCs w:val="24"/>
                <w:highlight w:val="none"/>
              </w:rPr>
              <w:t>根据福建省生态环境厅公布的《</w:t>
            </w:r>
            <w:r>
              <w:rPr>
                <w:rFonts w:hint="default" w:ascii="Times New Roman" w:hAnsi="Times New Roman" w:eastAsia="Times New Roman" w:cs="Times New Roman"/>
                <w:color w:val="auto"/>
                <w:spacing w:val="-4"/>
                <w:sz w:val="24"/>
                <w:szCs w:val="24"/>
                <w:highlight w:val="none"/>
              </w:rPr>
              <w:t>2024</w:t>
            </w:r>
            <w:r>
              <w:rPr>
                <w:rFonts w:hint="default" w:ascii="Times New Roman" w:hAnsi="Times New Roman" w:cs="Times New Roman"/>
                <w:color w:val="auto"/>
                <w:spacing w:val="-4"/>
                <w:sz w:val="24"/>
                <w:szCs w:val="24"/>
                <w:highlight w:val="none"/>
              </w:rPr>
              <w:t>年</w:t>
            </w:r>
            <w:r>
              <w:rPr>
                <w:rFonts w:hint="default" w:ascii="Times New Roman" w:hAnsi="Times New Roman" w:eastAsia="Times New Roman" w:cs="Times New Roman"/>
                <w:color w:val="auto"/>
                <w:spacing w:val="-4"/>
                <w:sz w:val="24"/>
                <w:szCs w:val="24"/>
                <w:highlight w:val="none"/>
              </w:rPr>
              <w:t>1-</w:t>
            </w:r>
            <w:r>
              <w:rPr>
                <w:rFonts w:hint="eastAsia" w:ascii="Times New Roman" w:hAnsi="Times New Roman" w:eastAsia="宋体" w:cs="Times New Roman"/>
                <w:color w:val="auto"/>
                <w:spacing w:val="-4"/>
                <w:sz w:val="24"/>
                <w:szCs w:val="24"/>
                <w:highlight w:val="none"/>
                <w:lang w:val="en-US" w:eastAsia="zh-CN"/>
              </w:rPr>
              <w:t>12</w:t>
            </w:r>
            <w:r>
              <w:rPr>
                <w:rFonts w:hint="default" w:ascii="Times New Roman" w:hAnsi="Times New Roman" w:cs="Times New Roman"/>
                <w:color w:val="auto"/>
                <w:spacing w:val="-4"/>
                <w:sz w:val="24"/>
                <w:szCs w:val="24"/>
                <w:highlight w:val="none"/>
              </w:rPr>
              <w:t>月福建省城市环境空气质量</w:t>
            </w:r>
            <w:r>
              <w:rPr>
                <w:rFonts w:hint="default" w:ascii="Times New Roman" w:hAnsi="Times New Roman" w:cs="Times New Roman"/>
                <w:color w:val="auto"/>
                <w:sz w:val="24"/>
                <w:szCs w:val="24"/>
                <w:highlight w:val="none"/>
              </w:rPr>
              <w:t>状况》（</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"https://sthjt.fujian.gov.cn/zwgk/sjfb/hjsj/zlph/202410/t20241024" </w:instrText>
            </w:r>
            <w:r>
              <w:rPr>
                <w:rFonts w:hint="default" w:ascii="Times New Roman" w:hAnsi="Times New Roman" w:cs="Times New Roman"/>
                <w:color w:val="auto"/>
                <w:sz w:val="24"/>
                <w:szCs w:val="24"/>
                <w:highlight w:val="none"/>
              </w:rPr>
              <w:fldChar w:fldCharType="separate"/>
            </w:r>
            <w:r>
              <w:rPr>
                <w:rFonts w:hint="default" w:ascii="Times New Roman" w:hAnsi="Times New Roman" w:eastAsia="Times New Roman" w:cs="Times New Roman"/>
                <w:color w:val="auto"/>
                <w:sz w:val="24"/>
                <w:szCs w:val="24"/>
                <w:highlight w:val="none"/>
              </w:rPr>
              <w:t>https://sthjt.fujian.gov.cn/zwgk/sjfb/hjsj/zlph/2024</w:t>
            </w:r>
            <w:r>
              <w:rPr>
                <w:rFonts w:hint="default" w:ascii="Times New Roman" w:hAnsi="Times New Roman" w:eastAsia="Times New Roman" w:cs="Times New Roman"/>
                <w:color w:val="auto"/>
                <w:spacing w:val="-1"/>
                <w:sz w:val="24"/>
                <w:szCs w:val="24"/>
                <w:highlight w:val="none"/>
              </w:rPr>
              <w:t>10/t20241024</w:t>
            </w:r>
            <w:r>
              <w:rPr>
                <w:rFonts w:hint="default" w:ascii="Times New Roman" w:hAnsi="Times New Roman" w:eastAsia="Times New Roman" w:cs="Times New Roman"/>
                <w:color w:val="auto"/>
                <w:spacing w:val="-1"/>
                <w:sz w:val="24"/>
                <w:szCs w:val="24"/>
                <w:highlight w:val="none"/>
              </w:rPr>
              <w:fldChar w:fldCharType="end"/>
            </w:r>
            <w:r>
              <w:rPr>
                <w:rFonts w:hint="default" w:ascii="Times New Roman" w:hAnsi="Times New Roman" w:eastAsia="Times New Roman" w:cs="Times New Roman"/>
                <w:color w:val="auto"/>
                <w:spacing w:val="-1"/>
                <w:sz w:val="24"/>
                <w:szCs w:val="24"/>
                <w:highlight w:val="none"/>
              </w:rPr>
              <w:t>_65532</w:t>
            </w:r>
            <w:r>
              <w:rPr>
                <w:rFonts w:hint="default" w:ascii="Times New Roman" w:hAnsi="Times New Roman" w:eastAsia="Times New Roman" w:cs="Times New Roman"/>
                <w:color w:val="auto"/>
                <w:spacing w:val="-3"/>
                <w:sz w:val="24"/>
                <w:szCs w:val="24"/>
                <w:highlight w:val="none"/>
              </w:rPr>
              <w:t>44.htm</w:t>
            </w:r>
            <w:r>
              <w:rPr>
                <w:rFonts w:hint="default" w:ascii="Times New Roman" w:hAnsi="Times New Roman" w:cs="Times New Roman"/>
                <w:color w:val="auto"/>
                <w:spacing w:val="-1"/>
                <w:sz w:val="24"/>
                <w:szCs w:val="24"/>
                <w:highlight w:val="none"/>
              </w:rPr>
              <w:t>），</w:t>
            </w:r>
            <w:r>
              <w:rPr>
                <w:rFonts w:hint="default" w:ascii="Times New Roman" w:hAnsi="Times New Roman" w:eastAsia="Times New Roman" w:cs="Times New Roman"/>
                <w:color w:val="auto"/>
                <w:spacing w:val="-3"/>
                <w:sz w:val="24"/>
                <w:szCs w:val="24"/>
                <w:highlight w:val="none"/>
              </w:rPr>
              <w:t>2024</w:t>
            </w:r>
            <w:r>
              <w:rPr>
                <w:rFonts w:hint="default" w:ascii="Times New Roman" w:hAnsi="Times New Roman" w:cs="Times New Roman"/>
                <w:color w:val="auto"/>
                <w:spacing w:val="-3"/>
                <w:sz w:val="24"/>
                <w:szCs w:val="24"/>
                <w:highlight w:val="none"/>
              </w:rPr>
              <w:t>年</w:t>
            </w:r>
            <w:r>
              <w:rPr>
                <w:rFonts w:hint="default" w:ascii="Times New Roman" w:hAnsi="Times New Roman" w:eastAsia="Times New Roman" w:cs="Times New Roman"/>
                <w:color w:val="auto"/>
                <w:spacing w:val="-3"/>
                <w:sz w:val="24"/>
                <w:szCs w:val="24"/>
                <w:highlight w:val="none"/>
              </w:rPr>
              <w:t>1~</w:t>
            </w:r>
            <w:r>
              <w:rPr>
                <w:rFonts w:hint="eastAsia" w:ascii="Times New Roman" w:hAnsi="Times New Roman" w:eastAsia="宋体" w:cs="Times New Roman"/>
                <w:color w:val="auto"/>
                <w:spacing w:val="-3"/>
                <w:sz w:val="24"/>
                <w:szCs w:val="24"/>
                <w:highlight w:val="none"/>
                <w:lang w:val="en-US" w:eastAsia="zh-CN"/>
              </w:rPr>
              <w:t>12</w:t>
            </w:r>
            <w:r>
              <w:rPr>
                <w:rFonts w:hint="default" w:ascii="Times New Roman" w:hAnsi="Times New Roman" w:cs="Times New Roman"/>
                <w:color w:val="auto"/>
                <w:spacing w:val="-3"/>
                <w:sz w:val="24"/>
                <w:szCs w:val="24"/>
                <w:highlight w:val="none"/>
              </w:rPr>
              <w:t>月福州市综合指数为</w:t>
            </w:r>
            <w:r>
              <w:rPr>
                <w:rFonts w:hint="default" w:ascii="Times New Roman" w:hAnsi="Times New Roman" w:eastAsia="Times New Roman" w:cs="Times New Roman"/>
                <w:color w:val="auto"/>
                <w:spacing w:val="-3"/>
                <w:sz w:val="24"/>
                <w:szCs w:val="24"/>
                <w:highlight w:val="none"/>
              </w:rPr>
              <w:t>2.46</w:t>
            </w:r>
            <w:r>
              <w:rPr>
                <w:rFonts w:hint="default" w:ascii="Times New Roman" w:hAnsi="Times New Roman" w:cs="Times New Roman"/>
                <w:color w:val="auto"/>
                <w:spacing w:val="-3"/>
                <w:sz w:val="24"/>
                <w:szCs w:val="24"/>
                <w:highlight w:val="none"/>
              </w:rPr>
              <w:t>，</w:t>
            </w:r>
            <w:r>
              <w:rPr>
                <w:rFonts w:hint="default" w:ascii="Times New Roman" w:hAnsi="Times New Roman" w:eastAsia="Times New Roman" w:cs="Times New Roman"/>
                <w:color w:val="auto"/>
                <w:spacing w:val="-3"/>
                <w:sz w:val="24"/>
                <w:szCs w:val="24"/>
                <w:highlight w:val="none"/>
              </w:rPr>
              <w:t>S</w:t>
            </w:r>
            <w:r>
              <w:rPr>
                <w:rFonts w:hint="default" w:ascii="Times New Roman" w:hAnsi="Times New Roman" w:eastAsia="Times New Roman" w:cs="Times New Roman"/>
                <w:color w:val="auto"/>
                <w:spacing w:val="-4"/>
                <w:sz w:val="24"/>
                <w:szCs w:val="24"/>
                <w:highlight w:val="none"/>
              </w:rPr>
              <w:t>O</w:t>
            </w:r>
            <w:r>
              <w:rPr>
                <w:rFonts w:hint="default" w:ascii="Times New Roman" w:hAnsi="Times New Roman" w:eastAsia="Times New Roman" w:cs="Times New Roman"/>
                <w:color w:val="auto"/>
                <w:spacing w:val="-4"/>
                <w:position w:val="-1"/>
                <w:sz w:val="24"/>
                <w:szCs w:val="24"/>
                <w:highlight w:val="none"/>
                <w:vertAlign w:val="subscript"/>
              </w:rPr>
              <w:t>2</w:t>
            </w:r>
            <w:r>
              <w:rPr>
                <w:rFonts w:hint="default" w:ascii="Times New Roman" w:hAnsi="Times New Roman" w:cs="Times New Roman"/>
                <w:color w:val="auto"/>
                <w:spacing w:val="-4"/>
                <w:sz w:val="24"/>
                <w:szCs w:val="24"/>
                <w:highlight w:val="none"/>
              </w:rPr>
              <w:t>、</w:t>
            </w:r>
            <w:r>
              <w:rPr>
                <w:rFonts w:hint="default" w:ascii="Times New Roman" w:hAnsi="Times New Roman" w:eastAsia="Times New Roman" w:cs="Times New Roman"/>
                <w:color w:val="auto"/>
                <w:spacing w:val="-4"/>
                <w:sz w:val="24"/>
                <w:szCs w:val="24"/>
                <w:highlight w:val="none"/>
              </w:rPr>
              <w:t>NO</w:t>
            </w:r>
            <w:r>
              <w:rPr>
                <w:rFonts w:hint="default" w:ascii="Times New Roman" w:hAnsi="Times New Roman" w:eastAsia="Times New Roman" w:cs="Times New Roman"/>
                <w:color w:val="auto"/>
                <w:spacing w:val="-4"/>
                <w:position w:val="-1"/>
                <w:sz w:val="24"/>
                <w:szCs w:val="24"/>
                <w:highlight w:val="none"/>
                <w:vertAlign w:val="subscript"/>
              </w:rPr>
              <w:t>2</w:t>
            </w:r>
            <w:r>
              <w:rPr>
                <w:rFonts w:hint="default" w:ascii="Times New Roman" w:hAnsi="Times New Roman" w:cs="Times New Roman"/>
                <w:color w:val="auto"/>
                <w:spacing w:val="-4"/>
                <w:sz w:val="24"/>
                <w:szCs w:val="24"/>
                <w:highlight w:val="none"/>
              </w:rPr>
              <w:t>、</w:t>
            </w:r>
            <w:r>
              <w:rPr>
                <w:rFonts w:hint="default" w:ascii="Times New Roman" w:hAnsi="Times New Roman" w:eastAsia="Times New Roman" w:cs="Times New Roman"/>
                <w:color w:val="auto"/>
                <w:spacing w:val="-4"/>
                <w:sz w:val="24"/>
                <w:szCs w:val="24"/>
                <w:highlight w:val="none"/>
              </w:rPr>
              <w:t>PM</w:t>
            </w:r>
            <w:r>
              <w:rPr>
                <w:rFonts w:hint="default" w:ascii="Times New Roman" w:hAnsi="Times New Roman" w:eastAsia="Times New Roman" w:cs="Times New Roman"/>
                <w:color w:val="auto"/>
                <w:spacing w:val="-4"/>
                <w:position w:val="-1"/>
                <w:sz w:val="24"/>
                <w:szCs w:val="24"/>
                <w:highlight w:val="none"/>
                <w:vertAlign w:val="subscript"/>
              </w:rPr>
              <w:t>10</w:t>
            </w:r>
            <w:r>
              <w:rPr>
                <w:rFonts w:hint="default" w:ascii="Times New Roman" w:hAnsi="Times New Roman" w:cs="Times New Roman"/>
                <w:color w:val="auto"/>
                <w:spacing w:val="-4"/>
                <w:sz w:val="24"/>
                <w:szCs w:val="24"/>
                <w:highlight w:val="none"/>
              </w:rPr>
              <w:t>、</w:t>
            </w:r>
            <w:r>
              <w:rPr>
                <w:rFonts w:hint="default" w:ascii="Times New Roman" w:hAnsi="Times New Roman" w:eastAsia="Times New Roman" w:cs="Times New Roman"/>
                <w:color w:val="auto"/>
                <w:spacing w:val="-4"/>
                <w:sz w:val="24"/>
                <w:szCs w:val="24"/>
                <w:highlight w:val="none"/>
              </w:rPr>
              <w:t>PM</w:t>
            </w:r>
            <w:r>
              <w:rPr>
                <w:rFonts w:hint="default" w:ascii="Times New Roman" w:hAnsi="Times New Roman" w:eastAsia="Times New Roman" w:cs="Times New Roman"/>
                <w:color w:val="auto"/>
                <w:spacing w:val="-4"/>
                <w:position w:val="-1"/>
                <w:sz w:val="24"/>
                <w:szCs w:val="24"/>
                <w:highlight w:val="none"/>
                <w:vertAlign w:val="subscript"/>
              </w:rPr>
              <w:t>2.5</w:t>
            </w:r>
            <w:r>
              <w:rPr>
                <w:rFonts w:hint="default" w:ascii="Times New Roman" w:hAnsi="Times New Roman" w:cs="Times New Roman"/>
                <w:color w:val="auto"/>
                <w:spacing w:val="-2"/>
                <w:sz w:val="24"/>
                <w:szCs w:val="24"/>
                <w:highlight w:val="none"/>
              </w:rPr>
              <w:t>平均浓度分别为</w:t>
            </w:r>
            <w:r>
              <w:rPr>
                <w:rFonts w:hint="default" w:ascii="Times New Roman" w:hAnsi="Times New Roman" w:eastAsia="Times New Roman" w:cs="Times New Roman"/>
                <w:color w:val="auto"/>
                <w:spacing w:val="-2"/>
                <w:sz w:val="24"/>
                <w:szCs w:val="24"/>
                <w:highlight w:val="none"/>
              </w:rPr>
              <w:t>4µg/m</w:t>
            </w:r>
            <w:r>
              <w:rPr>
                <w:rFonts w:hint="eastAsia" w:ascii="Times New Roman" w:hAnsi="Times New Roman" w:eastAsia="宋体" w:cs="Times New Roman"/>
                <w:color w:val="auto"/>
                <w:spacing w:val="-2"/>
                <w:sz w:val="24"/>
                <w:szCs w:val="24"/>
                <w:highlight w:val="none"/>
                <w:vertAlign w:val="superscript"/>
                <w:lang w:val="en-US" w:eastAsia="zh-CN"/>
              </w:rPr>
              <w:t>3</w:t>
            </w:r>
            <w:r>
              <w:rPr>
                <w:rFonts w:hint="default" w:ascii="Times New Roman" w:hAnsi="Times New Roman" w:cs="Times New Roman"/>
                <w:color w:val="auto"/>
                <w:spacing w:val="-2"/>
                <w:sz w:val="24"/>
                <w:szCs w:val="24"/>
                <w:highlight w:val="none"/>
              </w:rPr>
              <w:t>、</w:t>
            </w:r>
            <w:r>
              <w:rPr>
                <w:rFonts w:hint="default" w:ascii="Times New Roman" w:hAnsi="Times New Roman" w:eastAsia="Times New Roman" w:cs="Times New Roman"/>
                <w:color w:val="auto"/>
                <w:spacing w:val="-2"/>
                <w:sz w:val="24"/>
                <w:szCs w:val="24"/>
                <w:highlight w:val="none"/>
              </w:rPr>
              <w:t>14µg/m</w:t>
            </w:r>
            <w:r>
              <w:rPr>
                <w:rFonts w:hint="eastAsia" w:ascii="Times New Roman" w:hAnsi="Times New Roman" w:eastAsia="宋体" w:cs="Times New Roman"/>
                <w:color w:val="auto"/>
                <w:spacing w:val="-2"/>
                <w:sz w:val="24"/>
                <w:szCs w:val="24"/>
                <w:highlight w:val="none"/>
                <w:vertAlign w:val="superscript"/>
                <w:lang w:val="en-US" w:eastAsia="zh-CN"/>
              </w:rPr>
              <w:t>3</w:t>
            </w:r>
            <w:r>
              <w:rPr>
                <w:rFonts w:hint="default" w:ascii="Times New Roman" w:hAnsi="Times New Roman" w:cs="Times New Roman"/>
                <w:color w:val="auto"/>
                <w:spacing w:val="-2"/>
                <w:sz w:val="24"/>
                <w:szCs w:val="24"/>
                <w:highlight w:val="none"/>
              </w:rPr>
              <w:t>、</w:t>
            </w:r>
            <w:r>
              <w:rPr>
                <w:rFonts w:hint="default" w:ascii="Times New Roman" w:hAnsi="Times New Roman" w:eastAsia="Times New Roman" w:cs="Times New Roman"/>
                <w:color w:val="auto"/>
                <w:spacing w:val="-3"/>
                <w:sz w:val="24"/>
                <w:szCs w:val="24"/>
                <w:highlight w:val="none"/>
              </w:rPr>
              <w:t>31µg/m</w:t>
            </w:r>
            <w:r>
              <w:rPr>
                <w:rFonts w:hint="eastAsia" w:ascii="Times New Roman" w:hAnsi="Times New Roman" w:eastAsia="宋体" w:cs="Times New Roman"/>
                <w:color w:val="auto"/>
                <w:spacing w:val="-3"/>
                <w:sz w:val="24"/>
                <w:szCs w:val="24"/>
                <w:highlight w:val="none"/>
                <w:lang w:val="en-US" w:eastAsia="zh-CN"/>
              </w:rPr>
              <w:t>3</w:t>
            </w:r>
            <w:r>
              <w:rPr>
                <w:rFonts w:hint="default" w:ascii="Times New Roman" w:hAnsi="Times New Roman" w:cs="Times New Roman"/>
                <w:color w:val="auto"/>
                <w:spacing w:val="-3"/>
                <w:sz w:val="24"/>
                <w:szCs w:val="24"/>
                <w:highlight w:val="none"/>
              </w:rPr>
              <w:t>、</w:t>
            </w:r>
            <w:r>
              <w:rPr>
                <w:rFonts w:hint="default" w:ascii="Times New Roman" w:hAnsi="Times New Roman" w:eastAsia="Times New Roman" w:cs="Times New Roman"/>
                <w:color w:val="auto"/>
                <w:spacing w:val="-3"/>
                <w:sz w:val="24"/>
                <w:szCs w:val="24"/>
                <w:highlight w:val="none"/>
              </w:rPr>
              <w:t>19µg/m</w:t>
            </w:r>
            <w:r>
              <w:rPr>
                <w:rFonts w:hint="eastAsia" w:ascii="Times New Roman" w:hAnsi="Times New Roman" w:eastAsia="宋体" w:cs="Times New Roman"/>
                <w:color w:val="auto"/>
                <w:spacing w:val="-3"/>
                <w:sz w:val="24"/>
                <w:szCs w:val="24"/>
                <w:highlight w:val="none"/>
                <w:vertAlign w:val="superscript"/>
                <w:lang w:val="en-US" w:eastAsia="zh-CN"/>
              </w:rPr>
              <w:t>3</w:t>
            </w:r>
            <w:r>
              <w:rPr>
                <w:rFonts w:hint="default" w:ascii="Times New Roman" w:hAnsi="Times New Roman" w:cs="Times New Roman"/>
                <w:color w:val="auto"/>
                <w:spacing w:val="-3"/>
                <w:sz w:val="24"/>
                <w:szCs w:val="24"/>
                <w:highlight w:val="none"/>
              </w:rPr>
              <w:t>，</w:t>
            </w:r>
            <w:r>
              <w:rPr>
                <w:rFonts w:hint="default" w:ascii="Times New Roman" w:hAnsi="Times New Roman" w:eastAsia="Times New Roman" w:cs="Times New Roman"/>
                <w:color w:val="auto"/>
                <w:spacing w:val="-3"/>
                <w:sz w:val="24"/>
                <w:szCs w:val="24"/>
                <w:highlight w:val="none"/>
              </w:rPr>
              <w:t>CO24</w:t>
            </w:r>
            <w:r>
              <w:rPr>
                <w:rFonts w:hint="default" w:ascii="Times New Roman" w:hAnsi="Times New Roman" w:cs="Times New Roman"/>
                <w:color w:val="auto"/>
                <w:spacing w:val="-3"/>
                <w:sz w:val="24"/>
                <w:szCs w:val="24"/>
                <w:highlight w:val="none"/>
              </w:rPr>
              <w:t>小时平均第</w:t>
            </w:r>
            <w:r>
              <w:rPr>
                <w:rFonts w:hint="default" w:ascii="Times New Roman" w:hAnsi="Times New Roman" w:eastAsia="Times New Roman" w:cs="Times New Roman"/>
                <w:color w:val="auto"/>
                <w:spacing w:val="-5"/>
                <w:sz w:val="24"/>
                <w:szCs w:val="24"/>
                <w:highlight w:val="none"/>
              </w:rPr>
              <w:t>95</w:t>
            </w:r>
            <w:r>
              <w:rPr>
                <w:rFonts w:hint="default" w:ascii="Times New Roman" w:hAnsi="Times New Roman" w:cs="Times New Roman"/>
                <w:color w:val="auto"/>
                <w:spacing w:val="-5"/>
                <w:sz w:val="24"/>
                <w:szCs w:val="24"/>
                <w:highlight w:val="none"/>
              </w:rPr>
              <w:t>百分位数为</w:t>
            </w:r>
            <w:r>
              <w:rPr>
                <w:rFonts w:hint="default" w:ascii="Times New Roman" w:hAnsi="Times New Roman" w:eastAsia="Times New Roman" w:cs="Times New Roman"/>
                <w:color w:val="auto"/>
                <w:spacing w:val="-5"/>
                <w:sz w:val="24"/>
                <w:szCs w:val="24"/>
                <w:highlight w:val="none"/>
              </w:rPr>
              <w:t>0.8mg/m</w:t>
            </w:r>
            <w:r>
              <w:rPr>
                <w:rFonts w:hint="eastAsia" w:ascii="Times New Roman" w:hAnsi="Times New Roman" w:eastAsia="宋体" w:cs="Times New Roman"/>
                <w:color w:val="auto"/>
                <w:spacing w:val="-5"/>
                <w:sz w:val="24"/>
                <w:szCs w:val="24"/>
                <w:highlight w:val="none"/>
                <w:vertAlign w:val="superscript"/>
                <w:lang w:val="en-US" w:eastAsia="zh-CN"/>
              </w:rPr>
              <w:t>3</w:t>
            </w:r>
            <w:r>
              <w:rPr>
                <w:rFonts w:hint="default" w:ascii="Times New Roman" w:hAnsi="Times New Roman" w:cs="Times New Roman"/>
                <w:color w:val="auto"/>
                <w:spacing w:val="-5"/>
                <w:sz w:val="24"/>
                <w:szCs w:val="24"/>
                <w:highlight w:val="none"/>
              </w:rPr>
              <w:t>，</w:t>
            </w:r>
            <w:r>
              <w:rPr>
                <w:rFonts w:hint="default" w:ascii="Times New Roman" w:hAnsi="Times New Roman" w:eastAsia="Times New Roman" w:cs="Times New Roman"/>
                <w:color w:val="auto"/>
                <w:spacing w:val="-5"/>
                <w:sz w:val="24"/>
                <w:szCs w:val="24"/>
                <w:highlight w:val="none"/>
              </w:rPr>
              <w:t>O</w:t>
            </w:r>
            <w:r>
              <w:rPr>
                <w:rFonts w:hint="default" w:ascii="Times New Roman" w:hAnsi="Times New Roman" w:eastAsia="Times New Roman" w:cs="Times New Roman"/>
                <w:color w:val="auto"/>
                <w:spacing w:val="-5"/>
                <w:position w:val="-1"/>
                <w:sz w:val="24"/>
                <w:szCs w:val="24"/>
                <w:highlight w:val="none"/>
                <w:vertAlign w:val="subscript"/>
              </w:rPr>
              <w:t>3</w:t>
            </w:r>
            <w:r>
              <w:rPr>
                <w:rFonts w:hint="default" w:ascii="Times New Roman" w:hAnsi="Times New Roman" w:cs="Times New Roman"/>
                <w:color w:val="auto"/>
                <w:spacing w:val="-5"/>
                <w:sz w:val="24"/>
                <w:szCs w:val="24"/>
                <w:highlight w:val="none"/>
              </w:rPr>
              <w:t>日最大</w:t>
            </w:r>
            <w:r>
              <w:rPr>
                <w:rFonts w:hint="default" w:ascii="Times New Roman" w:hAnsi="Times New Roman" w:eastAsia="Times New Roman" w:cs="Times New Roman"/>
                <w:color w:val="auto"/>
                <w:spacing w:val="-5"/>
                <w:sz w:val="24"/>
                <w:szCs w:val="24"/>
                <w:highlight w:val="none"/>
              </w:rPr>
              <w:t>8</w:t>
            </w:r>
            <w:r>
              <w:rPr>
                <w:rFonts w:hint="default" w:ascii="Times New Roman" w:hAnsi="Times New Roman" w:cs="Times New Roman"/>
                <w:color w:val="auto"/>
                <w:spacing w:val="-5"/>
                <w:sz w:val="24"/>
                <w:szCs w:val="24"/>
                <w:highlight w:val="none"/>
              </w:rPr>
              <w:t>小时平</w:t>
            </w:r>
            <w:r>
              <w:rPr>
                <w:rFonts w:hint="default" w:ascii="Times New Roman" w:hAnsi="Times New Roman" w:cs="Times New Roman"/>
                <w:color w:val="auto"/>
                <w:spacing w:val="-6"/>
                <w:sz w:val="24"/>
                <w:szCs w:val="24"/>
                <w:highlight w:val="none"/>
              </w:rPr>
              <w:t>均第</w:t>
            </w:r>
            <w:r>
              <w:rPr>
                <w:rFonts w:hint="default" w:ascii="Times New Roman" w:hAnsi="Times New Roman" w:eastAsia="Times New Roman" w:cs="Times New Roman"/>
                <w:color w:val="auto"/>
                <w:spacing w:val="-6"/>
                <w:sz w:val="24"/>
                <w:szCs w:val="24"/>
                <w:highlight w:val="none"/>
              </w:rPr>
              <w:t>90</w:t>
            </w:r>
            <w:r>
              <w:rPr>
                <w:rFonts w:hint="default" w:ascii="Times New Roman" w:hAnsi="Times New Roman" w:cs="Times New Roman"/>
                <w:color w:val="auto"/>
                <w:spacing w:val="-6"/>
                <w:sz w:val="24"/>
                <w:szCs w:val="24"/>
                <w:highlight w:val="none"/>
              </w:rPr>
              <w:t>百分位数为</w:t>
            </w:r>
            <w:r>
              <w:rPr>
                <w:rFonts w:hint="default" w:ascii="Times New Roman" w:hAnsi="Times New Roman" w:eastAsia="Times New Roman" w:cs="Times New Roman"/>
                <w:color w:val="auto"/>
                <w:spacing w:val="-6"/>
                <w:sz w:val="24"/>
                <w:szCs w:val="24"/>
                <w:highlight w:val="none"/>
              </w:rPr>
              <w:t>137µg/m</w:t>
            </w:r>
            <w:r>
              <w:rPr>
                <w:rFonts w:hint="eastAsia" w:ascii="Times New Roman" w:hAnsi="Times New Roman" w:eastAsia="宋体" w:cs="Times New Roman"/>
                <w:color w:val="auto"/>
                <w:spacing w:val="-6"/>
                <w:sz w:val="24"/>
                <w:szCs w:val="24"/>
                <w:highlight w:val="none"/>
                <w:vertAlign w:val="superscript"/>
                <w:lang w:val="en-US" w:eastAsia="zh-CN"/>
              </w:rPr>
              <w:t>3</w:t>
            </w:r>
            <w:r>
              <w:rPr>
                <w:rFonts w:hint="default" w:ascii="Times New Roman" w:hAnsi="Times New Roman" w:cs="Times New Roman"/>
                <w:color w:val="auto"/>
                <w:spacing w:val="-6"/>
                <w:sz w:val="24"/>
                <w:szCs w:val="24"/>
                <w:highlight w:val="none"/>
              </w:rPr>
              <w:t>，</w:t>
            </w:r>
            <w:r>
              <w:rPr>
                <w:rFonts w:hint="default" w:ascii="Times New Roman" w:hAnsi="Times New Roman" w:cs="Times New Roman"/>
                <w:color w:val="auto"/>
                <w:spacing w:val="-1"/>
                <w:sz w:val="24"/>
                <w:szCs w:val="24"/>
                <w:highlight w:val="none"/>
              </w:rPr>
              <w:t>首要污染物为臭氧。各污染物平均浓度均优于《环境空气质量标准</w:t>
            </w:r>
            <w:r>
              <w:rPr>
                <w:rFonts w:hint="default" w:ascii="Times New Roman" w:hAnsi="Times New Roman" w:cs="Times New Roman"/>
                <w:color w:val="auto"/>
                <w:spacing w:val="-2"/>
                <w:sz w:val="24"/>
                <w:szCs w:val="24"/>
                <w:highlight w:val="none"/>
              </w:rPr>
              <w:t>》（</w:t>
            </w:r>
            <w:r>
              <w:rPr>
                <w:rFonts w:hint="default" w:ascii="Times New Roman" w:hAnsi="Times New Roman" w:eastAsia="Times New Roman" w:cs="Times New Roman"/>
                <w:color w:val="auto"/>
                <w:spacing w:val="-2"/>
                <w:sz w:val="24"/>
                <w:szCs w:val="24"/>
                <w:highlight w:val="none"/>
              </w:rPr>
              <w:t>GB3</w:t>
            </w:r>
            <w:r>
              <w:rPr>
                <w:rFonts w:hint="default" w:ascii="Times New Roman" w:hAnsi="Times New Roman" w:eastAsia="Times New Roman" w:cs="Times New Roman"/>
                <w:color w:val="auto"/>
                <w:spacing w:val="-1"/>
                <w:sz w:val="24"/>
                <w:szCs w:val="24"/>
                <w:highlight w:val="none"/>
              </w:rPr>
              <w:t>095-2012</w:t>
            </w:r>
            <w:r>
              <w:rPr>
                <w:rFonts w:hint="default" w:ascii="Times New Roman" w:hAnsi="Times New Roman" w:cs="Times New Roman"/>
                <w:color w:val="auto"/>
                <w:spacing w:val="-1"/>
                <w:sz w:val="24"/>
                <w:szCs w:val="24"/>
                <w:highlight w:val="none"/>
              </w:rPr>
              <w:t>）中二级标准限值，大气环境质量较好</w:t>
            </w:r>
            <w:r>
              <w:rPr>
                <w:rFonts w:hint="default" w:ascii="Times New Roman" w:hAnsi="Times New Roman" w:cs="Times New Roman"/>
                <w:color w:val="auto"/>
                <w:spacing w:val="-2"/>
                <w:sz w:val="24"/>
                <w:szCs w:val="24"/>
                <w:highlight w:val="none"/>
              </w:rPr>
              <w:t>，属于达标区域。</w:t>
            </w:r>
          </w:p>
          <w:p w14:paraId="5A7804F3">
            <w:pPr>
              <w:pStyle w:val="235"/>
              <w:keepNext/>
              <w:keepLines/>
              <w:pageBreakBefore w:val="0"/>
              <w:widowControl w:val="0"/>
              <w:numPr>
                <w:ilvl w:val="7"/>
                <w:numId w:val="0"/>
              </w:numPr>
              <w:tabs>
                <w:tab w:val="left" w:pos="0"/>
              </w:tabs>
              <w:kinsoku/>
              <w:wordWrap/>
              <w:overflowPunct/>
              <w:topLinePunct w:val="0"/>
              <w:autoSpaceDE/>
              <w:autoSpaceDN/>
              <w:bidi w:val="0"/>
              <w:adjustRightInd/>
              <w:snapToGrid/>
              <w:spacing w:before="120"/>
              <w:ind w:left="420" w:leftChars="0" w:firstLine="0" w:firstLineChars="0"/>
              <w:textAlignment w:val="auto"/>
              <w:rPr>
                <w:rFonts w:hint="default" w:ascii="Times New Roman" w:hAnsi="Times New Roman"/>
                <w:color w:val="auto"/>
                <w:highlight w:val="none"/>
              </w:rPr>
            </w:pPr>
            <w:r>
              <w:rPr>
                <w:rFonts w:hint="eastAsia" w:ascii="Times New Roman" w:hAnsi="Times New Roman" w:eastAsia="宋体" w:cs="宋体"/>
                <w:b/>
                <w:bCs/>
                <w:color w:val="auto"/>
                <w:kern w:val="0"/>
                <w:sz w:val="24"/>
                <w:szCs w:val="21"/>
                <w:lang w:val="zh-CN" w:eastAsia="zh-CN" w:bidi="ar-SA"/>
              </w:rPr>
              <w:t>表3.1-2</w:t>
            </w:r>
            <w:r>
              <w:rPr>
                <w:rFonts w:hint="eastAsia" w:ascii="Times New Roman" w:hAnsi="Times New Roman"/>
                <w:color w:val="auto"/>
                <w:highlight w:val="none"/>
                <w:lang w:val="en-US" w:eastAsia="zh-CN"/>
              </w:rPr>
              <w:t>区域</w:t>
            </w:r>
            <w:r>
              <w:rPr>
                <w:rFonts w:hint="default" w:ascii="Times New Roman" w:hAnsi="Times New Roman"/>
                <w:color w:val="auto"/>
                <w:highlight w:val="none"/>
              </w:rPr>
              <w:t>空气质量现状评价表</w:t>
            </w:r>
          </w:p>
          <w:tbl>
            <w:tblPr>
              <w:tblStyle w:val="38"/>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16"/>
              <w:gridCol w:w="3062"/>
              <w:gridCol w:w="1116"/>
              <w:gridCol w:w="1116"/>
              <w:gridCol w:w="893"/>
              <w:gridCol w:w="1116"/>
            </w:tblGrid>
            <w:tr w14:paraId="7B28D2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2" w:type="pct"/>
                  <w:tcBorders>
                    <w:tl2br w:val="nil"/>
                    <w:tr2bl w:val="nil"/>
                  </w:tcBorders>
                  <w:vAlign w:val="center"/>
                </w:tcPr>
                <w:p w14:paraId="53E838D2">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评价因子</w:t>
                  </w:r>
                </w:p>
              </w:tc>
              <w:tc>
                <w:tcPr>
                  <w:tcW w:w="1817" w:type="pct"/>
                  <w:tcBorders>
                    <w:tl2br w:val="nil"/>
                    <w:tr2bl w:val="nil"/>
                  </w:tcBorders>
                  <w:vAlign w:val="center"/>
                </w:tcPr>
                <w:p w14:paraId="2A9EF7D0">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平均时段</w:t>
                  </w:r>
                </w:p>
              </w:tc>
              <w:tc>
                <w:tcPr>
                  <w:tcW w:w="662" w:type="pct"/>
                  <w:tcBorders>
                    <w:tl2br w:val="nil"/>
                    <w:tr2bl w:val="nil"/>
                  </w:tcBorders>
                  <w:vAlign w:val="center"/>
                </w:tcPr>
                <w:p w14:paraId="697C607D">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现状浓度</w:t>
                  </w:r>
                </w:p>
              </w:tc>
              <w:tc>
                <w:tcPr>
                  <w:tcW w:w="662" w:type="pct"/>
                  <w:tcBorders>
                    <w:tl2br w:val="nil"/>
                    <w:tr2bl w:val="nil"/>
                  </w:tcBorders>
                  <w:vAlign w:val="center"/>
                </w:tcPr>
                <w:p w14:paraId="4A24F0D6">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标准限值</w:t>
                  </w:r>
                </w:p>
              </w:tc>
              <w:tc>
                <w:tcPr>
                  <w:tcW w:w="530" w:type="pct"/>
                  <w:tcBorders>
                    <w:tl2br w:val="nil"/>
                    <w:tr2bl w:val="nil"/>
                  </w:tcBorders>
                  <w:vAlign w:val="center"/>
                </w:tcPr>
                <w:p w14:paraId="29938AFD">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占标率</w:t>
                  </w:r>
                </w:p>
              </w:tc>
              <w:tc>
                <w:tcPr>
                  <w:tcW w:w="662" w:type="pct"/>
                  <w:tcBorders>
                    <w:tl2br w:val="nil"/>
                    <w:tr2bl w:val="nil"/>
                  </w:tcBorders>
                  <w:vAlign w:val="center"/>
                </w:tcPr>
                <w:p w14:paraId="1EBAF516">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达标情况</w:t>
                  </w:r>
                </w:p>
              </w:tc>
            </w:tr>
            <w:tr w14:paraId="214135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2" w:type="pct"/>
                  <w:tcBorders>
                    <w:tl2br w:val="nil"/>
                    <w:tr2bl w:val="nil"/>
                  </w:tcBorders>
                  <w:vAlign w:val="center"/>
                </w:tcPr>
                <w:p w14:paraId="78D51600">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SO</w:t>
                  </w:r>
                  <w:r>
                    <w:rPr>
                      <w:rFonts w:hint="default" w:ascii="Times New Roman" w:hAnsi="Times New Roman"/>
                      <w:color w:val="auto"/>
                      <w:highlight w:val="none"/>
                      <w:vertAlign w:val="subscript"/>
                    </w:rPr>
                    <w:t>2</w:t>
                  </w:r>
                </w:p>
              </w:tc>
              <w:tc>
                <w:tcPr>
                  <w:tcW w:w="1817" w:type="pct"/>
                  <w:tcBorders>
                    <w:tl2br w:val="nil"/>
                    <w:tr2bl w:val="nil"/>
                  </w:tcBorders>
                  <w:vAlign w:val="center"/>
                </w:tcPr>
                <w:p w14:paraId="60615E29">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年平均浓度</w:t>
                  </w:r>
                </w:p>
              </w:tc>
              <w:tc>
                <w:tcPr>
                  <w:tcW w:w="662" w:type="pct"/>
                  <w:tcBorders>
                    <w:tl2br w:val="nil"/>
                    <w:tr2bl w:val="nil"/>
                  </w:tcBorders>
                  <w:vAlign w:val="center"/>
                </w:tcPr>
                <w:p w14:paraId="0140EFE0">
                  <w:pPr>
                    <w:pStyle w:val="226"/>
                    <w:tabs>
                      <w:tab w:val="left" w:pos="0"/>
                    </w:tabs>
                    <w:rPr>
                      <w:rFonts w:hint="eastAsia" w:ascii="Times New Roman" w:hAnsi="Times New Roman"/>
                      <w:color w:val="auto"/>
                      <w:highlight w:val="none"/>
                      <w:lang w:eastAsia="zh-CN"/>
                    </w:rPr>
                  </w:pPr>
                  <w:r>
                    <w:rPr>
                      <w:rFonts w:hint="eastAsia" w:ascii="Times New Roman" w:hAnsi="Times New Roman"/>
                      <w:color w:val="auto"/>
                      <w:highlight w:val="none"/>
                      <w:lang w:val="en-US" w:eastAsia="zh-CN"/>
                    </w:rPr>
                    <w:t>4</w:t>
                  </w:r>
                  <w:r>
                    <w:rPr>
                      <w:rFonts w:hint="default" w:ascii="Times New Roman" w:hAnsi="Times New Roman"/>
                      <w:color w:val="auto"/>
                      <w:highlight w:val="none"/>
                    </w:rPr>
                    <w:t>μg/</w:t>
                  </w:r>
                  <w:r>
                    <w:rPr>
                      <w:rFonts w:hint="eastAsia" w:ascii="Times New Roman" w:hAnsi="Times New Roman"/>
                      <w:color w:val="auto"/>
                      <w:highlight w:val="none"/>
                      <w:lang w:val="en-US" w:eastAsia="zh-CN"/>
                    </w:rPr>
                    <w:t>m</w:t>
                  </w:r>
                  <w:r>
                    <w:rPr>
                      <w:rFonts w:hint="eastAsia" w:ascii="Times New Roman" w:hAnsi="Times New Roman"/>
                      <w:color w:val="auto"/>
                      <w:highlight w:val="none"/>
                      <w:vertAlign w:val="superscript"/>
                      <w:lang w:val="en-US" w:eastAsia="zh-CN"/>
                    </w:rPr>
                    <w:t>3</w:t>
                  </w:r>
                </w:p>
              </w:tc>
              <w:tc>
                <w:tcPr>
                  <w:tcW w:w="662" w:type="pct"/>
                  <w:tcBorders>
                    <w:tl2br w:val="nil"/>
                    <w:tr2bl w:val="nil"/>
                  </w:tcBorders>
                  <w:vAlign w:val="center"/>
                </w:tcPr>
                <w:p w14:paraId="3739EC3A">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60μg/</w:t>
                  </w:r>
                  <w:r>
                    <w:rPr>
                      <w:rFonts w:hint="eastAsia" w:ascii="Times New Roman" w:hAnsi="Times New Roman"/>
                      <w:color w:val="auto"/>
                      <w:highlight w:val="none"/>
                      <w:lang w:val="en-US" w:eastAsia="zh-CN"/>
                    </w:rPr>
                    <w:t>m</w:t>
                  </w:r>
                  <w:r>
                    <w:rPr>
                      <w:rFonts w:hint="eastAsia" w:ascii="Times New Roman" w:hAnsi="Times New Roman"/>
                      <w:color w:val="auto"/>
                      <w:highlight w:val="none"/>
                      <w:vertAlign w:val="superscript"/>
                      <w:lang w:val="en-US" w:eastAsia="zh-CN"/>
                    </w:rPr>
                    <w:t>3</w:t>
                  </w:r>
                </w:p>
              </w:tc>
              <w:tc>
                <w:tcPr>
                  <w:tcW w:w="530" w:type="pct"/>
                  <w:tcBorders>
                    <w:tl2br w:val="nil"/>
                    <w:tr2bl w:val="nil"/>
                  </w:tcBorders>
                  <w:vAlign w:val="center"/>
                </w:tcPr>
                <w:p w14:paraId="107FD846">
                  <w:pPr>
                    <w:pStyle w:val="226"/>
                    <w:tabs>
                      <w:tab w:val="left" w:pos="0"/>
                    </w:tabs>
                    <w:rPr>
                      <w:rFonts w:hint="default" w:ascii="Times New Roman" w:hAnsi="Times New Roman"/>
                      <w:color w:val="auto"/>
                      <w:highlight w:val="none"/>
                    </w:rPr>
                  </w:pPr>
                  <w:r>
                    <w:rPr>
                      <w:rFonts w:hint="eastAsia" w:ascii="Times New Roman" w:hAnsi="Times New Roman"/>
                      <w:color w:val="auto"/>
                      <w:highlight w:val="none"/>
                      <w:lang w:val="en-US" w:eastAsia="zh-CN"/>
                    </w:rPr>
                    <w:t>6.7</w:t>
                  </w:r>
                  <w:r>
                    <w:rPr>
                      <w:rFonts w:hint="default" w:ascii="Times New Roman" w:hAnsi="Times New Roman"/>
                      <w:color w:val="auto"/>
                      <w:highlight w:val="none"/>
                    </w:rPr>
                    <w:t>%</w:t>
                  </w:r>
                </w:p>
              </w:tc>
              <w:tc>
                <w:tcPr>
                  <w:tcW w:w="662" w:type="pct"/>
                  <w:tcBorders>
                    <w:tl2br w:val="nil"/>
                    <w:tr2bl w:val="nil"/>
                  </w:tcBorders>
                  <w:vAlign w:val="center"/>
                </w:tcPr>
                <w:p w14:paraId="19CACECC">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达标</w:t>
                  </w:r>
                </w:p>
              </w:tc>
            </w:tr>
            <w:tr w14:paraId="37B61B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2" w:type="pct"/>
                  <w:tcBorders>
                    <w:tl2br w:val="nil"/>
                    <w:tr2bl w:val="nil"/>
                  </w:tcBorders>
                  <w:vAlign w:val="center"/>
                </w:tcPr>
                <w:p w14:paraId="73B707CA">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NO</w:t>
                  </w:r>
                  <w:r>
                    <w:rPr>
                      <w:rFonts w:hint="default" w:ascii="Times New Roman" w:hAnsi="Times New Roman"/>
                      <w:color w:val="auto"/>
                      <w:highlight w:val="none"/>
                      <w:vertAlign w:val="subscript"/>
                    </w:rPr>
                    <w:t>2</w:t>
                  </w:r>
                </w:p>
              </w:tc>
              <w:tc>
                <w:tcPr>
                  <w:tcW w:w="1817" w:type="pct"/>
                  <w:tcBorders>
                    <w:tl2br w:val="nil"/>
                    <w:tr2bl w:val="nil"/>
                  </w:tcBorders>
                  <w:vAlign w:val="center"/>
                </w:tcPr>
                <w:p w14:paraId="5972E880">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年平均浓度</w:t>
                  </w:r>
                </w:p>
              </w:tc>
              <w:tc>
                <w:tcPr>
                  <w:tcW w:w="662" w:type="pct"/>
                  <w:tcBorders>
                    <w:tl2br w:val="nil"/>
                    <w:tr2bl w:val="nil"/>
                  </w:tcBorders>
                  <w:vAlign w:val="center"/>
                </w:tcPr>
                <w:p w14:paraId="6D44FFFB">
                  <w:pPr>
                    <w:pStyle w:val="226"/>
                    <w:tabs>
                      <w:tab w:val="left" w:pos="0"/>
                    </w:tabs>
                    <w:rPr>
                      <w:rFonts w:hint="default" w:ascii="Times New Roman" w:hAnsi="Times New Roman"/>
                      <w:color w:val="auto"/>
                      <w:highlight w:val="none"/>
                    </w:rPr>
                  </w:pPr>
                  <w:r>
                    <w:rPr>
                      <w:rFonts w:hint="eastAsia" w:ascii="Times New Roman" w:hAnsi="Times New Roman"/>
                      <w:color w:val="auto"/>
                      <w:highlight w:val="none"/>
                      <w:lang w:val="en-US" w:eastAsia="zh-CN"/>
                    </w:rPr>
                    <w:t>14</w:t>
                  </w:r>
                  <w:r>
                    <w:rPr>
                      <w:rFonts w:hint="default" w:ascii="Times New Roman" w:hAnsi="Times New Roman"/>
                      <w:color w:val="auto"/>
                      <w:highlight w:val="none"/>
                    </w:rPr>
                    <w:t>μg/</w:t>
                  </w:r>
                  <w:r>
                    <w:rPr>
                      <w:rFonts w:hint="eastAsia" w:ascii="Times New Roman" w:hAnsi="Times New Roman"/>
                      <w:color w:val="auto"/>
                      <w:highlight w:val="none"/>
                      <w:lang w:val="en-US" w:eastAsia="zh-CN"/>
                    </w:rPr>
                    <w:t>m</w:t>
                  </w:r>
                  <w:r>
                    <w:rPr>
                      <w:rFonts w:hint="eastAsia" w:ascii="Times New Roman" w:hAnsi="Times New Roman"/>
                      <w:color w:val="auto"/>
                      <w:highlight w:val="none"/>
                      <w:vertAlign w:val="superscript"/>
                      <w:lang w:val="en-US" w:eastAsia="zh-CN"/>
                    </w:rPr>
                    <w:t>3</w:t>
                  </w:r>
                </w:p>
              </w:tc>
              <w:tc>
                <w:tcPr>
                  <w:tcW w:w="662" w:type="pct"/>
                  <w:tcBorders>
                    <w:tl2br w:val="nil"/>
                    <w:tr2bl w:val="nil"/>
                  </w:tcBorders>
                  <w:vAlign w:val="center"/>
                </w:tcPr>
                <w:p w14:paraId="2C56C9C1">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40μg/</w:t>
                  </w:r>
                  <w:r>
                    <w:rPr>
                      <w:rFonts w:hint="eastAsia" w:ascii="Times New Roman" w:hAnsi="Times New Roman"/>
                      <w:color w:val="auto"/>
                      <w:highlight w:val="none"/>
                      <w:lang w:val="en-US" w:eastAsia="zh-CN"/>
                    </w:rPr>
                    <w:t>m</w:t>
                  </w:r>
                  <w:r>
                    <w:rPr>
                      <w:rFonts w:hint="eastAsia" w:ascii="Times New Roman" w:hAnsi="Times New Roman"/>
                      <w:color w:val="auto"/>
                      <w:highlight w:val="none"/>
                      <w:vertAlign w:val="superscript"/>
                      <w:lang w:val="en-US" w:eastAsia="zh-CN"/>
                    </w:rPr>
                    <w:t>3</w:t>
                  </w:r>
                </w:p>
              </w:tc>
              <w:tc>
                <w:tcPr>
                  <w:tcW w:w="530" w:type="pct"/>
                  <w:tcBorders>
                    <w:tl2br w:val="nil"/>
                    <w:tr2bl w:val="nil"/>
                  </w:tcBorders>
                  <w:vAlign w:val="center"/>
                </w:tcPr>
                <w:p w14:paraId="584B71B8">
                  <w:pPr>
                    <w:pStyle w:val="226"/>
                    <w:tabs>
                      <w:tab w:val="left" w:pos="0"/>
                    </w:tabs>
                    <w:rPr>
                      <w:rFonts w:hint="default" w:ascii="Times New Roman" w:hAnsi="Times New Roman"/>
                      <w:color w:val="auto"/>
                      <w:highlight w:val="none"/>
                    </w:rPr>
                  </w:pPr>
                  <w:r>
                    <w:rPr>
                      <w:rFonts w:hint="eastAsia" w:ascii="Times New Roman" w:hAnsi="Times New Roman"/>
                      <w:color w:val="auto"/>
                      <w:highlight w:val="none"/>
                      <w:lang w:val="en-US" w:eastAsia="zh-CN"/>
                    </w:rPr>
                    <w:t>35</w:t>
                  </w:r>
                  <w:r>
                    <w:rPr>
                      <w:rFonts w:hint="default" w:ascii="Times New Roman" w:hAnsi="Times New Roman"/>
                      <w:color w:val="auto"/>
                      <w:highlight w:val="none"/>
                    </w:rPr>
                    <w:t>%</w:t>
                  </w:r>
                </w:p>
              </w:tc>
              <w:tc>
                <w:tcPr>
                  <w:tcW w:w="662" w:type="pct"/>
                  <w:tcBorders>
                    <w:tl2br w:val="nil"/>
                    <w:tr2bl w:val="nil"/>
                  </w:tcBorders>
                  <w:vAlign w:val="center"/>
                </w:tcPr>
                <w:p w14:paraId="41B007FD">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达标</w:t>
                  </w:r>
                </w:p>
              </w:tc>
            </w:tr>
            <w:tr w14:paraId="44FAA1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2" w:type="pct"/>
                  <w:tcBorders>
                    <w:tl2br w:val="nil"/>
                    <w:tr2bl w:val="nil"/>
                  </w:tcBorders>
                  <w:vAlign w:val="center"/>
                </w:tcPr>
                <w:p w14:paraId="6B76DFEC">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PM</w:t>
                  </w:r>
                  <w:r>
                    <w:rPr>
                      <w:rFonts w:hint="default" w:ascii="Times New Roman" w:hAnsi="Times New Roman"/>
                      <w:color w:val="auto"/>
                      <w:highlight w:val="none"/>
                      <w:vertAlign w:val="subscript"/>
                    </w:rPr>
                    <w:t>10</w:t>
                  </w:r>
                </w:p>
              </w:tc>
              <w:tc>
                <w:tcPr>
                  <w:tcW w:w="1817" w:type="pct"/>
                  <w:tcBorders>
                    <w:tl2br w:val="nil"/>
                    <w:tr2bl w:val="nil"/>
                  </w:tcBorders>
                  <w:vAlign w:val="center"/>
                </w:tcPr>
                <w:p w14:paraId="5225DB0E">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年平均浓度</w:t>
                  </w:r>
                </w:p>
              </w:tc>
              <w:tc>
                <w:tcPr>
                  <w:tcW w:w="662" w:type="pct"/>
                  <w:tcBorders>
                    <w:tl2br w:val="nil"/>
                    <w:tr2bl w:val="nil"/>
                  </w:tcBorders>
                  <w:vAlign w:val="center"/>
                </w:tcPr>
                <w:p w14:paraId="5146FC4A">
                  <w:pPr>
                    <w:pStyle w:val="226"/>
                    <w:tabs>
                      <w:tab w:val="left" w:pos="0"/>
                    </w:tabs>
                    <w:rPr>
                      <w:rFonts w:hint="default" w:ascii="Times New Roman" w:hAnsi="Times New Roman"/>
                      <w:color w:val="auto"/>
                      <w:highlight w:val="none"/>
                    </w:rPr>
                  </w:pPr>
                  <w:r>
                    <w:rPr>
                      <w:rFonts w:hint="eastAsia" w:ascii="Times New Roman" w:hAnsi="Times New Roman"/>
                      <w:color w:val="auto"/>
                      <w:highlight w:val="none"/>
                      <w:lang w:val="en-US" w:eastAsia="zh-CN"/>
                    </w:rPr>
                    <w:t>31</w:t>
                  </w:r>
                  <w:r>
                    <w:rPr>
                      <w:rFonts w:hint="default" w:ascii="Times New Roman" w:hAnsi="Times New Roman"/>
                      <w:color w:val="auto"/>
                      <w:highlight w:val="none"/>
                    </w:rPr>
                    <w:t>μg/</w:t>
                  </w:r>
                  <w:r>
                    <w:rPr>
                      <w:rFonts w:hint="eastAsia" w:ascii="Times New Roman" w:hAnsi="Times New Roman"/>
                      <w:color w:val="auto"/>
                      <w:highlight w:val="none"/>
                      <w:lang w:val="en-US" w:eastAsia="zh-CN"/>
                    </w:rPr>
                    <w:t>m</w:t>
                  </w:r>
                  <w:r>
                    <w:rPr>
                      <w:rFonts w:hint="eastAsia" w:ascii="Times New Roman" w:hAnsi="Times New Roman"/>
                      <w:color w:val="auto"/>
                      <w:highlight w:val="none"/>
                      <w:vertAlign w:val="superscript"/>
                      <w:lang w:val="en-US" w:eastAsia="zh-CN"/>
                    </w:rPr>
                    <w:t>3</w:t>
                  </w:r>
                </w:p>
              </w:tc>
              <w:tc>
                <w:tcPr>
                  <w:tcW w:w="662" w:type="pct"/>
                  <w:tcBorders>
                    <w:tl2br w:val="nil"/>
                    <w:tr2bl w:val="nil"/>
                  </w:tcBorders>
                  <w:vAlign w:val="center"/>
                </w:tcPr>
                <w:p w14:paraId="303ED1A7">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70μg/</w:t>
                  </w:r>
                  <w:r>
                    <w:rPr>
                      <w:rFonts w:hint="eastAsia" w:ascii="Times New Roman" w:hAnsi="Times New Roman"/>
                      <w:color w:val="auto"/>
                      <w:highlight w:val="none"/>
                      <w:lang w:val="en-US" w:eastAsia="zh-CN"/>
                    </w:rPr>
                    <w:t>m</w:t>
                  </w:r>
                  <w:r>
                    <w:rPr>
                      <w:rFonts w:hint="eastAsia" w:ascii="Times New Roman" w:hAnsi="Times New Roman"/>
                      <w:color w:val="auto"/>
                      <w:highlight w:val="none"/>
                      <w:vertAlign w:val="superscript"/>
                      <w:lang w:val="en-US" w:eastAsia="zh-CN"/>
                    </w:rPr>
                    <w:t>3</w:t>
                  </w:r>
                </w:p>
              </w:tc>
              <w:tc>
                <w:tcPr>
                  <w:tcW w:w="530" w:type="pct"/>
                  <w:tcBorders>
                    <w:tl2br w:val="nil"/>
                    <w:tr2bl w:val="nil"/>
                  </w:tcBorders>
                  <w:vAlign w:val="center"/>
                </w:tcPr>
                <w:p w14:paraId="7AC60532">
                  <w:pPr>
                    <w:pStyle w:val="226"/>
                    <w:tabs>
                      <w:tab w:val="left" w:pos="0"/>
                    </w:tabs>
                    <w:rPr>
                      <w:rFonts w:hint="default" w:ascii="Times New Roman" w:hAnsi="Times New Roman"/>
                      <w:color w:val="auto"/>
                      <w:highlight w:val="none"/>
                    </w:rPr>
                  </w:pPr>
                  <w:r>
                    <w:rPr>
                      <w:rFonts w:hint="eastAsia" w:ascii="Times New Roman" w:hAnsi="Times New Roman"/>
                      <w:color w:val="auto"/>
                      <w:highlight w:val="none"/>
                      <w:lang w:val="en-US" w:eastAsia="zh-CN"/>
                    </w:rPr>
                    <w:t>44.3</w:t>
                  </w:r>
                  <w:r>
                    <w:rPr>
                      <w:rFonts w:hint="default" w:ascii="Times New Roman" w:hAnsi="Times New Roman"/>
                      <w:color w:val="auto"/>
                      <w:highlight w:val="none"/>
                    </w:rPr>
                    <w:t>%</w:t>
                  </w:r>
                </w:p>
              </w:tc>
              <w:tc>
                <w:tcPr>
                  <w:tcW w:w="662" w:type="pct"/>
                  <w:tcBorders>
                    <w:tl2br w:val="nil"/>
                    <w:tr2bl w:val="nil"/>
                  </w:tcBorders>
                  <w:vAlign w:val="center"/>
                </w:tcPr>
                <w:p w14:paraId="603B2F42">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达标</w:t>
                  </w:r>
                </w:p>
              </w:tc>
            </w:tr>
            <w:tr w14:paraId="2F91AE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2" w:type="pct"/>
                  <w:tcBorders>
                    <w:tl2br w:val="nil"/>
                    <w:tr2bl w:val="nil"/>
                  </w:tcBorders>
                  <w:vAlign w:val="center"/>
                </w:tcPr>
                <w:p w14:paraId="2E2FC347">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PM</w:t>
                  </w:r>
                  <w:r>
                    <w:rPr>
                      <w:rFonts w:hint="default" w:ascii="Times New Roman" w:hAnsi="Times New Roman"/>
                      <w:color w:val="auto"/>
                      <w:highlight w:val="none"/>
                      <w:vertAlign w:val="subscript"/>
                    </w:rPr>
                    <w:t>2.5</w:t>
                  </w:r>
                </w:p>
              </w:tc>
              <w:tc>
                <w:tcPr>
                  <w:tcW w:w="1817" w:type="pct"/>
                  <w:tcBorders>
                    <w:tl2br w:val="nil"/>
                    <w:tr2bl w:val="nil"/>
                  </w:tcBorders>
                  <w:vAlign w:val="center"/>
                </w:tcPr>
                <w:p w14:paraId="6C341282">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年平均浓度</w:t>
                  </w:r>
                </w:p>
              </w:tc>
              <w:tc>
                <w:tcPr>
                  <w:tcW w:w="662" w:type="pct"/>
                  <w:tcBorders>
                    <w:tl2br w:val="nil"/>
                    <w:tr2bl w:val="nil"/>
                  </w:tcBorders>
                  <w:vAlign w:val="center"/>
                </w:tcPr>
                <w:p w14:paraId="48B410F3">
                  <w:pPr>
                    <w:pStyle w:val="226"/>
                    <w:tabs>
                      <w:tab w:val="left" w:pos="0"/>
                    </w:tabs>
                    <w:rPr>
                      <w:rFonts w:hint="default" w:ascii="Times New Roman" w:hAnsi="Times New Roman"/>
                      <w:color w:val="auto"/>
                      <w:highlight w:val="none"/>
                    </w:rPr>
                  </w:pPr>
                  <w:r>
                    <w:rPr>
                      <w:rFonts w:hint="eastAsia" w:ascii="Times New Roman" w:hAnsi="Times New Roman"/>
                      <w:color w:val="auto"/>
                      <w:highlight w:val="none"/>
                      <w:lang w:val="en-US" w:eastAsia="zh-CN"/>
                    </w:rPr>
                    <w:t>19</w:t>
                  </w:r>
                  <w:r>
                    <w:rPr>
                      <w:rFonts w:hint="default" w:ascii="Times New Roman" w:hAnsi="Times New Roman"/>
                      <w:color w:val="auto"/>
                      <w:highlight w:val="none"/>
                    </w:rPr>
                    <w:t>μg/</w:t>
                  </w:r>
                  <w:r>
                    <w:rPr>
                      <w:rFonts w:hint="eastAsia" w:ascii="Times New Roman" w:hAnsi="Times New Roman"/>
                      <w:color w:val="auto"/>
                      <w:highlight w:val="none"/>
                      <w:lang w:val="en-US" w:eastAsia="zh-CN"/>
                    </w:rPr>
                    <w:t>m</w:t>
                  </w:r>
                  <w:r>
                    <w:rPr>
                      <w:rFonts w:hint="eastAsia" w:ascii="Times New Roman" w:hAnsi="Times New Roman"/>
                      <w:color w:val="auto"/>
                      <w:highlight w:val="none"/>
                      <w:vertAlign w:val="superscript"/>
                      <w:lang w:val="en-US" w:eastAsia="zh-CN"/>
                    </w:rPr>
                    <w:t>3</w:t>
                  </w:r>
                </w:p>
              </w:tc>
              <w:tc>
                <w:tcPr>
                  <w:tcW w:w="662" w:type="pct"/>
                  <w:tcBorders>
                    <w:tl2br w:val="nil"/>
                    <w:tr2bl w:val="nil"/>
                  </w:tcBorders>
                  <w:vAlign w:val="center"/>
                </w:tcPr>
                <w:p w14:paraId="58D50F2F">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35μg/</w:t>
                  </w:r>
                  <w:r>
                    <w:rPr>
                      <w:rFonts w:hint="eastAsia" w:ascii="Times New Roman" w:hAnsi="Times New Roman"/>
                      <w:color w:val="auto"/>
                      <w:highlight w:val="none"/>
                      <w:lang w:val="en-US" w:eastAsia="zh-CN"/>
                    </w:rPr>
                    <w:t>m</w:t>
                  </w:r>
                  <w:r>
                    <w:rPr>
                      <w:rFonts w:hint="eastAsia" w:ascii="Times New Roman" w:hAnsi="Times New Roman"/>
                      <w:color w:val="auto"/>
                      <w:highlight w:val="none"/>
                      <w:vertAlign w:val="superscript"/>
                      <w:lang w:val="en-US" w:eastAsia="zh-CN"/>
                    </w:rPr>
                    <w:t>3</w:t>
                  </w:r>
                </w:p>
              </w:tc>
              <w:tc>
                <w:tcPr>
                  <w:tcW w:w="530" w:type="pct"/>
                  <w:tcBorders>
                    <w:tl2br w:val="nil"/>
                    <w:tr2bl w:val="nil"/>
                  </w:tcBorders>
                  <w:vAlign w:val="center"/>
                </w:tcPr>
                <w:p w14:paraId="4D77345D">
                  <w:pPr>
                    <w:pStyle w:val="226"/>
                    <w:tabs>
                      <w:tab w:val="left" w:pos="0"/>
                    </w:tabs>
                    <w:rPr>
                      <w:rFonts w:hint="default" w:ascii="Times New Roman" w:hAnsi="Times New Roman"/>
                      <w:color w:val="auto"/>
                      <w:highlight w:val="none"/>
                    </w:rPr>
                  </w:pPr>
                  <w:r>
                    <w:rPr>
                      <w:rFonts w:hint="eastAsia" w:ascii="Times New Roman" w:hAnsi="Times New Roman"/>
                      <w:color w:val="auto"/>
                      <w:highlight w:val="none"/>
                      <w:lang w:val="en-US" w:eastAsia="zh-CN"/>
                    </w:rPr>
                    <w:t>54.3</w:t>
                  </w:r>
                  <w:r>
                    <w:rPr>
                      <w:rFonts w:hint="default" w:ascii="Times New Roman" w:hAnsi="Times New Roman"/>
                      <w:color w:val="auto"/>
                      <w:highlight w:val="none"/>
                    </w:rPr>
                    <w:t>%</w:t>
                  </w:r>
                </w:p>
              </w:tc>
              <w:tc>
                <w:tcPr>
                  <w:tcW w:w="662" w:type="pct"/>
                  <w:tcBorders>
                    <w:tl2br w:val="nil"/>
                    <w:tr2bl w:val="nil"/>
                  </w:tcBorders>
                  <w:vAlign w:val="center"/>
                </w:tcPr>
                <w:p w14:paraId="7E19756B">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达标</w:t>
                  </w:r>
                </w:p>
              </w:tc>
            </w:tr>
            <w:tr w14:paraId="189571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2" w:type="pct"/>
                  <w:tcBorders>
                    <w:tl2br w:val="nil"/>
                    <w:tr2bl w:val="nil"/>
                  </w:tcBorders>
                  <w:vAlign w:val="center"/>
                </w:tcPr>
                <w:p w14:paraId="4F786D8E">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CO</w:t>
                  </w:r>
                </w:p>
              </w:tc>
              <w:tc>
                <w:tcPr>
                  <w:tcW w:w="1817" w:type="pct"/>
                  <w:tcBorders>
                    <w:tl2br w:val="nil"/>
                    <w:tr2bl w:val="nil"/>
                  </w:tcBorders>
                  <w:vAlign w:val="center"/>
                </w:tcPr>
                <w:p w14:paraId="051887F6">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95百分位上日平均质量浓度</w:t>
                  </w:r>
                </w:p>
              </w:tc>
              <w:tc>
                <w:tcPr>
                  <w:tcW w:w="662" w:type="pct"/>
                  <w:tcBorders>
                    <w:tl2br w:val="nil"/>
                    <w:tr2bl w:val="nil"/>
                  </w:tcBorders>
                  <w:vAlign w:val="center"/>
                </w:tcPr>
                <w:p w14:paraId="47CA35D7">
                  <w:pPr>
                    <w:pStyle w:val="226"/>
                    <w:tabs>
                      <w:tab w:val="left" w:pos="0"/>
                    </w:tabs>
                    <w:rPr>
                      <w:rFonts w:hint="default" w:ascii="Times New Roman" w:hAnsi="Times New Roman"/>
                      <w:color w:val="auto"/>
                      <w:highlight w:val="none"/>
                    </w:rPr>
                  </w:pPr>
                  <w:r>
                    <w:rPr>
                      <w:rFonts w:hint="eastAsia" w:ascii="Times New Roman" w:hAnsi="Times New Roman"/>
                      <w:color w:val="auto"/>
                      <w:highlight w:val="none"/>
                      <w:lang w:val="en-US" w:eastAsia="zh-CN"/>
                    </w:rPr>
                    <w:t>0.8</w:t>
                  </w:r>
                  <w:r>
                    <w:rPr>
                      <w:rFonts w:hint="default" w:ascii="Times New Roman" w:hAnsi="Times New Roman"/>
                      <w:color w:val="auto"/>
                      <w:highlight w:val="none"/>
                    </w:rPr>
                    <w:t>mg/</w:t>
                  </w:r>
                  <w:r>
                    <w:rPr>
                      <w:rFonts w:hint="eastAsia" w:ascii="Times New Roman" w:hAnsi="Times New Roman"/>
                      <w:color w:val="auto"/>
                      <w:highlight w:val="none"/>
                      <w:lang w:val="en-US" w:eastAsia="zh-CN"/>
                    </w:rPr>
                    <w:t>m</w:t>
                  </w:r>
                  <w:r>
                    <w:rPr>
                      <w:rFonts w:hint="eastAsia" w:ascii="Times New Roman" w:hAnsi="Times New Roman"/>
                      <w:color w:val="auto"/>
                      <w:highlight w:val="none"/>
                      <w:vertAlign w:val="superscript"/>
                      <w:lang w:val="en-US" w:eastAsia="zh-CN"/>
                    </w:rPr>
                    <w:t>3</w:t>
                  </w:r>
                </w:p>
              </w:tc>
              <w:tc>
                <w:tcPr>
                  <w:tcW w:w="662" w:type="pct"/>
                  <w:tcBorders>
                    <w:tl2br w:val="nil"/>
                    <w:tr2bl w:val="nil"/>
                  </w:tcBorders>
                  <w:vAlign w:val="center"/>
                </w:tcPr>
                <w:p w14:paraId="73A23760">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4mg/</w:t>
                  </w:r>
                  <w:r>
                    <w:rPr>
                      <w:rFonts w:hint="eastAsia" w:ascii="Times New Roman" w:hAnsi="Times New Roman"/>
                      <w:color w:val="auto"/>
                      <w:highlight w:val="none"/>
                      <w:lang w:val="en-US" w:eastAsia="zh-CN"/>
                    </w:rPr>
                    <w:t>m</w:t>
                  </w:r>
                  <w:r>
                    <w:rPr>
                      <w:rFonts w:hint="eastAsia" w:ascii="Times New Roman" w:hAnsi="Times New Roman"/>
                      <w:color w:val="auto"/>
                      <w:highlight w:val="none"/>
                      <w:vertAlign w:val="superscript"/>
                      <w:lang w:val="en-US" w:eastAsia="zh-CN"/>
                    </w:rPr>
                    <w:t>3</w:t>
                  </w:r>
                </w:p>
              </w:tc>
              <w:tc>
                <w:tcPr>
                  <w:tcW w:w="530" w:type="pct"/>
                  <w:tcBorders>
                    <w:tl2br w:val="nil"/>
                    <w:tr2bl w:val="nil"/>
                  </w:tcBorders>
                  <w:vAlign w:val="center"/>
                </w:tcPr>
                <w:p w14:paraId="0AEB6BE9">
                  <w:pPr>
                    <w:pStyle w:val="226"/>
                    <w:tabs>
                      <w:tab w:val="left" w:pos="0"/>
                    </w:tabs>
                    <w:rPr>
                      <w:rFonts w:hint="default" w:ascii="Times New Roman" w:hAnsi="Times New Roman"/>
                      <w:color w:val="auto"/>
                      <w:highlight w:val="none"/>
                    </w:rPr>
                  </w:pPr>
                  <w:r>
                    <w:rPr>
                      <w:rFonts w:hint="eastAsia" w:ascii="Times New Roman" w:hAnsi="Times New Roman"/>
                      <w:color w:val="auto"/>
                      <w:highlight w:val="none"/>
                      <w:lang w:val="en-US" w:eastAsia="zh-CN"/>
                    </w:rPr>
                    <w:t>16</w:t>
                  </w:r>
                  <w:r>
                    <w:rPr>
                      <w:rFonts w:hint="default" w:ascii="Times New Roman" w:hAnsi="Times New Roman"/>
                      <w:color w:val="auto"/>
                      <w:highlight w:val="none"/>
                    </w:rPr>
                    <w:t>%</w:t>
                  </w:r>
                </w:p>
              </w:tc>
              <w:tc>
                <w:tcPr>
                  <w:tcW w:w="662" w:type="pct"/>
                  <w:tcBorders>
                    <w:tl2br w:val="nil"/>
                    <w:tr2bl w:val="nil"/>
                  </w:tcBorders>
                  <w:vAlign w:val="center"/>
                </w:tcPr>
                <w:p w14:paraId="4E6C60B5">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达标</w:t>
                  </w:r>
                </w:p>
              </w:tc>
            </w:tr>
            <w:tr w14:paraId="744BF8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2" w:type="pct"/>
                  <w:tcBorders>
                    <w:tl2br w:val="nil"/>
                    <w:tr2bl w:val="nil"/>
                  </w:tcBorders>
                  <w:vAlign w:val="center"/>
                </w:tcPr>
                <w:p w14:paraId="4E26717F">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O</w:t>
                  </w:r>
                  <w:r>
                    <w:rPr>
                      <w:rFonts w:hint="default" w:ascii="Times New Roman" w:hAnsi="Times New Roman"/>
                      <w:color w:val="auto"/>
                      <w:highlight w:val="none"/>
                      <w:vertAlign w:val="subscript"/>
                    </w:rPr>
                    <w:t>3</w:t>
                  </w:r>
                </w:p>
              </w:tc>
              <w:tc>
                <w:tcPr>
                  <w:tcW w:w="1817" w:type="pct"/>
                  <w:tcBorders>
                    <w:tl2br w:val="nil"/>
                    <w:tr2bl w:val="nil"/>
                  </w:tcBorders>
                  <w:vAlign w:val="center"/>
                </w:tcPr>
                <w:p w14:paraId="29713DEC">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90百分位上8h平均质量浓度</w:t>
                  </w:r>
                </w:p>
              </w:tc>
              <w:tc>
                <w:tcPr>
                  <w:tcW w:w="662" w:type="pct"/>
                  <w:tcBorders>
                    <w:tl2br w:val="nil"/>
                    <w:tr2bl w:val="nil"/>
                  </w:tcBorders>
                  <w:vAlign w:val="center"/>
                </w:tcPr>
                <w:p w14:paraId="3CF6D624">
                  <w:pPr>
                    <w:pStyle w:val="226"/>
                    <w:tabs>
                      <w:tab w:val="left" w:pos="0"/>
                    </w:tabs>
                    <w:rPr>
                      <w:rFonts w:hint="default" w:ascii="Times New Roman" w:hAnsi="Times New Roman"/>
                      <w:color w:val="auto"/>
                      <w:highlight w:val="none"/>
                    </w:rPr>
                  </w:pPr>
                  <w:r>
                    <w:rPr>
                      <w:rFonts w:hint="eastAsia" w:ascii="Times New Roman" w:hAnsi="Times New Roman"/>
                      <w:color w:val="auto"/>
                      <w:highlight w:val="none"/>
                      <w:lang w:val="en-US" w:eastAsia="zh-CN"/>
                    </w:rPr>
                    <w:t>137</w:t>
                  </w:r>
                  <w:r>
                    <w:rPr>
                      <w:rFonts w:hint="default" w:ascii="Times New Roman" w:hAnsi="Times New Roman"/>
                      <w:color w:val="auto"/>
                      <w:highlight w:val="none"/>
                    </w:rPr>
                    <w:t>μg/</w:t>
                  </w:r>
                  <w:r>
                    <w:rPr>
                      <w:rFonts w:hint="eastAsia" w:ascii="Times New Roman" w:hAnsi="Times New Roman"/>
                      <w:color w:val="auto"/>
                      <w:highlight w:val="none"/>
                      <w:lang w:val="en-US" w:eastAsia="zh-CN"/>
                    </w:rPr>
                    <w:t>m</w:t>
                  </w:r>
                  <w:r>
                    <w:rPr>
                      <w:rFonts w:hint="eastAsia" w:ascii="Times New Roman" w:hAnsi="Times New Roman"/>
                      <w:color w:val="auto"/>
                      <w:highlight w:val="none"/>
                      <w:vertAlign w:val="superscript"/>
                      <w:lang w:val="en-US" w:eastAsia="zh-CN"/>
                    </w:rPr>
                    <w:t>3</w:t>
                  </w:r>
                </w:p>
              </w:tc>
              <w:tc>
                <w:tcPr>
                  <w:tcW w:w="662" w:type="pct"/>
                  <w:tcBorders>
                    <w:tl2br w:val="nil"/>
                    <w:tr2bl w:val="nil"/>
                  </w:tcBorders>
                  <w:vAlign w:val="center"/>
                </w:tcPr>
                <w:p w14:paraId="3CBCDFFB">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160μg/</w:t>
                  </w:r>
                  <w:r>
                    <w:rPr>
                      <w:rFonts w:hint="eastAsia" w:ascii="Times New Roman" w:hAnsi="Times New Roman"/>
                      <w:color w:val="auto"/>
                      <w:highlight w:val="none"/>
                      <w:lang w:val="en-US" w:eastAsia="zh-CN"/>
                    </w:rPr>
                    <w:t>m</w:t>
                  </w:r>
                  <w:r>
                    <w:rPr>
                      <w:rFonts w:hint="eastAsia" w:ascii="Times New Roman" w:hAnsi="Times New Roman"/>
                      <w:color w:val="auto"/>
                      <w:highlight w:val="none"/>
                      <w:vertAlign w:val="superscript"/>
                      <w:lang w:val="en-US" w:eastAsia="zh-CN"/>
                    </w:rPr>
                    <w:t>3</w:t>
                  </w:r>
                </w:p>
              </w:tc>
              <w:tc>
                <w:tcPr>
                  <w:tcW w:w="530" w:type="pct"/>
                  <w:tcBorders>
                    <w:tl2br w:val="nil"/>
                    <w:tr2bl w:val="nil"/>
                  </w:tcBorders>
                  <w:vAlign w:val="center"/>
                </w:tcPr>
                <w:p w14:paraId="5D2D6A38">
                  <w:pPr>
                    <w:pStyle w:val="226"/>
                    <w:tabs>
                      <w:tab w:val="left" w:pos="0"/>
                    </w:tabs>
                    <w:rPr>
                      <w:rFonts w:hint="default" w:ascii="Times New Roman" w:hAnsi="Times New Roman"/>
                      <w:color w:val="auto"/>
                      <w:highlight w:val="none"/>
                    </w:rPr>
                  </w:pPr>
                  <w:r>
                    <w:rPr>
                      <w:rFonts w:hint="eastAsia" w:ascii="Times New Roman" w:hAnsi="Times New Roman"/>
                      <w:color w:val="auto"/>
                      <w:highlight w:val="none"/>
                      <w:lang w:val="en-US" w:eastAsia="zh-CN"/>
                    </w:rPr>
                    <w:t>85.6</w:t>
                  </w:r>
                  <w:r>
                    <w:rPr>
                      <w:rFonts w:hint="default" w:ascii="Times New Roman" w:hAnsi="Times New Roman"/>
                      <w:color w:val="auto"/>
                      <w:highlight w:val="none"/>
                    </w:rPr>
                    <w:t>%</w:t>
                  </w:r>
                </w:p>
              </w:tc>
              <w:tc>
                <w:tcPr>
                  <w:tcW w:w="662" w:type="pct"/>
                  <w:tcBorders>
                    <w:tl2br w:val="nil"/>
                    <w:tr2bl w:val="nil"/>
                  </w:tcBorders>
                  <w:vAlign w:val="center"/>
                </w:tcPr>
                <w:p w14:paraId="32B35142">
                  <w:pPr>
                    <w:pStyle w:val="226"/>
                    <w:tabs>
                      <w:tab w:val="left" w:pos="0"/>
                    </w:tabs>
                    <w:rPr>
                      <w:rFonts w:hint="default" w:ascii="Times New Roman" w:hAnsi="Times New Roman"/>
                      <w:color w:val="auto"/>
                      <w:highlight w:val="none"/>
                    </w:rPr>
                  </w:pPr>
                  <w:r>
                    <w:rPr>
                      <w:rFonts w:hint="default" w:ascii="Times New Roman" w:hAnsi="Times New Roman"/>
                      <w:color w:val="auto"/>
                      <w:highlight w:val="none"/>
                    </w:rPr>
                    <w:t>达标</w:t>
                  </w:r>
                </w:p>
              </w:tc>
            </w:tr>
          </w:tbl>
          <w:p w14:paraId="0EE650BF">
            <w:pPr>
              <w:pStyle w:val="229"/>
              <w:keepNext w:val="0"/>
              <w:keepLines w:val="0"/>
              <w:pageBreakBefore w:val="0"/>
              <w:widowControl w:val="0"/>
              <w:kinsoku/>
              <w:wordWrap/>
              <w:overflowPunct/>
              <w:topLinePunct w:val="0"/>
              <w:autoSpaceDE/>
              <w:autoSpaceDN/>
              <w:bidi w:val="0"/>
              <w:adjustRightInd/>
              <w:snapToGrid/>
              <w:spacing w:line="360" w:lineRule="auto"/>
              <w:ind w:left="0" w:right="0" w:firstLine="468" w:firstLineChars="200"/>
              <w:textAlignment w:val="auto"/>
              <w:outlineLvl w:val="1"/>
              <w:rPr>
                <w:rFonts w:ascii="Times New Roman" w:hAnsi="Times New Roman" w:eastAsia="宋体"/>
                <w:color w:val="auto"/>
                <w:sz w:val="24"/>
                <w:szCs w:val="24"/>
              </w:rPr>
            </w:pPr>
            <w:r>
              <w:rPr>
                <w:rFonts w:ascii="Times New Roman" w:hAnsi="Times New Roman" w:eastAsia="宋体"/>
                <w:color w:val="auto"/>
                <w:spacing w:val="-3"/>
                <w:sz w:val="24"/>
                <w:szCs w:val="24"/>
              </w:rPr>
              <w:t>（</w:t>
            </w:r>
            <w:r>
              <w:rPr>
                <w:rFonts w:ascii="Times New Roman" w:hAnsi="Times New Roman" w:eastAsia="宋体" w:cs="Times New Roman"/>
                <w:color w:val="auto"/>
                <w:spacing w:val="-3"/>
                <w:sz w:val="24"/>
                <w:szCs w:val="24"/>
              </w:rPr>
              <w:t>2</w:t>
            </w:r>
            <w:r>
              <w:rPr>
                <w:rFonts w:ascii="Times New Roman" w:hAnsi="Times New Roman" w:eastAsia="宋体"/>
                <w:color w:val="auto"/>
                <w:spacing w:val="-3"/>
                <w:sz w:val="24"/>
                <w:szCs w:val="24"/>
              </w:rPr>
              <w:t>）其他污染因子</w:t>
            </w:r>
          </w:p>
          <w:p w14:paraId="7E905336">
            <w:pPr>
              <w:pStyle w:val="229"/>
              <w:keepNext w:val="0"/>
              <w:keepLines w:val="0"/>
              <w:pageBreakBefore w:val="0"/>
              <w:widowControl w:val="0"/>
              <w:kinsoku/>
              <w:wordWrap/>
              <w:overflowPunct/>
              <w:topLinePunct w:val="0"/>
              <w:autoSpaceDE/>
              <w:autoSpaceDN/>
              <w:bidi w:val="0"/>
              <w:adjustRightInd/>
              <w:snapToGrid/>
              <w:spacing w:line="360" w:lineRule="auto"/>
              <w:ind w:left="0" w:right="0" w:firstLine="484" w:firstLineChars="200"/>
              <w:jc w:val="both"/>
              <w:textAlignment w:val="auto"/>
              <w:rPr>
                <w:rFonts w:hint="default" w:ascii="Times New Roman" w:hAnsi="Times New Roman" w:eastAsia="宋体" w:cs="Times New Roman"/>
                <w:b/>
                <w:bCs/>
                <w:color w:val="auto"/>
                <w:kern w:val="2"/>
                <w:sz w:val="28"/>
                <w:szCs w:val="28"/>
                <w:lang w:val="en-US" w:eastAsia="zh-CN" w:bidi="ar-SA"/>
              </w:rPr>
            </w:pPr>
            <w:r>
              <w:rPr>
                <w:rFonts w:ascii="Times New Roman" w:hAnsi="Times New Roman"/>
                <w:color w:val="auto"/>
                <w:spacing w:val="1"/>
                <w:sz w:val="24"/>
                <w:szCs w:val="24"/>
              </w:rPr>
              <w:t>根据环境影响评价网</w:t>
            </w:r>
            <w:r>
              <w:rPr>
                <w:rFonts w:ascii="Times New Roman" w:hAnsi="Times New Roman" w:eastAsia="Times New Roman" w:cs="Times New Roman"/>
                <w:color w:val="auto"/>
                <w:spacing w:val="1"/>
                <w:sz w:val="24"/>
                <w:szCs w:val="24"/>
              </w:rPr>
              <w:t>(</w:t>
            </w:r>
            <w:r>
              <w:rPr>
                <w:rFonts w:ascii="Times New Roman" w:hAnsi="Times New Roman"/>
                <w:color w:val="auto"/>
                <w:spacing w:val="1"/>
                <w:sz w:val="24"/>
                <w:szCs w:val="24"/>
              </w:rPr>
              <w:t>生态环境部环境工程评估中心</w:t>
            </w:r>
            <w:r>
              <w:rPr>
                <w:rFonts w:ascii="Times New Roman" w:hAnsi="Times New Roman" w:eastAsia="Times New Roman" w:cs="Times New Roman"/>
                <w:color w:val="auto"/>
                <w:spacing w:val="1"/>
                <w:sz w:val="24"/>
                <w:szCs w:val="24"/>
              </w:rPr>
              <w:t>)</w:t>
            </w:r>
            <w:r>
              <w:rPr>
                <w:rFonts w:ascii="Times New Roman" w:hAnsi="Times New Roman"/>
                <w:color w:val="auto"/>
                <w:spacing w:val="1"/>
                <w:sz w:val="24"/>
                <w:szCs w:val="24"/>
              </w:rPr>
              <w:t>关于《建设项目环境影</w:t>
            </w:r>
            <w:r>
              <w:rPr>
                <w:rFonts w:ascii="Times New Roman" w:hAnsi="Times New Roman"/>
                <w:color w:val="auto"/>
                <w:spacing w:val="-1"/>
                <w:sz w:val="24"/>
                <w:szCs w:val="24"/>
              </w:rPr>
              <w:t>响报告表》内容、格式及编制技术指南常见问题解答：</w:t>
            </w:r>
            <w:r>
              <w:rPr>
                <w:rFonts w:ascii="Times New Roman" w:hAnsi="Times New Roman" w:eastAsia="Times New Roman" w:cs="Times New Roman"/>
                <w:color w:val="auto"/>
                <w:spacing w:val="-1"/>
                <w:sz w:val="24"/>
                <w:szCs w:val="24"/>
              </w:rPr>
              <w:t>“</w:t>
            </w:r>
            <w:r>
              <w:rPr>
                <w:rFonts w:ascii="Times New Roman" w:hAnsi="Times New Roman"/>
                <w:color w:val="auto"/>
                <w:spacing w:val="-1"/>
                <w:sz w:val="24"/>
                <w:szCs w:val="24"/>
              </w:rPr>
              <w:t>技术指南中提到</w:t>
            </w:r>
            <w:r>
              <w:rPr>
                <w:rFonts w:ascii="Times New Roman" w:hAnsi="Times New Roman" w:eastAsia="Times New Roman" w:cs="Times New Roman"/>
                <w:color w:val="auto"/>
                <w:spacing w:val="-1"/>
                <w:sz w:val="24"/>
                <w:szCs w:val="24"/>
              </w:rPr>
              <w:t>“</w:t>
            </w:r>
            <w:r>
              <w:rPr>
                <w:rFonts w:ascii="Times New Roman" w:hAnsi="Times New Roman"/>
                <w:color w:val="auto"/>
                <w:spacing w:val="-1"/>
                <w:sz w:val="24"/>
                <w:szCs w:val="24"/>
              </w:rPr>
              <w:t>排放国</w:t>
            </w:r>
            <w:r>
              <w:rPr>
                <w:rFonts w:ascii="Times New Roman" w:hAnsi="Times New Roman"/>
                <w:color w:val="auto"/>
                <w:spacing w:val="2"/>
                <w:sz w:val="24"/>
                <w:szCs w:val="24"/>
              </w:rPr>
              <w:t>家、地方环境空气质量标准中有标准限值要求的特征</w:t>
            </w:r>
            <w:r>
              <w:rPr>
                <w:rFonts w:ascii="Times New Roman" w:hAnsi="Times New Roman"/>
                <w:color w:val="auto"/>
                <w:spacing w:val="1"/>
                <w:sz w:val="24"/>
                <w:szCs w:val="24"/>
              </w:rPr>
              <w:t>污染物</w:t>
            </w:r>
            <w:r>
              <w:rPr>
                <w:rFonts w:ascii="Times New Roman" w:hAnsi="Times New Roman" w:eastAsia="Times New Roman" w:cs="Times New Roman"/>
                <w:color w:val="auto"/>
                <w:spacing w:val="1"/>
                <w:sz w:val="24"/>
                <w:szCs w:val="24"/>
              </w:rPr>
              <w:t>”</w:t>
            </w:r>
            <w:r>
              <w:rPr>
                <w:rFonts w:ascii="Times New Roman" w:hAnsi="Times New Roman"/>
                <w:color w:val="auto"/>
                <w:spacing w:val="1"/>
                <w:sz w:val="24"/>
                <w:szCs w:val="24"/>
              </w:rPr>
              <w:t>，其中环境空气质</w:t>
            </w:r>
            <w:r>
              <w:rPr>
                <w:rFonts w:ascii="Times New Roman" w:hAnsi="Times New Roman"/>
                <w:color w:val="auto"/>
                <w:spacing w:val="-7"/>
                <w:sz w:val="24"/>
                <w:szCs w:val="24"/>
              </w:rPr>
              <w:t>量标准指《环境空气质量标准》</w:t>
            </w:r>
            <w:r>
              <w:rPr>
                <w:rFonts w:ascii="Times New Roman" w:hAnsi="Times New Roman" w:eastAsia="Times New Roman" w:cs="Times New Roman"/>
                <w:color w:val="auto"/>
                <w:spacing w:val="-7"/>
                <w:sz w:val="24"/>
                <w:szCs w:val="24"/>
              </w:rPr>
              <w:t>(GB3095)</w:t>
            </w:r>
            <w:r>
              <w:rPr>
                <w:rFonts w:ascii="Times New Roman" w:hAnsi="Times New Roman"/>
                <w:color w:val="auto"/>
                <w:spacing w:val="-8"/>
                <w:sz w:val="24"/>
                <w:szCs w:val="24"/>
              </w:rPr>
              <w:t>和地方的环境空气质量标准，不包括《环</w:t>
            </w:r>
            <w:r>
              <w:rPr>
                <w:rFonts w:ascii="Times New Roman" w:hAnsi="Times New Roman"/>
                <w:color w:val="auto"/>
                <w:spacing w:val="-5"/>
                <w:sz w:val="24"/>
                <w:szCs w:val="24"/>
              </w:rPr>
              <w:t>境影响评价技术导则大气环境》</w:t>
            </w:r>
            <w:r>
              <w:rPr>
                <w:rFonts w:ascii="Times New Roman" w:hAnsi="Times New Roman" w:eastAsia="Times New Roman" w:cs="Times New Roman"/>
                <w:color w:val="auto"/>
                <w:spacing w:val="-5"/>
                <w:sz w:val="24"/>
                <w:szCs w:val="24"/>
              </w:rPr>
              <w:t>(HJ2.2-2018)</w:t>
            </w:r>
            <w:r>
              <w:rPr>
                <w:rFonts w:ascii="Times New Roman" w:hAnsi="Times New Roman"/>
                <w:color w:val="auto"/>
                <w:spacing w:val="-5"/>
                <w:sz w:val="24"/>
                <w:szCs w:val="24"/>
              </w:rPr>
              <w:t>附录</w:t>
            </w:r>
            <w:r>
              <w:rPr>
                <w:rFonts w:ascii="Times New Roman" w:hAnsi="Times New Roman" w:eastAsia="Times New Roman" w:cs="Times New Roman"/>
                <w:color w:val="auto"/>
                <w:spacing w:val="-5"/>
                <w:sz w:val="24"/>
                <w:szCs w:val="24"/>
              </w:rPr>
              <w:t>D</w:t>
            </w:r>
            <w:r>
              <w:rPr>
                <w:rFonts w:ascii="Times New Roman" w:hAnsi="Times New Roman"/>
                <w:color w:val="auto"/>
                <w:spacing w:val="-5"/>
                <w:sz w:val="24"/>
                <w:szCs w:val="24"/>
              </w:rPr>
              <w:t>、《工业企</w:t>
            </w:r>
            <w:r>
              <w:rPr>
                <w:rFonts w:ascii="Times New Roman" w:hAnsi="Times New Roman"/>
                <w:color w:val="auto"/>
                <w:spacing w:val="-6"/>
                <w:sz w:val="24"/>
                <w:szCs w:val="24"/>
              </w:rPr>
              <w:t>业设计卫生标准》</w:t>
            </w:r>
            <w:r>
              <w:rPr>
                <w:rFonts w:ascii="Times New Roman" w:hAnsi="Times New Roman" w:eastAsia="Times New Roman" w:cs="Times New Roman"/>
                <w:color w:val="auto"/>
                <w:spacing w:val="-4"/>
                <w:sz w:val="24"/>
                <w:szCs w:val="24"/>
              </w:rPr>
              <w:t>(TJ36-97)</w:t>
            </w:r>
            <w:r>
              <w:rPr>
                <w:rFonts w:ascii="Times New Roman" w:hAnsi="Times New Roman"/>
                <w:color w:val="auto"/>
                <w:spacing w:val="-5"/>
                <w:sz w:val="24"/>
                <w:szCs w:val="24"/>
              </w:rPr>
              <w:t>、《大气污染物综合排放标准详解》</w:t>
            </w:r>
            <w:r>
              <w:rPr>
                <w:rFonts w:ascii="Times New Roman" w:hAnsi="Times New Roman"/>
                <w:color w:val="auto"/>
                <w:spacing w:val="-1"/>
                <w:sz w:val="24"/>
                <w:szCs w:val="24"/>
              </w:rPr>
              <w:t>等导则或参考资料。排放的特征污染物需要在国家、</w:t>
            </w:r>
            <w:r>
              <w:rPr>
                <w:rFonts w:ascii="Times New Roman" w:hAnsi="Times New Roman"/>
                <w:color w:val="auto"/>
                <w:spacing w:val="-2"/>
                <w:sz w:val="24"/>
                <w:szCs w:val="24"/>
              </w:rPr>
              <w:t>地方环境空气质量标准中有</w:t>
            </w:r>
            <w:r>
              <w:rPr>
                <w:rFonts w:ascii="Times New Roman" w:hAnsi="Times New Roman"/>
                <w:color w:val="auto"/>
                <w:spacing w:val="1"/>
                <w:sz w:val="24"/>
                <w:szCs w:val="24"/>
              </w:rPr>
              <w:t>限值要求才涉及现状监测，且优先引用现有监测数据</w:t>
            </w:r>
            <w:r>
              <w:rPr>
                <w:rFonts w:ascii="Times New Roman" w:hAnsi="Times New Roman" w:eastAsia="Times New Roman" w:cs="Times New Roman"/>
                <w:color w:val="auto"/>
                <w:spacing w:val="1"/>
                <w:sz w:val="24"/>
                <w:szCs w:val="24"/>
              </w:rPr>
              <w:t>”</w:t>
            </w:r>
            <w:r>
              <w:rPr>
                <w:rFonts w:ascii="Times New Roman" w:hAnsi="Times New Roman"/>
                <w:color w:val="auto"/>
                <w:spacing w:val="1"/>
                <w:sz w:val="24"/>
                <w:szCs w:val="24"/>
              </w:rPr>
              <w:t>。本项目排放的特征污染</w:t>
            </w:r>
            <w:r>
              <w:rPr>
                <w:rFonts w:ascii="Times New Roman" w:hAnsi="Times New Roman"/>
                <w:color w:val="auto"/>
                <w:spacing w:val="-1"/>
                <w:sz w:val="24"/>
                <w:szCs w:val="24"/>
              </w:rPr>
              <w:t>因子非甲烷总烃</w:t>
            </w:r>
            <w:r>
              <w:rPr>
                <w:rFonts w:hint="eastAsia" w:ascii="Times New Roman" w:hAnsi="Times New Roman"/>
                <w:color w:val="auto"/>
                <w:spacing w:val="-1"/>
                <w:sz w:val="24"/>
                <w:szCs w:val="24"/>
                <w:lang w:eastAsia="zh-CN"/>
              </w:rPr>
              <w:t>（</w:t>
            </w:r>
            <w:r>
              <w:rPr>
                <w:rFonts w:hint="eastAsia" w:ascii="Times New Roman" w:hAnsi="Times New Roman"/>
                <w:color w:val="auto"/>
                <w:spacing w:val="-1"/>
                <w:sz w:val="24"/>
                <w:szCs w:val="24"/>
                <w:lang w:val="en-US" w:eastAsia="zh-CN"/>
              </w:rPr>
              <w:t>乙醇、乙醚、丙酮</w:t>
            </w:r>
            <w:r>
              <w:rPr>
                <w:rFonts w:hint="eastAsia" w:ascii="Times New Roman" w:hAnsi="Times New Roman"/>
                <w:color w:val="auto"/>
                <w:spacing w:val="-1"/>
                <w:sz w:val="24"/>
                <w:szCs w:val="24"/>
                <w:lang w:eastAsia="zh-CN"/>
              </w:rPr>
              <w:t>）</w:t>
            </w:r>
            <w:r>
              <w:rPr>
                <w:rFonts w:ascii="Times New Roman" w:hAnsi="Times New Roman"/>
                <w:color w:val="auto"/>
                <w:spacing w:val="-1"/>
                <w:sz w:val="24"/>
                <w:szCs w:val="24"/>
              </w:rPr>
              <w:t>不属于国家、地方环境空气质量标准</w:t>
            </w:r>
            <w:r>
              <w:rPr>
                <w:rFonts w:ascii="Times New Roman" w:hAnsi="Times New Roman"/>
                <w:color w:val="auto"/>
                <w:spacing w:val="-2"/>
                <w:sz w:val="24"/>
                <w:szCs w:val="24"/>
              </w:rPr>
              <w:t>中有标准限值要求的特征污</w:t>
            </w:r>
            <w:r>
              <w:rPr>
                <w:rFonts w:ascii="Times New Roman" w:hAnsi="Times New Roman"/>
                <w:color w:val="auto"/>
                <w:spacing w:val="-1"/>
                <w:sz w:val="24"/>
                <w:szCs w:val="24"/>
              </w:rPr>
              <w:t>染物，无需</w:t>
            </w:r>
            <w:r>
              <w:rPr>
                <w:rFonts w:hint="eastAsia" w:ascii="Times New Roman" w:hAnsi="Times New Roman"/>
                <w:color w:val="auto"/>
                <w:spacing w:val="-1"/>
                <w:sz w:val="24"/>
                <w:szCs w:val="24"/>
                <w:lang w:val="en-US" w:eastAsia="zh-CN"/>
              </w:rPr>
              <w:t>开展</w:t>
            </w:r>
            <w:r>
              <w:rPr>
                <w:rFonts w:ascii="Times New Roman" w:hAnsi="Times New Roman"/>
                <w:color w:val="auto"/>
                <w:spacing w:val="-1"/>
                <w:sz w:val="24"/>
                <w:szCs w:val="24"/>
              </w:rPr>
              <w:t>现状监测数据。</w:t>
            </w:r>
          </w:p>
          <w:p w14:paraId="08EC2F7E">
            <w:pPr>
              <w:pStyle w:val="4"/>
              <w:keepNext/>
              <w:keepLines/>
              <w:pageBreakBefore w:val="0"/>
              <w:widowControl w:val="0"/>
              <w:numPr>
                <w:ilvl w:val="2"/>
                <w:numId w:val="0"/>
              </w:numPr>
              <w:tabs>
                <w:tab w:val="left" w:pos="0"/>
                <w:tab w:val="left" w:pos="420"/>
              </w:tabs>
              <w:kinsoku/>
              <w:wordWrap/>
              <w:overflowPunct/>
              <w:topLinePunct w:val="0"/>
              <w:autoSpaceDE/>
              <w:autoSpaceDN/>
              <w:bidi w:val="0"/>
              <w:adjustRightInd/>
              <w:snapToGrid/>
              <w:spacing w:before="0" w:after="0" w:line="360" w:lineRule="auto"/>
              <w:ind w:left="0" w:leftChars="0" w:firstLine="0" w:firstLineChars="0"/>
              <w:textAlignment w:val="auto"/>
              <w:rPr>
                <w:rFonts w:hint="eastAsia" w:ascii="Times New Roman" w:hAnsi="Times New Roman" w:eastAsia="宋体" w:cs="Times New Roman"/>
                <w:b/>
                <w:bCs/>
                <w:color w:val="auto"/>
                <w:kern w:val="2"/>
                <w:sz w:val="28"/>
                <w:szCs w:val="28"/>
                <w:lang w:val="en-US" w:eastAsia="zh-CN" w:bidi="ar-SA"/>
              </w:rPr>
            </w:pPr>
            <w:r>
              <w:rPr>
                <w:rFonts w:hint="default" w:ascii="Times New Roman" w:hAnsi="Times New Roman" w:eastAsia="宋体" w:cs="Times New Roman"/>
                <w:b/>
                <w:bCs/>
                <w:color w:val="auto"/>
                <w:kern w:val="2"/>
                <w:sz w:val="28"/>
                <w:szCs w:val="28"/>
                <w:lang w:val="en-US" w:eastAsia="zh-CN" w:bidi="ar-SA"/>
              </w:rPr>
              <w:t>3.1.3</w:t>
            </w:r>
            <w:r>
              <w:rPr>
                <w:rFonts w:hint="eastAsia" w:ascii="Times New Roman" w:hAnsi="Times New Roman" w:eastAsia="宋体" w:cs="Times New Roman"/>
                <w:b/>
                <w:bCs/>
                <w:color w:val="auto"/>
                <w:kern w:val="2"/>
                <w:sz w:val="28"/>
                <w:szCs w:val="28"/>
                <w:lang w:val="en-US" w:eastAsia="zh-CN" w:bidi="ar-SA"/>
              </w:rPr>
              <w:t>声环境质量现状</w:t>
            </w:r>
          </w:p>
          <w:p w14:paraId="3C55EC2A">
            <w:pPr>
              <w:pStyle w:val="233"/>
              <w:autoSpaceDE w:val="0"/>
              <w:autoSpaceDN w:val="0"/>
              <w:spacing w:before="120" w:beforeLines="50"/>
              <w:ind w:firstLine="480"/>
              <w:rPr>
                <w:rFonts w:hint="eastAsia" w:ascii="Times New Roman" w:hAnsi="Times New Roman" w:eastAsia="宋体" w:cs="Times New Roman"/>
                <w:color w:val="auto"/>
                <w:highlight w:val="none"/>
                <w:lang w:eastAsia="zh-CN"/>
              </w:rPr>
            </w:pPr>
            <w:r>
              <w:rPr>
                <w:rFonts w:hint="eastAsia" w:ascii="Times New Roman" w:hAnsi="Times New Roman"/>
                <w:color w:val="auto"/>
                <w:highlight w:val="none"/>
              </w:rPr>
              <w:t>根据《建设项目环境影响报告表编制技术指南（污染影响类）（试行）》</w:t>
            </w:r>
            <w:r>
              <w:rPr>
                <w:rFonts w:hint="eastAsia" w:ascii="Times New Roman" w:hAnsi="Times New Roman"/>
                <w:color w:val="auto"/>
                <w:highlight w:val="none"/>
                <w:lang w:eastAsia="zh-CN"/>
              </w:rPr>
              <w:t>，“</w:t>
            </w:r>
            <w:r>
              <w:rPr>
                <w:rFonts w:hint="eastAsia" w:ascii="Times New Roman" w:hAnsi="Times New Roman"/>
                <w:color w:val="auto"/>
                <w:highlight w:val="none"/>
              </w:rPr>
              <w:t>厂界外周边50米范围内存在声环境保护目标的建设项目，应监测保护目标声环境质量现状并评价达标情况。</w:t>
            </w:r>
            <w:r>
              <w:rPr>
                <w:rFonts w:hint="eastAsia" w:ascii="Times New Roman" w:hAnsi="Times New Roman"/>
                <w:color w:val="auto"/>
                <w:highlight w:val="none"/>
                <w:lang w:eastAsia="zh-CN"/>
              </w:rPr>
              <w:t>”</w:t>
            </w:r>
            <w:r>
              <w:rPr>
                <w:rFonts w:hint="eastAsia" w:ascii="Times New Roman" w:hAnsi="Times New Roman"/>
                <w:color w:val="auto"/>
                <w:highlight w:val="none"/>
                <w:lang w:val="en-US" w:eastAsia="zh-CN"/>
              </w:rPr>
              <w:t>由于本</w:t>
            </w:r>
            <w:r>
              <w:rPr>
                <w:rFonts w:hint="eastAsia" w:ascii="Times New Roman" w:hAnsi="Times New Roman"/>
                <w:color w:val="auto"/>
                <w:highlight w:val="none"/>
              </w:rPr>
              <w:t>项目位于</w:t>
            </w:r>
            <w:r>
              <w:rPr>
                <w:rFonts w:hint="default" w:ascii="Times New Roman" w:hAnsi="Times New Roman" w:eastAsia="宋体" w:cs="宋体"/>
                <w:color w:val="auto"/>
                <w:highlight w:val="none"/>
                <w:lang w:val="en-US" w:eastAsia="zh-CN"/>
              </w:rPr>
              <w:t>福建省福州市闽侯县经济技术开发区一期延伸区综合大楼第五层</w:t>
            </w:r>
            <w:r>
              <w:rPr>
                <w:rFonts w:hint="eastAsia" w:ascii="Times New Roman" w:hAnsi="Times New Roman"/>
                <w:color w:val="auto"/>
                <w:highlight w:val="none"/>
              </w:rPr>
              <w:t>，厂界外周边50米范围内无声环境保护目标</w:t>
            </w:r>
            <w:r>
              <w:rPr>
                <w:rFonts w:hint="eastAsia" w:ascii="Times New Roman" w:hAnsi="Times New Roman"/>
                <w:color w:val="auto"/>
                <w:highlight w:val="none"/>
                <w:lang w:eastAsia="zh-CN"/>
              </w:rPr>
              <w:t>，</w:t>
            </w:r>
            <w:r>
              <w:rPr>
                <w:rFonts w:hint="eastAsia" w:ascii="Times New Roman" w:hAnsi="Times New Roman"/>
                <w:color w:val="auto"/>
                <w:highlight w:val="none"/>
                <w:lang w:val="en-US" w:eastAsia="zh-CN"/>
              </w:rPr>
              <w:t>因此不需要对保护目标声环境现状进行评价</w:t>
            </w:r>
            <w:r>
              <w:rPr>
                <w:rFonts w:hint="eastAsia" w:ascii="Times New Roman" w:hAnsi="Times New Roman"/>
                <w:color w:val="auto"/>
                <w:highlight w:val="none"/>
              </w:rPr>
              <w:t>。</w:t>
            </w:r>
          </w:p>
          <w:p w14:paraId="11285EAE">
            <w:pPr>
              <w:pStyle w:val="4"/>
              <w:keepNext/>
              <w:keepLines/>
              <w:pageBreakBefore w:val="0"/>
              <w:widowControl w:val="0"/>
              <w:numPr>
                <w:ilvl w:val="2"/>
                <w:numId w:val="0"/>
              </w:numPr>
              <w:tabs>
                <w:tab w:val="left" w:pos="0"/>
                <w:tab w:val="left" w:pos="420"/>
              </w:tabs>
              <w:kinsoku/>
              <w:wordWrap/>
              <w:overflowPunct/>
              <w:topLinePunct w:val="0"/>
              <w:autoSpaceDE/>
              <w:autoSpaceDN/>
              <w:bidi w:val="0"/>
              <w:adjustRightInd/>
              <w:snapToGrid/>
              <w:spacing w:before="0" w:after="0" w:line="360" w:lineRule="auto"/>
              <w:ind w:left="0" w:leftChars="0" w:firstLine="0" w:firstLineChars="0"/>
              <w:textAlignment w:val="auto"/>
              <w:rPr>
                <w:rFonts w:hint="eastAsia" w:ascii="Times New Roman" w:hAnsi="Times New Roman" w:eastAsia="宋体" w:cs="Times New Roman"/>
                <w:b/>
                <w:bCs/>
                <w:color w:val="auto"/>
                <w:kern w:val="2"/>
                <w:sz w:val="28"/>
                <w:szCs w:val="28"/>
                <w:lang w:val="en-US" w:eastAsia="zh-CN" w:bidi="ar-SA"/>
              </w:rPr>
            </w:pPr>
            <w:r>
              <w:rPr>
                <w:rFonts w:hint="default" w:ascii="Times New Roman" w:hAnsi="Times New Roman" w:eastAsia="宋体" w:cs="Times New Roman"/>
                <w:b/>
                <w:bCs/>
                <w:color w:val="auto"/>
                <w:kern w:val="2"/>
                <w:sz w:val="28"/>
                <w:szCs w:val="28"/>
                <w:lang w:val="en-US" w:eastAsia="zh-CN" w:bidi="ar-SA"/>
              </w:rPr>
              <w:t>3.1.4</w:t>
            </w:r>
            <w:r>
              <w:rPr>
                <w:rFonts w:hint="eastAsia" w:ascii="Times New Roman" w:hAnsi="Times New Roman" w:eastAsia="宋体" w:cs="Times New Roman"/>
                <w:b/>
                <w:bCs/>
                <w:color w:val="auto"/>
                <w:kern w:val="2"/>
                <w:sz w:val="28"/>
                <w:szCs w:val="28"/>
                <w:lang w:val="en-US" w:eastAsia="zh-CN" w:bidi="ar-SA"/>
              </w:rPr>
              <w:t>生态环境</w:t>
            </w:r>
          </w:p>
          <w:p w14:paraId="047257E9">
            <w:pPr>
              <w:pStyle w:val="233"/>
              <w:ind w:firstLine="480"/>
              <w:rPr>
                <w:rFonts w:ascii="Times New Roman" w:hAnsi="Times New Roman"/>
                <w:color w:val="auto"/>
                <w:highlight w:val="none"/>
              </w:rPr>
            </w:pPr>
            <w:r>
              <w:rPr>
                <w:rFonts w:hint="eastAsia" w:ascii="Times New Roman" w:hAnsi="Times New Roman"/>
                <w:color w:val="auto"/>
                <w:highlight w:val="none"/>
              </w:rPr>
              <w:t>根据《建设项目环境影响报告表编制技术指南（污染影响类）（试行）》</w:t>
            </w:r>
            <w:r>
              <w:rPr>
                <w:rFonts w:hint="eastAsia" w:ascii="Times New Roman" w:hAnsi="Times New Roman"/>
                <w:color w:val="auto"/>
                <w:highlight w:val="none"/>
                <w:lang w:eastAsia="zh-CN"/>
              </w:rPr>
              <w:t>，</w:t>
            </w:r>
            <w:r>
              <w:rPr>
                <w:rFonts w:hint="eastAsia" w:ascii="Times New Roman" w:hAnsi="Times New Roman"/>
                <w:color w:val="auto"/>
                <w:highlight w:val="none"/>
              </w:rPr>
              <w:t>“产业园区外建设项目新增用地且用地范围内含生态环境保护目标时，应进行生态现状调查”。本项目位于</w:t>
            </w:r>
            <w:r>
              <w:rPr>
                <w:rFonts w:hint="default" w:ascii="Times New Roman" w:hAnsi="Times New Roman" w:eastAsia="宋体" w:cs="宋体"/>
                <w:color w:val="auto"/>
                <w:highlight w:val="none"/>
                <w:lang w:val="en-US" w:eastAsia="zh-CN"/>
              </w:rPr>
              <w:t>福建省福州市闽侯县经济技术开发区一期延伸区综合大楼第五层</w:t>
            </w:r>
            <w:r>
              <w:rPr>
                <w:rFonts w:hint="eastAsia" w:ascii="Times New Roman" w:hAnsi="Times New Roman" w:eastAsia="宋体" w:cs="宋体"/>
                <w:color w:val="auto"/>
                <w:highlight w:val="none"/>
              </w:rPr>
              <w:t>，</w:t>
            </w:r>
            <w:r>
              <w:rPr>
                <w:rFonts w:hint="eastAsia" w:ascii="Times New Roman" w:hAnsi="Times New Roman" w:eastAsia="宋体" w:cs="宋体"/>
                <w:color w:val="auto"/>
                <w:highlight w:val="none"/>
                <w:lang w:val="en-US" w:eastAsia="zh-CN"/>
              </w:rPr>
              <w:t>属于工业园区内，且厂房已建</w:t>
            </w:r>
            <w:r>
              <w:rPr>
                <w:rFonts w:hint="eastAsia" w:ascii="Times New Roman" w:hAnsi="Times New Roman"/>
                <w:color w:val="auto"/>
                <w:highlight w:val="none"/>
                <w:lang w:val="en-US" w:eastAsia="zh-CN"/>
              </w:rPr>
              <w:t>设，</w:t>
            </w:r>
            <w:r>
              <w:rPr>
                <w:rFonts w:hint="eastAsia" w:ascii="Times New Roman" w:hAnsi="Times New Roman"/>
                <w:color w:val="auto"/>
                <w:highlight w:val="none"/>
              </w:rPr>
              <w:t>用地范围内无生态环境保护目标，无需进行生态现状调查。</w:t>
            </w:r>
          </w:p>
          <w:p w14:paraId="025152DF">
            <w:pPr>
              <w:pStyle w:val="4"/>
              <w:keepNext/>
              <w:keepLines/>
              <w:pageBreakBefore w:val="0"/>
              <w:widowControl w:val="0"/>
              <w:numPr>
                <w:ilvl w:val="2"/>
                <w:numId w:val="0"/>
              </w:numPr>
              <w:tabs>
                <w:tab w:val="left" w:pos="0"/>
                <w:tab w:val="left" w:pos="420"/>
              </w:tabs>
              <w:kinsoku/>
              <w:wordWrap/>
              <w:overflowPunct/>
              <w:topLinePunct w:val="0"/>
              <w:autoSpaceDE/>
              <w:autoSpaceDN/>
              <w:bidi w:val="0"/>
              <w:adjustRightInd/>
              <w:snapToGrid/>
              <w:spacing w:before="0" w:after="0" w:line="360" w:lineRule="auto"/>
              <w:ind w:left="0" w:leftChars="0" w:firstLine="0" w:firstLineChars="0"/>
              <w:textAlignment w:val="auto"/>
              <w:rPr>
                <w:rFonts w:hint="eastAsia" w:ascii="Times New Roman" w:hAnsi="Times New Roman" w:eastAsia="宋体" w:cs="Times New Roman"/>
                <w:b/>
                <w:bCs/>
                <w:color w:val="auto"/>
                <w:kern w:val="2"/>
                <w:sz w:val="28"/>
                <w:szCs w:val="28"/>
                <w:lang w:val="en-US" w:eastAsia="zh-CN" w:bidi="ar-SA"/>
              </w:rPr>
            </w:pPr>
            <w:r>
              <w:rPr>
                <w:rFonts w:hint="default" w:ascii="Times New Roman" w:hAnsi="Times New Roman" w:eastAsia="宋体" w:cs="Times New Roman"/>
                <w:b/>
                <w:bCs/>
                <w:color w:val="auto"/>
                <w:kern w:val="2"/>
                <w:sz w:val="28"/>
                <w:szCs w:val="28"/>
                <w:lang w:val="en-US" w:eastAsia="zh-CN" w:bidi="ar-SA"/>
              </w:rPr>
              <w:t>3.1.5</w:t>
            </w:r>
            <w:r>
              <w:rPr>
                <w:rFonts w:hint="eastAsia" w:ascii="Times New Roman" w:hAnsi="Times New Roman" w:eastAsia="宋体" w:cs="Times New Roman"/>
                <w:b/>
                <w:bCs/>
                <w:color w:val="auto"/>
                <w:kern w:val="2"/>
                <w:sz w:val="28"/>
                <w:szCs w:val="28"/>
                <w:lang w:val="en-US" w:eastAsia="zh-CN" w:bidi="ar-SA"/>
              </w:rPr>
              <w:t>地下水、土壤环境</w:t>
            </w:r>
          </w:p>
          <w:p w14:paraId="7F905B9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color w:val="auto"/>
              </w:rPr>
            </w:pPr>
            <w:r>
              <w:rPr>
                <w:rFonts w:ascii="Times New Roman" w:hAnsi="Times New Roman"/>
                <w:color w:val="auto"/>
                <w:sz w:val="24"/>
                <w:szCs w:val="24"/>
                <w:highlight w:val="none"/>
              </w:rPr>
              <w:t>根据</w:t>
            </w:r>
            <w:r>
              <w:rPr>
                <w:rFonts w:hint="eastAsia" w:ascii="Times New Roman" w:hAnsi="Times New Roman"/>
                <w:color w:val="auto"/>
                <w:sz w:val="24"/>
                <w:szCs w:val="24"/>
                <w:highlight w:val="none"/>
              </w:rPr>
              <w:t>《建设项目环境影响报告表编制技术指南（污染影响类）》（试行）</w:t>
            </w:r>
            <w:r>
              <w:rPr>
                <w:rFonts w:ascii="Times New Roman" w:hAnsi="Times New Roman"/>
                <w:color w:val="auto"/>
                <w:sz w:val="24"/>
                <w:szCs w:val="24"/>
                <w:highlight w:val="none"/>
              </w:rPr>
              <w:t>中表明：原则上不开展地下水、土壤环境质量现状调查</w:t>
            </w:r>
            <w:r>
              <w:rPr>
                <w:rFonts w:hint="eastAsia" w:ascii="Times New Roman" w:hAnsi="Times New Roman"/>
                <w:color w:val="auto"/>
                <w:sz w:val="24"/>
                <w:szCs w:val="24"/>
                <w:highlight w:val="none"/>
              </w:rPr>
              <w:t>。本项目厂区车间经分区防渗后，项目基本不会对土壤、地下水产生影响。且项目</w:t>
            </w:r>
            <w:r>
              <w:rPr>
                <w:rFonts w:ascii="Times New Roman" w:hAnsi="Times New Roman"/>
                <w:color w:val="auto"/>
                <w:sz w:val="24"/>
                <w:szCs w:val="24"/>
                <w:highlight w:val="none"/>
              </w:rPr>
              <w:t>厂界外500</w:t>
            </w:r>
            <w:r>
              <w:rPr>
                <w:rFonts w:hint="eastAsia" w:ascii="Times New Roman" w:hAnsi="Times New Roman"/>
                <w:color w:val="auto"/>
                <w:sz w:val="24"/>
                <w:szCs w:val="24"/>
                <w:highlight w:val="none"/>
              </w:rPr>
              <w:t>m</w:t>
            </w:r>
            <w:r>
              <w:rPr>
                <w:rFonts w:ascii="Times New Roman" w:hAnsi="Times New Roman"/>
                <w:color w:val="auto"/>
                <w:sz w:val="24"/>
                <w:szCs w:val="24"/>
                <w:highlight w:val="none"/>
              </w:rPr>
              <w:t>范围内无地下水集中式饮用水水源和热水、矿泉水、泉水等特殊地下水资源。因此，本项目不</w:t>
            </w:r>
            <w:r>
              <w:rPr>
                <w:rFonts w:hint="eastAsia" w:ascii="Times New Roman" w:hAnsi="Times New Roman"/>
                <w:color w:val="auto"/>
                <w:sz w:val="24"/>
                <w:szCs w:val="24"/>
                <w:highlight w:val="none"/>
              </w:rPr>
              <w:t>开展</w:t>
            </w:r>
            <w:r>
              <w:rPr>
                <w:rFonts w:ascii="Times New Roman" w:hAnsi="Times New Roman"/>
                <w:color w:val="auto"/>
                <w:sz w:val="24"/>
                <w:szCs w:val="24"/>
                <w:highlight w:val="none"/>
              </w:rPr>
              <w:t>地下水、土壤环境质量现状</w:t>
            </w:r>
            <w:r>
              <w:rPr>
                <w:rFonts w:hint="eastAsia" w:ascii="Times New Roman" w:hAnsi="Times New Roman"/>
                <w:color w:val="auto"/>
                <w:sz w:val="24"/>
                <w:szCs w:val="24"/>
                <w:highlight w:val="none"/>
              </w:rPr>
              <w:t>调查</w:t>
            </w:r>
            <w:r>
              <w:rPr>
                <w:rFonts w:ascii="Times New Roman" w:hAnsi="Times New Roman"/>
                <w:color w:val="auto"/>
                <w:sz w:val="24"/>
                <w:szCs w:val="24"/>
                <w:highlight w:val="none"/>
              </w:rPr>
              <w:t>。</w:t>
            </w:r>
          </w:p>
        </w:tc>
      </w:tr>
      <w:tr w14:paraId="7E1482D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7212" w:hRule="atLeast"/>
          <w:jc w:val="center"/>
        </w:trPr>
        <w:tc>
          <w:tcPr>
            <w:tcW w:w="800" w:type="dxa"/>
            <w:noWrap w:val="0"/>
            <w:vAlign w:val="center"/>
          </w:tcPr>
          <w:p w14:paraId="2E252A46">
            <w:pPr>
              <w:jc w:val="center"/>
              <w:rPr>
                <w:rFonts w:hint="eastAsia" w:ascii="Times New Roman" w:hAnsi="Times New Roman" w:cs="宋体"/>
                <w:color w:val="auto"/>
                <w:szCs w:val="21"/>
              </w:rPr>
            </w:pPr>
            <w:r>
              <w:rPr>
                <w:rFonts w:hint="eastAsia" w:ascii="Times New Roman" w:hAnsi="Times New Roman" w:cs="宋体"/>
                <w:color w:val="auto"/>
                <w:szCs w:val="21"/>
              </w:rPr>
              <w:t>环境</w:t>
            </w:r>
          </w:p>
          <w:p w14:paraId="661E63BD">
            <w:pPr>
              <w:jc w:val="center"/>
              <w:rPr>
                <w:rFonts w:hint="eastAsia" w:ascii="Times New Roman" w:hAnsi="Times New Roman" w:cs="宋体"/>
                <w:color w:val="auto"/>
                <w:szCs w:val="21"/>
              </w:rPr>
            </w:pPr>
            <w:r>
              <w:rPr>
                <w:rFonts w:hint="eastAsia" w:ascii="Times New Roman" w:hAnsi="Times New Roman" w:cs="宋体"/>
                <w:color w:val="auto"/>
                <w:szCs w:val="21"/>
              </w:rPr>
              <w:t>保护</w:t>
            </w:r>
          </w:p>
          <w:p w14:paraId="671CCB68">
            <w:pPr>
              <w:jc w:val="center"/>
              <w:rPr>
                <w:rFonts w:hint="eastAsia" w:ascii="Times New Roman" w:hAnsi="Times New Roman" w:cs="宋体"/>
                <w:color w:val="auto"/>
                <w:szCs w:val="21"/>
              </w:rPr>
            </w:pPr>
            <w:r>
              <w:rPr>
                <w:rFonts w:hint="eastAsia" w:ascii="Times New Roman" w:hAnsi="Times New Roman" w:cs="宋体"/>
                <w:color w:val="auto"/>
                <w:szCs w:val="21"/>
              </w:rPr>
              <w:t>目标</w:t>
            </w:r>
          </w:p>
        </w:tc>
        <w:tc>
          <w:tcPr>
            <w:tcW w:w="8190" w:type="dxa"/>
            <w:noWrap w:val="0"/>
            <w:vAlign w:val="center"/>
          </w:tcPr>
          <w:p w14:paraId="3AFD9D20">
            <w:pPr>
              <w:pStyle w:val="3"/>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0" w:leftChars="0" w:firstLine="0" w:firstLineChars="0"/>
              <w:jc w:val="left"/>
              <w:textAlignment w:val="auto"/>
              <w:rPr>
                <w:rFonts w:hint="default" w:ascii="Times New Roman" w:hAnsi="Times New Roman" w:eastAsia="宋体" w:cs="Times New Roman"/>
                <w:b/>
                <w:bCs/>
                <w:color w:val="auto"/>
                <w:kern w:val="2"/>
                <w:sz w:val="28"/>
                <w:szCs w:val="28"/>
                <w:lang w:val="en-US" w:eastAsia="zh-CN" w:bidi="ar-SA"/>
              </w:rPr>
            </w:pPr>
            <w:bookmarkStart w:id="4" w:name="_Toc15528"/>
            <w:r>
              <w:rPr>
                <w:rFonts w:hint="default" w:ascii="Times New Roman" w:hAnsi="Times New Roman" w:eastAsia="宋体" w:cs="Times New Roman"/>
                <w:b/>
                <w:bCs/>
                <w:color w:val="auto"/>
                <w:kern w:val="2"/>
                <w:sz w:val="28"/>
                <w:szCs w:val="28"/>
                <w:lang w:val="en-US" w:eastAsia="zh-CN" w:bidi="ar-SA"/>
              </w:rPr>
              <w:t>3.2</w:t>
            </w:r>
            <w:r>
              <w:rPr>
                <w:rFonts w:hint="eastAsia" w:ascii="Times New Roman" w:hAnsi="Times New Roman" w:eastAsia="宋体" w:cs="Times New Roman"/>
                <w:b/>
                <w:bCs/>
                <w:color w:val="auto"/>
                <w:kern w:val="2"/>
                <w:sz w:val="28"/>
                <w:szCs w:val="28"/>
                <w:lang w:val="en-US" w:eastAsia="zh-CN" w:bidi="ar-SA"/>
              </w:rPr>
              <w:t>环境保护目标</w:t>
            </w:r>
            <w:bookmarkEnd w:id="4"/>
          </w:p>
          <w:p w14:paraId="481431C7">
            <w:pPr>
              <w:pStyle w:val="233"/>
              <w:bidi w:val="0"/>
              <w:rPr>
                <w:rFonts w:ascii="Times New Roman" w:hAnsi="Times New Roman"/>
                <w:color w:val="auto"/>
                <w:highlight w:val="none"/>
              </w:rPr>
            </w:pPr>
            <w:r>
              <w:rPr>
                <w:rFonts w:hint="default" w:ascii="Times New Roman" w:hAnsi="Times New Roman" w:cs="Times New Roman"/>
                <w:color w:val="auto"/>
                <w:highlight w:val="none"/>
                <w:lang w:val="en-US" w:eastAsia="zh-CN"/>
              </w:rPr>
              <w:t>本项目位于</w:t>
            </w:r>
            <w:r>
              <w:rPr>
                <w:rFonts w:hint="default" w:ascii="Times New Roman" w:hAnsi="Times New Roman" w:eastAsia="宋体" w:cs="Times New Roman"/>
                <w:color w:val="auto"/>
                <w:sz w:val="24"/>
                <w:lang w:val="en-US" w:eastAsia="zh-CN"/>
              </w:rPr>
              <w:t>福建省福州市闽侯县经济技术开发区一期延伸区综合大楼第五层</w:t>
            </w:r>
            <w:r>
              <w:rPr>
                <w:rFonts w:hint="eastAsia" w:ascii="Times New Roman" w:hAnsi="Times New Roman" w:cs="Times New Roman"/>
                <w:color w:val="auto"/>
                <w:highlight w:val="none"/>
                <w:lang w:val="en-US" w:eastAsia="zh-CN"/>
              </w:rPr>
              <w:t>，</w:t>
            </w:r>
            <w:r>
              <w:rPr>
                <w:rFonts w:hint="eastAsia" w:ascii="Times New Roman" w:hAnsi="Times New Roman"/>
                <w:color w:val="auto"/>
                <w:highlight w:val="none"/>
              </w:rPr>
              <w:t>项目评价范围内不涉及自然保护区、风景名胜区、文物古迹等敏感目标。本项目周边环境敏感目标详见</w:t>
            </w:r>
            <w:r>
              <w:rPr>
                <w:rFonts w:hint="eastAsia" w:ascii="Times New Roman" w:hAnsi="Times New Roman"/>
                <w:color w:val="auto"/>
                <w:highlight w:val="none"/>
                <w:lang w:val="en-US" w:eastAsia="zh-CN"/>
              </w:rPr>
              <w:t>下表</w:t>
            </w:r>
            <w:r>
              <w:rPr>
                <w:rFonts w:hint="eastAsia" w:ascii="Times New Roman" w:hAnsi="Times New Roman"/>
                <w:color w:val="auto"/>
                <w:highlight w:val="none"/>
              </w:rPr>
              <w:t>和附图2。</w:t>
            </w:r>
          </w:p>
          <w:p w14:paraId="1A0FD22C">
            <w:pPr>
              <w:pStyle w:val="235"/>
              <w:keepNext/>
              <w:keepLines/>
              <w:pageBreakBefore w:val="0"/>
              <w:widowControl w:val="0"/>
              <w:numPr>
                <w:ilvl w:val="7"/>
                <w:numId w:val="0"/>
              </w:numPr>
              <w:tabs>
                <w:tab w:val="left" w:pos="0"/>
              </w:tabs>
              <w:kinsoku/>
              <w:wordWrap/>
              <w:overflowPunct/>
              <w:topLinePunct w:val="0"/>
              <w:autoSpaceDE/>
              <w:autoSpaceDN/>
              <w:bidi w:val="0"/>
              <w:adjustRightInd/>
              <w:snapToGrid/>
              <w:spacing w:before="0" w:after="0"/>
              <w:ind w:left="420" w:leftChars="0" w:firstLine="0" w:firstLineChars="0"/>
              <w:textAlignment w:val="auto"/>
              <w:rPr>
                <w:rFonts w:ascii="Times New Roman" w:hAnsi="Times New Roman"/>
                <w:color w:val="auto"/>
                <w:highlight w:val="none"/>
              </w:rPr>
            </w:pPr>
            <w:bookmarkStart w:id="5" w:name="_Ref4901"/>
            <w:r>
              <w:rPr>
                <w:rFonts w:hint="eastAsia" w:ascii="Times New Roman" w:hAnsi="Times New Roman" w:eastAsia="宋体" w:cs="宋体"/>
                <w:b/>
                <w:bCs/>
                <w:color w:val="auto"/>
                <w:kern w:val="0"/>
                <w:sz w:val="24"/>
                <w:szCs w:val="21"/>
                <w:lang w:val="zh-CN" w:eastAsia="zh-CN" w:bidi="ar-SA"/>
              </w:rPr>
              <w:t>表3.2-1</w:t>
            </w:r>
            <w:r>
              <w:rPr>
                <w:rFonts w:hint="eastAsia" w:ascii="Times New Roman" w:hAnsi="Times New Roman"/>
                <w:color w:val="auto"/>
                <w:highlight w:val="none"/>
                <w:lang w:val="en-US" w:eastAsia="zh-CN"/>
              </w:rPr>
              <w:t xml:space="preserve"> </w:t>
            </w:r>
            <w:r>
              <w:rPr>
                <w:rFonts w:hint="eastAsia" w:ascii="Times New Roman" w:hAnsi="Times New Roman"/>
                <w:color w:val="auto"/>
                <w:highlight w:val="none"/>
              </w:rPr>
              <w:t>本项目周边环境保护敏感目标一览表</w:t>
            </w:r>
            <w:bookmarkEnd w:id="5"/>
          </w:p>
          <w:tbl>
            <w:tblPr>
              <w:tblStyle w:val="230"/>
              <w:tblW w:w="4998" w:type="pct"/>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004"/>
              <w:gridCol w:w="1555"/>
              <w:gridCol w:w="1752"/>
              <w:gridCol w:w="1516"/>
              <w:gridCol w:w="2594"/>
            </w:tblGrid>
            <w:tr w14:paraId="57BFB00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79" w:hRule="atLeast"/>
              </w:trPr>
              <w:tc>
                <w:tcPr>
                  <w:tcW w:w="596" w:type="pct"/>
                  <w:tcBorders>
                    <w:tl2br w:val="nil"/>
                    <w:tr2bl w:val="nil"/>
                  </w:tcBorders>
                  <w:vAlign w:val="center"/>
                </w:tcPr>
                <w:p w14:paraId="2FF63738">
                  <w:pPr>
                    <w:pStyle w:val="226"/>
                    <w:keepNext w:val="0"/>
                    <w:keepLines w:val="0"/>
                    <w:widowControl w:val="0"/>
                    <w:suppressLineNumbers w:val="0"/>
                    <w:tabs>
                      <w:tab w:val="left" w:pos="0"/>
                    </w:tabs>
                    <w:kinsoku/>
                    <w:autoSpaceDE/>
                    <w:autoSpaceDN/>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Cs w:val="24"/>
                      <w:lang w:val="en-US" w:eastAsia="zh-CN"/>
                    </w:rPr>
                  </w:pPr>
                  <w:r>
                    <w:rPr>
                      <w:rFonts w:hint="default" w:ascii="Times New Roman" w:hAnsi="Times New Roman" w:eastAsia="宋体" w:cs="Times New Roman"/>
                      <w:snapToGrid/>
                      <w:color w:val="auto"/>
                      <w:kern w:val="2"/>
                      <w:szCs w:val="24"/>
                      <w:lang w:val="en-US" w:eastAsia="zh-CN"/>
                    </w:rPr>
                    <w:t>环境要素</w:t>
                  </w:r>
                </w:p>
              </w:tc>
              <w:tc>
                <w:tcPr>
                  <w:tcW w:w="923" w:type="pct"/>
                  <w:tcBorders>
                    <w:tl2br w:val="nil"/>
                    <w:tr2bl w:val="nil"/>
                  </w:tcBorders>
                  <w:vAlign w:val="center"/>
                </w:tcPr>
                <w:p w14:paraId="6FA410D1">
                  <w:pPr>
                    <w:pStyle w:val="226"/>
                    <w:keepNext w:val="0"/>
                    <w:keepLines w:val="0"/>
                    <w:widowControl w:val="0"/>
                    <w:suppressLineNumbers w:val="0"/>
                    <w:tabs>
                      <w:tab w:val="left" w:pos="0"/>
                    </w:tabs>
                    <w:kinsoku/>
                    <w:autoSpaceDE/>
                    <w:autoSpaceDN/>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Cs w:val="24"/>
                      <w:lang w:val="en-US" w:eastAsia="zh-CN"/>
                    </w:rPr>
                  </w:pPr>
                  <w:r>
                    <w:rPr>
                      <w:rFonts w:hint="default" w:ascii="Times New Roman" w:hAnsi="Times New Roman" w:eastAsia="宋体" w:cs="Times New Roman"/>
                      <w:snapToGrid/>
                      <w:color w:val="auto"/>
                      <w:kern w:val="2"/>
                      <w:szCs w:val="24"/>
                      <w:lang w:val="en-US" w:eastAsia="zh-CN"/>
                    </w:rPr>
                    <w:t>环境保护对象名称</w:t>
                  </w:r>
                </w:p>
              </w:tc>
              <w:tc>
                <w:tcPr>
                  <w:tcW w:w="1040" w:type="pct"/>
                  <w:tcBorders>
                    <w:tl2br w:val="nil"/>
                    <w:tr2bl w:val="nil"/>
                  </w:tcBorders>
                  <w:vAlign w:val="center"/>
                </w:tcPr>
                <w:p w14:paraId="4DC91FA1">
                  <w:pPr>
                    <w:pStyle w:val="226"/>
                    <w:keepNext w:val="0"/>
                    <w:keepLines w:val="0"/>
                    <w:widowControl w:val="0"/>
                    <w:suppressLineNumbers w:val="0"/>
                    <w:tabs>
                      <w:tab w:val="left" w:pos="0"/>
                    </w:tabs>
                    <w:kinsoku/>
                    <w:autoSpaceDE/>
                    <w:autoSpaceDN/>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Cs w:val="24"/>
                      <w:lang w:val="en-US" w:eastAsia="zh-CN"/>
                    </w:rPr>
                  </w:pPr>
                  <w:r>
                    <w:rPr>
                      <w:rFonts w:hint="default" w:ascii="Times New Roman" w:hAnsi="Times New Roman" w:eastAsia="宋体" w:cs="Times New Roman"/>
                      <w:snapToGrid/>
                      <w:color w:val="auto"/>
                      <w:kern w:val="2"/>
                      <w:szCs w:val="24"/>
                      <w:lang w:val="en-US" w:eastAsia="zh-CN"/>
                    </w:rPr>
                    <w:t>与项目厂界的方位和最近距离</w:t>
                  </w:r>
                </w:p>
              </w:tc>
              <w:tc>
                <w:tcPr>
                  <w:tcW w:w="900" w:type="pct"/>
                  <w:tcBorders>
                    <w:tl2br w:val="nil"/>
                    <w:tr2bl w:val="nil"/>
                  </w:tcBorders>
                  <w:vAlign w:val="center"/>
                </w:tcPr>
                <w:p w14:paraId="0457C799">
                  <w:pPr>
                    <w:pStyle w:val="226"/>
                    <w:keepNext w:val="0"/>
                    <w:keepLines w:val="0"/>
                    <w:widowControl w:val="0"/>
                    <w:suppressLineNumbers w:val="0"/>
                    <w:tabs>
                      <w:tab w:val="left" w:pos="0"/>
                    </w:tabs>
                    <w:kinsoku/>
                    <w:autoSpaceDE/>
                    <w:autoSpaceDN/>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Cs w:val="24"/>
                      <w:lang w:val="en-US" w:eastAsia="zh-CN"/>
                    </w:rPr>
                  </w:pPr>
                  <w:r>
                    <w:rPr>
                      <w:rFonts w:hint="default" w:ascii="Times New Roman" w:hAnsi="Times New Roman" w:eastAsia="宋体" w:cs="Times New Roman"/>
                      <w:snapToGrid/>
                      <w:color w:val="auto"/>
                      <w:kern w:val="2"/>
                      <w:szCs w:val="24"/>
                      <w:lang w:val="en-US" w:eastAsia="zh-CN"/>
                    </w:rPr>
                    <w:t>环境功能</w:t>
                  </w:r>
                </w:p>
              </w:tc>
              <w:tc>
                <w:tcPr>
                  <w:tcW w:w="1540" w:type="pct"/>
                  <w:tcBorders>
                    <w:tl2br w:val="nil"/>
                    <w:tr2bl w:val="nil"/>
                  </w:tcBorders>
                  <w:vAlign w:val="center"/>
                </w:tcPr>
                <w:p w14:paraId="31F7213E">
                  <w:pPr>
                    <w:pStyle w:val="226"/>
                    <w:keepNext w:val="0"/>
                    <w:keepLines w:val="0"/>
                    <w:widowControl w:val="0"/>
                    <w:suppressLineNumbers w:val="0"/>
                    <w:tabs>
                      <w:tab w:val="left" w:pos="0"/>
                    </w:tabs>
                    <w:kinsoku/>
                    <w:autoSpaceDE/>
                    <w:autoSpaceDN/>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Cs w:val="24"/>
                      <w:lang w:val="en-US" w:eastAsia="zh-CN"/>
                    </w:rPr>
                  </w:pPr>
                  <w:r>
                    <w:rPr>
                      <w:rFonts w:hint="eastAsia" w:ascii="Times New Roman" w:hAnsi="Times New Roman" w:cs="Times New Roman"/>
                      <w:snapToGrid/>
                      <w:color w:val="auto"/>
                      <w:kern w:val="2"/>
                      <w:szCs w:val="24"/>
                      <w:lang w:val="en-US" w:eastAsia="zh-CN"/>
                    </w:rPr>
                    <w:t>质量标准</w:t>
                  </w:r>
                </w:p>
              </w:tc>
            </w:tr>
            <w:tr w14:paraId="3EAC851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40" w:hRule="atLeast"/>
              </w:trPr>
              <w:tc>
                <w:tcPr>
                  <w:tcW w:w="596" w:type="pct"/>
                  <w:tcBorders>
                    <w:tl2br w:val="nil"/>
                    <w:tr2bl w:val="nil"/>
                  </w:tcBorders>
                  <w:vAlign w:val="center"/>
                </w:tcPr>
                <w:p w14:paraId="48A37918">
                  <w:pPr>
                    <w:pStyle w:val="226"/>
                    <w:keepNext w:val="0"/>
                    <w:keepLines w:val="0"/>
                    <w:widowControl w:val="0"/>
                    <w:suppressLineNumbers w:val="0"/>
                    <w:tabs>
                      <w:tab w:val="left" w:pos="0"/>
                    </w:tabs>
                    <w:kinsoku/>
                    <w:autoSpaceDE/>
                    <w:autoSpaceDN/>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Cs w:val="24"/>
                      <w:lang w:val="en-US" w:eastAsia="zh-CN"/>
                    </w:rPr>
                  </w:pPr>
                  <w:r>
                    <w:rPr>
                      <w:rFonts w:hint="default" w:ascii="Times New Roman" w:hAnsi="Times New Roman" w:eastAsia="宋体" w:cs="Times New Roman"/>
                      <w:snapToGrid/>
                      <w:color w:val="auto"/>
                      <w:kern w:val="2"/>
                      <w:szCs w:val="24"/>
                      <w:lang w:val="en-US" w:eastAsia="zh-CN"/>
                    </w:rPr>
                    <w:t>环境空气</w:t>
                  </w:r>
                </w:p>
              </w:tc>
              <w:tc>
                <w:tcPr>
                  <w:tcW w:w="923" w:type="pct"/>
                  <w:tcBorders>
                    <w:tl2br w:val="nil"/>
                    <w:tr2bl w:val="nil"/>
                  </w:tcBorders>
                  <w:vAlign w:val="center"/>
                </w:tcPr>
                <w:p w14:paraId="28258176">
                  <w:pPr>
                    <w:pStyle w:val="226"/>
                    <w:keepNext w:val="0"/>
                    <w:keepLines w:val="0"/>
                    <w:widowControl w:val="0"/>
                    <w:suppressLineNumbers w:val="0"/>
                    <w:tabs>
                      <w:tab w:val="left" w:pos="0"/>
                    </w:tabs>
                    <w:kinsoku/>
                    <w:autoSpaceDE/>
                    <w:autoSpaceDN/>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Cs w:val="24"/>
                      <w:lang w:val="en-US" w:eastAsia="zh-CN"/>
                    </w:rPr>
                  </w:pPr>
                  <w:r>
                    <w:rPr>
                      <w:rFonts w:hint="eastAsia" w:ascii="Times New Roman" w:hAnsi="Times New Roman" w:cs="Times New Roman"/>
                      <w:snapToGrid/>
                      <w:color w:val="auto"/>
                      <w:kern w:val="2"/>
                      <w:szCs w:val="24"/>
                      <w:lang w:val="en-US" w:eastAsia="zh-CN"/>
                    </w:rPr>
                    <w:t>流洋村</w:t>
                  </w:r>
                </w:p>
              </w:tc>
              <w:tc>
                <w:tcPr>
                  <w:tcW w:w="1040" w:type="pct"/>
                  <w:tcBorders>
                    <w:tl2br w:val="nil"/>
                    <w:tr2bl w:val="nil"/>
                  </w:tcBorders>
                  <w:vAlign w:val="center"/>
                </w:tcPr>
                <w:p w14:paraId="234FA925">
                  <w:pPr>
                    <w:pStyle w:val="226"/>
                    <w:keepNext w:val="0"/>
                    <w:keepLines w:val="0"/>
                    <w:widowControl w:val="0"/>
                    <w:suppressLineNumbers w:val="0"/>
                    <w:tabs>
                      <w:tab w:val="left" w:pos="0"/>
                    </w:tabs>
                    <w:kinsoku/>
                    <w:autoSpaceDE/>
                    <w:autoSpaceDN/>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Cs w:val="24"/>
                      <w:lang w:val="en-US" w:eastAsia="zh-CN"/>
                    </w:rPr>
                  </w:pPr>
                  <w:r>
                    <w:rPr>
                      <w:rFonts w:hint="eastAsia" w:ascii="Times New Roman" w:hAnsi="Times New Roman" w:cs="Times New Roman"/>
                      <w:snapToGrid/>
                      <w:color w:val="auto"/>
                      <w:kern w:val="2"/>
                      <w:szCs w:val="24"/>
                      <w:lang w:val="en-US" w:eastAsia="zh-CN"/>
                    </w:rPr>
                    <w:t>南</w:t>
                  </w:r>
                  <w:r>
                    <w:rPr>
                      <w:rFonts w:hint="default" w:ascii="Times New Roman" w:hAnsi="Times New Roman" w:eastAsia="宋体" w:cs="Times New Roman"/>
                      <w:snapToGrid/>
                      <w:color w:val="auto"/>
                      <w:kern w:val="2"/>
                      <w:szCs w:val="24"/>
                      <w:lang w:val="en-US" w:eastAsia="zh-CN"/>
                    </w:rPr>
                    <w:t>侧</w:t>
                  </w:r>
                  <w:r>
                    <w:rPr>
                      <w:rFonts w:hint="eastAsia" w:cs="Times New Roman"/>
                      <w:snapToGrid/>
                      <w:color w:val="auto"/>
                      <w:kern w:val="2"/>
                      <w:szCs w:val="24"/>
                      <w:lang w:val="en-US" w:eastAsia="zh-CN"/>
                    </w:rPr>
                    <w:t>4</w:t>
                  </w:r>
                  <w:r>
                    <w:rPr>
                      <w:rFonts w:hint="eastAsia" w:ascii="Times New Roman" w:hAnsi="Times New Roman" w:cs="Times New Roman"/>
                      <w:snapToGrid/>
                      <w:color w:val="auto"/>
                      <w:kern w:val="2"/>
                      <w:szCs w:val="24"/>
                      <w:lang w:val="en-US" w:eastAsia="zh-CN"/>
                    </w:rPr>
                    <w:t>30</w:t>
                  </w:r>
                  <w:r>
                    <w:rPr>
                      <w:rFonts w:hint="default" w:ascii="Times New Roman" w:hAnsi="Times New Roman" w:eastAsia="宋体" w:cs="Times New Roman"/>
                      <w:snapToGrid/>
                      <w:color w:val="auto"/>
                      <w:kern w:val="2"/>
                      <w:szCs w:val="24"/>
                      <w:lang w:val="en-US" w:eastAsia="zh-CN"/>
                    </w:rPr>
                    <w:t>m</w:t>
                  </w:r>
                </w:p>
              </w:tc>
              <w:tc>
                <w:tcPr>
                  <w:tcW w:w="900" w:type="pct"/>
                  <w:tcBorders>
                    <w:tl2br w:val="nil"/>
                    <w:tr2bl w:val="nil"/>
                  </w:tcBorders>
                  <w:vAlign w:val="center"/>
                </w:tcPr>
                <w:p w14:paraId="253B189E">
                  <w:pPr>
                    <w:pStyle w:val="226"/>
                    <w:keepNext w:val="0"/>
                    <w:keepLines w:val="0"/>
                    <w:widowControl w:val="0"/>
                    <w:suppressLineNumbers w:val="0"/>
                    <w:tabs>
                      <w:tab w:val="left" w:pos="0"/>
                    </w:tabs>
                    <w:kinsoku/>
                    <w:autoSpaceDE/>
                    <w:autoSpaceDN/>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Cs w:val="24"/>
                      <w:lang w:val="en-US" w:eastAsia="zh-CN"/>
                    </w:rPr>
                  </w:pPr>
                  <w:r>
                    <w:rPr>
                      <w:rFonts w:hint="eastAsia" w:ascii="Times New Roman" w:hAnsi="Times New Roman" w:cs="Times New Roman"/>
                      <w:snapToGrid/>
                      <w:color w:val="auto"/>
                      <w:kern w:val="2"/>
                      <w:szCs w:val="24"/>
                      <w:lang w:val="en-US" w:eastAsia="zh-CN"/>
                    </w:rPr>
                    <w:t>居民区</w:t>
                  </w:r>
                </w:p>
              </w:tc>
              <w:tc>
                <w:tcPr>
                  <w:tcW w:w="1540" w:type="pct"/>
                  <w:tcBorders>
                    <w:tl2br w:val="nil"/>
                    <w:tr2bl w:val="nil"/>
                  </w:tcBorders>
                  <w:vAlign w:val="center"/>
                </w:tcPr>
                <w:p w14:paraId="5DAF5447">
                  <w:pPr>
                    <w:pStyle w:val="226"/>
                    <w:keepNext w:val="0"/>
                    <w:keepLines w:val="0"/>
                    <w:widowControl w:val="0"/>
                    <w:suppressLineNumbers w:val="0"/>
                    <w:tabs>
                      <w:tab w:val="left" w:pos="0"/>
                    </w:tabs>
                    <w:kinsoku/>
                    <w:autoSpaceDE/>
                    <w:autoSpaceDN/>
                    <w:adjustRightInd/>
                    <w:snapToGrid/>
                    <w:spacing w:before="0" w:beforeAutospacing="0" w:after="0" w:afterAutospacing="0"/>
                    <w:ind w:left="0" w:leftChars="0" w:right="0" w:firstLine="0" w:firstLineChars="0"/>
                    <w:jc w:val="center"/>
                    <w:textAlignment w:val="auto"/>
                    <w:rPr>
                      <w:rFonts w:hint="default" w:ascii="Times New Roman" w:hAnsi="Times New Roman" w:eastAsia="宋体" w:cs="Times New Roman"/>
                      <w:snapToGrid/>
                      <w:color w:val="auto"/>
                      <w:kern w:val="2"/>
                      <w:szCs w:val="24"/>
                      <w:lang w:val="en-US" w:eastAsia="zh-CN"/>
                    </w:rPr>
                  </w:pPr>
                  <w:r>
                    <w:rPr>
                      <w:rFonts w:hint="default" w:ascii="Times New Roman" w:hAnsi="Times New Roman" w:eastAsia="宋体" w:cs="Times New Roman"/>
                      <w:snapToGrid/>
                      <w:color w:val="auto"/>
                      <w:kern w:val="2"/>
                      <w:szCs w:val="24"/>
                      <w:lang w:val="en-US" w:eastAsia="zh-CN"/>
                    </w:rPr>
                    <w:t>《环境空气质量标准》(GB3095-2012)及其修改单</w:t>
                  </w:r>
                  <w:r>
                    <w:rPr>
                      <w:rFonts w:hint="default" w:ascii="Times New Roman" w:hAnsi="Times New Roman" w:eastAsia="微软雅黑" w:cs="Times New Roman"/>
                      <w:snapToGrid/>
                      <w:color w:val="auto"/>
                      <w:kern w:val="2"/>
                      <w:szCs w:val="24"/>
                      <w:lang w:val="en-US" w:eastAsia="zh-CN"/>
                    </w:rPr>
                    <w:t>Ⅱ</w:t>
                  </w:r>
                  <w:r>
                    <w:rPr>
                      <w:rFonts w:hint="default" w:ascii="Times New Roman" w:hAnsi="Times New Roman" w:eastAsia="宋体" w:cs="Times New Roman"/>
                      <w:snapToGrid/>
                      <w:color w:val="auto"/>
                      <w:kern w:val="2"/>
                      <w:szCs w:val="24"/>
                      <w:lang w:val="en-US" w:eastAsia="zh-CN"/>
                    </w:rPr>
                    <w:t>级标准</w:t>
                  </w:r>
                </w:p>
              </w:tc>
            </w:tr>
            <w:tr w14:paraId="45E647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09" w:hRule="atLeast"/>
              </w:trPr>
              <w:tc>
                <w:tcPr>
                  <w:tcW w:w="596" w:type="pct"/>
                  <w:tcBorders>
                    <w:tl2br w:val="nil"/>
                    <w:tr2bl w:val="nil"/>
                  </w:tcBorders>
                  <w:vAlign w:val="center"/>
                </w:tcPr>
                <w:p w14:paraId="119C02C3">
                  <w:pPr>
                    <w:pStyle w:val="226"/>
                    <w:keepNext w:val="0"/>
                    <w:keepLines w:val="0"/>
                    <w:widowControl w:val="0"/>
                    <w:suppressLineNumbers w:val="0"/>
                    <w:tabs>
                      <w:tab w:val="left" w:pos="0"/>
                    </w:tabs>
                    <w:kinsoku/>
                    <w:autoSpaceDE/>
                    <w:autoSpaceDN/>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Cs w:val="24"/>
                      <w:lang w:val="en-US" w:eastAsia="zh-CN"/>
                    </w:rPr>
                  </w:pPr>
                  <w:r>
                    <w:rPr>
                      <w:rFonts w:hint="default" w:ascii="Times New Roman" w:hAnsi="Times New Roman" w:eastAsia="宋体" w:cs="Times New Roman"/>
                      <w:snapToGrid/>
                      <w:color w:val="auto"/>
                      <w:kern w:val="2"/>
                      <w:szCs w:val="24"/>
                      <w:lang w:val="en-US" w:eastAsia="zh-CN"/>
                    </w:rPr>
                    <w:t>地表水</w:t>
                  </w:r>
                </w:p>
              </w:tc>
              <w:tc>
                <w:tcPr>
                  <w:tcW w:w="923" w:type="pct"/>
                  <w:tcBorders>
                    <w:tl2br w:val="nil"/>
                    <w:tr2bl w:val="nil"/>
                  </w:tcBorders>
                  <w:vAlign w:val="center"/>
                </w:tcPr>
                <w:p w14:paraId="1868FFAD">
                  <w:pPr>
                    <w:pStyle w:val="226"/>
                    <w:keepNext w:val="0"/>
                    <w:keepLines w:val="0"/>
                    <w:widowControl w:val="0"/>
                    <w:suppressLineNumbers w:val="0"/>
                    <w:tabs>
                      <w:tab w:val="left" w:pos="0"/>
                    </w:tabs>
                    <w:kinsoku/>
                    <w:autoSpaceDE/>
                    <w:autoSpaceDN/>
                    <w:adjustRightInd/>
                    <w:snapToGrid/>
                    <w:spacing w:before="0" w:beforeAutospacing="0" w:after="0" w:afterAutospacing="0"/>
                    <w:ind w:right="0"/>
                    <w:jc w:val="center"/>
                    <w:textAlignment w:val="auto"/>
                    <w:rPr>
                      <w:rFonts w:hint="eastAsia" w:ascii="Times New Roman" w:hAnsi="Times New Roman" w:eastAsia="宋体" w:cs="Times New Roman"/>
                      <w:snapToGrid/>
                      <w:color w:val="auto"/>
                      <w:kern w:val="2"/>
                      <w:szCs w:val="24"/>
                      <w:lang w:val="en-US" w:eastAsia="zh-CN"/>
                    </w:rPr>
                  </w:pPr>
                  <w:r>
                    <w:rPr>
                      <w:rFonts w:hint="eastAsia" w:ascii="Times New Roman" w:hAnsi="Times New Roman" w:eastAsia="宋体" w:cs="Arial"/>
                      <w:i w:val="0"/>
                      <w:iCs w:val="0"/>
                      <w:caps w:val="0"/>
                      <w:color w:val="auto"/>
                      <w:spacing w:val="0"/>
                      <w:sz w:val="24"/>
                      <w:szCs w:val="24"/>
                      <w:shd w:val="clear" w:fill="FFFFFF"/>
                      <w:lang w:eastAsia="zh-CN"/>
                    </w:rPr>
                    <w:t>荆溪</w:t>
                  </w:r>
                </w:p>
              </w:tc>
              <w:tc>
                <w:tcPr>
                  <w:tcW w:w="1040" w:type="pct"/>
                  <w:tcBorders>
                    <w:tl2br w:val="nil"/>
                    <w:tr2bl w:val="nil"/>
                  </w:tcBorders>
                  <w:vAlign w:val="center"/>
                </w:tcPr>
                <w:p w14:paraId="1EEA0AE0">
                  <w:pPr>
                    <w:pStyle w:val="226"/>
                    <w:keepNext w:val="0"/>
                    <w:keepLines w:val="0"/>
                    <w:widowControl w:val="0"/>
                    <w:suppressLineNumbers w:val="0"/>
                    <w:tabs>
                      <w:tab w:val="left" w:pos="0"/>
                    </w:tabs>
                    <w:kinsoku/>
                    <w:autoSpaceDE/>
                    <w:autoSpaceDN/>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Cs w:val="24"/>
                      <w:lang w:val="en-US" w:eastAsia="zh-CN"/>
                    </w:rPr>
                  </w:pPr>
                  <w:r>
                    <w:rPr>
                      <w:rFonts w:hint="default" w:ascii="Times New Roman" w:hAnsi="Times New Roman" w:eastAsia="宋体" w:cs="Times New Roman"/>
                      <w:snapToGrid/>
                      <w:color w:val="auto"/>
                      <w:kern w:val="2"/>
                      <w:szCs w:val="24"/>
                      <w:lang w:val="en-US" w:eastAsia="zh-CN"/>
                    </w:rPr>
                    <w:t>西侧</w:t>
                  </w:r>
                  <w:r>
                    <w:rPr>
                      <w:rFonts w:hint="eastAsia" w:cs="Times New Roman"/>
                      <w:snapToGrid/>
                      <w:color w:val="auto"/>
                      <w:kern w:val="2"/>
                      <w:szCs w:val="24"/>
                      <w:lang w:val="en-US" w:eastAsia="zh-CN"/>
                    </w:rPr>
                    <w:t>4</w:t>
                  </w:r>
                  <w:r>
                    <w:rPr>
                      <w:rFonts w:hint="eastAsia" w:ascii="Times New Roman" w:hAnsi="Times New Roman" w:cs="Times New Roman"/>
                      <w:snapToGrid/>
                      <w:color w:val="auto"/>
                      <w:kern w:val="2"/>
                      <w:szCs w:val="24"/>
                      <w:lang w:val="en-US" w:eastAsia="zh-CN"/>
                    </w:rPr>
                    <w:t>40</w:t>
                  </w:r>
                  <w:r>
                    <w:rPr>
                      <w:rFonts w:hint="default" w:ascii="Times New Roman" w:hAnsi="Times New Roman" w:eastAsia="宋体" w:cs="Times New Roman"/>
                      <w:snapToGrid/>
                      <w:color w:val="auto"/>
                      <w:kern w:val="2"/>
                      <w:szCs w:val="24"/>
                      <w:lang w:val="en-US" w:eastAsia="zh-CN"/>
                    </w:rPr>
                    <w:t>m</w:t>
                  </w:r>
                </w:p>
              </w:tc>
              <w:tc>
                <w:tcPr>
                  <w:tcW w:w="900" w:type="pct"/>
                  <w:tcBorders>
                    <w:tl2br w:val="nil"/>
                    <w:tr2bl w:val="nil"/>
                  </w:tcBorders>
                  <w:vAlign w:val="center"/>
                </w:tcPr>
                <w:p w14:paraId="349FBB41">
                  <w:pPr>
                    <w:pStyle w:val="226"/>
                    <w:keepNext w:val="0"/>
                    <w:keepLines w:val="0"/>
                    <w:widowControl w:val="0"/>
                    <w:suppressLineNumbers w:val="0"/>
                    <w:tabs>
                      <w:tab w:val="left" w:pos="0"/>
                    </w:tabs>
                    <w:kinsoku/>
                    <w:autoSpaceDE/>
                    <w:autoSpaceDN/>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Cs w:val="24"/>
                      <w:lang w:val="en-US" w:eastAsia="zh-CN"/>
                    </w:rPr>
                  </w:pPr>
                  <w:r>
                    <w:rPr>
                      <w:rFonts w:hint="eastAsia" w:ascii="Times New Roman" w:hAnsi="Times New Roman" w:cs="Times New Roman"/>
                      <w:snapToGrid/>
                      <w:color w:val="auto"/>
                      <w:kern w:val="2"/>
                      <w:szCs w:val="24"/>
                      <w:lang w:val="en-US" w:eastAsia="zh-CN"/>
                    </w:rPr>
                    <w:t>农业、渔业用水</w:t>
                  </w:r>
                </w:p>
              </w:tc>
              <w:tc>
                <w:tcPr>
                  <w:tcW w:w="1540" w:type="pct"/>
                  <w:tcBorders>
                    <w:tl2br w:val="nil"/>
                    <w:tr2bl w:val="nil"/>
                  </w:tcBorders>
                  <w:vAlign w:val="center"/>
                </w:tcPr>
                <w:p w14:paraId="2F050E01">
                  <w:pPr>
                    <w:pStyle w:val="226"/>
                    <w:keepNext w:val="0"/>
                    <w:keepLines w:val="0"/>
                    <w:widowControl w:val="0"/>
                    <w:suppressLineNumbers w:val="0"/>
                    <w:tabs>
                      <w:tab w:val="left" w:pos="0"/>
                    </w:tabs>
                    <w:kinsoku/>
                    <w:autoSpaceDE/>
                    <w:autoSpaceDN/>
                    <w:adjustRightInd/>
                    <w:snapToGrid/>
                    <w:spacing w:before="0" w:beforeAutospacing="0" w:after="0" w:afterAutospacing="0"/>
                    <w:ind w:left="0" w:leftChars="0" w:right="0" w:firstLine="0" w:firstLineChars="0"/>
                    <w:jc w:val="center"/>
                    <w:textAlignment w:val="auto"/>
                    <w:rPr>
                      <w:rFonts w:hint="default" w:ascii="Times New Roman" w:hAnsi="Times New Roman" w:eastAsia="宋体" w:cs="Times New Roman"/>
                      <w:snapToGrid/>
                      <w:color w:val="auto"/>
                      <w:kern w:val="2"/>
                      <w:szCs w:val="24"/>
                      <w:lang w:val="en-US" w:eastAsia="zh-CN"/>
                    </w:rPr>
                  </w:pPr>
                  <w:r>
                    <w:rPr>
                      <w:rFonts w:hint="default" w:ascii="Times New Roman" w:hAnsi="Times New Roman" w:eastAsia="宋体" w:cs="Times New Roman"/>
                      <w:snapToGrid/>
                      <w:color w:val="auto"/>
                      <w:kern w:val="2"/>
                      <w:szCs w:val="24"/>
                      <w:lang w:val="en-US" w:eastAsia="zh-CN"/>
                    </w:rPr>
                    <w:t>《地表水环境质量标准》(GB3838-2002)</w:t>
                  </w:r>
                  <w:r>
                    <w:rPr>
                      <w:rFonts w:hint="default" w:ascii="Times New Roman" w:hAnsi="Times New Roman" w:eastAsia="微软雅黑" w:cs="Times New Roman"/>
                      <w:b w:val="0"/>
                      <w:bCs w:val="0"/>
                      <w:snapToGrid/>
                      <w:color w:val="auto"/>
                      <w:kern w:val="2"/>
                      <w:szCs w:val="24"/>
                      <w:lang w:val="en-US" w:eastAsia="zh-CN"/>
                    </w:rPr>
                    <w:t>Ⅲ</w:t>
                  </w:r>
                  <w:r>
                    <w:rPr>
                      <w:rFonts w:hint="default" w:ascii="Times New Roman" w:hAnsi="Times New Roman" w:eastAsia="宋体" w:cs="Times New Roman"/>
                      <w:snapToGrid/>
                      <w:color w:val="auto"/>
                      <w:kern w:val="2"/>
                      <w:szCs w:val="24"/>
                      <w:lang w:val="en-US" w:eastAsia="zh-CN"/>
                    </w:rPr>
                    <w:t>类标准</w:t>
                  </w:r>
                </w:p>
              </w:tc>
            </w:tr>
            <w:tr w14:paraId="2CE0DF4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79" w:hRule="atLeast"/>
              </w:trPr>
              <w:tc>
                <w:tcPr>
                  <w:tcW w:w="596" w:type="pct"/>
                  <w:tcBorders>
                    <w:tl2br w:val="nil"/>
                    <w:tr2bl w:val="nil"/>
                  </w:tcBorders>
                  <w:vAlign w:val="center"/>
                </w:tcPr>
                <w:p w14:paraId="0998B3AA">
                  <w:pPr>
                    <w:pStyle w:val="226"/>
                    <w:keepNext w:val="0"/>
                    <w:keepLines w:val="0"/>
                    <w:widowControl w:val="0"/>
                    <w:suppressLineNumbers w:val="0"/>
                    <w:tabs>
                      <w:tab w:val="left" w:pos="0"/>
                    </w:tabs>
                    <w:kinsoku/>
                    <w:autoSpaceDE/>
                    <w:autoSpaceDN/>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Cs w:val="24"/>
                      <w:lang w:val="en-US" w:eastAsia="zh-CN"/>
                    </w:rPr>
                  </w:pPr>
                  <w:r>
                    <w:rPr>
                      <w:rFonts w:hint="default" w:ascii="Times New Roman" w:hAnsi="Times New Roman" w:eastAsia="宋体" w:cs="Times New Roman"/>
                      <w:snapToGrid/>
                      <w:color w:val="auto"/>
                      <w:kern w:val="2"/>
                      <w:szCs w:val="24"/>
                      <w:lang w:val="en-US" w:eastAsia="zh-CN"/>
                    </w:rPr>
                    <w:t>声环境</w:t>
                  </w:r>
                </w:p>
              </w:tc>
              <w:tc>
                <w:tcPr>
                  <w:tcW w:w="4403" w:type="pct"/>
                  <w:gridSpan w:val="4"/>
                  <w:tcBorders>
                    <w:tl2br w:val="nil"/>
                    <w:tr2bl w:val="nil"/>
                  </w:tcBorders>
                  <w:vAlign w:val="center"/>
                </w:tcPr>
                <w:p w14:paraId="5D03FBFA">
                  <w:pPr>
                    <w:pStyle w:val="226"/>
                    <w:keepNext w:val="0"/>
                    <w:keepLines w:val="0"/>
                    <w:widowControl w:val="0"/>
                    <w:suppressLineNumbers w:val="0"/>
                    <w:tabs>
                      <w:tab w:val="left" w:pos="0"/>
                    </w:tabs>
                    <w:kinsoku/>
                    <w:autoSpaceDE/>
                    <w:autoSpaceDN/>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Cs w:val="24"/>
                      <w:lang w:val="en-US" w:eastAsia="zh-CN"/>
                    </w:rPr>
                  </w:pPr>
                  <w:r>
                    <w:rPr>
                      <w:rFonts w:hint="default" w:ascii="Times New Roman" w:hAnsi="Times New Roman" w:eastAsia="宋体" w:cs="Times New Roman"/>
                      <w:color w:val="auto"/>
                      <w:lang w:val="en-US" w:eastAsia="zh-CN"/>
                    </w:rPr>
                    <w:t>项目厂界外50m范围内无声环境保护目标</w:t>
                  </w:r>
                </w:p>
              </w:tc>
            </w:tr>
            <w:tr w14:paraId="059C52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596" w:type="pct"/>
                  <w:tcBorders>
                    <w:tl2br w:val="nil"/>
                    <w:tr2bl w:val="nil"/>
                  </w:tcBorders>
                  <w:vAlign w:val="center"/>
                </w:tcPr>
                <w:p w14:paraId="2F74D544">
                  <w:pPr>
                    <w:pStyle w:val="226"/>
                    <w:keepNext w:val="0"/>
                    <w:keepLines w:val="0"/>
                    <w:widowControl w:val="0"/>
                    <w:suppressLineNumbers w:val="0"/>
                    <w:tabs>
                      <w:tab w:val="left" w:pos="0"/>
                    </w:tabs>
                    <w:kinsoku/>
                    <w:autoSpaceDE/>
                    <w:autoSpaceDN/>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Cs w:val="24"/>
                      <w:lang w:val="en-US" w:eastAsia="zh-CN"/>
                    </w:rPr>
                  </w:pPr>
                  <w:r>
                    <w:rPr>
                      <w:rFonts w:hint="default" w:ascii="Times New Roman" w:hAnsi="Times New Roman" w:eastAsia="宋体" w:cs="Times New Roman"/>
                      <w:snapToGrid/>
                      <w:color w:val="auto"/>
                      <w:kern w:val="2"/>
                      <w:szCs w:val="24"/>
                      <w:lang w:val="en-US" w:eastAsia="zh-CN"/>
                    </w:rPr>
                    <w:t>地下水</w:t>
                  </w:r>
                </w:p>
              </w:tc>
              <w:tc>
                <w:tcPr>
                  <w:tcW w:w="4403" w:type="pct"/>
                  <w:gridSpan w:val="4"/>
                  <w:tcBorders>
                    <w:tl2br w:val="nil"/>
                    <w:tr2bl w:val="nil"/>
                  </w:tcBorders>
                  <w:vAlign w:val="center"/>
                </w:tcPr>
                <w:p w14:paraId="002F2AD6">
                  <w:pPr>
                    <w:pStyle w:val="226"/>
                    <w:keepNext w:val="0"/>
                    <w:keepLines w:val="0"/>
                    <w:widowControl w:val="0"/>
                    <w:suppressLineNumbers w:val="0"/>
                    <w:tabs>
                      <w:tab w:val="left" w:pos="0"/>
                    </w:tabs>
                    <w:kinsoku/>
                    <w:autoSpaceDE/>
                    <w:autoSpaceDN/>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Cs w:val="24"/>
                      <w:lang w:val="en-US" w:eastAsia="zh-CN"/>
                    </w:rPr>
                  </w:pPr>
                  <w:r>
                    <w:rPr>
                      <w:rFonts w:hint="default" w:ascii="Times New Roman" w:hAnsi="Times New Roman" w:eastAsia="宋体" w:cs="Times New Roman"/>
                      <w:snapToGrid/>
                      <w:color w:val="auto"/>
                      <w:kern w:val="2"/>
                      <w:szCs w:val="24"/>
                      <w:lang w:val="en-US" w:eastAsia="zh-CN"/>
                    </w:rPr>
                    <w:t>项目厂界外500米范围内无地下水集中式饮用水水源和热水、矿泉水、温泉等特殊地下水资源</w:t>
                  </w:r>
                </w:p>
              </w:tc>
            </w:tr>
          </w:tbl>
          <w:p w14:paraId="1B872566">
            <w:pPr>
              <w:jc w:val="both"/>
              <w:rPr>
                <w:rFonts w:ascii="Times New Roman" w:hAnsi="Times New Roman" w:cs="宋体"/>
                <w:color w:val="auto"/>
                <w:szCs w:val="21"/>
              </w:rPr>
            </w:pPr>
          </w:p>
        </w:tc>
      </w:tr>
      <w:tr w14:paraId="1B3DF2F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2166" w:hRule="atLeast"/>
          <w:jc w:val="center"/>
        </w:trPr>
        <w:tc>
          <w:tcPr>
            <w:tcW w:w="800" w:type="dxa"/>
            <w:noWrap w:val="0"/>
            <w:tcMar>
              <w:left w:w="28" w:type="dxa"/>
              <w:right w:w="28" w:type="dxa"/>
            </w:tcMar>
            <w:vAlign w:val="center"/>
          </w:tcPr>
          <w:p w14:paraId="17B4A588">
            <w:pPr>
              <w:jc w:val="center"/>
              <w:rPr>
                <w:rFonts w:hint="eastAsia" w:ascii="Times New Roman" w:hAnsi="Times New Roman" w:cs="宋体"/>
                <w:color w:val="auto"/>
                <w:szCs w:val="21"/>
              </w:rPr>
            </w:pPr>
            <w:r>
              <w:rPr>
                <w:rFonts w:hint="eastAsia" w:ascii="Times New Roman" w:hAnsi="Times New Roman" w:cs="宋体"/>
                <w:color w:val="auto"/>
                <w:szCs w:val="21"/>
              </w:rPr>
              <w:t>污染</w:t>
            </w:r>
          </w:p>
          <w:p w14:paraId="0761E9E5">
            <w:pPr>
              <w:jc w:val="center"/>
              <w:rPr>
                <w:rFonts w:hint="eastAsia" w:ascii="Times New Roman" w:hAnsi="Times New Roman" w:cs="宋体"/>
                <w:color w:val="auto"/>
                <w:szCs w:val="21"/>
              </w:rPr>
            </w:pPr>
            <w:r>
              <w:rPr>
                <w:rFonts w:hint="eastAsia" w:ascii="Times New Roman" w:hAnsi="Times New Roman" w:cs="宋体"/>
                <w:color w:val="auto"/>
                <w:szCs w:val="21"/>
              </w:rPr>
              <w:t>物排</w:t>
            </w:r>
          </w:p>
          <w:p w14:paraId="59DB69ED">
            <w:pPr>
              <w:jc w:val="center"/>
              <w:rPr>
                <w:rFonts w:hint="eastAsia" w:ascii="Times New Roman" w:hAnsi="Times New Roman" w:cs="宋体"/>
                <w:color w:val="auto"/>
                <w:szCs w:val="21"/>
              </w:rPr>
            </w:pPr>
            <w:r>
              <w:rPr>
                <w:rFonts w:hint="eastAsia" w:ascii="Times New Roman" w:hAnsi="Times New Roman" w:cs="宋体"/>
                <w:color w:val="auto"/>
                <w:szCs w:val="21"/>
              </w:rPr>
              <w:t>放控</w:t>
            </w:r>
          </w:p>
          <w:p w14:paraId="5F349CBD">
            <w:pPr>
              <w:jc w:val="center"/>
              <w:rPr>
                <w:rFonts w:hint="eastAsia" w:ascii="Times New Roman" w:hAnsi="Times New Roman" w:cs="宋体"/>
                <w:color w:val="auto"/>
                <w:szCs w:val="21"/>
              </w:rPr>
            </w:pPr>
            <w:r>
              <w:rPr>
                <w:rFonts w:hint="eastAsia" w:ascii="Times New Roman" w:hAnsi="Times New Roman" w:cs="宋体"/>
                <w:color w:val="auto"/>
                <w:szCs w:val="21"/>
              </w:rPr>
              <w:t>制标</w:t>
            </w:r>
          </w:p>
          <w:p w14:paraId="4C6A855D">
            <w:pPr>
              <w:jc w:val="center"/>
              <w:rPr>
                <w:rFonts w:ascii="Times New Roman" w:hAnsi="Times New Roman" w:cs="宋体"/>
                <w:color w:val="auto"/>
                <w:szCs w:val="21"/>
              </w:rPr>
            </w:pPr>
            <w:r>
              <w:rPr>
                <w:rFonts w:hint="eastAsia" w:ascii="Times New Roman" w:hAnsi="Times New Roman" w:cs="宋体"/>
                <w:color w:val="auto"/>
                <w:szCs w:val="21"/>
              </w:rPr>
              <w:t>准</w:t>
            </w:r>
          </w:p>
        </w:tc>
        <w:tc>
          <w:tcPr>
            <w:tcW w:w="8190" w:type="dxa"/>
            <w:noWrap w:val="0"/>
            <w:vAlign w:val="center"/>
          </w:tcPr>
          <w:p w14:paraId="369BB0F4">
            <w:pPr>
              <w:pStyle w:val="3"/>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0" w:leftChars="0" w:firstLine="0" w:firstLineChars="0"/>
              <w:jc w:val="left"/>
              <w:textAlignment w:val="auto"/>
              <w:rPr>
                <w:rFonts w:hint="eastAsia" w:ascii="Times New Roman" w:hAnsi="Times New Roman" w:eastAsia="宋体" w:cs="Times New Roman"/>
                <w:b/>
                <w:bCs/>
                <w:color w:val="auto"/>
                <w:kern w:val="2"/>
                <w:sz w:val="28"/>
                <w:szCs w:val="28"/>
                <w:lang w:val="en-US" w:eastAsia="zh-CN" w:bidi="ar-SA"/>
              </w:rPr>
            </w:pPr>
            <w:r>
              <w:rPr>
                <w:rFonts w:hint="default" w:ascii="Times New Roman" w:hAnsi="Times New Roman" w:eastAsia="宋体" w:cs="Times New Roman"/>
                <w:b/>
                <w:bCs/>
                <w:color w:val="auto"/>
                <w:kern w:val="2"/>
                <w:sz w:val="28"/>
                <w:szCs w:val="28"/>
                <w:lang w:val="en-US" w:eastAsia="zh-CN" w:bidi="ar-SA"/>
              </w:rPr>
              <w:t>3.3</w:t>
            </w:r>
            <w:r>
              <w:rPr>
                <w:rFonts w:hint="eastAsia" w:ascii="Times New Roman" w:hAnsi="Times New Roman" w:eastAsia="宋体" w:cs="Times New Roman"/>
                <w:b/>
                <w:bCs/>
                <w:color w:val="auto"/>
                <w:kern w:val="2"/>
                <w:sz w:val="28"/>
                <w:szCs w:val="28"/>
                <w:lang w:val="en-US" w:eastAsia="zh-CN" w:bidi="ar-SA"/>
              </w:rPr>
              <w:t>污染物排放控制标准</w:t>
            </w:r>
          </w:p>
          <w:p w14:paraId="1CEC799F">
            <w:pPr>
              <w:pStyle w:val="3"/>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0" w:leftChars="0" w:firstLine="0" w:firstLineChars="0"/>
              <w:jc w:val="left"/>
              <w:textAlignment w:val="auto"/>
              <w:rPr>
                <w:rFonts w:hint="eastAsia"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3.3.1</w:t>
            </w:r>
            <w:r>
              <w:rPr>
                <w:rFonts w:hint="eastAsia" w:ascii="Times New Roman" w:hAnsi="Times New Roman" w:eastAsia="宋体" w:cs="Times New Roman"/>
                <w:b/>
                <w:bCs/>
                <w:color w:val="auto"/>
                <w:kern w:val="2"/>
                <w:sz w:val="24"/>
                <w:szCs w:val="24"/>
                <w:lang w:val="en-US" w:eastAsia="zh-CN" w:bidi="ar-SA"/>
              </w:rPr>
              <w:t>废气排放标准</w:t>
            </w:r>
          </w:p>
          <w:p w14:paraId="586681FC">
            <w:pPr>
              <w:pStyle w:val="233"/>
              <w:keepNext w:val="0"/>
              <w:keepLines w:val="0"/>
              <w:pageBreakBefore w:val="0"/>
              <w:widowControl w:val="0"/>
              <w:kinsoku/>
              <w:wordWrap/>
              <w:overflowPunct/>
              <w:topLinePunct w:val="0"/>
              <w:autoSpaceDE w:val="0"/>
              <w:autoSpaceDN w:val="0"/>
              <w:bidi w:val="0"/>
              <w:adjustRightInd/>
              <w:snapToGrid/>
              <w:spacing w:before="157" w:beforeLines="50"/>
              <w:textAlignment w:val="auto"/>
              <w:rPr>
                <w:rFonts w:hint="default" w:ascii="Times New Roman" w:hAnsi="Times New Roman" w:eastAsia="宋体" w:cs="宋体"/>
                <w:color w:val="auto"/>
                <w:highlight w:val="none"/>
                <w:lang w:val="en-US" w:eastAsia="zh-CN"/>
              </w:rPr>
            </w:pPr>
            <w:bookmarkStart w:id="6" w:name="_Ref11732"/>
            <w:r>
              <w:rPr>
                <w:rFonts w:hint="default" w:ascii="Times New Roman" w:hAnsi="Times New Roman" w:eastAsia="宋体" w:cs="宋体"/>
                <w:color w:val="auto"/>
                <w:highlight w:val="none"/>
                <w:lang w:val="en-US" w:eastAsia="zh-CN"/>
              </w:rPr>
              <w:t>（</w:t>
            </w:r>
            <w:r>
              <w:rPr>
                <w:rFonts w:hint="eastAsia" w:ascii="Times New Roman" w:hAnsi="Times New Roman" w:eastAsia="宋体" w:cs="宋体"/>
                <w:color w:val="auto"/>
                <w:highlight w:val="none"/>
                <w:lang w:val="en-US" w:eastAsia="zh-CN"/>
              </w:rPr>
              <w:t>1</w:t>
            </w:r>
            <w:r>
              <w:rPr>
                <w:rFonts w:hint="default" w:ascii="Times New Roman" w:hAnsi="Times New Roman" w:eastAsia="宋体" w:cs="宋体"/>
                <w:color w:val="auto"/>
                <w:highlight w:val="none"/>
                <w:lang w:val="en-US" w:eastAsia="zh-CN"/>
              </w:rPr>
              <w:t>）有组织排放</w:t>
            </w:r>
          </w:p>
          <w:p w14:paraId="027FA9DB">
            <w:pPr>
              <w:pStyle w:val="16"/>
              <w:keepNext w:val="0"/>
              <w:keepLines w:val="0"/>
              <w:pageBreakBefore w:val="0"/>
              <w:widowControl w:val="0"/>
              <w:tabs>
                <w:tab w:val="left" w:pos="9055"/>
              </w:tabs>
              <w:kinsoku/>
              <w:wordWrap/>
              <w:overflowPunct/>
              <w:topLinePunct w:val="0"/>
              <w:autoSpaceDE/>
              <w:autoSpaceDN/>
              <w:bidi w:val="0"/>
              <w:adjustRightInd/>
              <w:snapToGrid/>
              <w:spacing w:line="360" w:lineRule="auto"/>
              <w:ind w:left="0" w:right="0" w:firstLine="480" w:firstLineChars="200"/>
              <w:jc w:val="both"/>
              <w:textAlignment w:val="auto"/>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0"/>
                <w:sz w:val="24"/>
                <w:szCs w:val="24"/>
                <w:lang w:val="en-US" w:eastAsia="zh-CN" w:bidi="ar"/>
              </w:rPr>
              <w:t>该项目废气为</w:t>
            </w:r>
            <w:r>
              <w:rPr>
                <w:rFonts w:hint="eastAsia" w:cs="宋体"/>
                <w:color w:val="auto"/>
                <w:kern w:val="0"/>
                <w:sz w:val="24"/>
                <w:szCs w:val="24"/>
                <w:lang w:val="en-US" w:eastAsia="zh-CN" w:bidi="ar"/>
              </w:rPr>
              <w:t>上盘、研磨、超声波清洗、检测</w:t>
            </w:r>
            <w:r>
              <w:rPr>
                <w:rFonts w:hint="eastAsia" w:ascii="Times New Roman" w:hAnsi="Times New Roman" w:eastAsia="宋体" w:cs="宋体"/>
                <w:color w:val="auto"/>
                <w:kern w:val="0"/>
                <w:sz w:val="24"/>
                <w:szCs w:val="24"/>
                <w:lang w:val="en-US" w:eastAsia="zh-CN" w:bidi="ar"/>
              </w:rPr>
              <w:t>工序的</w:t>
            </w:r>
            <w:r>
              <w:rPr>
                <w:rFonts w:hint="eastAsia" w:cs="宋体"/>
                <w:color w:val="auto"/>
                <w:kern w:val="0"/>
                <w:sz w:val="24"/>
                <w:szCs w:val="24"/>
                <w:lang w:val="en-US" w:eastAsia="zh-CN" w:bidi="ar"/>
              </w:rPr>
              <w:t>有机废气</w:t>
            </w:r>
            <w:r>
              <w:rPr>
                <w:rFonts w:hint="eastAsia" w:ascii="Times New Roman" w:hAnsi="Times New Roman" w:cs="宋体"/>
                <w:color w:val="auto"/>
                <w:kern w:val="0"/>
                <w:sz w:val="24"/>
                <w:szCs w:val="24"/>
                <w:lang w:val="en-US" w:eastAsia="zh-CN" w:bidi="ar"/>
              </w:rPr>
              <w:t>，</w:t>
            </w:r>
            <w:r>
              <w:rPr>
                <w:rFonts w:hint="eastAsia" w:ascii="Times New Roman" w:hAnsi="Times New Roman" w:eastAsia="宋体" w:cs="宋体"/>
                <w:color w:val="auto"/>
                <w:kern w:val="2"/>
                <w:sz w:val="24"/>
                <w:szCs w:val="24"/>
                <w:lang w:val="en-US" w:eastAsia="zh-CN" w:bidi="ar-SA"/>
              </w:rPr>
              <w:t>污染物因子为非甲烷总烃。</w:t>
            </w:r>
          </w:p>
          <w:p w14:paraId="3AB8AA5F">
            <w:pPr>
              <w:pStyle w:val="16"/>
              <w:keepNext w:val="0"/>
              <w:keepLines w:val="0"/>
              <w:pageBreakBefore w:val="0"/>
              <w:widowControl w:val="0"/>
              <w:tabs>
                <w:tab w:val="left" w:pos="9055"/>
              </w:tabs>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color w:val="auto"/>
                <w:highlight w:val="none"/>
                <w:lang w:val="en-US" w:eastAsia="zh-CN"/>
              </w:rPr>
            </w:pPr>
            <w:r>
              <w:rPr>
                <w:rFonts w:hint="eastAsia" w:ascii="Times New Roman" w:hAnsi="Times New Roman" w:eastAsia="宋体" w:cs="宋体"/>
                <w:color w:val="auto"/>
                <w:kern w:val="2"/>
                <w:sz w:val="24"/>
                <w:szCs w:val="24"/>
                <w:lang w:val="en-US" w:eastAsia="zh-CN" w:bidi="ar-SA"/>
              </w:rPr>
              <w:t>项目</w:t>
            </w:r>
            <w:r>
              <w:rPr>
                <w:rFonts w:hint="eastAsia" w:ascii="Times New Roman" w:hAnsi="Times New Roman" w:cs="宋体"/>
                <w:color w:val="auto"/>
                <w:kern w:val="2"/>
                <w:sz w:val="24"/>
                <w:szCs w:val="24"/>
                <w:lang w:val="en-US" w:eastAsia="zh-CN" w:bidi="ar-SA"/>
              </w:rPr>
              <w:t>废气有</w:t>
            </w:r>
            <w:r>
              <w:rPr>
                <w:rFonts w:hint="eastAsia" w:ascii="Times New Roman" w:hAnsi="Times New Roman" w:eastAsia="宋体" w:cs="宋体"/>
                <w:color w:val="auto"/>
                <w:kern w:val="2"/>
                <w:sz w:val="24"/>
                <w:szCs w:val="24"/>
                <w:lang w:val="en-US" w:eastAsia="zh-CN" w:bidi="ar-SA"/>
              </w:rPr>
              <w:t>组织排放执行</w:t>
            </w:r>
            <w:r>
              <w:rPr>
                <w:rFonts w:ascii="Times New Roman" w:hAnsi="Times New Roman"/>
                <w:color w:val="auto"/>
                <w:spacing w:val="-4"/>
                <w:sz w:val="24"/>
                <w:szCs w:val="24"/>
              </w:rPr>
              <w:t>《工业企业挥发性有机物排放标准》（</w:t>
            </w:r>
            <w:r>
              <w:rPr>
                <w:rFonts w:ascii="Times New Roman" w:hAnsi="Times New Roman" w:eastAsia="Times New Roman" w:cs="Times New Roman"/>
                <w:color w:val="auto"/>
                <w:spacing w:val="-5"/>
                <w:sz w:val="24"/>
                <w:szCs w:val="24"/>
              </w:rPr>
              <w:t>DB35/1782-2018</w:t>
            </w:r>
            <w:r>
              <w:rPr>
                <w:rFonts w:ascii="Times New Roman" w:hAnsi="Times New Roman"/>
                <w:color w:val="auto"/>
                <w:spacing w:val="-5"/>
                <w:sz w:val="24"/>
                <w:szCs w:val="24"/>
              </w:rPr>
              <w:t>）</w:t>
            </w:r>
            <w:r>
              <w:rPr>
                <w:rFonts w:ascii="Times New Roman" w:hAnsi="Times New Roman"/>
                <w:color w:val="auto"/>
                <w:spacing w:val="-6"/>
                <w:sz w:val="24"/>
                <w:szCs w:val="24"/>
              </w:rPr>
              <w:t>表</w:t>
            </w:r>
            <w:r>
              <w:rPr>
                <w:rFonts w:ascii="Times New Roman" w:hAnsi="Times New Roman" w:eastAsia="Times New Roman" w:cs="Times New Roman"/>
                <w:color w:val="auto"/>
                <w:spacing w:val="-6"/>
                <w:sz w:val="24"/>
                <w:szCs w:val="24"/>
              </w:rPr>
              <w:t>1</w:t>
            </w:r>
            <w:r>
              <w:rPr>
                <w:rFonts w:ascii="Times New Roman" w:hAnsi="Times New Roman"/>
                <w:color w:val="auto"/>
                <w:spacing w:val="-6"/>
                <w:sz w:val="24"/>
                <w:szCs w:val="24"/>
              </w:rPr>
              <w:t>中其他行业中的有组织排放监控限值，即“排气筒</w:t>
            </w:r>
            <w:r>
              <w:rPr>
                <w:rFonts w:ascii="Times New Roman" w:hAnsi="Times New Roman" w:eastAsia="Times New Roman" w:cs="Times New Roman"/>
                <w:color w:val="auto"/>
                <w:spacing w:val="-6"/>
                <w:sz w:val="24"/>
                <w:szCs w:val="24"/>
              </w:rPr>
              <w:t>15m</w:t>
            </w:r>
            <w:r>
              <w:rPr>
                <w:rFonts w:ascii="Times New Roman" w:hAnsi="Times New Roman"/>
                <w:color w:val="auto"/>
                <w:spacing w:val="-6"/>
                <w:sz w:val="24"/>
                <w:szCs w:val="24"/>
              </w:rPr>
              <w:t>时，非甲烷总烃最高允许</w:t>
            </w:r>
            <w:r>
              <w:rPr>
                <w:rFonts w:ascii="Times New Roman" w:hAnsi="Times New Roman"/>
                <w:color w:val="auto"/>
                <w:spacing w:val="-1"/>
                <w:sz w:val="24"/>
                <w:szCs w:val="24"/>
              </w:rPr>
              <w:t>排放浓度≤</w:t>
            </w:r>
            <w:r>
              <w:rPr>
                <w:rFonts w:ascii="Times New Roman" w:hAnsi="Times New Roman" w:eastAsia="Times New Roman" w:cs="Times New Roman"/>
                <w:color w:val="auto"/>
                <w:spacing w:val="-1"/>
                <w:sz w:val="24"/>
                <w:szCs w:val="24"/>
              </w:rPr>
              <w:t>100mg/m</w:t>
            </w:r>
            <w:r>
              <w:rPr>
                <w:rFonts w:ascii="Times New Roman" w:hAnsi="Times New Roman" w:eastAsia="Times New Roman" w:cs="Times New Roman"/>
                <w:color w:val="auto"/>
                <w:spacing w:val="-1"/>
                <w:position w:val="7"/>
                <w:sz w:val="15"/>
                <w:szCs w:val="15"/>
              </w:rPr>
              <w:t>3</w:t>
            </w:r>
            <w:r>
              <w:rPr>
                <w:rFonts w:ascii="Times New Roman" w:hAnsi="Times New Roman"/>
                <w:color w:val="auto"/>
                <w:spacing w:val="-1"/>
                <w:sz w:val="24"/>
                <w:szCs w:val="24"/>
              </w:rPr>
              <w:t>，最高允许排放速率</w:t>
            </w:r>
            <w:r>
              <w:rPr>
                <w:rFonts w:hint="eastAsia" w:ascii="Times New Roman" w:hAnsi="Times New Roman" w:eastAsia="宋体" w:cs="宋体"/>
                <w:color w:val="auto"/>
                <w:kern w:val="0"/>
                <w:sz w:val="24"/>
                <w:szCs w:val="20"/>
                <w:highlight w:val="none"/>
                <w:lang w:val="en-US" w:eastAsia="zh-CN" w:bidi="ar-SA"/>
              </w:rPr>
              <w:t>详见表3.3-1。</w:t>
            </w:r>
          </w:p>
          <w:p w14:paraId="62C5D479">
            <w:pPr>
              <w:pStyle w:val="235"/>
              <w:keepNext/>
              <w:keepLines/>
              <w:pageBreakBefore w:val="0"/>
              <w:widowControl w:val="0"/>
              <w:numPr>
                <w:ilvl w:val="7"/>
                <w:numId w:val="0"/>
              </w:numPr>
              <w:tabs>
                <w:tab w:val="left" w:pos="0"/>
              </w:tabs>
              <w:kinsoku/>
              <w:wordWrap/>
              <w:overflowPunct/>
              <w:topLinePunct w:val="0"/>
              <w:autoSpaceDE/>
              <w:autoSpaceDN/>
              <w:bidi w:val="0"/>
              <w:adjustRightInd/>
              <w:snapToGrid/>
              <w:spacing w:before="0"/>
              <w:ind w:left="420" w:leftChars="0" w:firstLine="0" w:firstLineChars="0"/>
              <w:textAlignment w:val="auto"/>
              <w:rPr>
                <w:rFonts w:hint="default" w:ascii="Times New Roman" w:hAnsi="Times New Roman"/>
                <w:color w:val="auto"/>
                <w:highlight w:val="none"/>
                <w:lang w:val="en-US" w:eastAsia="zh-CN"/>
              </w:rPr>
            </w:pPr>
            <w:r>
              <w:rPr>
                <w:rFonts w:hint="eastAsia" w:ascii="Times New Roman" w:hAnsi="Times New Roman" w:eastAsia="宋体" w:cs="宋体"/>
                <w:b/>
                <w:bCs/>
                <w:color w:val="auto"/>
                <w:kern w:val="0"/>
                <w:sz w:val="24"/>
                <w:szCs w:val="21"/>
                <w:lang w:val="en-US" w:eastAsia="zh-CN" w:bidi="ar-SA"/>
              </w:rPr>
              <w:t>表3.3-1</w:t>
            </w:r>
            <w:r>
              <w:rPr>
                <w:rFonts w:hint="eastAsia" w:ascii="Times New Roman" w:hAnsi="Times New Roman"/>
                <w:color w:val="auto"/>
                <w:highlight w:val="none"/>
                <w:lang w:val="en-US" w:eastAsia="zh-CN"/>
              </w:rPr>
              <w:t>大气污染物有组织排放执行标准一览表</w:t>
            </w:r>
          </w:p>
          <w:tbl>
            <w:tblPr>
              <w:tblStyle w:val="39"/>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81"/>
              <w:gridCol w:w="1682"/>
              <w:gridCol w:w="1682"/>
              <w:gridCol w:w="1682"/>
              <w:gridCol w:w="1685"/>
            </w:tblGrid>
            <w:tr w14:paraId="64FA3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9" w:type="pct"/>
                  <w:noWrap w:val="0"/>
                  <w:vAlign w:val="center"/>
                </w:tcPr>
                <w:p w14:paraId="3B11D8B3">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行业名称</w:t>
                  </w:r>
                </w:p>
              </w:tc>
              <w:tc>
                <w:tcPr>
                  <w:tcW w:w="1000" w:type="pct"/>
                  <w:noWrap w:val="0"/>
                  <w:vAlign w:val="center"/>
                </w:tcPr>
                <w:p w14:paraId="4B3646F8">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工艺设施</w:t>
                  </w:r>
                </w:p>
              </w:tc>
              <w:tc>
                <w:tcPr>
                  <w:tcW w:w="1000" w:type="pct"/>
                  <w:noWrap w:val="0"/>
                  <w:vAlign w:val="center"/>
                </w:tcPr>
                <w:p w14:paraId="7A6B6BFC">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污染物项目</w:t>
                  </w:r>
                </w:p>
              </w:tc>
              <w:tc>
                <w:tcPr>
                  <w:tcW w:w="1000" w:type="pct"/>
                  <w:noWrap w:val="0"/>
                  <w:vAlign w:val="center"/>
                </w:tcPr>
                <w:p w14:paraId="14F536AB">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最高允许排放浓度mg/m</w:t>
                  </w:r>
                  <w:r>
                    <w:rPr>
                      <w:rFonts w:hint="eastAsia" w:ascii="Times New Roman" w:hAnsi="Times New Roman"/>
                      <w:color w:val="auto"/>
                      <w:vertAlign w:val="superscript"/>
                      <w:lang w:val="en-US" w:eastAsia="zh-CN"/>
                    </w:rPr>
                    <w:t>3</w:t>
                  </w:r>
                </w:p>
              </w:tc>
              <w:tc>
                <w:tcPr>
                  <w:tcW w:w="1000" w:type="pct"/>
                  <w:noWrap w:val="0"/>
                  <w:vAlign w:val="center"/>
                </w:tcPr>
                <w:p w14:paraId="61970739">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最高允许排放速率</w:t>
                  </w:r>
                  <w:r>
                    <w:rPr>
                      <w:rFonts w:hint="eastAsia" w:ascii="Times New Roman" w:hAnsi="Times New Roman"/>
                      <w:color w:val="auto"/>
                      <w:vertAlign w:val="superscript"/>
                      <w:lang w:val="en-US" w:eastAsia="zh-CN"/>
                    </w:rPr>
                    <w:t>a</w:t>
                  </w:r>
                  <w:r>
                    <w:rPr>
                      <w:rFonts w:hint="eastAsia" w:ascii="Times New Roman" w:hAnsi="Times New Roman"/>
                      <w:color w:val="auto"/>
                      <w:lang w:val="en-US" w:eastAsia="zh-CN"/>
                    </w:rPr>
                    <w:t>kg/h</w:t>
                  </w:r>
                </w:p>
              </w:tc>
            </w:tr>
            <w:tr w14:paraId="0DBED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9" w:type="pct"/>
                  <w:vMerge w:val="restart"/>
                  <w:noWrap w:val="0"/>
                  <w:vAlign w:val="center"/>
                </w:tcPr>
                <w:p w14:paraId="5D2BD856">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其他行业</w:t>
                  </w:r>
                </w:p>
              </w:tc>
              <w:tc>
                <w:tcPr>
                  <w:tcW w:w="1000" w:type="pct"/>
                  <w:vMerge w:val="restart"/>
                  <w:noWrap w:val="0"/>
                  <w:vAlign w:val="center"/>
                </w:tcPr>
                <w:p w14:paraId="0CAF2962">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w:t>
                  </w:r>
                </w:p>
              </w:tc>
              <w:tc>
                <w:tcPr>
                  <w:tcW w:w="1000" w:type="pct"/>
                  <w:vMerge w:val="restart"/>
                  <w:noWrap w:val="0"/>
                  <w:vAlign w:val="center"/>
                </w:tcPr>
                <w:p w14:paraId="439981B4">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非甲烷总烃</w:t>
                  </w:r>
                </w:p>
              </w:tc>
              <w:tc>
                <w:tcPr>
                  <w:tcW w:w="1000" w:type="pct"/>
                  <w:vMerge w:val="restart"/>
                  <w:noWrap w:val="0"/>
                  <w:vAlign w:val="center"/>
                </w:tcPr>
                <w:p w14:paraId="1EA974BA">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100</w:t>
                  </w:r>
                </w:p>
              </w:tc>
              <w:tc>
                <w:tcPr>
                  <w:tcW w:w="1000" w:type="pct"/>
                  <w:noWrap w:val="0"/>
                  <w:vAlign w:val="center"/>
                </w:tcPr>
                <w:p w14:paraId="4C50A03B">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15m</w:t>
                  </w:r>
                </w:p>
              </w:tc>
            </w:tr>
            <w:tr w14:paraId="179F5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9" w:type="pct"/>
                  <w:vMerge w:val="continue"/>
                  <w:noWrap w:val="0"/>
                  <w:vAlign w:val="center"/>
                </w:tcPr>
                <w:p w14:paraId="0616A02B">
                  <w:pPr>
                    <w:pStyle w:val="227"/>
                    <w:bidi w:val="0"/>
                    <w:rPr>
                      <w:rFonts w:hint="eastAsia" w:ascii="Times New Roman" w:hAnsi="Times New Roman"/>
                      <w:color w:val="auto"/>
                      <w:lang w:val="en-US" w:eastAsia="zh-CN"/>
                    </w:rPr>
                  </w:pPr>
                </w:p>
              </w:tc>
              <w:tc>
                <w:tcPr>
                  <w:tcW w:w="1000" w:type="pct"/>
                  <w:vMerge w:val="continue"/>
                  <w:noWrap w:val="0"/>
                  <w:vAlign w:val="center"/>
                </w:tcPr>
                <w:p w14:paraId="1FEC25C4">
                  <w:pPr>
                    <w:pStyle w:val="227"/>
                    <w:bidi w:val="0"/>
                    <w:rPr>
                      <w:rFonts w:hint="eastAsia" w:ascii="Times New Roman" w:hAnsi="Times New Roman"/>
                      <w:color w:val="auto"/>
                      <w:lang w:val="en-US" w:eastAsia="zh-CN"/>
                    </w:rPr>
                  </w:pPr>
                </w:p>
              </w:tc>
              <w:tc>
                <w:tcPr>
                  <w:tcW w:w="1000" w:type="pct"/>
                  <w:vMerge w:val="continue"/>
                  <w:noWrap w:val="0"/>
                  <w:vAlign w:val="center"/>
                </w:tcPr>
                <w:p w14:paraId="79FEA2CF">
                  <w:pPr>
                    <w:pStyle w:val="227"/>
                    <w:bidi w:val="0"/>
                    <w:rPr>
                      <w:rFonts w:hint="eastAsia" w:ascii="Times New Roman" w:hAnsi="Times New Roman"/>
                      <w:color w:val="auto"/>
                      <w:lang w:val="en-US" w:eastAsia="zh-CN"/>
                    </w:rPr>
                  </w:pPr>
                </w:p>
              </w:tc>
              <w:tc>
                <w:tcPr>
                  <w:tcW w:w="1000" w:type="pct"/>
                  <w:vMerge w:val="continue"/>
                  <w:noWrap w:val="0"/>
                  <w:vAlign w:val="center"/>
                </w:tcPr>
                <w:p w14:paraId="56BDAFAD">
                  <w:pPr>
                    <w:pStyle w:val="227"/>
                    <w:bidi w:val="0"/>
                    <w:rPr>
                      <w:rFonts w:hint="eastAsia" w:ascii="Times New Roman" w:hAnsi="Times New Roman"/>
                      <w:color w:val="auto"/>
                      <w:lang w:val="en-US" w:eastAsia="zh-CN"/>
                    </w:rPr>
                  </w:pPr>
                </w:p>
              </w:tc>
              <w:tc>
                <w:tcPr>
                  <w:tcW w:w="1000" w:type="pct"/>
                  <w:noWrap w:val="0"/>
                  <w:vAlign w:val="center"/>
                </w:tcPr>
                <w:p w14:paraId="7E9C6743">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1.80</w:t>
                  </w:r>
                </w:p>
              </w:tc>
            </w:tr>
            <w:tr w14:paraId="08741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5"/>
                  <w:noWrap w:val="0"/>
                  <w:vAlign w:val="center"/>
                </w:tcPr>
                <w:p w14:paraId="55A0B021">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a当非甲烷总烃的去除率≥90%时，等同于满足最高允许排放速率限值要求。</w:t>
                  </w:r>
                </w:p>
              </w:tc>
            </w:tr>
          </w:tbl>
          <w:p w14:paraId="3E659F40">
            <w:pPr>
              <w:pStyle w:val="233"/>
              <w:keepNext w:val="0"/>
              <w:keepLines w:val="0"/>
              <w:pageBreakBefore w:val="0"/>
              <w:widowControl w:val="0"/>
              <w:kinsoku/>
              <w:wordWrap/>
              <w:overflowPunct/>
              <w:topLinePunct w:val="0"/>
              <w:autoSpaceDE w:val="0"/>
              <w:autoSpaceDN w:val="0"/>
              <w:bidi w:val="0"/>
              <w:adjustRightInd/>
              <w:snapToGrid/>
              <w:spacing w:before="157" w:beforeLines="50"/>
              <w:textAlignment w:val="auto"/>
              <w:rPr>
                <w:rFonts w:ascii="Times New Roman" w:hAnsi="Times New Roman"/>
                <w:color w:val="auto"/>
                <w:highlight w:val="none"/>
              </w:rPr>
            </w:pPr>
            <w:r>
              <w:rPr>
                <w:rFonts w:hint="eastAsia" w:ascii="Times New Roman" w:hAnsi="Times New Roman"/>
                <w:color w:val="auto"/>
                <w:highlight w:val="none"/>
              </w:rPr>
              <w:t>（</w:t>
            </w:r>
            <w:r>
              <w:rPr>
                <w:rFonts w:hint="eastAsia" w:ascii="Times New Roman" w:hAnsi="Times New Roman"/>
                <w:color w:val="auto"/>
                <w:highlight w:val="none"/>
                <w:lang w:val="en-US" w:eastAsia="zh-CN"/>
              </w:rPr>
              <w:t>2</w:t>
            </w:r>
            <w:r>
              <w:rPr>
                <w:rFonts w:hint="eastAsia" w:ascii="Times New Roman" w:hAnsi="Times New Roman"/>
                <w:color w:val="auto"/>
                <w:highlight w:val="none"/>
              </w:rPr>
              <w:t>）无组织废气</w:t>
            </w:r>
          </w:p>
          <w:bookmarkEnd w:id="6"/>
          <w:p w14:paraId="047DEAB9">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项目VOCs（以非甲烷总烃计）厂界无组织排放执行《工业企业挥发性有机物排放标准》（DB35/1782-2018）表3中企业边界监控点浓度限值。</w:t>
            </w:r>
          </w:p>
          <w:p w14:paraId="37C6B784">
            <w:pPr>
              <w:widowControl w:val="0"/>
              <w:bidi w:val="0"/>
              <w:adjustRightInd w:val="0"/>
              <w:snapToGrid w:val="0"/>
              <w:spacing w:before="10" w:beforeLines="10" w:after="10" w:afterLines="10"/>
              <w:jc w:val="center"/>
              <w:rPr>
                <w:rFonts w:hint="default" w:ascii="Times New Roman" w:hAnsi="Times New Roman" w:eastAsia="宋体" w:cs="Times New Roman"/>
                <w:b/>
                <w:color w:val="auto"/>
                <w:kern w:val="0"/>
                <w:sz w:val="24"/>
                <w:szCs w:val="20"/>
                <w:vertAlign w:val="baseline"/>
                <w:lang w:val="en-US" w:eastAsia="zh-CN" w:bidi="ar-SA"/>
              </w:rPr>
            </w:pPr>
            <w:r>
              <w:rPr>
                <w:rFonts w:hint="eastAsia" w:ascii="Times New Roman" w:hAnsi="Times New Roman" w:eastAsia="宋体" w:cs="Times New Roman"/>
                <w:b/>
                <w:color w:val="auto"/>
                <w:kern w:val="0"/>
                <w:sz w:val="24"/>
                <w:szCs w:val="20"/>
                <w:lang w:val="en-US" w:eastAsia="zh-CN" w:bidi="ar-SA"/>
              </w:rPr>
              <w:t>表3.</w:t>
            </w:r>
            <w:r>
              <w:rPr>
                <w:rFonts w:hint="eastAsia" w:cs="Times New Roman"/>
                <w:b/>
                <w:color w:val="auto"/>
                <w:kern w:val="0"/>
                <w:sz w:val="24"/>
                <w:szCs w:val="20"/>
                <w:lang w:val="en-US" w:eastAsia="zh-CN" w:bidi="ar-SA"/>
              </w:rPr>
              <w:t>3</w:t>
            </w:r>
            <w:r>
              <w:rPr>
                <w:rFonts w:hint="eastAsia" w:ascii="Times New Roman" w:hAnsi="Times New Roman" w:eastAsia="宋体" w:cs="Times New Roman"/>
                <w:b/>
                <w:color w:val="auto"/>
                <w:kern w:val="0"/>
                <w:sz w:val="24"/>
                <w:szCs w:val="20"/>
                <w:lang w:val="en-US" w:eastAsia="zh-CN" w:bidi="ar-SA"/>
              </w:rPr>
              <w:t>-</w:t>
            </w:r>
            <w:r>
              <w:rPr>
                <w:rFonts w:hint="eastAsia" w:cs="Times New Roman"/>
                <w:b/>
                <w:color w:val="auto"/>
                <w:kern w:val="0"/>
                <w:sz w:val="24"/>
                <w:szCs w:val="20"/>
                <w:lang w:val="en-US" w:eastAsia="zh-CN" w:bidi="ar-SA"/>
              </w:rPr>
              <w:t>2</w:t>
            </w:r>
            <w:r>
              <w:rPr>
                <w:rFonts w:hint="eastAsia" w:ascii="Times New Roman" w:hAnsi="Times New Roman" w:eastAsia="宋体" w:cs="Times New Roman"/>
                <w:b/>
                <w:color w:val="auto"/>
                <w:kern w:val="0"/>
                <w:sz w:val="24"/>
                <w:szCs w:val="20"/>
                <w:lang w:val="en-US" w:eastAsia="zh-CN" w:bidi="ar-SA"/>
              </w:rPr>
              <w:t>厂界无组织废气排放标准</w:t>
            </w:r>
          </w:p>
          <w:tbl>
            <w:tblPr>
              <w:tblStyle w:val="3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03"/>
              <w:gridCol w:w="2804"/>
              <w:gridCol w:w="2804"/>
            </w:tblGrid>
            <w:tr w14:paraId="42C70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noWrap w:val="0"/>
                  <w:vAlign w:val="center"/>
                </w:tcPr>
                <w:p w14:paraId="64EF5FFF">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污染物项目</w:t>
                  </w:r>
                </w:p>
              </w:tc>
              <w:tc>
                <w:tcPr>
                  <w:tcW w:w="1666" w:type="pct"/>
                  <w:noWrap w:val="0"/>
                  <w:vAlign w:val="center"/>
                </w:tcPr>
                <w:p w14:paraId="12D3F55F">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排放浓度限值</w:t>
                  </w:r>
                </w:p>
              </w:tc>
              <w:tc>
                <w:tcPr>
                  <w:tcW w:w="1666" w:type="pct"/>
                  <w:noWrap w:val="0"/>
                  <w:vAlign w:val="center"/>
                </w:tcPr>
                <w:p w14:paraId="4441BCD3">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适用范围</w:t>
                  </w:r>
                </w:p>
              </w:tc>
            </w:tr>
            <w:tr w14:paraId="24806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noWrap w:val="0"/>
                  <w:vAlign w:val="center"/>
                </w:tcPr>
                <w:p w14:paraId="1985BEAA">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非甲烷总烃</w:t>
                  </w:r>
                </w:p>
              </w:tc>
              <w:tc>
                <w:tcPr>
                  <w:tcW w:w="1666" w:type="pct"/>
                  <w:noWrap w:val="0"/>
                  <w:vAlign w:val="center"/>
                </w:tcPr>
                <w:p w14:paraId="389C0E83">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2.0mg/m</w:t>
                  </w:r>
                  <w:r>
                    <w:rPr>
                      <w:rFonts w:hint="eastAsia" w:ascii="Times New Roman" w:hAnsi="Times New Roman"/>
                      <w:color w:val="auto"/>
                      <w:vertAlign w:val="superscript"/>
                      <w:lang w:val="en-US" w:eastAsia="zh-CN"/>
                    </w:rPr>
                    <w:t>3</w:t>
                  </w:r>
                </w:p>
              </w:tc>
              <w:tc>
                <w:tcPr>
                  <w:tcW w:w="1666" w:type="pct"/>
                  <w:noWrap w:val="0"/>
                  <w:vAlign w:val="center"/>
                </w:tcPr>
                <w:p w14:paraId="6510FC79">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所有行业</w:t>
                  </w:r>
                </w:p>
              </w:tc>
            </w:tr>
          </w:tbl>
          <w:p w14:paraId="37F32BC8">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项目VOCs（以非甲烷总烃计）厂区内无组织排放执行《挥发性有机物无组织排放控制标准》（GB37822-2019）中附录A表A.1无组织排放限值以及《工业企业挥发性有机物排放标准》（DB35/1782-2018）表2中厂区内监控点浓度限值。</w:t>
            </w:r>
          </w:p>
          <w:p w14:paraId="37776AD1">
            <w:pPr>
              <w:widowControl w:val="0"/>
              <w:bidi w:val="0"/>
              <w:adjustRightInd w:val="0"/>
              <w:snapToGrid w:val="0"/>
              <w:spacing w:before="10" w:beforeLines="10" w:after="10" w:afterLines="10"/>
              <w:jc w:val="center"/>
              <w:rPr>
                <w:rFonts w:hint="default" w:ascii="Times New Roman" w:hAnsi="Times New Roman" w:eastAsia="宋体" w:cs="Times New Roman"/>
                <w:b/>
                <w:color w:val="auto"/>
                <w:kern w:val="0"/>
                <w:sz w:val="24"/>
                <w:szCs w:val="20"/>
                <w:vertAlign w:val="baseline"/>
                <w:lang w:val="en-US" w:eastAsia="zh-CN" w:bidi="ar-SA"/>
              </w:rPr>
            </w:pPr>
            <w:r>
              <w:rPr>
                <w:rFonts w:hint="eastAsia" w:ascii="Times New Roman" w:hAnsi="Times New Roman" w:eastAsia="宋体" w:cs="Times New Roman"/>
                <w:b/>
                <w:color w:val="auto"/>
                <w:kern w:val="0"/>
                <w:sz w:val="24"/>
                <w:szCs w:val="20"/>
                <w:lang w:val="en-US" w:eastAsia="zh-CN" w:bidi="ar-SA"/>
              </w:rPr>
              <w:t>表3.</w:t>
            </w:r>
            <w:r>
              <w:rPr>
                <w:rFonts w:hint="eastAsia" w:cs="Times New Roman"/>
                <w:b/>
                <w:color w:val="auto"/>
                <w:kern w:val="0"/>
                <w:sz w:val="24"/>
                <w:szCs w:val="20"/>
                <w:lang w:val="en-US" w:eastAsia="zh-CN" w:bidi="ar-SA"/>
              </w:rPr>
              <w:t>3</w:t>
            </w:r>
            <w:r>
              <w:rPr>
                <w:rFonts w:hint="eastAsia" w:ascii="Times New Roman" w:hAnsi="Times New Roman" w:eastAsia="宋体" w:cs="Times New Roman"/>
                <w:b/>
                <w:color w:val="auto"/>
                <w:kern w:val="0"/>
                <w:sz w:val="24"/>
                <w:szCs w:val="20"/>
                <w:lang w:val="en-US" w:eastAsia="zh-CN" w:bidi="ar-SA"/>
              </w:rPr>
              <w:t>-</w:t>
            </w:r>
            <w:r>
              <w:rPr>
                <w:rFonts w:hint="eastAsia" w:cs="Times New Roman"/>
                <w:b/>
                <w:color w:val="auto"/>
                <w:kern w:val="0"/>
                <w:sz w:val="24"/>
                <w:szCs w:val="20"/>
                <w:lang w:val="en-US" w:eastAsia="zh-CN" w:bidi="ar-SA"/>
              </w:rPr>
              <w:t>3</w:t>
            </w:r>
            <w:r>
              <w:rPr>
                <w:rFonts w:hint="eastAsia" w:ascii="Times New Roman" w:hAnsi="Times New Roman" w:eastAsia="宋体" w:cs="Times New Roman"/>
                <w:b/>
                <w:color w:val="auto"/>
                <w:kern w:val="0"/>
                <w:sz w:val="24"/>
                <w:szCs w:val="20"/>
                <w:lang w:val="en-US" w:eastAsia="zh-CN" w:bidi="ar-SA"/>
              </w:rPr>
              <w:t>厂区内无组织废气排放标准（单位：mg/m</w:t>
            </w:r>
            <w:r>
              <w:rPr>
                <w:rFonts w:hint="eastAsia" w:ascii="Times New Roman" w:hAnsi="Times New Roman" w:eastAsia="宋体" w:cs="Times New Roman"/>
                <w:b/>
                <w:color w:val="auto"/>
                <w:kern w:val="0"/>
                <w:sz w:val="24"/>
                <w:szCs w:val="20"/>
                <w:vertAlign w:val="superscript"/>
                <w:lang w:val="en-US" w:eastAsia="zh-CN" w:bidi="ar-SA"/>
              </w:rPr>
              <w:t>3</w:t>
            </w:r>
            <w:r>
              <w:rPr>
                <w:rFonts w:hint="eastAsia" w:ascii="Times New Roman" w:hAnsi="Times New Roman" w:eastAsia="宋体" w:cs="Times New Roman"/>
                <w:b/>
                <w:color w:val="auto"/>
                <w:kern w:val="0"/>
                <w:sz w:val="24"/>
                <w:szCs w:val="20"/>
                <w:lang w:val="en-US" w:eastAsia="zh-CN" w:bidi="ar-SA"/>
              </w:rPr>
              <w:t>）</w:t>
            </w:r>
          </w:p>
          <w:tbl>
            <w:tblPr>
              <w:tblStyle w:val="3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02"/>
              <w:gridCol w:w="2103"/>
              <w:gridCol w:w="2103"/>
              <w:gridCol w:w="2103"/>
            </w:tblGrid>
            <w:tr w14:paraId="3406B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1250" w:type="pct"/>
                  <w:noWrap w:val="0"/>
                  <w:vAlign w:val="center"/>
                </w:tcPr>
                <w:p w14:paraId="008A9F0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污染物项目</w:t>
                  </w:r>
                </w:p>
              </w:tc>
              <w:tc>
                <w:tcPr>
                  <w:tcW w:w="1250" w:type="pct"/>
                  <w:noWrap w:val="0"/>
                  <w:vAlign w:val="center"/>
                </w:tcPr>
                <w:p w14:paraId="0714CA2D">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排放限值</w:t>
                  </w:r>
                </w:p>
              </w:tc>
              <w:tc>
                <w:tcPr>
                  <w:tcW w:w="1250" w:type="pct"/>
                  <w:noWrap w:val="0"/>
                  <w:vAlign w:val="center"/>
                </w:tcPr>
                <w:p w14:paraId="54F2FB1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限值含义</w:t>
                  </w:r>
                </w:p>
              </w:tc>
              <w:tc>
                <w:tcPr>
                  <w:tcW w:w="1250" w:type="pct"/>
                  <w:noWrap w:val="0"/>
                  <w:vAlign w:val="center"/>
                </w:tcPr>
                <w:p w14:paraId="00CA23EF">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无组织排放监控位置</w:t>
                  </w:r>
                </w:p>
              </w:tc>
            </w:tr>
            <w:tr w14:paraId="2D0B0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1250" w:type="pct"/>
                  <w:vMerge w:val="restart"/>
                  <w:noWrap w:val="0"/>
                  <w:vAlign w:val="center"/>
                </w:tcPr>
                <w:p w14:paraId="442FEB9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NMHC</w:t>
                  </w:r>
                </w:p>
              </w:tc>
              <w:tc>
                <w:tcPr>
                  <w:tcW w:w="1250" w:type="pct"/>
                  <w:noWrap w:val="0"/>
                  <w:vAlign w:val="center"/>
                </w:tcPr>
                <w:p w14:paraId="4246DF7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10</w:t>
                  </w:r>
                </w:p>
              </w:tc>
              <w:tc>
                <w:tcPr>
                  <w:tcW w:w="1250" w:type="pct"/>
                  <w:noWrap w:val="0"/>
                  <w:vAlign w:val="center"/>
                </w:tcPr>
                <w:p w14:paraId="55891E2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监控点处1h平均浓度值</w:t>
                  </w:r>
                </w:p>
              </w:tc>
              <w:tc>
                <w:tcPr>
                  <w:tcW w:w="1250" w:type="pct"/>
                  <w:vMerge w:val="restart"/>
                  <w:noWrap w:val="0"/>
                  <w:vAlign w:val="center"/>
                </w:tcPr>
                <w:p w14:paraId="118A0B2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在厂房外设置监控点</w:t>
                  </w:r>
                </w:p>
              </w:tc>
            </w:tr>
            <w:tr w14:paraId="11116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1250" w:type="pct"/>
                  <w:vMerge w:val="continue"/>
                  <w:noWrap w:val="0"/>
                  <w:vAlign w:val="center"/>
                </w:tcPr>
                <w:p w14:paraId="02F40FC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p>
              </w:tc>
              <w:tc>
                <w:tcPr>
                  <w:tcW w:w="1250" w:type="pct"/>
                  <w:noWrap w:val="0"/>
                  <w:vAlign w:val="center"/>
                </w:tcPr>
                <w:p w14:paraId="334579D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30</w:t>
                  </w:r>
                </w:p>
              </w:tc>
              <w:tc>
                <w:tcPr>
                  <w:tcW w:w="1250" w:type="pct"/>
                  <w:noWrap w:val="0"/>
                  <w:vAlign w:val="center"/>
                </w:tcPr>
                <w:p w14:paraId="6B1A0DE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监控点处任意一次浓度值</w:t>
                  </w:r>
                </w:p>
              </w:tc>
              <w:tc>
                <w:tcPr>
                  <w:tcW w:w="1250" w:type="pct"/>
                  <w:vMerge w:val="continue"/>
                  <w:noWrap w:val="0"/>
                  <w:vAlign w:val="center"/>
                </w:tcPr>
                <w:p w14:paraId="0ECCDF0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p>
              </w:tc>
            </w:tr>
            <w:tr w14:paraId="4E5B0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1250" w:type="pct"/>
                  <w:noWrap w:val="0"/>
                  <w:vAlign w:val="center"/>
                </w:tcPr>
                <w:p w14:paraId="19AD052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非甲烷总烃</w:t>
                  </w:r>
                </w:p>
              </w:tc>
              <w:tc>
                <w:tcPr>
                  <w:tcW w:w="1250" w:type="pct"/>
                  <w:noWrap w:val="0"/>
                  <w:vAlign w:val="center"/>
                </w:tcPr>
                <w:p w14:paraId="269FDA9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8.0</w:t>
                  </w:r>
                </w:p>
              </w:tc>
              <w:tc>
                <w:tcPr>
                  <w:tcW w:w="1250" w:type="pct"/>
                  <w:noWrap w:val="0"/>
                  <w:vAlign w:val="center"/>
                </w:tcPr>
                <w:p w14:paraId="3A2320AF">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w:t>
                  </w:r>
                </w:p>
              </w:tc>
              <w:tc>
                <w:tcPr>
                  <w:tcW w:w="1250" w:type="pct"/>
                  <w:noWrap w:val="0"/>
                  <w:vAlign w:val="center"/>
                </w:tcPr>
                <w:p w14:paraId="1E80DB2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厂区内监控点</w:t>
                  </w:r>
                </w:p>
              </w:tc>
            </w:tr>
          </w:tbl>
          <w:p w14:paraId="791A8936">
            <w:pPr>
              <w:pStyle w:val="4"/>
              <w:keepNext/>
              <w:keepLines/>
              <w:pageBreakBefore w:val="0"/>
              <w:widowControl w:val="0"/>
              <w:numPr>
                <w:ilvl w:val="2"/>
                <w:numId w:val="0"/>
              </w:numPr>
              <w:tabs>
                <w:tab w:val="left" w:pos="0"/>
                <w:tab w:val="left" w:pos="420"/>
              </w:tabs>
              <w:kinsoku/>
              <w:wordWrap/>
              <w:overflowPunct/>
              <w:topLinePunct w:val="0"/>
              <w:autoSpaceDE/>
              <w:autoSpaceDN/>
              <w:bidi w:val="0"/>
              <w:adjustRightInd/>
              <w:snapToGrid/>
              <w:spacing w:before="0" w:after="0" w:line="360" w:lineRule="auto"/>
              <w:ind w:left="0" w:leftChars="0" w:firstLine="0" w:firstLineChars="0"/>
              <w:textAlignment w:val="auto"/>
              <w:rPr>
                <w:rFonts w:hint="eastAsia"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3.3.2</w:t>
            </w:r>
            <w:r>
              <w:rPr>
                <w:rFonts w:hint="eastAsia" w:ascii="Times New Roman" w:hAnsi="Times New Roman" w:eastAsia="宋体" w:cs="Times New Roman"/>
                <w:b/>
                <w:bCs/>
                <w:color w:val="auto"/>
                <w:kern w:val="2"/>
                <w:sz w:val="24"/>
                <w:szCs w:val="24"/>
                <w:lang w:val="en-US" w:eastAsia="zh-CN" w:bidi="ar-SA"/>
              </w:rPr>
              <w:t>废水排放标准</w:t>
            </w:r>
          </w:p>
          <w:p w14:paraId="096CA08F">
            <w:pPr>
              <w:pStyle w:val="16"/>
              <w:keepNext w:val="0"/>
              <w:keepLines w:val="0"/>
              <w:pageBreakBefore w:val="0"/>
              <w:widowControl w:val="0"/>
              <w:kinsoku/>
              <w:wordWrap/>
              <w:overflowPunct/>
              <w:topLinePunct w:val="0"/>
              <w:bidi w:val="0"/>
              <w:adjustRightInd/>
              <w:snapToGrid/>
              <w:spacing w:line="360" w:lineRule="auto"/>
              <w:ind w:left="0" w:right="0" w:firstLine="480" w:firstLineChars="200"/>
              <w:jc w:val="left"/>
              <w:textAlignment w:val="auto"/>
              <w:rPr>
                <w:rFonts w:ascii="Times New Roman" w:hAnsi="Times New Roman" w:eastAsia="宋体" w:cs="Times New Roman"/>
                <w:color w:val="auto"/>
                <w:spacing w:val="-3"/>
                <w:sz w:val="24"/>
                <w:szCs w:val="24"/>
              </w:rPr>
            </w:pPr>
            <w:bookmarkStart w:id="7" w:name="_Ref11232"/>
            <w:r>
              <w:rPr>
                <w:rStyle w:val="236"/>
                <w:rFonts w:hint="eastAsia" w:ascii="Times New Roman" w:hAnsi="Times New Roman"/>
                <w:color w:val="auto"/>
              </w:rPr>
              <w:t>（</w:t>
            </w:r>
            <w:r>
              <w:rPr>
                <w:rStyle w:val="236"/>
                <w:rFonts w:hint="eastAsia" w:ascii="Times New Roman" w:hAnsi="Times New Roman"/>
                <w:color w:val="auto"/>
                <w:lang w:val="en-US"/>
              </w:rPr>
              <w:t>1</w:t>
            </w:r>
            <w:r>
              <w:rPr>
                <w:rStyle w:val="236"/>
                <w:rFonts w:hint="eastAsia" w:ascii="Times New Roman" w:hAnsi="Times New Roman"/>
                <w:color w:val="auto"/>
              </w:rPr>
              <w:t>）</w:t>
            </w:r>
            <w:r>
              <w:rPr>
                <w:rStyle w:val="236"/>
                <w:rFonts w:ascii="Times New Roman" w:hAnsi="Times New Roman"/>
                <w:color w:val="auto"/>
              </w:rPr>
              <w:t>本项目运营期产生的废水为</w:t>
            </w:r>
            <w:r>
              <w:rPr>
                <w:rFonts w:hint="eastAsia" w:ascii="Times New Roman" w:hAnsi="Times New Roman" w:eastAsia="宋体" w:cs="Times New Roman"/>
                <w:color w:val="auto"/>
                <w:spacing w:val="-4"/>
                <w:sz w:val="24"/>
                <w:szCs w:val="24"/>
                <w:lang w:val="en-US" w:eastAsia="zh-CN" w:bidi="ar-SA"/>
              </w:rPr>
              <w:t>研磨、抛光、检测及</w:t>
            </w:r>
            <w:r>
              <w:rPr>
                <w:rFonts w:hint="eastAsia" w:cs="Times New Roman"/>
                <w:color w:val="auto"/>
                <w:spacing w:val="-4"/>
                <w:sz w:val="24"/>
                <w:szCs w:val="24"/>
                <w:lang w:val="en-US" w:eastAsia="zh-CN" w:bidi="ar-SA"/>
              </w:rPr>
              <w:t>超声波</w:t>
            </w:r>
            <w:r>
              <w:rPr>
                <w:rFonts w:hint="eastAsia" w:ascii="Times New Roman" w:hAnsi="Times New Roman" w:eastAsia="宋体" w:cs="Times New Roman"/>
                <w:color w:val="auto"/>
                <w:spacing w:val="-4"/>
                <w:sz w:val="24"/>
                <w:szCs w:val="24"/>
                <w:lang w:val="en-US" w:eastAsia="zh-CN" w:bidi="ar-SA"/>
              </w:rPr>
              <w:t>清洗</w:t>
            </w:r>
            <w:r>
              <w:rPr>
                <w:rFonts w:hint="eastAsia" w:cs="Times New Roman"/>
                <w:color w:val="auto"/>
                <w:spacing w:val="-4"/>
                <w:sz w:val="24"/>
                <w:szCs w:val="24"/>
                <w:lang w:val="en-US" w:eastAsia="zh-CN" w:bidi="ar-SA"/>
              </w:rPr>
              <w:t>过程</w:t>
            </w:r>
            <w:r>
              <w:rPr>
                <w:rFonts w:hint="eastAsia" w:ascii="Times New Roman" w:hAnsi="Times New Roman" w:eastAsia="宋体" w:cs="Times New Roman"/>
                <w:color w:val="auto"/>
                <w:spacing w:val="-4"/>
                <w:sz w:val="24"/>
                <w:szCs w:val="24"/>
                <w:lang w:val="en-US" w:eastAsia="zh-CN" w:bidi="ar-SA"/>
              </w:rPr>
              <w:t>生产废水和员工生活污水</w:t>
            </w:r>
            <w:r>
              <w:rPr>
                <w:rStyle w:val="236"/>
                <w:rFonts w:ascii="Times New Roman" w:hAnsi="Times New Roman"/>
                <w:color w:val="auto"/>
              </w:rPr>
              <w:t>。</w:t>
            </w:r>
            <w:r>
              <w:rPr>
                <w:rStyle w:val="236"/>
                <w:rFonts w:hint="eastAsia" w:ascii="Times New Roman" w:hAnsi="Times New Roman"/>
                <w:color w:val="auto"/>
                <w:lang w:val="en-US"/>
              </w:rPr>
              <w:t>生产废水</w:t>
            </w:r>
            <w:r>
              <w:rPr>
                <w:rFonts w:ascii="Times New Roman" w:hAnsi="Times New Roman"/>
                <w:color w:val="auto"/>
                <w:spacing w:val="-3"/>
                <w:sz w:val="24"/>
                <w:szCs w:val="24"/>
              </w:rPr>
              <w:t>经</w:t>
            </w:r>
            <w:r>
              <w:rPr>
                <w:rFonts w:hint="eastAsia"/>
                <w:color w:val="auto"/>
                <w:spacing w:val="-3"/>
                <w:sz w:val="24"/>
                <w:szCs w:val="24"/>
                <w:lang w:val="en-US" w:eastAsia="zh-CN"/>
              </w:rPr>
              <w:t>三格</w:t>
            </w:r>
            <w:r>
              <w:rPr>
                <w:rFonts w:ascii="Times New Roman" w:hAnsi="Times New Roman"/>
                <w:color w:val="auto"/>
                <w:spacing w:val="-3"/>
                <w:sz w:val="24"/>
                <w:szCs w:val="24"/>
              </w:rPr>
              <w:t>沉淀</w:t>
            </w:r>
            <w:r>
              <w:rPr>
                <w:rFonts w:hint="eastAsia"/>
                <w:color w:val="auto"/>
                <w:spacing w:val="-3"/>
                <w:sz w:val="24"/>
                <w:szCs w:val="24"/>
                <w:lang w:val="en-US" w:eastAsia="zh-CN"/>
              </w:rPr>
              <w:t>桶沉淀排入化粪池</w:t>
            </w:r>
            <w:r>
              <w:rPr>
                <w:rFonts w:ascii="Times New Roman" w:hAnsi="Times New Roman"/>
                <w:color w:val="auto"/>
                <w:spacing w:val="-2"/>
                <w:sz w:val="24"/>
                <w:szCs w:val="24"/>
              </w:rPr>
              <w:t>预处理</w:t>
            </w:r>
            <w:r>
              <w:rPr>
                <w:rFonts w:ascii="Times New Roman" w:hAnsi="Times New Roman"/>
                <w:color w:val="auto"/>
                <w:spacing w:val="-1"/>
                <w:sz w:val="24"/>
                <w:szCs w:val="24"/>
              </w:rPr>
              <w:t>达标后进入市政污水管网，纳入</w:t>
            </w:r>
            <w:r>
              <w:rPr>
                <w:rFonts w:hint="eastAsia"/>
                <w:color w:val="auto"/>
                <w:spacing w:val="-1"/>
                <w:sz w:val="24"/>
                <w:szCs w:val="24"/>
                <w:lang w:val="en-US" w:eastAsia="zh-CN"/>
              </w:rPr>
              <w:t>闽侯县城关污水处理厂</w:t>
            </w:r>
            <w:r>
              <w:rPr>
                <w:rFonts w:ascii="Times New Roman" w:hAnsi="Times New Roman"/>
                <w:color w:val="auto"/>
                <w:spacing w:val="-1"/>
                <w:sz w:val="24"/>
                <w:szCs w:val="24"/>
              </w:rPr>
              <w:t>处理</w:t>
            </w:r>
            <w:r>
              <w:rPr>
                <w:rFonts w:ascii="Times New Roman" w:hAnsi="Times New Roman" w:eastAsia="宋体" w:cs="Times New Roman"/>
                <w:color w:val="auto"/>
                <w:spacing w:val="-3"/>
                <w:sz w:val="24"/>
                <w:szCs w:val="24"/>
              </w:rPr>
              <w:t>。</w:t>
            </w:r>
            <w:r>
              <w:rPr>
                <w:rFonts w:hint="eastAsia" w:ascii="Times New Roman" w:hAnsi="Times New Roman" w:eastAsia="宋体" w:cs="Times New Roman"/>
                <w:color w:val="auto"/>
                <w:spacing w:val="-3"/>
                <w:sz w:val="24"/>
                <w:szCs w:val="24"/>
              </w:rPr>
              <w:t>生活污水经化粪池处理后排入</w:t>
            </w:r>
            <w:r>
              <w:rPr>
                <w:rFonts w:hint="eastAsia" w:ascii="Times New Roman" w:hAnsi="Times New Roman" w:eastAsia="宋体" w:cs="Times New Roman"/>
                <w:color w:val="auto"/>
                <w:spacing w:val="-3"/>
                <w:sz w:val="24"/>
                <w:szCs w:val="24"/>
                <w:lang w:eastAsia="zh-CN"/>
              </w:rPr>
              <w:t>闽侯县</w:t>
            </w:r>
            <w:r>
              <w:rPr>
                <w:rFonts w:hint="eastAsia" w:cs="Times New Roman"/>
                <w:color w:val="auto"/>
                <w:spacing w:val="-3"/>
                <w:sz w:val="24"/>
                <w:szCs w:val="24"/>
                <w:lang w:val="en-US" w:eastAsia="zh-CN"/>
              </w:rPr>
              <w:t>城关</w:t>
            </w:r>
            <w:r>
              <w:rPr>
                <w:rFonts w:hint="eastAsia" w:ascii="Times New Roman" w:hAnsi="Times New Roman" w:eastAsia="宋体" w:cs="Times New Roman"/>
                <w:color w:val="auto"/>
                <w:spacing w:val="-3"/>
                <w:sz w:val="24"/>
                <w:szCs w:val="24"/>
                <w:lang w:eastAsia="zh-CN"/>
              </w:rPr>
              <w:t>污水处理厂</w:t>
            </w:r>
            <w:r>
              <w:rPr>
                <w:rFonts w:hint="eastAsia" w:ascii="Times New Roman" w:hAnsi="Times New Roman" w:eastAsia="宋体" w:cs="Times New Roman"/>
                <w:color w:val="auto"/>
                <w:spacing w:val="-3"/>
                <w:sz w:val="24"/>
                <w:szCs w:val="24"/>
              </w:rPr>
              <w:t>进行处理</w:t>
            </w:r>
            <w:r>
              <w:rPr>
                <w:rFonts w:hint="eastAsia" w:ascii="Times New Roman" w:hAnsi="Times New Roman" w:eastAsia="宋体" w:cs="Times New Roman"/>
                <w:color w:val="auto"/>
                <w:spacing w:val="-3"/>
                <w:sz w:val="24"/>
                <w:szCs w:val="24"/>
                <w:lang w:eastAsia="zh-CN"/>
              </w:rPr>
              <w:t>，</w:t>
            </w:r>
            <w:r>
              <w:rPr>
                <w:rFonts w:hint="eastAsia" w:ascii="Times New Roman" w:hAnsi="Times New Roman" w:eastAsia="宋体" w:cs="Times New Roman"/>
                <w:color w:val="auto"/>
                <w:spacing w:val="-3"/>
                <w:sz w:val="24"/>
                <w:szCs w:val="24"/>
                <w:lang w:val="en-US" w:eastAsia="zh-CN"/>
              </w:rPr>
              <w:t>生活污水均</w:t>
            </w:r>
            <w:r>
              <w:rPr>
                <w:rFonts w:ascii="Times New Roman" w:hAnsi="Times New Roman" w:eastAsia="宋体" w:cs="Times New Roman"/>
                <w:color w:val="auto"/>
                <w:spacing w:val="-3"/>
                <w:sz w:val="24"/>
                <w:szCs w:val="24"/>
              </w:rPr>
              <w:t>执行《污水综合排放标准》（GB8978-1996）表4中的三级标准（NH</w:t>
            </w:r>
            <w:r>
              <w:rPr>
                <w:rFonts w:ascii="Times New Roman" w:hAnsi="Times New Roman" w:eastAsia="宋体" w:cs="Times New Roman"/>
                <w:color w:val="auto"/>
                <w:spacing w:val="-3"/>
                <w:sz w:val="24"/>
                <w:szCs w:val="24"/>
                <w:vertAlign w:val="subscript"/>
              </w:rPr>
              <w:t>3</w:t>
            </w:r>
            <w:r>
              <w:rPr>
                <w:rFonts w:ascii="Times New Roman" w:hAnsi="Times New Roman" w:eastAsia="宋体" w:cs="Times New Roman"/>
                <w:color w:val="auto"/>
                <w:spacing w:val="-3"/>
                <w:sz w:val="24"/>
                <w:szCs w:val="24"/>
              </w:rPr>
              <w:t>-N</w:t>
            </w:r>
            <w:r>
              <w:rPr>
                <w:rFonts w:hint="eastAsia" w:ascii="Times New Roman" w:hAnsi="Times New Roman" w:eastAsia="宋体" w:cs="Times New Roman"/>
                <w:color w:val="auto"/>
                <w:spacing w:val="-3"/>
                <w:sz w:val="24"/>
                <w:szCs w:val="24"/>
              </w:rPr>
              <w:t>参照</w:t>
            </w:r>
            <w:r>
              <w:rPr>
                <w:rFonts w:ascii="Times New Roman" w:hAnsi="Times New Roman" w:eastAsia="宋体" w:cs="Times New Roman"/>
                <w:color w:val="auto"/>
                <w:spacing w:val="-3"/>
                <w:sz w:val="24"/>
                <w:szCs w:val="24"/>
              </w:rPr>
              <w:t>执行《污水排入城镇下水道水质标准》（GB/T31962-2015）表1中的B等级标准</w:t>
            </w:r>
            <w:r>
              <w:rPr>
                <w:rFonts w:hint="eastAsia" w:ascii="Times New Roman" w:hAnsi="Times New Roman" w:eastAsia="宋体" w:cs="Times New Roman"/>
                <w:color w:val="auto"/>
                <w:spacing w:val="-3"/>
                <w:sz w:val="24"/>
                <w:szCs w:val="24"/>
              </w:rPr>
              <w:t>）。详见表</w:t>
            </w:r>
            <w:r>
              <w:rPr>
                <w:rFonts w:hint="eastAsia" w:ascii="Times New Roman" w:hAnsi="Times New Roman" w:eastAsia="宋体" w:cs="Times New Roman"/>
                <w:color w:val="auto"/>
                <w:spacing w:val="-3"/>
                <w:sz w:val="24"/>
                <w:szCs w:val="24"/>
                <w:lang w:val="en-US" w:eastAsia="zh-CN"/>
              </w:rPr>
              <w:t>3.3-</w:t>
            </w:r>
            <w:r>
              <w:rPr>
                <w:rFonts w:hint="eastAsia" w:cs="Times New Roman"/>
                <w:color w:val="auto"/>
                <w:spacing w:val="-3"/>
                <w:sz w:val="24"/>
                <w:szCs w:val="24"/>
                <w:lang w:val="en-US" w:eastAsia="zh-CN"/>
              </w:rPr>
              <w:t>4</w:t>
            </w:r>
            <w:r>
              <w:rPr>
                <w:rFonts w:hint="eastAsia" w:ascii="Times New Roman" w:hAnsi="Times New Roman" w:eastAsia="宋体" w:cs="Times New Roman"/>
                <w:color w:val="auto"/>
                <w:spacing w:val="-3"/>
                <w:sz w:val="24"/>
                <w:szCs w:val="24"/>
              </w:rPr>
              <w:t>。</w:t>
            </w:r>
          </w:p>
          <w:bookmarkEnd w:id="7"/>
          <w:p w14:paraId="35A920A7">
            <w:pPr>
              <w:pStyle w:val="235"/>
              <w:keepNext/>
              <w:keepLines/>
              <w:pageBreakBefore w:val="0"/>
              <w:widowControl w:val="0"/>
              <w:numPr>
                <w:ilvl w:val="7"/>
                <w:numId w:val="0"/>
              </w:numPr>
              <w:tabs>
                <w:tab w:val="left" w:pos="0"/>
              </w:tabs>
              <w:kinsoku/>
              <w:wordWrap/>
              <w:overflowPunct/>
              <w:topLinePunct w:val="0"/>
              <w:autoSpaceDE/>
              <w:autoSpaceDN/>
              <w:bidi w:val="0"/>
              <w:adjustRightInd/>
              <w:snapToGrid/>
              <w:spacing w:before="0" w:after="0"/>
              <w:ind w:left="420" w:leftChars="0" w:firstLine="0" w:firstLineChars="0"/>
              <w:textAlignment w:val="auto"/>
              <w:rPr>
                <w:rFonts w:hint="eastAsia" w:ascii="Times New Roman" w:hAnsi="Times New Roman"/>
                <w:color w:val="auto"/>
                <w:highlight w:val="none"/>
                <w:lang w:val="en-US" w:eastAsia="zh-CN"/>
              </w:rPr>
            </w:pPr>
            <w:bookmarkStart w:id="8" w:name="_Ref11605"/>
            <w:r>
              <w:rPr>
                <w:rFonts w:hint="eastAsia" w:ascii="Times New Roman" w:hAnsi="Times New Roman" w:eastAsia="宋体" w:cs="宋体"/>
                <w:b/>
                <w:bCs/>
                <w:color w:val="auto"/>
                <w:kern w:val="0"/>
                <w:sz w:val="24"/>
                <w:szCs w:val="21"/>
                <w:lang w:val="en-US" w:eastAsia="zh-CN" w:bidi="ar-SA"/>
              </w:rPr>
              <w:t>表3.3-</w:t>
            </w:r>
            <w:r>
              <w:rPr>
                <w:rFonts w:hint="eastAsia" w:cs="宋体"/>
                <w:b/>
                <w:bCs/>
                <w:color w:val="auto"/>
                <w:kern w:val="0"/>
                <w:sz w:val="24"/>
                <w:szCs w:val="21"/>
                <w:lang w:val="en-US" w:eastAsia="zh-CN" w:bidi="ar-SA"/>
              </w:rPr>
              <w:t>4</w:t>
            </w:r>
            <w:r>
              <w:rPr>
                <w:rFonts w:hint="eastAsia" w:ascii="Times New Roman" w:hAnsi="Times New Roman"/>
                <w:color w:val="auto"/>
                <w:highlight w:val="none"/>
                <w:lang w:val="en-US" w:eastAsia="zh-CN"/>
              </w:rPr>
              <w:t>《污水综合排放标准》（GB8978-1996）（摘录）</w:t>
            </w:r>
            <w:bookmarkEnd w:id="8"/>
          </w:p>
          <w:tbl>
            <w:tblPr>
              <w:tblStyle w:val="38"/>
              <w:tblW w:w="4999"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1208"/>
              <w:gridCol w:w="1370"/>
              <w:gridCol w:w="1865"/>
              <w:gridCol w:w="3979"/>
            </w:tblGrid>
            <w:tr w14:paraId="5E0BED3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40" w:hRule="atLeast"/>
                <w:tblHeader/>
                <w:jc w:val="center"/>
              </w:trPr>
              <w:tc>
                <w:tcPr>
                  <w:tcW w:w="717" w:type="pct"/>
                  <w:tcBorders>
                    <w:tl2br w:val="nil"/>
                    <w:tr2bl w:val="nil"/>
                  </w:tcBorders>
                  <w:tcMar>
                    <w:top w:w="0" w:type="dxa"/>
                    <w:left w:w="108" w:type="dxa"/>
                    <w:bottom w:w="0" w:type="dxa"/>
                    <w:right w:w="108" w:type="dxa"/>
                  </w:tcMar>
                  <w:vAlign w:val="center"/>
                </w:tcPr>
                <w:p w14:paraId="022D738A">
                  <w:pPr>
                    <w:pStyle w:val="226"/>
                    <w:tabs>
                      <w:tab w:val="left" w:pos="0"/>
                    </w:tabs>
                    <w:rPr>
                      <w:rFonts w:ascii="Times New Roman" w:hAnsi="Times New Roman"/>
                      <w:color w:val="auto"/>
                      <w:szCs w:val="21"/>
                      <w:highlight w:val="none"/>
                    </w:rPr>
                  </w:pPr>
                  <w:r>
                    <w:rPr>
                      <w:rFonts w:ascii="Times New Roman" w:hAnsi="Times New Roman"/>
                      <w:color w:val="auto"/>
                      <w:szCs w:val="21"/>
                      <w:highlight w:val="none"/>
                    </w:rPr>
                    <w:t>序号</w:t>
                  </w:r>
                </w:p>
              </w:tc>
              <w:tc>
                <w:tcPr>
                  <w:tcW w:w="813" w:type="pct"/>
                  <w:tcBorders>
                    <w:tl2br w:val="nil"/>
                    <w:tr2bl w:val="nil"/>
                  </w:tcBorders>
                  <w:tcMar>
                    <w:top w:w="0" w:type="dxa"/>
                    <w:left w:w="108" w:type="dxa"/>
                    <w:bottom w:w="0" w:type="dxa"/>
                    <w:right w:w="108" w:type="dxa"/>
                  </w:tcMar>
                  <w:vAlign w:val="center"/>
                </w:tcPr>
                <w:p w14:paraId="5BAC2B47">
                  <w:pPr>
                    <w:pStyle w:val="226"/>
                    <w:tabs>
                      <w:tab w:val="left" w:pos="0"/>
                    </w:tabs>
                    <w:rPr>
                      <w:rFonts w:ascii="Times New Roman" w:hAnsi="Times New Roman"/>
                      <w:color w:val="auto"/>
                      <w:szCs w:val="21"/>
                      <w:highlight w:val="none"/>
                    </w:rPr>
                  </w:pPr>
                  <w:r>
                    <w:rPr>
                      <w:rFonts w:ascii="Times New Roman" w:hAnsi="Times New Roman"/>
                      <w:color w:val="auto"/>
                      <w:szCs w:val="21"/>
                      <w:highlight w:val="none"/>
                    </w:rPr>
                    <w:t>污染物</w:t>
                  </w:r>
                </w:p>
              </w:tc>
              <w:tc>
                <w:tcPr>
                  <w:tcW w:w="1107" w:type="pct"/>
                  <w:tcBorders>
                    <w:tl2br w:val="nil"/>
                    <w:tr2bl w:val="nil"/>
                  </w:tcBorders>
                  <w:tcMar>
                    <w:top w:w="0" w:type="dxa"/>
                    <w:left w:w="108" w:type="dxa"/>
                    <w:bottom w:w="0" w:type="dxa"/>
                    <w:right w:w="108" w:type="dxa"/>
                  </w:tcMar>
                  <w:vAlign w:val="center"/>
                </w:tcPr>
                <w:p w14:paraId="76D50934">
                  <w:pPr>
                    <w:pStyle w:val="226"/>
                    <w:tabs>
                      <w:tab w:val="left" w:pos="0"/>
                    </w:tabs>
                    <w:rPr>
                      <w:rFonts w:hint="default" w:ascii="Times New Roman" w:hAnsi="Times New Roman" w:eastAsia="宋体"/>
                      <w:color w:val="auto"/>
                      <w:szCs w:val="21"/>
                      <w:highlight w:val="none"/>
                      <w:lang w:val="en-US" w:eastAsia="zh-CN"/>
                    </w:rPr>
                  </w:pPr>
                  <w:r>
                    <w:rPr>
                      <w:rFonts w:hint="eastAsia" w:ascii="Times New Roman" w:hAnsi="Times New Roman"/>
                      <w:color w:val="auto"/>
                      <w:szCs w:val="21"/>
                      <w:highlight w:val="none"/>
                      <w:lang w:val="en-US" w:eastAsia="zh-CN"/>
                    </w:rPr>
                    <w:t>排放限值</w:t>
                  </w:r>
                </w:p>
              </w:tc>
              <w:tc>
                <w:tcPr>
                  <w:tcW w:w="2362" w:type="pct"/>
                  <w:tcBorders>
                    <w:tl2br w:val="nil"/>
                    <w:tr2bl w:val="nil"/>
                  </w:tcBorders>
                  <w:tcMar>
                    <w:top w:w="0" w:type="dxa"/>
                    <w:left w:w="108" w:type="dxa"/>
                    <w:bottom w:w="0" w:type="dxa"/>
                    <w:right w:w="108" w:type="dxa"/>
                  </w:tcMar>
                  <w:vAlign w:val="center"/>
                </w:tcPr>
                <w:p w14:paraId="3077CEBD">
                  <w:pPr>
                    <w:pStyle w:val="226"/>
                    <w:tabs>
                      <w:tab w:val="left" w:pos="0"/>
                    </w:tabs>
                    <w:rPr>
                      <w:rFonts w:ascii="Times New Roman" w:hAnsi="Times New Roman"/>
                      <w:color w:val="auto"/>
                      <w:szCs w:val="21"/>
                      <w:highlight w:val="none"/>
                    </w:rPr>
                  </w:pPr>
                  <w:r>
                    <w:rPr>
                      <w:rFonts w:ascii="Times New Roman" w:hAnsi="Times New Roman"/>
                      <w:color w:val="auto"/>
                      <w:szCs w:val="21"/>
                      <w:highlight w:val="none"/>
                    </w:rPr>
                    <w:t>标准来源</w:t>
                  </w:r>
                </w:p>
              </w:tc>
            </w:tr>
            <w:tr w14:paraId="757AC9F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exact"/>
                <w:jc w:val="center"/>
              </w:trPr>
              <w:tc>
                <w:tcPr>
                  <w:tcW w:w="717" w:type="pct"/>
                  <w:tcBorders>
                    <w:tl2br w:val="nil"/>
                    <w:tr2bl w:val="nil"/>
                  </w:tcBorders>
                  <w:tcMar>
                    <w:top w:w="0" w:type="dxa"/>
                    <w:left w:w="108" w:type="dxa"/>
                    <w:bottom w:w="0" w:type="dxa"/>
                    <w:right w:w="108" w:type="dxa"/>
                  </w:tcMar>
                  <w:vAlign w:val="center"/>
                </w:tcPr>
                <w:p w14:paraId="3D4988D0">
                  <w:pPr>
                    <w:pStyle w:val="226"/>
                    <w:tabs>
                      <w:tab w:val="left" w:pos="0"/>
                    </w:tabs>
                    <w:rPr>
                      <w:rFonts w:ascii="Times New Roman" w:hAnsi="Times New Roman"/>
                      <w:color w:val="auto"/>
                      <w:szCs w:val="21"/>
                      <w:highlight w:val="none"/>
                    </w:rPr>
                  </w:pPr>
                  <w:r>
                    <w:rPr>
                      <w:rFonts w:ascii="Times New Roman" w:hAnsi="Times New Roman"/>
                      <w:color w:val="auto"/>
                      <w:szCs w:val="21"/>
                      <w:highlight w:val="none"/>
                    </w:rPr>
                    <w:t>1</w:t>
                  </w:r>
                </w:p>
              </w:tc>
              <w:tc>
                <w:tcPr>
                  <w:tcW w:w="813" w:type="pct"/>
                  <w:tcBorders>
                    <w:tl2br w:val="nil"/>
                    <w:tr2bl w:val="nil"/>
                  </w:tcBorders>
                  <w:tcMar>
                    <w:top w:w="0" w:type="dxa"/>
                    <w:left w:w="108" w:type="dxa"/>
                    <w:bottom w:w="0" w:type="dxa"/>
                    <w:right w:w="108" w:type="dxa"/>
                  </w:tcMar>
                  <w:vAlign w:val="center"/>
                </w:tcPr>
                <w:p w14:paraId="363AE838">
                  <w:pPr>
                    <w:pStyle w:val="226"/>
                    <w:tabs>
                      <w:tab w:val="left" w:pos="0"/>
                    </w:tabs>
                    <w:rPr>
                      <w:rFonts w:ascii="Times New Roman" w:hAnsi="Times New Roman"/>
                      <w:color w:val="auto"/>
                      <w:szCs w:val="21"/>
                      <w:highlight w:val="none"/>
                    </w:rPr>
                  </w:pPr>
                  <w:r>
                    <w:rPr>
                      <w:rFonts w:ascii="Times New Roman" w:hAnsi="Times New Roman"/>
                      <w:color w:val="auto"/>
                      <w:szCs w:val="21"/>
                      <w:highlight w:val="none"/>
                    </w:rPr>
                    <w:t>pH</w:t>
                  </w:r>
                </w:p>
              </w:tc>
              <w:tc>
                <w:tcPr>
                  <w:tcW w:w="1107" w:type="pct"/>
                  <w:tcBorders>
                    <w:tl2br w:val="nil"/>
                    <w:tr2bl w:val="nil"/>
                  </w:tcBorders>
                  <w:tcMar>
                    <w:top w:w="0" w:type="dxa"/>
                    <w:left w:w="108" w:type="dxa"/>
                    <w:bottom w:w="0" w:type="dxa"/>
                    <w:right w:w="108" w:type="dxa"/>
                  </w:tcMar>
                  <w:vAlign w:val="center"/>
                </w:tcPr>
                <w:p w14:paraId="4D1B7976">
                  <w:pPr>
                    <w:pStyle w:val="226"/>
                    <w:tabs>
                      <w:tab w:val="left" w:pos="0"/>
                    </w:tabs>
                    <w:rPr>
                      <w:rFonts w:hint="eastAsia" w:ascii="Times New Roman" w:hAnsi="Times New Roman" w:eastAsia="宋体"/>
                      <w:color w:val="auto"/>
                      <w:szCs w:val="21"/>
                      <w:highlight w:val="none"/>
                      <w:lang w:eastAsia="zh-CN"/>
                    </w:rPr>
                  </w:pPr>
                  <w:r>
                    <w:rPr>
                      <w:rFonts w:ascii="Times New Roman" w:hAnsi="Times New Roman"/>
                      <w:color w:val="auto"/>
                      <w:szCs w:val="21"/>
                      <w:highlight w:val="none"/>
                    </w:rPr>
                    <w:t>6-9</w:t>
                  </w:r>
                  <w:r>
                    <w:rPr>
                      <w:rFonts w:hint="eastAsia" w:ascii="Times New Roman" w:hAnsi="Times New Roman"/>
                      <w:color w:val="auto"/>
                      <w:szCs w:val="21"/>
                      <w:highlight w:val="none"/>
                      <w:lang w:eastAsia="zh-CN"/>
                    </w:rPr>
                    <w:t>（</w:t>
                  </w:r>
                  <w:r>
                    <w:rPr>
                      <w:rFonts w:ascii="Times New Roman" w:hAnsi="Times New Roman"/>
                      <w:color w:val="auto"/>
                      <w:highlight w:val="none"/>
                    </w:rPr>
                    <w:t>无量纲</w:t>
                  </w:r>
                  <w:r>
                    <w:rPr>
                      <w:rFonts w:hint="eastAsia" w:ascii="Times New Roman" w:hAnsi="Times New Roman"/>
                      <w:color w:val="auto"/>
                      <w:szCs w:val="21"/>
                      <w:highlight w:val="none"/>
                      <w:lang w:eastAsia="zh-CN"/>
                    </w:rPr>
                    <w:t>）</w:t>
                  </w:r>
                </w:p>
              </w:tc>
              <w:tc>
                <w:tcPr>
                  <w:tcW w:w="2362" w:type="pct"/>
                  <w:vMerge w:val="restart"/>
                  <w:tcBorders>
                    <w:tl2br w:val="nil"/>
                    <w:tr2bl w:val="nil"/>
                  </w:tcBorders>
                  <w:tcMar>
                    <w:top w:w="0" w:type="dxa"/>
                    <w:left w:w="108" w:type="dxa"/>
                    <w:bottom w:w="0" w:type="dxa"/>
                    <w:right w:w="108" w:type="dxa"/>
                  </w:tcMar>
                  <w:vAlign w:val="center"/>
                </w:tcPr>
                <w:p w14:paraId="79B95BCF">
                  <w:pPr>
                    <w:pStyle w:val="226"/>
                    <w:tabs>
                      <w:tab w:val="left" w:pos="0"/>
                    </w:tabs>
                    <w:rPr>
                      <w:rFonts w:ascii="Times New Roman" w:hAnsi="Times New Roman"/>
                      <w:color w:val="auto"/>
                      <w:szCs w:val="21"/>
                      <w:highlight w:val="none"/>
                    </w:rPr>
                  </w:pPr>
                  <w:r>
                    <w:rPr>
                      <w:rFonts w:ascii="Times New Roman" w:hAnsi="Times New Roman"/>
                      <w:color w:val="auto"/>
                      <w:szCs w:val="21"/>
                      <w:highlight w:val="none"/>
                    </w:rPr>
                    <w:t>《污水综合排放标准》(GB8978－1996)表4三级</w:t>
                  </w:r>
                </w:p>
              </w:tc>
            </w:tr>
            <w:tr w14:paraId="773EA51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exact"/>
                <w:jc w:val="center"/>
              </w:trPr>
              <w:tc>
                <w:tcPr>
                  <w:tcW w:w="717" w:type="pct"/>
                  <w:tcBorders>
                    <w:tl2br w:val="nil"/>
                    <w:tr2bl w:val="nil"/>
                  </w:tcBorders>
                  <w:tcMar>
                    <w:top w:w="0" w:type="dxa"/>
                    <w:left w:w="108" w:type="dxa"/>
                    <w:bottom w:w="0" w:type="dxa"/>
                    <w:right w:w="108" w:type="dxa"/>
                  </w:tcMar>
                  <w:vAlign w:val="center"/>
                </w:tcPr>
                <w:p w14:paraId="3A4CFCAD">
                  <w:pPr>
                    <w:pStyle w:val="226"/>
                    <w:tabs>
                      <w:tab w:val="left" w:pos="0"/>
                    </w:tabs>
                    <w:rPr>
                      <w:rFonts w:ascii="Times New Roman" w:hAnsi="Times New Roman"/>
                      <w:color w:val="auto"/>
                      <w:szCs w:val="21"/>
                      <w:highlight w:val="none"/>
                    </w:rPr>
                  </w:pPr>
                  <w:r>
                    <w:rPr>
                      <w:rFonts w:ascii="Times New Roman" w:hAnsi="Times New Roman"/>
                      <w:color w:val="auto"/>
                      <w:szCs w:val="21"/>
                      <w:highlight w:val="none"/>
                    </w:rPr>
                    <w:t>2</w:t>
                  </w:r>
                </w:p>
              </w:tc>
              <w:tc>
                <w:tcPr>
                  <w:tcW w:w="813" w:type="pct"/>
                  <w:tcBorders>
                    <w:tl2br w:val="nil"/>
                    <w:tr2bl w:val="nil"/>
                  </w:tcBorders>
                  <w:tcMar>
                    <w:top w:w="0" w:type="dxa"/>
                    <w:left w:w="108" w:type="dxa"/>
                    <w:bottom w:w="0" w:type="dxa"/>
                    <w:right w:w="108" w:type="dxa"/>
                  </w:tcMar>
                  <w:vAlign w:val="center"/>
                </w:tcPr>
                <w:p w14:paraId="612EEC56">
                  <w:pPr>
                    <w:pStyle w:val="226"/>
                    <w:tabs>
                      <w:tab w:val="left" w:pos="0"/>
                    </w:tabs>
                    <w:rPr>
                      <w:rFonts w:ascii="Times New Roman" w:hAnsi="Times New Roman"/>
                      <w:color w:val="auto"/>
                      <w:szCs w:val="21"/>
                      <w:highlight w:val="none"/>
                    </w:rPr>
                  </w:pPr>
                  <w:r>
                    <w:rPr>
                      <w:rFonts w:ascii="Times New Roman" w:hAnsi="Times New Roman"/>
                      <w:color w:val="auto"/>
                      <w:szCs w:val="21"/>
                      <w:highlight w:val="none"/>
                    </w:rPr>
                    <w:t>COD</w:t>
                  </w:r>
                </w:p>
              </w:tc>
              <w:tc>
                <w:tcPr>
                  <w:tcW w:w="1107" w:type="pct"/>
                  <w:tcBorders>
                    <w:tl2br w:val="nil"/>
                    <w:tr2bl w:val="nil"/>
                  </w:tcBorders>
                  <w:tcMar>
                    <w:top w:w="0" w:type="dxa"/>
                    <w:left w:w="108" w:type="dxa"/>
                    <w:bottom w:w="0" w:type="dxa"/>
                    <w:right w:w="108" w:type="dxa"/>
                  </w:tcMar>
                  <w:vAlign w:val="center"/>
                </w:tcPr>
                <w:p w14:paraId="0BBC8C2B">
                  <w:pPr>
                    <w:pStyle w:val="226"/>
                    <w:tabs>
                      <w:tab w:val="left" w:pos="0"/>
                    </w:tabs>
                    <w:rPr>
                      <w:rFonts w:ascii="Times New Roman" w:hAnsi="Times New Roman"/>
                      <w:color w:val="auto"/>
                      <w:szCs w:val="21"/>
                      <w:highlight w:val="none"/>
                    </w:rPr>
                  </w:pPr>
                  <w:r>
                    <w:rPr>
                      <w:rFonts w:ascii="Times New Roman" w:hAnsi="Times New Roman"/>
                      <w:color w:val="auto"/>
                      <w:szCs w:val="21"/>
                      <w:highlight w:val="none"/>
                    </w:rPr>
                    <w:t>500mg/L</w:t>
                  </w:r>
                </w:p>
              </w:tc>
              <w:tc>
                <w:tcPr>
                  <w:tcW w:w="2362" w:type="pct"/>
                  <w:vMerge w:val="continue"/>
                  <w:tcBorders>
                    <w:tl2br w:val="nil"/>
                    <w:tr2bl w:val="nil"/>
                  </w:tcBorders>
                  <w:tcMar>
                    <w:top w:w="0" w:type="dxa"/>
                    <w:left w:w="108" w:type="dxa"/>
                    <w:bottom w:w="0" w:type="dxa"/>
                    <w:right w:w="108" w:type="dxa"/>
                  </w:tcMar>
                  <w:vAlign w:val="center"/>
                </w:tcPr>
                <w:p w14:paraId="2A9A8374">
                  <w:pPr>
                    <w:pStyle w:val="226"/>
                    <w:tabs>
                      <w:tab w:val="left" w:pos="0"/>
                    </w:tabs>
                    <w:rPr>
                      <w:rFonts w:ascii="Times New Roman" w:hAnsi="Times New Roman"/>
                      <w:color w:val="auto"/>
                      <w:szCs w:val="21"/>
                      <w:highlight w:val="none"/>
                    </w:rPr>
                  </w:pPr>
                </w:p>
              </w:tc>
            </w:tr>
            <w:tr w14:paraId="5D14645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exact"/>
                <w:jc w:val="center"/>
              </w:trPr>
              <w:tc>
                <w:tcPr>
                  <w:tcW w:w="717" w:type="pct"/>
                  <w:tcBorders>
                    <w:tl2br w:val="nil"/>
                    <w:tr2bl w:val="nil"/>
                  </w:tcBorders>
                  <w:tcMar>
                    <w:top w:w="0" w:type="dxa"/>
                    <w:left w:w="108" w:type="dxa"/>
                    <w:bottom w:w="0" w:type="dxa"/>
                    <w:right w:w="108" w:type="dxa"/>
                  </w:tcMar>
                  <w:vAlign w:val="center"/>
                </w:tcPr>
                <w:p w14:paraId="39F89A90">
                  <w:pPr>
                    <w:pStyle w:val="226"/>
                    <w:tabs>
                      <w:tab w:val="left" w:pos="0"/>
                    </w:tabs>
                    <w:rPr>
                      <w:rFonts w:ascii="Times New Roman" w:hAnsi="Times New Roman"/>
                      <w:color w:val="auto"/>
                      <w:szCs w:val="21"/>
                      <w:highlight w:val="none"/>
                    </w:rPr>
                  </w:pPr>
                  <w:r>
                    <w:rPr>
                      <w:rFonts w:ascii="Times New Roman" w:hAnsi="Times New Roman"/>
                      <w:color w:val="auto"/>
                      <w:szCs w:val="21"/>
                      <w:highlight w:val="none"/>
                    </w:rPr>
                    <w:t>3</w:t>
                  </w:r>
                </w:p>
              </w:tc>
              <w:tc>
                <w:tcPr>
                  <w:tcW w:w="813" w:type="pct"/>
                  <w:tcBorders>
                    <w:tl2br w:val="nil"/>
                    <w:tr2bl w:val="nil"/>
                  </w:tcBorders>
                  <w:tcMar>
                    <w:top w:w="0" w:type="dxa"/>
                    <w:left w:w="108" w:type="dxa"/>
                    <w:bottom w:w="0" w:type="dxa"/>
                    <w:right w:w="108" w:type="dxa"/>
                  </w:tcMar>
                  <w:vAlign w:val="center"/>
                </w:tcPr>
                <w:p w14:paraId="670B6316">
                  <w:pPr>
                    <w:pStyle w:val="226"/>
                    <w:tabs>
                      <w:tab w:val="left" w:pos="0"/>
                    </w:tabs>
                    <w:rPr>
                      <w:rFonts w:ascii="Times New Roman" w:hAnsi="Times New Roman"/>
                      <w:color w:val="auto"/>
                      <w:szCs w:val="21"/>
                      <w:highlight w:val="none"/>
                    </w:rPr>
                  </w:pPr>
                  <w:r>
                    <w:rPr>
                      <w:rFonts w:ascii="Times New Roman" w:hAnsi="Times New Roman"/>
                      <w:color w:val="auto"/>
                      <w:szCs w:val="21"/>
                      <w:highlight w:val="none"/>
                    </w:rPr>
                    <w:t>BOD</w:t>
                  </w:r>
                  <w:r>
                    <w:rPr>
                      <w:rFonts w:ascii="Times New Roman" w:hAnsi="Times New Roman"/>
                      <w:color w:val="auto"/>
                      <w:szCs w:val="21"/>
                      <w:highlight w:val="none"/>
                      <w:vertAlign w:val="subscript"/>
                    </w:rPr>
                    <w:t>5</w:t>
                  </w:r>
                </w:p>
              </w:tc>
              <w:tc>
                <w:tcPr>
                  <w:tcW w:w="1107" w:type="pct"/>
                  <w:tcBorders>
                    <w:tl2br w:val="nil"/>
                    <w:tr2bl w:val="nil"/>
                  </w:tcBorders>
                  <w:tcMar>
                    <w:top w:w="0" w:type="dxa"/>
                    <w:left w:w="108" w:type="dxa"/>
                    <w:bottom w:w="0" w:type="dxa"/>
                    <w:right w:w="108" w:type="dxa"/>
                  </w:tcMar>
                  <w:vAlign w:val="center"/>
                </w:tcPr>
                <w:p w14:paraId="642EAF3C">
                  <w:pPr>
                    <w:pStyle w:val="226"/>
                    <w:tabs>
                      <w:tab w:val="left" w:pos="0"/>
                    </w:tabs>
                    <w:rPr>
                      <w:rFonts w:ascii="Times New Roman" w:hAnsi="Times New Roman"/>
                      <w:color w:val="auto"/>
                      <w:szCs w:val="21"/>
                      <w:highlight w:val="none"/>
                    </w:rPr>
                  </w:pPr>
                  <w:r>
                    <w:rPr>
                      <w:rFonts w:hint="eastAsia" w:ascii="Times New Roman" w:hAnsi="Times New Roman"/>
                      <w:color w:val="auto"/>
                      <w:szCs w:val="21"/>
                      <w:highlight w:val="none"/>
                    </w:rPr>
                    <w:t>300</w:t>
                  </w:r>
                  <w:r>
                    <w:rPr>
                      <w:rFonts w:ascii="Times New Roman" w:hAnsi="Times New Roman"/>
                      <w:color w:val="auto"/>
                      <w:szCs w:val="21"/>
                      <w:highlight w:val="none"/>
                    </w:rPr>
                    <w:t>mg/L</w:t>
                  </w:r>
                </w:p>
              </w:tc>
              <w:tc>
                <w:tcPr>
                  <w:tcW w:w="2362" w:type="pct"/>
                  <w:vMerge w:val="continue"/>
                  <w:tcBorders>
                    <w:tl2br w:val="nil"/>
                    <w:tr2bl w:val="nil"/>
                  </w:tcBorders>
                  <w:tcMar>
                    <w:top w:w="0" w:type="dxa"/>
                    <w:left w:w="108" w:type="dxa"/>
                    <w:bottom w:w="0" w:type="dxa"/>
                    <w:right w:w="108" w:type="dxa"/>
                  </w:tcMar>
                  <w:vAlign w:val="center"/>
                </w:tcPr>
                <w:p w14:paraId="55B2B29C">
                  <w:pPr>
                    <w:pStyle w:val="226"/>
                    <w:tabs>
                      <w:tab w:val="left" w:pos="0"/>
                    </w:tabs>
                    <w:rPr>
                      <w:rFonts w:ascii="Times New Roman" w:hAnsi="Times New Roman"/>
                      <w:color w:val="auto"/>
                      <w:szCs w:val="21"/>
                      <w:highlight w:val="none"/>
                    </w:rPr>
                  </w:pPr>
                </w:p>
              </w:tc>
            </w:tr>
            <w:tr w14:paraId="1D7E87F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397" w:hRule="exact"/>
                <w:jc w:val="center"/>
              </w:trPr>
              <w:tc>
                <w:tcPr>
                  <w:tcW w:w="717" w:type="pct"/>
                  <w:tcBorders>
                    <w:tl2br w:val="nil"/>
                    <w:tr2bl w:val="nil"/>
                  </w:tcBorders>
                  <w:tcMar>
                    <w:top w:w="0" w:type="dxa"/>
                    <w:left w:w="108" w:type="dxa"/>
                    <w:bottom w:w="0" w:type="dxa"/>
                    <w:right w:w="108" w:type="dxa"/>
                  </w:tcMar>
                  <w:vAlign w:val="center"/>
                </w:tcPr>
                <w:p w14:paraId="4744441F">
                  <w:pPr>
                    <w:pStyle w:val="226"/>
                    <w:tabs>
                      <w:tab w:val="left" w:pos="0"/>
                    </w:tabs>
                    <w:rPr>
                      <w:rFonts w:ascii="Times New Roman" w:hAnsi="Times New Roman"/>
                      <w:color w:val="auto"/>
                      <w:szCs w:val="21"/>
                      <w:highlight w:val="none"/>
                    </w:rPr>
                  </w:pPr>
                  <w:r>
                    <w:rPr>
                      <w:rFonts w:ascii="Times New Roman" w:hAnsi="Times New Roman"/>
                      <w:color w:val="auto"/>
                      <w:szCs w:val="21"/>
                      <w:highlight w:val="none"/>
                    </w:rPr>
                    <w:t>4</w:t>
                  </w:r>
                </w:p>
              </w:tc>
              <w:tc>
                <w:tcPr>
                  <w:tcW w:w="813" w:type="pct"/>
                  <w:tcBorders>
                    <w:tl2br w:val="nil"/>
                    <w:tr2bl w:val="nil"/>
                  </w:tcBorders>
                  <w:tcMar>
                    <w:top w:w="0" w:type="dxa"/>
                    <w:left w:w="108" w:type="dxa"/>
                    <w:bottom w:w="0" w:type="dxa"/>
                    <w:right w:w="108" w:type="dxa"/>
                  </w:tcMar>
                  <w:vAlign w:val="center"/>
                </w:tcPr>
                <w:p w14:paraId="38AC2591">
                  <w:pPr>
                    <w:pStyle w:val="226"/>
                    <w:tabs>
                      <w:tab w:val="left" w:pos="0"/>
                    </w:tabs>
                    <w:rPr>
                      <w:rFonts w:ascii="Times New Roman" w:hAnsi="Times New Roman"/>
                      <w:color w:val="auto"/>
                      <w:szCs w:val="21"/>
                      <w:highlight w:val="none"/>
                    </w:rPr>
                  </w:pPr>
                  <w:r>
                    <w:rPr>
                      <w:rFonts w:ascii="Times New Roman" w:hAnsi="Times New Roman"/>
                      <w:color w:val="auto"/>
                      <w:szCs w:val="21"/>
                      <w:highlight w:val="none"/>
                    </w:rPr>
                    <w:t>SS</w:t>
                  </w:r>
                </w:p>
              </w:tc>
              <w:tc>
                <w:tcPr>
                  <w:tcW w:w="1107" w:type="pct"/>
                  <w:tcBorders>
                    <w:tl2br w:val="nil"/>
                    <w:tr2bl w:val="nil"/>
                  </w:tcBorders>
                  <w:tcMar>
                    <w:top w:w="0" w:type="dxa"/>
                    <w:left w:w="108" w:type="dxa"/>
                    <w:bottom w:w="0" w:type="dxa"/>
                    <w:right w:w="108" w:type="dxa"/>
                  </w:tcMar>
                  <w:vAlign w:val="center"/>
                </w:tcPr>
                <w:p w14:paraId="4491DAD7">
                  <w:pPr>
                    <w:pStyle w:val="226"/>
                    <w:tabs>
                      <w:tab w:val="left" w:pos="0"/>
                    </w:tabs>
                    <w:rPr>
                      <w:rFonts w:ascii="Times New Roman" w:hAnsi="Times New Roman"/>
                      <w:color w:val="auto"/>
                      <w:szCs w:val="21"/>
                      <w:highlight w:val="none"/>
                    </w:rPr>
                  </w:pPr>
                  <w:r>
                    <w:rPr>
                      <w:rFonts w:hint="eastAsia" w:ascii="Times New Roman" w:hAnsi="Times New Roman"/>
                      <w:color w:val="auto"/>
                      <w:szCs w:val="21"/>
                      <w:highlight w:val="none"/>
                    </w:rPr>
                    <w:t>4</w:t>
                  </w:r>
                  <w:r>
                    <w:rPr>
                      <w:rFonts w:ascii="Times New Roman" w:hAnsi="Times New Roman"/>
                      <w:color w:val="auto"/>
                      <w:szCs w:val="21"/>
                      <w:highlight w:val="none"/>
                    </w:rPr>
                    <w:t>00mg/L</w:t>
                  </w:r>
                </w:p>
              </w:tc>
              <w:tc>
                <w:tcPr>
                  <w:tcW w:w="2362" w:type="pct"/>
                  <w:vMerge w:val="continue"/>
                  <w:tcBorders>
                    <w:tl2br w:val="nil"/>
                    <w:tr2bl w:val="nil"/>
                  </w:tcBorders>
                  <w:tcMar>
                    <w:top w:w="0" w:type="dxa"/>
                    <w:left w:w="108" w:type="dxa"/>
                    <w:bottom w:w="0" w:type="dxa"/>
                    <w:right w:w="108" w:type="dxa"/>
                  </w:tcMar>
                  <w:vAlign w:val="center"/>
                </w:tcPr>
                <w:p w14:paraId="7128B195">
                  <w:pPr>
                    <w:pStyle w:val="226"/>
                    <w:tabs>
                      <w:tab w:val="left" w:pos="0"/>
                    </w:tabs>
                    <w:rPr>
                      <w:rFonts w:ascii="Times New Roman" w:hAnsi="Times New Roman"/>
                      <w:color w:val="auto"/>
                      <w:szCs w:val="21"/>
                      <w:highlight w:val="none"/>
                    </w:rPr>
                  </w:pPr>
                </w:p>
              </w:tc>
            </w:tr>
            <w:tr w14:paraId="1AEA8C4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trHeight w:val="662" w:hRule="exact"/>
                <w:jc w:val="center"/>
              </w:trPr>
              <w:tc>
                <w:tcPr>
                  <w:tcW w:w="717" w:type="pct"/>
                  <w:tcBorders>
                    <w:tl2br w:val="nil"/>
                    <w:tr2bl w:val="nil"/>
                  </w:tcBorders>
                  <w:tcMar>
                    <w:top w:w="0" w:type="dxa"/>
                    <w:left w:w="108" w:type="dxa"/>
                    <w:bottom w:w="0" w:type="dxa"/>
                    <w:right w:w="108" w:type="dxa"/>
                  </w:tcMar>
                  <w:vAlign w:val="center"/>
                </w:tcPr>
                <w:p w14:paraId="470FCC8A">
                  <w:pPr>
                    <w:pStyle w:val="226"/>
                    <w:tabs>
                      <w:tab w:val="left" w:pos="0"/>
                    </w:tabs>
                    <w:rPr>
                      <w:rFonts w:hint="eastAsia" w:ascii="Times New Roman" w:hAnsi="Times New Roman" w:eastAsia="宋体"/>
                      <w:color w:val="auto"/>
                      <w:szCs w:val="21"/>
                      <w:highlight w:val="none"/>
                      <w:lang w:eastAsia="zh-CN"/>
                    </w:rPr>
                  </w:pPr>
                  <w:r>
                    <w:rPr>
                      <w:rFonts w:hint="eastAsia" w:ascii="Times New Roman" w:hAnsi="Times New Roman"/>
                      <w:color w:val="auto"/>
                      <w:szCs w:val="21"/>
                      <w:highlight w:val="none"/>
                      <w:lang w:val="en-US" w:eastAsia="zh-CN"/>
                    </w:rPr>
                    <w:t>5</w:t>
                  </w:r>
                </w:p>
              </w:tc>
              <w:tc>
                <w:tcPr>
                  <w:tcW w:w="813" w:type="pct"/>
                  <w:tcBorders>
                    <w:tl2br w:val="nil"/>
                    <w:tr2bl w:val="nil"/>
                  </w:tcBorders>
                  <w:tcMar>
                    <w:top w:w="0" w:type="dxa"/>
                    <w:left w:w="108" w:type="dxa"/>
                    <w:bottom w:w="0" w:type="dxa"/>
                    <w:right w:w="108" w:type="dxa"/>
                  </w:tcMar>
                  <w:vAlign w:val="center"/>
                </w:tcPr>
                <w:p w14:paraId="3A62F4B2">
                  <w:pPr>
                    <w:pStyle w:val="226"/>
                    <w:tabs>
                      <w:tab w:val="left" w:pos="0"/>
                    </w:tabs>
                    <w:rPr>
                      <w:rFonts w:ascii="Times New Roman" w:hAnsi="Times New Roman"/>
                      <w:color w:val="auto"/>
                      <w:szCs w:val="21"/>
                      <w:highlight w:val="none"/>
                    </w:rPr>
                  </w:pPr>
                  <w:r>
                    <w:rPr>
                      <w:rFonts w:ascii="Times New Roman" w:hAnsi="Times New Roman"/>
                      <w:color w:val="auto"/>
                      <w:szCs w:val="21"/>
                      <w:highlight w:val="none"/>
                    </w:rPr>
                    <w:t>氨氮</w:t>
                  </w:r>
                </w:p>
              </w:tc>
              <w:tc>
                <w:tcPr>
                  <w:tcW w:w="1107" w:type="pct"/>
                  <w:tcBorders>
                    <w:tl2br w:val="nil"/>
                    <w:tr2bl w:val="nil"/>
                  </w:tcBorders>
                  <w:tcMar>
                    <w:top w:w="0" w:type="dxa"/>
                    <w:left w:w="108" w:type="dxa"/>
                    <w:bottom w:w="0" w:type="dxa"/>
                    <w:right w:w="108" w:type="dxa"/>
                  </w:tcMar>
                  <w:vAlign w:val="center"/>
                </w:tcPr>
                <w:p w14:paraId="17F35827">
                  <w:pPr>
                    <w:pStyle w:val="226"/>
                    <w:tabs>
                      <w:tab w:val="left" w:pos="0"/>
                    </w:tabs>
                    <w:rPr>
                      <w:rFonts w:ascii="Times New Roman" w:hAnsi="Times New Roman"/>
                      <w:color w:val="auto"/>
                      <w:szCs w:val="21"/>
                      <w:highlight w:val="none"/>
                    </w:rPr>
                  </w:pPr>
                  <w:r>
                    <w:rPr>
                      <w:rFonts w:ascii="Times New Roman" w:hAnsi="Times New Roman"/>
                      <w:color w:val="auto"/>
                      <w:szCs w:val="21"/>
                      <w:highlight w:val="none"/>
                    </w:rPr>
                    <w:t>45mg/L</w:t>
                  </w:r>
                </w:p>
              </w:tc>
              <w:tc>
                <w:tcPr>
                  <w:tcW w:w="2362" w:type="pct"/>
                  <w:tcBorders>
                    <w:tl2br w:val="nil"/>
                    <w:tr2bl w:val="nil"/>
                  </w:tcBorders>
                  <w:tcMar>
                    <w:top w:w="0" w:type="dxa"/>
                    <w:left w:w="108" w:type="dxa"/>
                    <w:bottom w:w="0" w:type="dxa"/>
                    <w:right w:w="108" w:type="dxa"/>
                  </w:tcMar>
                  <w:vAlign w:val="center"/>
                </w:tcPr>
                <w:p w14:paraId="1A7D8924">
                  <w:pPr>
                    <w:pStyle w:val="226"/>
                    <w:tabs>
                      <w:tab w:val="left" w:pos="0"/>
                    </w:tabs>
                    <w:jc w:val="center"/>
                    <w:rPr>
                      <w:rFonts w:ascii="Times New Roman" w:hAnsi="Times New Roman"/>
                      <w:color w:val="auto"/>
                      <w:szCs w:val="21"/>
                      <w:highlight w:val="none"/>
                    </w:rPr>
                  </w:pPr>
                  <w:r>
                    <w:rPr>
                      <w:rFonts w:ascii="Times New Roman" w:hAnsi="Times New Roman"/>
                      <w:color w:val="auto"/>
                      <w:szCs w:val="21"/>
                      <w:highlight w:val="none"/>
                    </w:rPr>
                    <w:t>《污水排入城镇下水道水质标准》(GB/T31962-2015)表1的B等级</w:t>
                  </w:r>
                </w:p>
              </w:tc>
            </w:tr>
          </w:tbl>
          <w:p w14:paraId="2D4B2053">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（2）污水厂排放标准</w:t>
            </w:r>
          </w:p>
          <w:p w14:paraId="28985C96">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根据调查，</w:t>
            </w:r>
            <w:r>
              <w:rPr>
                <w:rFonts w:hint="eastAsia" w:cs="宋体"/>
                <w:color w:val="auto"/>
                <w:kern w:val="2"/>
                <w:sz w:val="24"/>
                <w:szCs w:val="24"/>
                <w:lang w:val="en-US" w:eastAsia="zh-CN" w:bidi="ar-SA"/>
              </w:rPr>
              <w:t>闽侯县城关污水处理厂</w:t>
            </w:r>
            <w:r>
              <w:rPr>
                <w:rFonts w:hint="eastAsia" w:ascii="Times New Roman" w:hAnsi="Times New Roman" w:eastAsia="宋体" w:cs="宋体"/>
                <w:color w:val="auto"/>
                <w:kern w:val="2"/>
                <w:sz w:val="24"/>
                <w:szCs w:val="24"/>
                <w:lang w:val="en-US" w:eastAsia="zh-CN" w:bidi="ar-SA"/>
              </w:rPr>
              <w:t>尾水排放执行《城镇污水处理厂污染物排放标准》（GB18918-2002）及其修改单表1的一级A标准，具体详见表3.7-2。</w:t>
            </w:r>
          </w:p>
          <w:p w14:paraId="4AA29DA4">
            <w:pPr>
              <w:widowControl w:val="0"/>
              <w:bidi w:val="0"/>
              <w:adjustRightInd w:val="0"/>
              <w:snapToGrid w:val="0"/>
              <w:spacing w:before="10" w:beforeLines="10" w:after="10" w:afterLines="10"/>
              <w:jc w:val="center"/>
              <w:rPr>
                <w:rFonts w:hint="eastAsia" w:ascii="Times New Roman" w:hAnsi="Times New Roman" w:eastAsia="宋体" w:cs="Times New Roman"/>
                <w:b/>
                <w:color w:val="auto"/>
                <w:kern w:val="0"/>
                <w:sz w:val="24"/>
                <w:szCs w:val="20"/>
                <w:lang w:val="en-US" w:eastAsia="zh-CN" w:bidi="ar-SA"/>
              </w:rPr>
            </w:pPr>
            <w:r>
              <w:rPr>
                <w:rFonts w:hint="eastAsia" w:ascii="Times New Roman" w:hAnsi="Times New Roman" w:eastAsia="宋体" w:cs="Times New Roman"/>
                <w:b/>
                <w:color w:val="auto"/>
                <w:kern w:val="0"/>
                <w:sz w:val="24"/>
                <w:szCs w:val="20"/>
                <w:lang w:val="en-US" w:eastAsia="zh-CN" w:bidi="ar-SA"/>
              </w:rPr>
              <w:t>表3.7-2污水处理厂尾水排放标准</w:t>
            </w:r>
          </w:p>
          <w:tbl>
            <w:tblPr>
              <w:tblStyle w:val="3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9"/>
              <w:gridCol w:w="2945"/>
              <w:gridCol w:w="2104"/>
              <w:gridCol w:w="2104"/>
            </w:tblGrid>
            <w:tr w14:paraId="0A62B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8" w:type="pct"/>
                  <w:noWrap w:val="0"/>
                  <w:vAlign w:val="center"/>
                </w:tcPr>
                <w:p w14:paraId="3637960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序号</w:t>
                  </w:r>
                </w:p>
              </w:tc>
              <w:tc>
                <w:tcPr>
                  <w:tcW w:w="1750" w:type="pct"/>
                  <w:noWrap w:val="0"/>
                  <w:vAlign w:val="center"/>
                </w:tcPr>
                <w:p w14:paraId="254ED09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污染物名称</w:t>
                  </w:r>
                </w:p>
              </w:tc>
              <w:tc>
                <w:tcPr>
                  <w:tcW w:w="1250" w:type="pct"/>
                  <w:noWrap w:val="0"/>
                  <w:vAlign w:val="center"/>
                </w:tcPr>
                <w:p w14:paraId="6644CDE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一级标准A标准</w:t>
                  </w:r>
                </w:p>
              </w:tc>
              <w:tc>
                <w:tcPr>
                  <w:tcW w:w="1250" w:type="pct"/>
                  <w:noWrap w:val="0"/>
                  <w:vAlign w:val="center"/>
                </w:tcPr>
                <w:p w14:paraId="3441EBF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标准来源</w:t>
                  </w:r>
                </w:p>
              </w:tc>
            </w:tr>
            <w:tr w14:paraId="55496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8" w:type="pct"/>
                  <w:noWrap w:val="0"/>
                  <w:vAlign w:val="center"/>
                </w:tcPr>
                <w:p w14:paraId="492F7F6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1</w:t>
                  </w:r>
                </w:p>
              </w:tc>
              <w:tc>
                <w:tcPr>
                  <w:tcW w:w="1750" w:type="pct"/>
                  <w:noWrap w:val="0"/>
                  <w:vAlign w:val="center"/>
                </w:tcPr>
                <w:p w14:paraId="7277F26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pH值</w:t>
                  </w:r>
                </w:p>
              </w:tc>
              <w:tc>
                <w:tcPr>
                  <w:tcW w:w="1250" w:type="pct"/>
                  <w:noWrap w:val="0"/>
                  <w:vAlign w:val="center"/>
                </w:tcPr>
                <w:p w14:paraId="0B5C364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ascii="Times New Roman" w:hAnsi="Times New Roman" w:eastAsia="宋体" w:cs="Times New Roman"/>
                      <w:color w:val="auto"/>
                      <w:kern w:val="0"/>
                      <w:sz w:val="21"/>
                      <w:szCs w:val="20"/>
                      <w:lang w:val="en-US" w:eastAsia="zh-CN" w:bidi="ar-SA"/>
                    </w:rPr>
                    <w:t>6～9</w:t>
                  </w:r>
                  <w:r>
                    <w:rPr>
                      <w:rFonts w:hint="eastAsia" w:ascii="Times New Roman" w:hAnsi="Times New Roman" w:eastAsia="宋体" w:cs="Times New Roman"/>
                      <w:color w:val="auto"/>
                      <w:kern w:val="0"/>
                      <w:sz w:val="21"/>
                      <w:szCs w:val="20"/>
                      <w:lang w:val="en-US" w:eastAsia="zh-CN" w:bidi="ar-SA"/>
                    </w:rPr>
                    <w:t>（</w:t>
                  </w:r>
                  <w:r>
                    <w:rPr>
                      <w:rFonts w:ascii="Times New Roman" w:hAnsi="Times New Roman" w:eastAsia="宋体" w:cs="Times New Roman"/>
                      <w:color w:val="auto"/>
                      <w:kern w:val="0"/>
                      <w:sz w:val="21"/>
                      <w:szCs w:val="20"/>
                      <w:lang w:val="en-US" w:eastAsia="zh-CN" w:bidi="ar-SA"/>
                    </w:rPr>
                    <w:t>无量纲</w:t>
                  </w:r>
                  <w:r>
                    <w:rPr>
                      <w:rFonts w:hint="eastAsia" w:ascii="Times New Roman" w:hAnsi="Times New Roman" w:eastAsia="宋体" w:cs="Times New Roman"/>
                      <w:color w:val="auto"/>
                      <w:kern w:val="0"/>
                      <w:sz w:val="21"/>
                      <w:szCs w:val="20"/>
                      <w:lang w:val="en-US" w:eastAsia="zh-CN" w:bidi="ar-SA"/>
                    </w:rPr>
                    <w:t>）</w:t>
                  </w:r>
                </w:p>
              </w:tc>
              <w:tc>
                <w:tcPr>
                  <w:tcW w:w="1250" w:type="pct"/>
                  <w:vMerge w:val="restart"/>
                  <w:noWrap w:val="0"/>
                  <w:vAlign w:val="center"/>
                </w:tcPr>
                <w:p w14:paraId="6B7E9FBA">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《城镇污水处理厂污染物排放标准》（GB18918-2002）及其修改单表1的一级标准</w:t>
                  </w:r>
                  <w:r>
                    <w:rPr>
                      <w:rFonts w:hint="eastAsia" w:ascii="Times New Roman" w:hAnsi="Times New Roman" w:eastAsia="宋体" w:cs="Times New Roman"/>
                      <w:color w:val="auto"/>
                      <w:kern w:val="0"/>
                      <w:sz w:val="21"/>
                      <w:szCs w:val="20"/>
                      <w:lang w:val="en-US" w:eastAsia="zh-CN" w:bidi="ar-SA"/>
                    </w:rPr>
                    <w:t>A</w:t>
                  </w:r>
                  <w:r>
                    <w:rPr>
                      <w:rFonts w:hint="default" w:ascii="Times New Roman" w:hAnsi="Times New Roman" w:eastAsia="宋体" w:cs="Times New Roman"/>
                      <w:color w:val="auto"/>
                      <w:kern w:val="0"/>
                      <w:sz w:val="21"/>
                      <w:szCs w:val="20"/>
                      <w:lang w:val="en-US" w:eastAsia="zh-CN" w:bidi="ar-SA"/>
                    </w:rPr>
                    <w:t>标准</w:t>
                  </w:r>
                </w:p>
              </w:tc>
            </w:tr>
            <w:tr w14:paraId="336BE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8" w:type="pct"/>
                  <w:noWrap w:val="0"/>
                  <w:vAlign w:val="center"/>
                </w:tcPr>
                <w:p w14:paraId="4B9A193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2</w:t>
                  </w:r>
                </w:p>
              </w:tc>
              <w:tc>
                <w:tcPr>
                  <w:tcW w:w="1750" w:type="pct"/>
                  <w:noWrap w:val="0"/>
                  <w:vAlign w:val="center"/>
                </w:tcPr>
                <w:p w14:paraId="73BB730D">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COD</w:t>
                  </w:r>
                </w:p>
              </w:tc>
              <w:tc>
                <w:tcPr>
                  <w:tcW w:w="1250" w:type="pct"/>
                  <w:noWrap w:val="0"/>
                  <w:vAlign w:val="center"/>
                </w:tcPr>
                <w:p w14:paraId="4EC8AD6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5</w:t>
                  </w:r>
                  <w:r>
                    <w:rPr>
                      <w:rFonts w:ascii="Times New Roman" w:hAnsi="Times New Roman" w:eastAsia="宋体" w:cs="Times New Roman"/>
                      <w:color w:val="auto"/>
                      <w:kern w:val="0"/>
                      <w:sz w:val="21"/>
                      <w:szCs w:val="20"/>
                      <w:lang w:val="en-US" w:eastAsia="zh-CN" w:bidi="ar-SA"/>
                    </w:rPr>
                    <w:t>0mg/L</w:t>
                  </w:r>
                </w:p>
              </w:tc>
              <w:tc>
                <w:tcPr>
                  <w:tcW w:w="1250" w:type="pct"/>
                  <w:vMerge w:val="continue"/>
                  <w:noWrap w:val="0"/>
                  <w:vAlign w:val="center"/>
                </w:tcPr>
                <w:p w14:paraId="544720D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p>
              </w:tc>
            </w:tr>
            <w:tr w14:paraId="3D001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8" w:type="pct"/>
                  <w:noWrap w:val="0"/>
                  <w:vAlign w:val="center"/>
                </w:tcPr>
                <w:p w14:paraId="5B89782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3</w:t>
                  </w:r>
                </w:p>
              </w:tc>
              <w:tc>
                <w:tcPr>
                  <w:tcW w:w="1750" w:type="pct"/>
                  <w:noWrap w:val="0"/>
                  <w:vAlign w:val="center"/>
                </w:tcPr>
                <w:p w14:paraId="3C37C27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BOD</w:t>
                  </w:r>
                  <w:r>
                    <w:rPr>
                      <w:rFonts w:hint="eastAsia" w:ascii="Times New Roman" w:hAnsi="Times New Roman" w:eastAsia="宋体" w:cs="Times New Roman"/>
                      <w:color w:val="auto"/>
                      <w:kern w:val="0"/>
                      <w:sz w:val="21"/>
                      <w:szCs w:val="20"/>
                      <w:vertAlign w:val="subscript"/>
                      <w:lang w:val="en-US" w:eastAsia="zh-CN" w:bidi="ar-SA"/>
                    </w:rPr>
                    <w:t>5</w:t>
                  </w:r>
                </w:p>
              </w:tc>
              <w:tc>
                <w:tcPr>
                  <w:tcW w:w="1250" w:type="pct"/>
                  <w:noWrap w:val="0"/>
                  <w:vAlign w:val="center"/>
                </w:tcPr>
                <w:p w14:paraId="54B826D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1</w:t>
                  </w:r>
                  <w:r>
                    <w:rPr>
                      <w:rFonts w:ascii="Times New Roman" w:hAnsi="Times New Roman" w:eastAsia="宋体" w:cs="Times New Roman"/>
                      <w:color w:val="auto"/>
                      <w:kern w:val="0"/>
                      <w:sz w:val="21"/>
                      <w:szCs w:val="20"/>
                      <w:lang w:val="en-US" w:eastAsia="zh-CN" w:bidi="ar-SA"/>
                    </w:rPr>
                    <w:t>0mg/L</w:t>
                  </w:r>
                </w:p>
              </w:tc>
              <w:tc>
                <w:tcPr>
                  <w:tcW w:w="1250" w:type="pct"/>
                  <w:vMerge w:val="continue"/>
                  <w:noWrap w:val="0"/>
                  <w:vAlign w:val="center"/>
                </w:tcPr>
                <w:p w14:paraId="50B9493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p>
              </w:tc>
            </w:tr>
            <w:tr w14:paraId="3C16A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8" w:type="pct"/>
                  <w:noWrap w:val="0"/>
                  <w:vAlign w:val="center"/>
                </w:tcPr>
                <w:p w14:paraId="7F93656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4</w:t>
                  </w:r>
                </w:p>
              </w:tc>
              <w:tc>
                <w:tcPr>
                  <w:tcW w:w="1750" w:type="pct"/>
                  <w:noWrap w:val="0"/>
                  <w:vAlign w:val="center"/>
                </w:tcPr>
                <w:p w14:paraId="0C75364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SS</w:t>
                  </w:r>
                </w:p>
              </w:tc>
              <w:tc>
                <w:tcPr>
                  <w:tcW w:w="1250" w:type="pct"/>
                  <w:noWrap w:val="0"/>
                  <w:vAlign w:val="center"/>
                </w:tcPr>
                <w:p w14:paraId="4C2D83B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1</w:t>
                  </w:r>
                  <w:r>
                    <w:rPr>
                      <w:rFonts w:ascii="Times New Roman" w:hAnsi="Times New Roman" w:eastAsia="宋体" w:cs="Times New Roman"/>
                      <w:color w:val="auto"/>
                      <w:kern w:val="0"/>
                      <w:sz w:val="21"/>
                      <w:szCs w:val="20"/>
                      <w:lang w:val="en-US" w:eastAsia="zh-CN" w:bidi="ar-SA"/>
                    </w:rPr>
                    <w:t>0mg/L</w:t>
                  </w:r>
                </w:p>
              </w:tc>
              <w:tc>
                <w:tcPr>
                  <w:tcW w:w="1250" w:type="pct"/>
                  <w:vMerge w:val="continue"/>
                  <w:noWrap w:val="0"/>
                  <w:vAlign w:val="center"/>
                </w:tcPr>
                <w:p w14:paraId="42A00D6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p>
              </w:tc>
            </w:tr>
            <w:tr w14:paraId="5C725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8" w:type="pct"/>
                  <w:noWrap w:val="0"/>
                  <w:vAlign w:val="center"/>
                </w:tcPr>
                <w:p w14:paraId="16808DE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5</w:t>
                  </w:r>
                </w:p>
              </w:tc>
              <w:tc>
                <w:tcPr>
                  <w:tcW w:w="1750" w:type="pct"/>
                  <w:noWrap w:val="0"/>
                  <w:vAlign w:val="center"/>
                </w:tcPr>
                <w:p w14:paraId="041016D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NH</w:t>
                  </w:r>
                  <w:r>
                    <w:rPr>
                      <w:rFonts w:hint="eastAsia" w:ascii="Times New Roman" w:hAnsi="Times New Roman" w:eastAsia="宋体" w:cs="Times New Roman"/>
                      <w:color w:val="auto"/>
                      <w:kern w:val="0"/>
                      <w:sz w:val="21"/>
                      <w:szCs w:val="20"/>
                      <w:vertAlign w:val="subscript"/>
                      <w:lang w:val="en-US" w:eastAsia="zh-CN" w:bidi="ar-SA"/>
                    </w:rPr>
                    <w:t>3</w:t>
                  </w:r>
                  <w:r>
                    <w:rPr>
                      <w:rFonts w:hint="eastAsia" w:ascii="Times New Roman" w:hAnsi="Times New Roman" w:eastAsia="宋体" w:cs="Times New Roman"/>
                      <w:color w:val="auto"/>
                      <w:kern w:val="0"/>
                      <w:sz w:val="21"/>
                      <w:szCs w:val="20"/>
                      <w:lang w:val="en-US" w:eastAsia="zh-CN" w:bidi="ar-SA"/>
                    </w:rPr>
                    <w:t>-N</w:t>
                  </w:r>
                </w:p>
              </w:tc>
              <w:tc>
                <w:tcPr>
                  <w:tcW w:w="1250" w:type="pct"/>
                  <w:noWrap w:val="0"/>
                  <w:vAlign w:val="center"/>
                </w:tcPr>
                <w:p w14:paraId="2DD40CDC">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5</w:t>
                  </w:r>
                  <w:r>
                    <w:rPr>
                      <w:rFonts w:ascii="Times New Roman" w:hAnsi="Times New Roman" w:eastAsia="宋体" w:cs="Times New Roman"/>
                      <w:color w:val="auto"/>
                      <w:kern w:val="0"/>
                      <w:sz w:val="21"/>
                      <w:szCs w:val="20"/>
                      <w:lang w:val="en-US" w:eastAsia="zh-CN" w:bidi="ar-SA"/>
                    </w:rPr>
                    <w:t>mg/L</w:t>
                  </w:r>
                </w:p>
              </w:tc>
              <w:tc>
                <w:tcPr>
                  <w:tcW w:w="1250" w:type="pct"/>
                  <w:vMerge w:val="continue"/>
                  <w:noWrap w:val="0"/>
                  <w:vAlign w:val="center"/>
                </w:tcPr>
                <w:p w14:paraId="10E9567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p>
              </w:tc>
            </w:tr>
          </w:tbl>
          <w:p w14:paraId="58A0ECDE">
            <w:pPr>
              <w:pStyle w:val="4"/>
              <w:keepNext/>
              <w:keepLines/>
              <w:pageBreakBefore w:val="0"/>
              <w:widowControl w:val="0"/>
              <w:numPr>
                <w:ilvl w:val="2"/>
                <w:numId w:val="0"/>
              </w:numPr>
              <w:tabs>
                <w:tab w:val="left" w:pos="0"/>
                <w:tab w:val="left" w:pos="420"/>
              </w:tabs>
              <w:kinsoku/>
              <w:wordWrap/>
              <w:overflowPunct/>
              <w:topLinePunct w:val="0"/>
              <w:autoSpaceDE/>
              <w:autoSpaceDN/>
              <w:bidi w:val="0"/>
              <w:adjustRightInd/>
              <w:snapToGrid/>
              <w:spacing w:before="0" w:after="0" w:line="360" w:lineRule="auto"/>
              <w:ind w:left="0" w:leftChars="0" w:firstLine="0" w:firstLineChars="0"/>
              <w:textAlignment w:val="auto"/>
              <w:rPr>
                <w:rFonts w:hint="eastAsia"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3.3.3</w:t>
            </w:r>
            <w:r>
              <w:rPr>
                <w:rFonts w:hint="eastAsia" w:ascii="Times New Roman" w:hAnsi="Times New Roman" w:eastAsia="宋体" w:cs="Times New Roman"/>
                <w:b/>
                <w:bCs/>
                <w:color w:val="auto"/>
                <w:kern w:val="2"/>
                <w:sz w:val="24"/>
                <w:szCs w:val="24"/>
                <w:lang w:val="en-US" w:eastAsia="zh-CN" w:bidi="ar-SA"/>
              </w:rPr>
              <w:t>噪声排放标准</w:t>
            </w:r>
          </w:p>
          <w:p w14:paraId="1E89FA0E">
            <w:pPr>
              <w:pStyle w:val="2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480"/>
              <w:textAlignment w:val="auto"/>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运营期</w:t>
            </w:r>
            <w:r>
              <w:rPr>
                <w:rFonts w:hint="default" w:ascii="Times New Roman" w:hAnsi="Times New Roman" w:cs="Times New Roman"/>
                <w:color w:val="auto"/>
                <w:highlight w:val="none"/>
              </w:rPr>
              <w:t>厂界噪声执行《工业企业厂界环境噪声排放标准》</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GB12348-2008</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中</w:t>
            </w:r>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rPr>
              <w:t>类标准。</w:t>
            </w:r>
          </w:p>
          <w:p w14:paraId="672AA4D8">
            <w:pPr>
              <w:pStyle w:val="235"/>
              <w:keepNext/>
              <w:keepLines/>
              <w:pageBreakBefore w:val="0"/>
              <w:widowControl w:val="0"/>
              <w:numPr>
                <w:ilvl w:val="7"/>
                <w:numId w:val="0"/>
              </w:numPr>
              <w:tabs>
                <w:tab w:val="left" w:pos="0"/>
              </w:tabs>
              <w:kinsoku/>
              <w:wordWrap/>
              <w:overflowPunct/>
              <w:topLinePunct w:val="0"/>
              <w:autoSpaceDE/>
              <w:autoSpaceDN/>
              <w:bidi w:val="0"/>
              <w:adjustRightInd/>
              <w:snapToGrid/>
              <w:spacing w:before="0" w:after="0"/>
              <w:ind w:left="420" w:leftChars="0" w:firstLine="0" w:firstLineChars="0"/>
              <w:textAlignment w:val="auto"/>
              <w:rPr>
                <w:rFonts w:hint="default" w:ascii="Times New Roman" w:hAnsi="Times New Roman" w:eastAsia="宋体" w:cs="宋体"/>
                <w:color w:val="auto"/>
                <w:highlight w:val="none"/>
                <w:lang w:val="en-US" w:eastAsia="zh-CN"/>
              </w:rPr>
            </w:pPr>
            <w:r>
              <w:rPr>
                <w:rFonts w:hint="eastAsia" w:ascii="Times New Roman" w:hAnsi="Times New Roman" w:eastAsia="宋体" w:cs="宋体"/>
                <w:b/>
                <w:bCs/>
                <w:color w:val="auto"/>
                <w:kern w:val="0"/>
                <w:sz w:val="24"/>
                <w:szCs w:val="21"/>
                <w:lang w:val="en-US" w:eastAsia="zh-CN" w:bidi="ar-SA"/>
              </w:rPr>
              <w:t>表3.3-4</w:t>
            </w:r>
            <w:r>
              <w:rPr>
                <w:rFonts w:hint="default" w:ascii="Times New Roman" w:hAnsi="Times New Roman" w:eastAsia="宋体" w:cs="宋体"/>
                <w:color w:val="auto"/>
                <w:highlight w:val="none"/>
                <w:lang w:val="en-US" w:eastAsia="zh-CN"/>
              </w:rPr>
              <w:t>工业企业厂界环境噪声</w:t>
            </w:r>
            <w:r>
              <w:rPr>
                <w:rFonts w:hint="eastAsia" w:ascii="Times New Roman" w:hAnsi="Times New Roman" w:eastAsia="宋体" w:cs="宋体"/>
                <w:color w:val="auto"/>
                <w:highlight w:val="none"/>
                <w:lang w:val="en-US" w:eastAsia="zh-CN"/>
              </w:rPr>
              <w:t>排放限值</w:t>
            </w:r>
          </w:p>
          <w:tbl>
            <w:tblPr>
              <w:tblStyle w:val="38"/>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10"/>
              <w:gridCol w:w="4212"/>
            </w:tblGrid>
            <w:tr w14:paraId="372F81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499" w:type="pct"/>
                  <w:tcBorders>
                    <w:tl2br w:val="nil"/>
                    <w:tr2bl w:val="nil"/>
                  </w:tcBorders>
                  <w:vAlign w:val="center"/>
                </w:tcPr>
                <w:p w14:paraId="59C66264">
                  <w:pPr>
                    <w:pStyle w:val="226"/>
                    <w:keepNext w:val="0"/>
                    <w:keepLines w:val="0"/>
                    <w:suppressLineNumbers w:val="0"/>
                    <w:tabs>
                      <w:tab w:val="left" w:pos="0"/>
                    </w:tabs>
                    <w:bidi w:val="0"/>
                    <w:spacing w:before="0" w:beforeAutospacing="0" w:after="0" w:afterAutospacing="0"/>
                    <w:ind w:right="0"/>
                    <w:rPr>
                      <w:rFonts w:hint="default" w:ascii="Times New Roman" w:hAnsi="Times New Roman"/>
                      <w:color w:val="auto"/>
                    </w:rPr>
                  </w:pPr>
                  <w:r>
                    <w:rPr>
                      <w:rFonts w:hint="default" w:ascii="Times New Roman" w:hAnsi="Times New Roman"/>
                      <w:color w:val="auto"/>
                    </w:rPr>
                    <w:t>类别</w:t>
                  </w:r>
                </w:p>
              </w:tc>
              <w:tc>
                <w:tcPr>
                  <w:tcW w:w="2500" w:type="pct"/>
                  <w:tcBorders>
                    <w:tl2br w:val="nil"/>
                    <w:tr2bl w:val="nil"/>
                  </w:tcBorders>
                  <w:vAlign w:val="center"/>
                </w:tcPr>
                <w:p w14:paraId="2CA4BBEB">
                  <w:pPr>
                    <w:pStyle w:val="226"/>
                    <w:keepNext w:val="0"/>
                    <w:keepLines w:val="0"/>
                    <w:suppressLineNumbers w:val="0"/>
                    <w:tabs>
                      <w:tab w:val="left" w:pos="0"/>
                    </w:tabs>
                    <w:bidi w:val="0"/>
                    <w:spacing w:before="0" w:beforeAutospacing="0" w:after="0" w:afterAutospacing="0"/>
                    <w:ind w:right="0"/>
                    <w:rPr>
                      <w:rFonts w:hint="default" w:ascii="Times New Roman" w:hAnsi="Times New Roman"/>
                      <w:color w:val="auto"/>
                    </w:rPr>
                  </w:pPr>
                  <w:r>
                    <w:rPr>
                      <w:rFonts w:hint="default" w:ascii="Times New Roman" w:hAnsi="Times New Roman"/>
                      <w:color w:val="auto"/>
                    </w:rPr>
                    <w:t>昼间</w:t>
                  </w:r>
                </w:p>
              </w:tc>
            </w:tr>
            <w:tr w14:paraId="0482EE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499" w:type="pct"/>
                  <w:tcBorders>
                    <w:tl2br w:val="nil"/>
                    <w:tr2bl w:val="nil"/>
                  </w:tcBorders>
                  <w:vAlign w:val="center"/>
                </w:tcPr>
                <w:p w14:paraId="76F4E520">
                  <w:pPr>
                    <w:pStyle w:val="226"/>
                    <w:keepNext w:val="0"/>
                    <w:keepLines w:val="0"/>
                    <w:suppressLineNumbers w:val="0"/>
                    <w:tabs>
                      <w:tab w:val="left" w:pos="0"/>
                    </w:tabs>
                    <w:bidi w:val="0"/>
                    <w:spacing w:before="0" w:beforeAutospacing="0" w:after="0" w:afterAutospacing="0"/>
                    <w:ind w:right="0"/>
                    <w:rPr>
                      <w:rFonts w:hint="default" w:ascii="Times New Roman" w:hAnsi="Times New Roman"/>
                      <w:color w:val="auto"/>
                    </w:rPr>
                  </w:pPr>
                  <w:r>
                    <w:rPr>
                      <w:rFonts w:hint="eastAsia" w:ascii="Times New Roman" w:hAnsi="Times New Roman"/>
                      <w:color w:val="auto"/>
                      <w:lang w:val="en-US" w:eastAsia="zh-CN"/>
                    </w:rPr>
                    <w:t>3</w:t>
                  </w:r>
                  <w:r>
                    <w:rPr>
                      <w:rFonts w:hint="default" w:ascii="Times New Roman" w:hAnsi="Times New Roman"/>
                      <w:color w:val="auto"/>
                    </w:rPr>
                    <w:t>类</w:t>
                  </w:r>
                </w:p>
              </w:tc>
              <w:tc>
                <w:tcPr>
                  <w:tcW w:w="2500" w:type="pct"/>
                  <w:tcBorders>
                    <w:tl2br w:val="nil"/>
                    <w:tr2bl w:val="nil"/>
                  </w:tcBorders>
                  <w:vAlign w:val="center"/>
                </w:tcPr>
                <w:p w14:paraId="223D6BF7">
                  <w:pPr>
                    <w:pStyle w:val="226"/>
                    <w:keepNext w:val="0"/>
                    <w:keepLines w:val="0"/>
                    <w:suppressLineNumbers w:val="0"/>
                    <w:tabs>
                      <w:tab w:val="left" w:pos="0"/>
                    </w:tabs>
                    <w:bidi w:val="0"/>
                    <w:spacing w:before="0" w:beforeAutospacing="0" w:after="0" w:afterAutospacing="0"/>
                    <w:ind w:right="0"/>
                    <w:rPr>
                      <w:rFonts w:hint="default" w:ascii="Times New Roman" w:hAnsi="Times New Roman" w:eastAsia="宋体"/>
                      <w:color w:val="auto"/>
                      <w:lang w:val="en-US" w:eastAsia="zh-CN"/>
                    </w:rPr>
                  </w:pPr>
                  <w:r>
                    <w:rPr>
                      <w:rFonts w:hint="default" w:ascii="Times New Roman" w:hAnsi="Times New Roman"/>
                      <w:color w:val="auto"/>
                    </w:rPr>
                    <w:t>6</w:t>
                  </w:r>
                  <w:r>
                    <w:rPr>
                      <w:rFonts w:hint="eastAsia" w:ascii="Times New Roman" w:hAnsi="Times New Roman"/>
                      <w:color w:val="auto"/>
                      <w:lang w:val="en-US" w:eastAsia="zh-CN"/>
                    </w:rPr>
                    <w:t>5dB（A）</w:t>
                  </w:r>
                </w:p>
              </w:tc>
            </w:tr>
          </w:tbl>
          <w:p w14:paraId="21E94F81">
            <w:pPr>
              <w:pStyle w:val="233"/>
              <w:pageBreakBefore w:val="0"/>
              <w:widowControl w:val="0"/>
              <w:kinsoku/>
              <w:wordWrap/>
              <w:overflowPunct/>
              <w:topLinePunct w:val="0"/>
              <w:bidi w:val="0"/>
              <w:adjustRightInd/>
              <w:snapToGrid/>
              <w:spacing w:line="360" w:lineRule="auto"/>
              <w:ind w:firstLine="480"/>
              <w:textAlignment w:val="auto"/>
              <w:rPr>
                <w:rFonts w:hint="eastAsia" w:ascii="Times New Roman" w:hAnsi="Times New Roman"/>
                <w:b/>
                <w:bCs/>
                <w:color w:val="auto"/>
                <w:sz w:val="21"/>
                <w:szCs w:val="16"/>
                <w:highlight w:val="none"/>
                <w:lang w:val="en-US" w:eastAsia="zh-CN"/>
              </w:rPr>
            </w:pPr>
            <w:r>
              <w:rPr>
                <w:rFonts w:hint="eastAsia" w:ascii="Times New Roman" w:hAnsi="Times New Roman"/>
                <w:b/>
                <w:bCs/>
                <w:color w:val="auto"/>
                <w:sz w:val="21"/>
                <w:szCs w:val="16"/>
                <w:highlight w:val="none"/>
                <w:lang w:val="en-US" w:eastAsia="zh-CN"/>
              </w:rPr>
              <w:t>注：夜间噪声最大声级超过限值的幅度不得高于15 dB。</w:t>
            </w:r>
          </w:p>
          <w:p w14:paraId="3E0082FB">
            <w:pPr>
              <w:pStyle w:val="4"/>
              <w:keepNext/>
              <w:keepLines/>
              <w:pageBreakBefore w:val="0"/>
              <w:widowControl w:val="0"/>
              <w:numPr>
                <w:ilvl w:val="2"/>
                <w:numId w:val="0"/>
              </w:numPr>
              <w:tabs>
                <w:tab w:val="left" w:pos="0"/>
                <w:tab w:val="left" w:pos="420"/>
              </w:tabs>
              <w:kinsoku/>
              <w:wordWrap/>
              <w:overflowPunct/>
              <w:topLinePunct w:val="0"/>
              <w:autoSpaceDE/>
              <w:autoSpaceDN/>
              <w:bidi w:val="0"/>
              <w:adjustRightInd/>
              <w:snapToGrid/>
              <w:spacing w:before="0" w:after="0" w:line="360" w:lineRule="auto"/>
              <w:ind w:left="0" w:leftChars="0" w:firstLine="0" w:firstLineChars="0"/>
              <w:textAlignment w:val="auto"/>
              <w:rPr>
                <w:rFonts w:hint="eastAsia"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3.3.4</w:t>
            </w:r>
            <w:r>
              <w:rPr>
                <w:rFonts w:hint="eastAsia" w:ascii="Times New Roman" w:hAnsi="Times New Roman" w:eastAsia="宋体" w:cs="Times New Roman"/>
                <w:b/>
                <w:bCs/>
                <w:color w:val="auto"/>
                <w:kern w:val="2"/>
                <w:sz w:val="24"/>
                <w:szCs w:val="24"/>
                <w:lang w:val="en-US" w:eastAsia="zh-CN" w:bidi="ar-SA"/>
              </w:rPr>
              <w:t>固体废物执行标准</w:t>
            </w:r>
          </w:p>
          <w:p w14:paraId="3ABCFA5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cs="宋体"/>
                <w:color w:val="auto"/>
                <w:szCs w:val="21"/>
              </w:rPr>
            </w:pPr>
            <w:r>
              <w:rPr>
                <w:rFonts w:ascii="Times New Roman" w:hAnsi="Times New Roman"/>
                <w:color w:val="auto"/>
                <w:sz w:val="24"/>
                <w:szCs w:val="24"/>
                <w:lang w:val="en-US" w:eastAsia="zh-CN"/>
              </w:rPr>
              <w:t>运营期项目产生的</w:t>
            </w:r>
            <w:r>
              <w:rPr>
                <w:rFonts w:hint="eastAsia"/>
                <w:color w:val="auto"/>
                <w:sz w:val="24"/>
                <w:szCs w:val="24"/>
                <w:lang w:val="en-US" w:eastAsia="zh-CN"/>
              </w:rPr>
              <w:t>一般工业固体废物</w:t>
            </w:r>
            <w:r>
              <w:rPr>
                <w:rFonts w:ascii="Times New Roman" w:hAnsi="Times New Roman"/>
                <w:color w:val="auto"/>
                <w:sz w:val="24"/>
                <w:szCs w:val="24"/>
                <w:lang w:val="en-US" w:eastAsia="zh-CN"/>
              </w:rPr>
              <w:t>应按照《一般工业固体废物贮存和填埋污染控制标准》</w:t>
            </w:r>
            <w:r>
              <w:rPr>
                <w:rFonts w:hint="eastAsia" w:ascii="Times New Roman" w:hAnsi="Times New Roman"/>
                <w:color w:val="auto"/>
                <w:sz w:val="24"/>
                <w:szCs w:val="24"/>
                <w:lang w:val="en-US" w:eastAsia="zh-CN"/>
              </w:rPr>
              <w:t>（</w:t>
            </w:r>
            <w:r>
              <w:rPr>
                <w:rFonts w:ascii="Times New Roman" w:hAnsi="Times New Roman"/>
                <w:color w:val="auto"/>
                <w:sz w:val="24"/>
                <w:szCs w:val="24"/>
                <w:lang w:val="en-US" w:eastAsia="zh-CN"/>
              </w:rPr>
              <w:t>GB 18599-2020</w:t>
            </w:r>
            <w:r>
              <w:rPr>
                <w:rFonts w:hint="eastAsia" w:ascii="Times New Roman" w:hAnsi="Times New Roman"/>
                <w:color w:val="auto"/>
                <w:sz w:val="24"/>
                <w:szCs w:val="24"/>
                <w:lang w:val="en-US" w:eastAsia="zh-CN"/>
              </w:rPr>
              <w:t>）</w:t>
            </w:r>
            <w:r>
              <w:rPr>
                <w:rFonts w:ascii="Times New Roman" w:hAnsi="Times New Roman"/>
                <w:color w:val="auto"/>
                <w:sz w:val="24"/>
                <w:szCs w:val="24"/>
                <w:lang w:val="en-US" w:eastAsia="zh-CN"/>
              </w:rPr>
              <w:t>的要求进行</w:t>
            </w:r>
            <w:r>
              <w:rPr>
                <w:rFonts w:hint="eastAsia" w:ascii="Times New Roman" w:hAnsi="Times New Roman"/>
                <w:color w:val="auto"/>
                <w:sz w:val="24"/>
                <w:szCs w:val="24"/>
                <w:lang w:val="en-US" w:eastAsia="zh-CN"/>
              </w:rPr>
              <w:t>暂存管理</w:t>
            </w:r>
            <w:r>
              <w:rPr>
                <w:rFonts w:ascii="Times New Roman" w:hAnsi="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生活垃圾处置执行生活垃圾处置执行</w:t>
            </w:r>
            <w:r>
              <w:rPr>
                <w:rFonts w:hint="default" w:ascii="Times New Roman" w:hAnsi="Times New Roman" w:eastAsia="宋体" w:cs="Times New Roman"/>
                <w:color w:val="auto"/>
                <w:sz w:val="24"/>
                <w:szCs w:val="24"/>
                <w:lang w:val="en-US" w:eastAsia="zh-CN"/>
              </w:rPr>
              <w:t>《城市环境卫生设施规划</w:t>
            </w:r>
            <w:r>
              <w:rPr>
                <w:rFonts w:hint="eastAsia" w:ascii="Times New Roman" w:hAnsi="Times New Roman" w:eastAsia="宋体" w:cs="Times New Roman"/>
                <w:color w:val="auto"/>
                <w:sz w:val="24"/>
                <w:szCs w:val="24"/>
                <w:lang w:val="en-US" w:eastAsia="zh-CN"/>
              </w:rPr>
              <w:t>标准</w:t>
            </w:r>
            <w:r>
              <w:rPr>
                <w:rFonts w:hint="default" w:ascii="Times New Roman" w:hAnsi="Times New Roman" w:eastAsia="宋体" w:cs="Times New Roman"/>
                <w:color w:val="auto"/>
                <w:sz w:val="24"/>
                <w:szCs w:val="24"/>
                <w:lang w:val="en-US" w:eastAsia="zh-CN"/>
              </w:rPr>
              <w:t>》(GB50337－20</w:t>
            </w:r>
            <w:r>
              <w:rPr>
                <w:rFonts w:hint="eastAsia" w:ascii="Times New Roman" w:hAnsi="Times New Roman" w:eastAsia="宋体" w:cs="Times New Roman"/>
                <w:color w:val="auto"/>
                <w:sz w:val="24"/>
                <w:szCs w:val="24"/>
                <w:lang w:val="en-US" w:eastAsia="zh-CN"/>
              </w:rPr>
              <w:t>18</w:t>
            </w:r>
            <w:r>
              <w:rPr>
                <w:rFonts w:hint="default" w:ascii="Times New Roman" w:hAnsi="Times New Roman" w:eastAsia="宋体" w:cs="Times New Roman"/>
                <w:color w:val="auto"/>
                <w:sz w:val="24"/>
                <w:szCs w:val="24"/>
                <w:lang w:val="en-US" w:eastAsia="zh-CN"/>
              </w:rPr>
              <w:t>)中的要求进行综合利用和处置</w:t>
            </w:r>
            <w:r>
              <w:rPr>
                <w:rFonts w:hint="eastAsia" w:ascii="Times New Roman" w:hAnsi="Times New Roman" w:eastAsia="宋体" w:cs="Times New Roman"/>
                <w:color w:val="auto"/>
                <w:sz w:val="24"/>
                <w:szCs w:val="24"/>
                <w:lang w:val="en-US" w:eastAsia="zh-CN"/>
              </w:rPr>
              <w:t>的相关规定。</w:t>
            </w:r>
            <w:r>
              <w:rPr>
                <w:rFonts w:ascii="Times New Roman" w:hAnsi="Times New Roman"/>
                <w:color w:val="auto"/>
                <w:sz w:val="24"/>
                <w:szCs w:val="24"/>
                <w:lang w:val="en-US" w:eastAsia="zh-CN"/>
              </w:rPr>
              <w:t>项目产生的危险废物应按照</w:t>
            </w:r>
            <w:r>
              <w:rPr>
                <w:rFonts w:ascii="Times New Roman" w:hAnsi="Times New Roman" w:eastAsia="宋体" w:cs="Times New Roman"/>
                <w:color w:val="auto"/>
                <w:sz w:val="24"/>
                <w:szCs w:val="24"/>
                <w:lang w:val="en-US" w:eastAsia="zh-CN"/>
              </w:rPr>
              <w:t>《危险废物贮存污染控制标准》</w:t>
            </w:r>
            <w:r>
              <w:rPr>
                <w:rFonts w:hint="eastAsia" w:ascii="Times New Roman" w:hAnsi="Times New Roman" w:eastAsia="宋体" w:cs="Times New Roman"/>
                <w:color w:val="auto"/>
                <w:sz w:val="24"/>
                <w:szCs w:val="24"/>
                <w:lang w:val="en-US" w:eastAsia="zh-CN"/>
              </w:rPr>
              <w:t>（</w:t>
            </w:r>
            <w:r>
              <w:rPr>
                <w:rFonts w:ascii="Times New Roman" w:hAnsi="Times New Roman" w:eastAsia="宋体" w:cs="Times New Roman"/>
                <w:color w:val="auto"/>
                <w:sz w:val="24"/>
                <w:szCs w:val="24"/>
                <w:lang w:val="en-US" w:eastAsia="zh-CN"/>
              </w:rPr>
              <w:t>GB18597-20</w:t>
            </w:r>
            <w:r>
              <w:rPr>
                <w:rFonts w:hint="eastAsia" w:ascii="Times New Roman" w:hAnsi="Times New Roman" w:eastAsia="宋体" w:cs="Times New Roman"/>
                <w:color w:val="auto"/>
                <w:sz w:val="24"/>
                <w:szCs w:val="24"/>
                <w:lang w:val="en-US" w:eastAsia="zh-CN"/>
              </w:rPr>
              <w:t>23）</w:t>
            </w:r>
            <w:r>
              <w:rPr>
                <w:rFonts w:ascii="Times New Roman" w:hAnsi="Times New Roman" w:eastAsia="宋体" w:cs="Times New Roman"/>
                <w:color w:val="auto"/>
                <w:sz w:val="24"/>
                <w:szCs w:val="24"/>
                <w:lang w:val="en-US" w:eastAsia="zh-CN"/>
              </w:rPr>
              <w:t>中的要求进行</w:t>
            </w:r>
            <w:r>
              <w:rPr>
                <w:rFonts w:hint="eastAsia" w:ascii="Times New Roman" w:hAnsi="Times New Roman" w:eastAsia="宋体" w:cs="Times New Roman"/>
                <w:color w:val="auto"/>
                <w:sz w:val="24"/>
                <w:szCs w:val="24"/>
                <w:lang w:val="en-US" w:eastAsia="zh-CN"/>
              </w:rPr>
              <w:t>暂存管理</w:t>
            </w:r>
            <w:r>
              <w:rPr>
                <w:rFonts w:hint="eastAsia" w:cs="Times New Roman"/>
                <w:color w:val="auto"/>
                <w:sz w:val="24"/>
                <w:szCs w:val="24"/>
                <w:lang w:val="en-US" w:eastAsia="zh-CN"/>
              </w:rPr>
              <w:t>和处置</w:t>
            </w:r>
            <w:r>
              <w:rPr>
                <w:rFonts w:ascii="Times New Roman" w:hAnsi="Times New Roman" w:eastAsia="宋体" w:cs="Times New Roman"/>
                <w:color w:val="auto"/>
                <w:sz w:val="24"/>
                <w:szCs w:val="24"/>
                <w:lang w:val="en-US" w:eastAsia="zh-CN"/>
              </w:rPr>
              <w:t>。</w:t>
            </w:r>
          </w:p>
        </w:tc>
      </w:tr>
      <w:tr w14:paraId="3219BC4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3330" w:hRule="atLeast"/>
          <w:jc w:val="center"/>
        </w:trPr>
        <w:tc>
          <w:tcPr>
            <w:tcW w:w="800" w:type="dxa"/>
            <w:noWrap w:val="0"/>
            <w:vAlign w:val="center"/>
          </w:tcPr>
          <w:p w14:paraId="12013A30">
            <w:pPr>
              <w:jc w:val="center"/>
              <w:rPr>
                <w:rFonts w:hint="eastAsia" w:ascii="Times New Roman" w:hAnsi="Times New Roman" w:cs="宋体"/>
                <w:color w:val="auto"/>
                <w:szCs w:val="21"/>
              </w:rPr>
            </w:pPr>
            <w:r>
              <w:rPr>
                <w:rFonts w:hint="eastAsia" w:ascii="Times New Roman" w:hAnsi="Times New Roman" w:cs="宋体"/>
                <w:color w:val="auto"/>
                <w:szCs w:val="21"/>
              </w:rPr>
              <w:t>总量</w:t>
            </w:r>
          </w:p>
          <w:p w14:paraId="1426C264">
            <w:pPr>
              <w:jc w:val="center"/>
              <w:rPr>
                <w:rFonts w:hint="eastAsia" w:ascii="Times New Roman" w:hAnsi="Times New Roman" w:cs="宋体"/>
                <w:color w:val="auto"/>
                <w:szCs w:val="21"/>
              </w:rPr>
            </w:pPr>
            <w:r>
              <w:rPr>
                <w:rFonts w:hint="eastAsia" w:ascii="Times New Roman" w:hAnsi="Times New Roman" w:cs="宋体"/>
                <w:color w:val="auto"/>
                <w:szCs w:val="21"/>
              </w:rPr>
              <w:t>控制</w:t>
            </w:r>
          </w:p>
          <w:p w14:paraId="47C35379">
            <w:pPr>
              <w:jc w:val="center"/>
              <w:rPr>
                <w:rFonts w:ascii="Times New Roman" w:hAnsi="Times New Roman" w:cs="宋体"/>
                <w:color w:val="auto"/>
                <w:szCs w:val="21"/>
              </w:rPr>
            </w:pPr>
            <w:r>
              <w:rPr>
                <w:rFonts w:hint="eastAsia" w:ascii="Times New Roman" w:hAnsi="Times New Roman" w:cs="宋体"/>
                <w:color w:val="auto"/>
                <w:szCs w:val="21"/>
              </w:rPr>
              <w:t>指标</w:t>
            </w:r>
          </w:p>
        </w:tc>
        <w:tc>
          <w:tcPr>
            <w:tcW w:w="8190" w:type="dxa"/>
            <w:noWrap w:val="0"/>
            <w:vAlign w:val="center"/>
          </w:tcPr>
          <w:p w14:paraId="6C8F1D0E">
            <w:pPr>
              <w:pStyle w:val="3"/>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b/>
                <w:bCs/>
                <w:color w:val="auto"/>
                <w:kern w:val="2"/>
                <w:sz w:val="28"/>
                <w:szCs w:val="28"/>
                <w:lang w:val="en-US" w:eastAsia="zh-CN" w:bidi="ar-SA"/>
              </w:rPr>
            </w:pPr>
            <w:r>
              <w:rPr>
                <w:rFonts w:hint="eastAsia" w:ascii="Times New Roman" w:hAnsi="Times New Roman" w:eastAsia="宋体" w:cs="Times New Roman"/>
                <w:b/>
                <w:bCs/>
                <w:color w:val="auto"/>
                <w:kern w:val="2"/>
                <w:sz w:val="28"/>
                <w:szCs w:val="28"/>
                <w:lang w:val="en-US" w:eastAsia="zh-CN" w:bidi="ar-SA"/>
              </w:rPr>
              <w:t>3.4总量控制</w:t>
            </w:r>
          </w:p>
          <w:p w14:paraId="51828AAA">
            <w:pPr>
              <w:pStyle w:val="5"/>
              <w:bidi w:val="0"/>
              <w:rPr>
                <w:rFonts w:hint="eastAsia" w:ascii="Times New Roman" w:hAnsi="Times New Roman"/>
                <w:color w:val="auto"/>
              </w:rPr>
            </w:pPr>
            <w:r>
              <w:rPr>
                <w:rFonts w:hint="eastAsia" w:ascii="Times New Roman" w:hAnsi="Times New Roman"/>
                <w:color w:val="auto"/>
              </w:rPr>
              <w:t>总量控制是我国环境保护管理工作的一项重要举措，而实行污染物排放总量是环境保护法律法规的要求，它不仅是促进经济结构战略性调整和经济增长方式根本性转变的有力措施，同时也是促进工业技术进步和管理水平的提高，做到环保与经济的相互促进。实施以环境容量为基础的排污总量控制制度是改善环境质量的根本手段。</w:t>
            </w:r>
          </w:p>
          <w:p w14:paraId="7F5827F2">
            <w:pPr>
              <w:pStyle w:val="3"/>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b/>
                <w:bCs/>
                <w:color w:val="auto"/>
                <w:kern w:val="2"/>
                <w:sz w:val="28"/>
                <w:szCs w:val="28"/>
                <w:lang w:val="en-US" w:eastAsia="zh-CN" w:bidi="ar-SA"/>
              </w:rPr>
            </w:pPr>
            <w:r>
              <w:rPr>
                <w:rFonts w:hint="eastAsia" w:ascii="Times New Roman" w:hAnsi="Times New Roman" w:eastAsia="宋体" w:cs="Times New Roman"/>
                <w:b/>
                <w:bCs/>
                <w:color w:val="auto"/>
                <w:kern w:val="2"/>
                <w:sz w:val="28"/>
                <w:szCs w:val="28"/>
                <w:lang w:val="en-US" w:eastAsia="zh-CN" w:bidi="ar-SA"/>
              </w:rPr>
              <w:t>3.4.1废水总量</w:t>
            </w:r>
          </w:p>
          <w:p w14:paraId="2C462863">
            <w:pPr>
              <w:pStyle w:val="5"/>
              <w:bidi w:val="0"/>
              <w:rPr>
                <w:rFonts w:hint="eastAsia" w:ascii="Times New Roman" w:hAnsi="Times New Roman"/>
                <w:color w:val="auto"/>
              </w:rPr>
            </w:pPr>
            <w:r>
              <w:rPr>
                <w:rFonts w:hint="eastAsia" w:ascii="Times New Roman" w:hAnsi="Times New Roman"/>
                <w:color w:val="auto"/>
              </w:rPr>
              <w:t>（1）COD、NH</w:t>
            </w:r>
            <w:r>
              <w:rPr>
                <w:rFonts w:hint="eastAsia" w:ascii="Times New Roman" w:hAnsi="Times New Roman"/>
                <w:color w:val="auto"/>
                <w:vertAlign w:val="subscript"/>
              </w:rPr>
              <w:t>3</w:t>
            </w:r>
            <w:r>
              <w:rPr>
                <w:rFonts w:hint="eastAsia" w:ascii="Times New Roman" w:hAnsi="Times New Roman"/>
                <w:color w:val="auto"/>
              </w:rPr>
              <w:t>-N总量控制</w:t>
            </w:r>
          </w:p>
          <w:p w14:paraId="1712F16C">
            <w:pPr>
              <w:pStyle w:val="5"/>
              <w:bidi w:val="0"/>
              <w:rPr>
                <w:rFonts w:hint="eastAsia" w:ascii="Times New Roman" w:hAnsi="Times New Roman"/>
                <w:color w:val="auto"/>
              </w:rPr>
            </w:pPr>
            <w:r>
              <w:rPr>
                <w:rFonts w:hint="eastAsia" w:ascii="Times New Roman" w:hAnsi="Times New Roman"/>
                <w:color w:val="auto"/>
              </w:rPr>
              <w:t>根据国家制定的总量控制指标，结合本项目的特征污染物，确定本项目</w:t>
            </w:r>
            <w:r>
              <w:rPr>
                <w:rFonts w:hint="eastAsia" w:ascii="Times New Roman" w:hAnsi="Times New Roman"/>
                <w:color w:val="auto"/>
                <w:lang w:val="en-US" w:eastAsia="zh-CN"/>
              </w:rPr>
              <w:t>水</w:t>
            </w:r>
            <w:r>
              <w:rPr>
                <w:rFonts w:hint="eastAsia" w:ascii="Times New Roman" w:hAnsi="Times New Roman"/>
                <w:color w:val="auto"/>
              </w:rPr>
              <w:t>污染物中总量控制的项目有：COD、NH</w:t>
            </w:r>
            <w:r>
              <w:rPr>
                <w:rFonts w:hint="eastAsia" w:ascii="Times New Roman" w:hAnsi="Times New Roman"/>
                <w:color w:val="auto"/>
                <w:vertAlign w:val="subscript"/>
              </w:rPr>
              <w:t>3</w:t>
            </w:r>
            <w:r>
              <w:rPr>
                <w:rFonts w:hint="eastAsia" w:ascii="Times New Roman" w:hAnsi="Times New Roman"/>
                <w:color w:val="auto"/>
              </w:rPr>
              <w:t>-N。项目产生的</w:t>
            </w:r>
            <w:r>
              <w:rPr>
                <w:rFonts w:hint="eastAsia" w:ascii="Times New Roman" w:hAnsi="Times New Roman"/>
                <w:color w:val="auto"/>
                <w:lang w:val="en-US" w:eastAsia="zh-CN"/>
              </w:rPr>
              <w:t>废水经处理后</w:t>
            </w:r>
            <w:r>
              <w:rPr>
                <w:rFonts w:hint="eastAsia" w:ascii="Times New Roman" w:hAnsi="Times New Roman"/>
                <w:color w:val="auto"/>
              </w:rPr>
              <w:t>达</w:t>
            </w:r>
            <w:r>
              <w:rPr>
                <w:rFonts w:hint="eastAsia" w:ascii="Times New Roman" w:hAnsi="Times New Roman"/>
                <w:color w:val="auto"/>
                <w:lang w:val="en-US" w:eastAsia="zh-CN"/>
              </w:rPr>
              <w:t>到</w:t>
            </w:r>
            <w:r>
              <w:rPr>
                <w:rFonts w:hint="eastAsia" w:ascii="Times New Roman" w:hAnsi="Times New Roman"/>
                <w:color w:val="auto"/>
              </w:rPr>
              <w:t>《污水综合排放标准》（GB8978-1996）表4中三级标准（其中，氨氮参照执行《污水排入城市下水道水质标准》（GB/T31962-2015）表1的B级标准）后接市政污水管网，纳入</w:t>
            </w:r>
            <w:r>
              <w:rPr>
                <w:rFonts w:hint="eastAsia"/>
                <w:color w:val="auto"/>
                <w:lang w:val="en-US" w:eastAsia="zh-CN"/>
              </w:rPr>
              <w:t>闽侯县城关污水处理厂</w:t>
            </w:r>
            <w:r>
              <w:rPr>
                <w:rFonts w:hint="eastAsia" w:ascii="Times New Roman" w:hAnsi="Times New Roman"/>
                <w:color w:val="auto"/>
              </w:rPr>
              <w:t>进行进一步处理，对周边环境影响较小。</w:t>
            </w:r>
            <w:r>
              <w:rPr>
                <w:rFonts w:hint="eastAsia" w:ascii="Times New Roman" w:hAnsi="Times New Roman"/>
                <w:color w:val="auto"/>
                <w:lang w:val="en-US" w:eastAsia="zh-CN"/>
              </w:rPr>
              <w:t>本项目生活污水经化粪池处理达标后排入市政管网，纳入</w:t>
            </w:r>
            <w:r>
              <w:rPr>
                <w:rFonts w:hint="eastAsia"/>
                <w:color w:val="auto"/>
                <w:lang w:val="en-US" w:eastAsia="zh-CN"/>
              </w:rPr>
              <w:t>闽侯县城关污水处理厂</w:t>
            </w:r>
            <w:r>
              <w:rPr>
                <w:rFonts w:hint="eastAsia" w:ascii="Times New Roman" w:hAnsi="Times New Roman"/>
                <w:color w:val="auto"/>
                <w:lang w:val="en-US" w:eastAsia="zh-CN"/>
              </w:rPr>
              <w:t>；</w:t>
            </w:r>
            <w:r>
              <w:rPr>
                <w:rFonts w:hint="eastAsia"/>
                <w:color w:val="auto"/>
                <w:lang w:val="en-US" w:eastAsia="zh-CN"/>
              </w:rPr>
              <w:t>研磨、</w:t>
            </w:r>
            <w:r>
              <w:rPr>
                <w:rFonts w:hint="eastAsia" w:ascii="Times New Roman" w:hAnsi="Times New Roman"/>
                <w:color w:val="auto"/>
                <w:lang w:val="en-US" w:eastAsia="zh-CN"/>
              </w:rPr>
              <w:t>抛光</w:t>
            </w:r>
            <w:r>
              <w:rPr>
                <w:rFonts w:hint="eastAsia"/>
                <w:color w:val="auto"/>
                <w:lang w:val="en-US" w:eastAsia="zh-CN"/>
              </w:rPr>
              <w:t>、</w:t>
            </w:r>
            <w:r>
              <w:rPr>
                <w:rFonts w:hint="eastAsia" w:ascii="Times New Roman" w:hAnsi="Times New Roman"/>
                <w:color w:val="auto"/>
                <w:lang w:val="en-US" w:eastAsia="zh-CN"/>
              </w:rPr>
              <w:t>清洗</w:t>
            </w:r>
            <w:r>
              <w:rPr>
                <w:rFonts w:hint="eastAsia"/>
                <w:color w:val="auto"/>
                <w:lang w:val="en-US" w:eastAsia="zh-CN"/>
              </w:rPr>
              <w:t>、检测废水</w:t>
            </w:r>
            <w:r>
              <w:rPr>
                <w:rFonts w:hint="eastAsia" w:ascii="Times New Roman" w:hAnsi="Times New Roman"/>
                <w:color w:val="auto"/>
                <w:lang w:val="en-US" w:eastAsia="zh-CN"/>
              </w:rPr>
              <w:t>经过</w:t>
            </w:r>
            <w:r>
              <w:rPr>
                <w:rFonts w:hint="eastAsia"/>
                <w:color w:val="auto"/>
                <w:lang w:val="en-US" w:eastAsia="zh-CN"/>
              </w:rPr>
              <w:t>三格</w:t>
            </w:r>
            <w:r>
              <w:rPr>
                <w:rFonts w:hint="eastAsia" w:ascii="Times New Roman" w:hAnsi="Times New Roman"/>
                <w:color w:val="auto"/>
                <w:lang w:val="en-US" w:eastAsia="zh-CN"/>
              </w:rPr>
              <w:t>沉淀</w:t>
            </w:r>
            <w:r>
              <w:rPr>
                <w:rFonts w:hint="eastAsia"/>
                <w:color w:val="auto"/>
                <w:lang w:val="en-US" w:eastAsia="zh-CN"/>
              </w:rPr>
              <w:t>桶</w:t>
            </w:r>
            <w:r>
              <w:rPr>
                <w:rFonts w:hint="eastAsia" w:ascii="Times New Roman" w:hAnsi="Times New Roman"/>
                <w:color w:val="auto"/>
                <w:lang w:val="en-US" w:eastAsia="zh-CN"/>
              </w:rPr>
              <w:t>沉淀后排入</w:t>
            </w:r>
            <w:r>
              <w:rPr>
                <w:rFonts w:hint="eastAsia"/>
                <w:color w:val="auto"/>
                <w:lang w:val="en-US" w:eastAsia="zh-CN"/>
              </w:rPr>
              <w:t>化粪池处理再排入</w:t>
            </w:r>
            <w:r>
              <w:rPr>
                <w:rFonts w:hint="eastAsia" w:ascii="Times New Roman" w:hAnsi="Times New Roman"/>
                <w:color w:val="auto"/>
                <w:lang w:val="en-US" w:eastAsia="zh-CN"/>
              </w:rPr>
              <w:t>市政管网，纳入</w:t>
            </w:r>
            <w:r>
              <w:rPr>
                <w:rFonts w:hint="eastAsia"/>
                <w:color w:val="auto"/>
                <w:lang w:val="en-US" w:eastAsia="zh-CN"/>
              </w:rPr>
              <w:t>闽侯县城关污水处理厂</w:t>
            </w:r>
            <w:r>
              <w:rPr>
                <w:rFonts w:hint="eastAsia" w:ascii="Times New Roman" w:hAnsi="Times New Roman"/>
                <w:color w:val="auto"/>
                <w:lang w:val="en-US" w:eastAsia="zh-CN"/>
              </w:rPr>
              <w:t>；</w:t>
            </w:r>
            <w:r>
              <w:rPr>
                <w:rFonts w:hint="eastAsia"/>
                <w:color w:val="auto"/>
                <w:lang w:val="en-US" w:eastAsia="zh-CN"/>
              </w:rPr>
              <w:t>闽侯县城关污水处理厂</w:t>
            </w:r>
            <w:r>
              <w:rPr>
                <w:rFonts w:hint="eastAsia" w:ascii="Times New Roman" w:hAnsi="Times New Roman"/>
                <w:color w:val="auto"/>
              </w:rPr>
              <w:t>出水排放执行《城镇污水处理厂污染物排放标准》（GB18918-2002）中一级A排放标准：COD为50mg/L、氨氮为5mg/L，统一处理后项目污染物排放总量详见表3.</w:t>
            </w:r>
            <w:r>
              <w:rPr>
                <w:rFonts w:hint="eastAsia" w:ascii="Times New Roman" w:hAnsi="Times New Roman"/>
                <w:color w:val="auto"/>
                <w:lang w:val="en-US" w:eastAsia="zh-CN"/>
              </w:rPr>
              <w:t>8</w:t>
            </w:r>
            <w:r>
              <w:rPr>
                <w:rFonts w:hint="eastAsia" w:ascii="Times New Roman" w:hAnsi="Times New Roman"/>
                <w:color w:val="auto"/>
              </w:rPr>
              <w:t>-1。</w:t>
            </w:r>
          </w:p>
          <w:p w14:paraId="02A78F6E">
            <w:pPr>
              <w:pStyle w:val="232"/>
              <w:bidi w:val="0"/>
              <w:rPr>
                <w:rFonts w:hint="eastAsia" w:ascii="Times New Roman" w:hAnsi="Times New Roman"/>
                <w:color w:val="auto"/>
              </w:rPr>
            </w:pPr>
            <w:r>
              <w:rPr>
                <w:rFonts w:hint="eastAsia" w:ascii="Times New Roman" w:hAnsi="Times New Roman"/>
                <w:color w:val="auto"/>
              </w:rPr>
              <w:t>表</w:t>
            </w:r>
            <w:r>
              <w:rPr>
                <w:rFonts w:hint="eastAsia" w:ascii="Times New Roman" w:hAnsi="Times New Roman"/>
                <w:color w:val="auto"/>
                <w:lang w:val="en-US" w:eastAsia="zh-CN"/>
              </w:rPr>
              <w:t>3.8-</w:t>
            </w:r>
            <w:r>
              <w:rPr>
                <w:rFonts w:hint="eastAsia" w:ascii="Times New Roman" w:hAnsi="Times New Roman"/>
                <w:color w:val="auto"/>
              </w:rPr>
              <w:t>1</w:t>
            </w:r>
            <w:r>
              <w:rPr>
                <w:rFonts w:hint="eastAsia" w:ascii="Times New Roman" w:hAnsi="Times New Roman"/>
                <w:color w:val="auto"/>
                <w:lang w:val="en-US" w:eastAsia="zh-CN"/>
              </w:rPr>
              <w:t>本</w:t>
            </w:r>
            <w:r>
              <w:rPr>
                <w:rFonts w:hint="eastAsia" w:ascii="Times New Roman" w:hAnsi="Times New Roman"/>
                <w:color w:val="auto"/>
              </w:rPr>
              <w:t>项目</w:t>
            </w:r>
            <w:r>
              <w:rPr>
                <w:rFonts w:hint="eastAsia" w:ascii="Times New Roman" w:hAnsi="Times New Roman"/>
                <w:color w:val="auto"/>
                <w:lang w:eastAsia="zh-CN"/>
              </w:rPr>
              <w:t>水</w:t>
            </w:r>
            <w:r>
              <w:rPr>
                <w:rFonts w:hint="eastAsia" w:ascii="Times New Roman" w:hAnsi="Times New Roman"/>
                <w:color w:val="auto"/>
              </w:rPr>
              <w:t>污染物排放总量指标</w:t>
            </w:r>
          </w:p>
          <w:tbl>
            <w:tblPr>
              <w:tblStyle w:val="3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55"/>
              <w:gridCol w:w="912"/>
              <w:gridCol w:w="984"/>
              <w:gridCol w:w="1292"/>
              <w:gridCol w:w="1207"/>
              <w:gridCol w:w="1488"/>
              <w:gridCol w:w="1674"/>
            </w:tblGrid>
            <w:tr w14:paraId="4C496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6" w:hRule="atLeast"/>
                <w:jc w:val="center"/>
              </w:trPr>
              <w:tc>
                <w:tcPr>
                  <w:tcW w:w="508" w:type="pct"/>
                  <w:tcBorders>
                    <w:tl2br w:val="nil"/>
                    <w:tr2bl w:val="nil"/>
                  </w:tcBorders>
                  <w:noWrap w:val="0"/>
                  <w:vAlign w:val="center"/>
                </w:tcPr>
                <w:p w14:paraId="7C50BE09">
                  <w:pPr>
                    <w:pStyle w:val="227"/>
                    <w:bidi w:val="0"/>
                    <w:rPr>
                      <w:rFonts w:hint="eastAsia" w:ascii="Times New Roman" w:hAnsi="Times New Roman"/>
                      <w:color w:val="auto"/>
                    </w:rPr>
                  </w:pPr>
                  <w:r>
                    <w:rPr>
                      <w:rFonts w:hint="eastAsia" w:ascii="Times New Roman" w:hAnsi="Times New Roman"/>
                      <w:color w:val="auto"/>
                    </w:rPr>
                    <w:t>项目</w:t>
                  </w:r>
                </w:p>
              </w:tc>
              <w:tc>
                <w:tcPr>
                  <w:tcW w:w="2612" w:type="pct"/>
                  <w:gridSpan w:val="4"/>
                  <w:tcBorders>
                    <w:tl2br w:val="nil"/>
                    <w:tr2bl w:val="nil"/>
                  </w:tcBorders>
                  <w:noWrap w:val="0"/>
                  <w:vAlign w:val="center"/>
                </w:tcPr>
                <w:p w14:paraId="5DF6F685">
                  <w:pPr>
                    <w:pStyle w:val="227"/>
                    <w:bidi w:val="0"/>
                    <w:rPr>
                      <w:rFonts w:hint="eastAsia" w:ascii="Times New Roman" w:hAnsi="Times New Roman"/>
                      <w:color w:val="auto"/>
                    </w:rPr>
                  </w:pPr>
                  <w:r>
                    <w:rPr>
                      <w:rFonts w:hint="eastAsia" w:ascii="Times New Roman" w:hAnsi="Times New Roman"/>
                      <w:color w:val="auto"/>
                    </w:rPr>
                    <w:t>建议最终排入环境控制指标</w:t>
                  </w:r>
                </w:p>
              </w:tc>
              <w:tc>
                <w:tcPr>
                  <w:tcW w:w="1879" w:type="pct"/>
                  <w:gridSpan w:val="2"/>
                  <w:tcBorders>
                    <w:tl2br w:val="nil"/>
                    <w:tr2bl w:val="nil"/>
                  </w:tcBorders>
                  <w:noWrap w:val="0"/>
                  <w:vAlign w:val="center"/>
                </w:tcPr>
                <w:p w14:paraId="1440FE5E">
                  <w:pPr>
                    <w:pStyle w:val="227"/>
                    <w:bidi w:val="0"/>
                    <w:rPr>
                      <w:rFonts w:hint="eastAsia" w:ascii="Times New Roman" w:hAnsi="Times New Roman"/>
                      <w:color w:val="auto"/>
                    </w:rPr>
                  </w:pPr>
                  <w:r>
                    <w:rPr>
                      <w:rFonts w:hint="eastAsia" w:ascii="Times New Roman" w:hAnsi="Times New Roman"/>
                      <w:color w:val="auto"/>
                    </w:rPr>
                    <w:t>建议申报指标t/a</w:t>
                  </w:r>
                </w:p>
              </w:tc>
            </w:tr>
            <w:tr w14:paraId="618F7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12" w:hRule="atLeast"/>
                <w:jc w:val="center"/>
              </w:trPr>
              <w:tc>
                <w:tcPr>
                  <w:tcW w:w="508" w:type="pct"/>
                  <w:tcBorders>
                    <w:tl2br w:val="nil"/>
                    <w:tr2bl w:val="nil"/>
                  </w:tcBorders>
                  <w:noWrap w:val="0"/>
                  <w:vAlign w:val="center"/>
                </w:tcPr>
                <w:p w14:paraId="19114393">
                  <w:pPr>
                    <w:pStyle w:val="227"/>
                    <w:bidi w:val="0"/>
                    <w:rPr>
                      <w:rFonts w:hint="eastAsia" w:ascii="Times New Roman" w:hAnsi="Times New Roman"/>
                      <w:color w:val="auto"/>
                    </w:rPr>
                  </w:pPr>
                  <w:r>
                    <w:rPr>
                      <w:rFonts w:hint="eastAsia" w:ascii="Times New Roman" w:hAnsi="Times New Roman"/>
                      <w:color w:val="auto"/>
                    </w:rPr>
                    <w:t>污染物名称</w:t>
                  </w:r>
                </w:p>
              </w:tc>
              <w:tc>
                <w:tcPr>
                  <w:tcW w:w="542" w:type="pct"/>
                  <w:tcBorders>
                    <w:tl2br w:val="nil"/>
                    <w:tr2bl w:val="nil"/>
                  </w:tcBorders>
                  <w:noWrap w:val="0"/>
                  <w:vAlign w:val="center"/>
                </w:tcPr>
                <w:p w14:paraId="484CD45F">
                  <w:pPr>
                    <w:pStyle w:val="227"/>
                    <w:bidi w:val="0"/>
                    <w:rPr>
                      <w:rFonts w:hint="eastAsia" w:ascii="Times New Roman" w:hAnsi="Times New Roman"/>
                      <w:color w:val="auto"/>
                    </w:rPr>
                  </w:pPr>
                  <w:r>
                    <w:rPr>
                      <w:rFonts w:hint="eastAsia" w:ascii="Times New Roman" w:hAnsi="Times New Roman"/>
                      <w:color w:val="auto"/>
                    </w:rPr>
                    <w:t>排放浓度mg/L</w:t>
                  </w:r>
                </w:p>
              </w:tc>
              <w:tc>
                <w:tcPr>
                  <w:tcW w:w="585" w:type="pct"/>
                  <w:tcBorders>
                    <w:tl2br w:val="nil"/>
                    <w:tr2bl w:val="nil"/>
                  </w:tcBorders>
                  <w:noWrap w:val="0"/>
                  <w:vAlign w:val="center"/>
                </w:tcPr>
                <w:p w14:paraId="7599A7E1">
                  <w:pPr>
                    <w:pStyle w:val="227"/>
                    <w:bidi w:val="0"/>
                    <w:rPr>
                      <w:rFonts w:hint="eastAsia" w:ascii="Times New Roman" w:hAnsi="Times New Roman"/>
                      <w:color w:val="auto"/>
                    </w:rPr>
                  </w:pPr>
                  <w:r>
                    <w:rPr>
                      <w:rFonts w:hint="eastAsia" w:ascii="Times New Roman" w:hAnsi="Times New Roman"/>
                      <w:color w:val="auto"/>
                    </w:rPr>
                    <w:t>总排放量t/a</w:t>
                  </w:r>
                </w:p>
              </w:tc>
              <w:tc>
                <w:tcPr>
                  <w:tcW w:w="768" w:type="pct"/>
                  <w:tcBorders>
                    <w:tl2br w:val="nil"/>
                    <w:tr2bl w:val="nil"/>
                  </w:tcBorders>
                  <w:noWrap w:val="0"/>
                  <w:vAlign w:val="center"/>
                </w:tcPr>
                <w:p w14:paraId="07F1300C">
                  <w:pPr>
                    <w:pStyle w:val="227"/>
                    <w:bidi w:val="0"/>
                    <w:rPr>
                      <w:rFonts w:hint="eastAsia" w:ascii="Times New Roman" w:hAnsi="Times New Roman"/>
                      <w:color w:val="auto"/>
                    </w:rPr>
                  </w:pPr>
                  <w:r>
                    <w:rPr>
                      <w:rFonts w:hint="eastAsia" w:ascii="Times New Roman" w:hAnsi="Times New Roman"/>
                      <w:color w:val="auto"/>
                    </w:rPr>
                    <w:t>生产废水排放量t/a</w:t>
                  </w:r>
                </w:p>
              </w:tc>
              <w:tc>
                <w:tcPr>
                  <w:tcW w:w="714" w:type="pct"/>
                  <w:tcBorders>
                    <w:tl2br w:val="nil"/>
                    <w:tr2bl w:val="nil"/>
                  </w:tcBorders>
                  <w:noWrap w:val="0"/>
                  <w:vAlign w:val="center"/>
                </w:tcPr>
                <w:p w14:paraId="3B47F6AD">
                  <w:pPr>
                    <w:pStyle w:val="227"/>
                    <w:bidi w:val="0"/>
                    <w:rPr>
                      <w:rFonts w:hint="eastAsia" w:ascii="Times New Roman" w:hAnsi="Times New Roman"/>
                      <w:color w:val="auto"/>
                    </w:rPr>
                  </w:pPr>
                  <w:r>
                    <w:rPr>
                      <w:rFonts w:hint="eastAsia" w:ascii="Times New Roman" w:hAnsi="Times New Roman"/>
                      <w:color w:val="auto"/>
                    </w:rPr>
                    <w:t>生活污水排放量t/a</w:t>
                  </w:r>
                </w:p>
              </w:tc>
              <w:tc>
                <w:tcPr>
                  <w:tcW w:w="884" w:type="pct"/>
                  <w:tcBorders>
                    <w:tl2br w:val="nil"/>
                    <w:tr2bl w:val="nil"/>
                  </w:tcBorders>
                  <w:noWrap w:val="0"/>
                  <w:vAlign w:val="center"/>
                </w:tcPr>
                <w:p w14:paraId="6DBC1B4F">
                  <w:pPr>
                    <w:pStyle w:val="227"/>
                    <w:bidi w:val="0"/>
                    <w:rPr>
                      <w:rFonts w:hint="eastAsia" w:ascii="Times New Roman" w:hAnsi="Times New Roman" w:eastAsia="宋体"/>
                      <w:color w:val="auto"/>
                      <w:lang w:val="en-US" w:eastAsia="zh-CN"/>
                    </w:rPr>
                  </w:pPr>
                  <w:r>
                    <w:rPr>
                      <w:rFonts w:hint="eastAsia" w:ascii="Times New Roman" w:hAnsi="Times New Roman"/>
                      <w:color w:val="auto"/>
                    </w:rPr>
                    <w:t>由</w:t>
                  </w:r>
                  <w:r>
                    <w:rPr>
                      <w:rFonts w:hint="eastAsia" w:ascii="Times New Roman" w:hAnsi="Times New Roman"/>
                      <w:color w:val="auto"/>
                      <w:lang w:eastAsia="zh-CN"/>
                    </w:rPr>
                    <w:t>污水处理厂</w:t>
                  </w:r>
                  <w:r>
                    <w:rPr>
                      <w:rFonts w:hint="eastAsia" w:ascii="Times New Roman" w:hAnsi="Times New Roman"/>
                      <w:color w:val="auto"/>
                    </w:rPr>
                    <w:t>中调配</w:t>
                  </w:r>
                  <w:r>
                    <w:rPr>
                      <w:rFonts w:hint="eastAsia" w:ascii="Times New Roman" w:hAnsi="Times New Roman"/>
                      <w:color w:val="auto"/>
                      <w:lang w:val="en-US" w:eastAsia="zh-CN"/>
                    </w:rPr>
                    <w:t>t/a</w:t>
                  </w:r>
                </w:p>
              </w:tc>
              <w:tc>
                <w:tcPr>
                  <w:tcW w:w="994" w:type="pct"/>
                  <w:tcBorders>
                    <w:tl2br w:val="nil"/>
                    <w:tr2bl w:val="nil"/>
                  </w:tcBorders>
                  <w:noWrap w:val="0"/>
                  <w:vAlign w:val="center"/>
                </w:tcPr>
                <w:p w14:paraId="54E43345">
                  <w:pPr>
                    <w:pStyle w:val="227"/>
                    <w:bidi w:val="0"/>
                    <w:rPr>
                      <w:rFonts w:hint="eastAsia" w:ascii="Times New Roman" w:hAnsi="Times New Roman"/>
                      <w:color w:val="auto"/>
                      <w:lang w:eastAsia="zh-CN"/>
                    </w:rPr>
                  </w:pPr>
                  <w:r>
                    <w:rPr>
                      <w:rFonts w:hint="eastAsia" w:ascii="Times New Roman" w:hAnsi="Times New Roman"/>
                      <w:color w:val="auto"/>
                    </w:rPr>
                    <w:t>通过排污权交易获得</w:t>
                  </w:r>
                  <w:r>
                    <w:rPr>
                      <w:rFonts w:hint="eastAsia" w:ascii="Times New Roman" w:hAnsi="Times New Roman"/>
                      <w:color w:val="auto"/>
                      <w:lang w:eastAsia="zh-CN"/>
                    </w:rPr>
                    <w:t>（污染物</w:t>
                  </w:r>
                  <w:r>
                    <w:rPr>
                      <w:rFonts w:hint="eastAsia" w:ascii="Times New Roman" w:hAnsi="Times New Roman"/>
                      <w:color w:val="auto"/>
                      <w:lang w:val="en-US" w:eastAsia="zh-CN"/>
                    </w:rPr>
                    <w:t>*1.2倍</w:t>
                  </w:r>
                  <w:r>
                    <w:rPr>
                      <w:rFonts w:hint="eastAsia" w:ascii="Times New Roman" w:hAnsi="Times New Roman"/>
                      <w:color w:val="auto"/>
                      <w:lang w:eastAsia="zh-CN"/>
                    </w:rPr>
                    <w:t>）</w:t>
                  </w:r>
                </w:p>
              </w:tc>
            </w:tr>
            <w:tr w14:paraId="1D3BC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2" w:hRule="atLeast"/>
                <w:jc w:val="center"/>
              </w:trPr>
              <w:tc>
                <w:tcPr>
                  <w:tcW w:w="508" w:type="pct"/>
                  <w:tcBorders>
                    <w:tl2br w:val="nil"/>
                    <w:tr2bl w:val="nil"/>
                  </w:tcBorders>
                  <w:noWrap w:val="0"/>
                  <w:vAlign w:val="center"/>
                </w:tcPr>
                <w:p w14:paraId="467101CF">
                  <w:pPr>
                    <w:pStyle w:val="227"/>
                    <w:bidi w:val="0"/>
                    <w:rPr>
                      <w:rFonts w:hint="eastAsia" w:ascii="Times New Roman" w:hAnsi="Times New Roman"/>
                      <w:color w:val="auto"/>
                    </w:rPr>
                  </w:pPr>
                  <w:r>
                    <w:rPr>
                      <w:rFonts w:hint="eastAsia" w:ascii="Times New Roman" w:hAnsi="Times New Roman"/>
                      <w:color w:val="auto"/>
                    </w:rPr>
                    <w:t>废水量</w:t>
                  </w:r>
                </w:p>
              </w:tc>
              <w:tc>
                <w:tcPr>
                  <w:tcW w:w="542" w:type="pct"/>
                  <w:tcBorders>
                    <w:tl2br w:val="nil"/>
                    <w:tr2bl w:val="nil"/>
                  </w:tcBorders>
                  <w:noWrap w:val="0"/>
                  <w:vAlign w:val="center"/>
                </w:tcPr>
                <w:p w14:paraId="5CAE7110">
                  <w:pPr>
                    <w:pStyle w:val="227"/>
                    <w:bidi w:val="0"/>
                    <w:rPr>
                      <w:rFonts w:hint="eastAsia" w:ascii="Times New Roman" w:hAnsi="Times New Roman" w:eastAsia="宋体"/>
                      <w:color w:val="auto"/>
                      <w:lang w:eastAsia="zh-CN"/>
                    </w:rPr>
                  </w:pPr>
                  <w:r>
                    <w:rPr>
                      <w:rFonts w:hint="eastAsia" w:ascii="Times New Roman" w:hAnsi="Times New Roman"/>
                      <w:color w:val="auto"/>
                      <w:lang w:val="en-US" w:eastAsia="zh-CN"/>
                    </w:rPr>
                    <w:t>/</w:t>
                  </w:r>
                </w:p>
              </w:tc>
              <w:tc>
                <w:tcPr>
                  <w:tcW w:w="585" w:type="pct"/>
                  <w:tcBorders>
                    <w:tl2br w:val="nil"/>
                    <w:tr2bl w:val="nil"/>
                  </w:tcBorders>
                  <w:noWrap w:val="0"/>
                  <w:vAlign w:val="center"/>
                </w:tcPr>
                <w:p w14:paraId="1E1EA906">
                  <w:pPr>
                    <w:pStyle w:val="227"/>
                    <w:bidi w:val="0"/>
                    <w:rPr>
                      <w:rFonts w:hint="default" w:ascii="Times New Roman" w:hAnsi="Times New Roman" w:eastAsia="宋体"/>
                      <w:color w:val="auto"/>
                      <w:lang w:val="en-US" w:eastAsia="zh-CN"/>
                    </w:rPr>
                  </w:pPr>
                  <w:r>
                    <w:rPr>
                      <w:rFonts w:hint="eastAsia"/>
                      <w:color w:val="auto"/>
                      <w:lang w:val="en-US" w:eastAsia="zh-CN"/>
                    </w:rPr>
                    <w:t>99.6</w:t>
                  </w:r>
                </w:p>
              </w:tc>
              <w:tc>
                <w:tcPr>
                  <w:tcW w:w="768" w:type="pct"/>
                  <w:tcBorders>
                    <w:tl2br w:val="nil"/>
                    <w:tr2bl w:val="nil"/>
                  </w:tcBorders>
                  <w:noWrap w:val="0"/>
                  <w:vAlign w:val="center"/>
                </w:tcPr>
                <w:p w14:paraId="22575DAE">
                  <w:pPr>
                    <w:pStyle w:val="227"/>
                    <w:bidi w:val="0"/>
                    <w:rPr>
                      <w:rFonts w:hint="default" w:ascii="Times New Roman" w:hAnsi="Times New Roman"/>
                      <w:color w:val="auto"/>
                      <w:lang w:val="en-US" w:eastAsia="zh-CN"/>
                    </w:rPr>
                  </w:pPr>
                  <w:r>
                    <w:rPr>
                      <w:rFonts w:hint="eastAsia"/>
                      <w:color w:val="auto"/>
                      <w:lang w:val="en-US" w:eastAsia="zh-CN"/>
                    </w:rPr>
                    <w:t>19.92</w:t>
                  </w:r>
                </w:p>
              </w:tc>
              <w:tc>
                <w:tcPr>
                  <w:tcW w:w="714" w:type="pct"/>
                  <w:tcBorders>
                    <w:tl2br w:val="nil"/>
                    <w:tr2bl w:val="nil"/>
                  </w:tcBorders>
                  <w:noWrap w:val="0"/>
                  <w:vAlign w:val="center"/>
                </w:tcPr>
                <w:p w14:paraId="52ABBB11">
                  <w:pPr>
                    <w:pStyle w:val="227"/>
                    <w:bidi w:val="0"/>
                    <w:rPr>
                      <w:rFonts w:hint="default" w:ascii="Times New Roman" w:hAnsi="Times New Roman"/>
                      <w:color w:val="auto"/>
                      <w:lang w:val="en-US" w:eastAsia="zh-CN"/>
                    </w:rPr>
                  </w:pPr>
                  <w:r>
                    <w:rPr>
                      <w:rFonts w:hint="eastAsia"/>
                      <w:color w:val="auto"/>
                      <w:lang w:val="en-US" w:eastAsia="zh-CN"/>
                    </w:rPr>
                    <w:t>79.68</w:t>
                  </w:r>
                </w:p>
              </w:tc>
              <w:tc>
                <w:tcPr>
                  <w:tcW w:w="884" w:type="pct"/>
                  <w:tcBorders>
                    <w:tl2br w:val="nil"/>
                    <w:tr2bl w:val="nil"/>
                  </w:tcBorders>
                  <w:noWrap w:val="0"/>
                  <w:vAlign w:val="center"/>
                </w:tcPr>
                <w:p w14:paraId="06B0103D">
                  <w:pPr>
                    <w:pStyle w:val="227"/>
                    <w:bidi w:val="0"/>
                    <w:rPr>
                      <w:rFonts w:hint="default" w:ascii="Times New Roman" w:hAnsi="Times New Roman"/>
                      <w:color w:val="auto"/>
                      <w:lang w:val="en-US" w:eastAsia="zh-CN"/>
                    </w:rPr>
                  </w:pPr>
                  <w:r>
                    <w:rPr>
                      <w:rFonts w:hint="eastAsia"/>
                      <w:color w:val="auto"/>
                      <w:lang w:val="en-US" w:eastAsia="zh-CN"/>
                    </w:rPr>
                    <w:t>99.6</w:t>
                  </w:r>
                </w:p>
              </w:tc>
              <w:tc>
                <w:tcPr>
                  <w:tcW w:w="994" w:type="pct"/>
                  <w:tcBorders>
                    <w:tl2br w:val="nil"/>
                    <w:tr2bl w:val="nil"/>
                  </w:tcBorders>
                  <w:noWrap w:val="0"/>
                  <w:vAlign w:val="center"/>
                </w:tcPr>
                <w:p w14:paraId="5FCA66D5">
                  <w:pPr>
                    <w:pStyle w:val="227"/>
                    <w:bidi w:val="0"/>
                    <w:rPr>
                      <w:rFonts w:hint="eastAsia" w:ascii="Times New Roman" w:hAnsi="Times New Roman"/>
                      <w:color w:val="auto"/>
                      <w:lang w:val="en-US" w:eastAsia="zh-CN"/>
                    </w:rPr>
                  </w:pPr>
                  <w:r>
                    <w:rPr>
                      <w:rFonts w:hint="eastAsia" w:ascii="Times New Roman" w:hAnsi="Times New Roman"/>
                      <w:color w:val="auto"/>
                      <w:lang w:val="en-US" w:eastAsia="zh-CN"/>
                    </w:rPr>
                    <w:t>/</w:t>
                  </w:r>
                </w:p>
              </w:tc>
            </w:tr>
            <w:tr w14:paraId="5C14F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7" w:hRule="atLeast"/>
                <w:jc w:val="center"/>
              </w:trPr>
              <w:tc>
                <w:tcPr>
                  <w:tcW w:w="508" w:type="pct"/>
                  <w:tcBorders>
                    <w:tl2br w:val="nil"/>
                    <w:tr2bl w:val="nil"/>
                  </w:tcBorders>
                  <w:noWrap w:val="0"/>
                  <w:vAlign w:val="center"/>
                </w:tcPr>
                <w:p w14:paraId="37A9D5E4">
                  <w:pPr>
                    <w:pStyle w:val="227"/>
                    <w:bidi w:val="0"/>
                    <w:rPr>
                      <w:rFonts w:hint="eastAsia"/>
                      <w:color w:val="auto"/>
                      <w:lang w:val="en-US" w:eastAsia="zh-CN"/>
                    </w:rPr>
                  </w:pPr>
                  <w:r>
                    <w:rPr>
                      <w:rFonts w:hint="eastAsia"/>
                      <w:color w:val="auto"/>
                      <w:lang w:val="en-US" w:eastAsia="zh-CN"/>
                    </w:rPr>
                    <w:t>COD</w:t>
                  </w:r>
                </w:p>
              </w:tc>
              <w:tc>
                <w:tcPr>
                  <w:tcW w:w="542" w:type="pct"/>
                  <w:tcBorders>
                    <w:tl2br w:val="nil"/>
                    <w:tr2bl w:val="nil"/>
                  </w:tcBorders>
                  <w:noWrap w:val="0"/>
                  <w:vAlign w:val="center"/>
                </w:tcPr>
                <w:p w14:paraId="21C29ADD">
                  <w:pPr>
                    <w:pStyle w:val="227"/>
                    <w:bidi w:val="0"/>
                    <w:rPr>
                      <w:rFonts w:hint="eastAsia"/>
                      <w:color w:val="auto"/>
                      <w:lang w:val="en-US" w:eastAsia="zh-CN"/>
                    </w:rPr>
                  </w:pPr>
                  <w:r>
                    <w:rPr>
                      <w:rFonts w:hint="eastAsia"/>
                      <w:color w:val="auto"/>
                      <w:lang w:val="en-US" w:eastAsia="zh-CN"/>
                    </w:rPr>
                    <w:t>50</w:t>
                  </w:r>
                </w:p>
              </w:tc>
              <w:tc>
                <w:tcPr>
                  <w:tcW w:w="585" w:type="pct"/>
                  <w:tcBorders>
                    <w:tl2br w:val="nil"/>
                    <w:tr2bl w:val="nil"/>
                  </w:tcBorders>
                  <w:noWrap w:val="0"/>
                  <w:vAlign w:val="center"/>
                </w:tcPr>
                <w:p w14:paraId="13B7CD8B">
                  <w:pPr>
                    <w:pStyle w:val="227"/>
                    <w:bidi w:val="0"/>
                    <w:rPr>
                      <w:rFonts w:hint="default"/>
                      <w:color w:val="auto"/>
                      <w:lang w:val="en-US" w:eastAsia="zh-CN"/>
                    </w:rPr>
                  </w:pPr>
                  <w:r>
                    <w:rPr>
                      <w:rFonts w:hint="eastAsia"/>
                      <w:color w:val="auto"/>
                      <w:lang w:val="en-US" w:eastAsia="zh-CN"/>
                    </w:rPr>
                    <w:t>0.0236</w:t>
                  </w:r>
                </w:p>
              </w:tc>
              <w:tc>
                <w:tcPr>
                  <w:tcW w:w="768" w:type="pct"/>
                  <w:tcBorders>
                    <w:tl2br w:val="nil"/>
                    <w:tr2bl w:val="nil"/>
                  </w:tcBorders>
                  <w:noWrap w:val="0"/>
                  <w:vAlign w:val="center"/>
                </w:tcPr>
                <w:p w14:paraId="7CC9CBC2">
                  <w:pPr>
                    <w:pStyle w:val="227"/>
                    <w:bidi w:val="0"/>
                    <w:rPr>
                      <w:rFonts w:hint="default"/>
                      <w:color w:val="auto"/>
                      <w:lang w:val="en-US" w:eastAsia="zh-CN"/>
                    </w:rPr>
                  </w:pPr>
                  <w:r>
                    <w:rPr>
                      <w:rFonts w:hint="eastAsia"/>
                      <w:color w:val="auto"/>
                      <w:lang w:val="en-US" w:eastAsia="zh-CN"/>
                    </w:rPr>
                    <w:t>0.0034</w:t>
                  </w:r>
                </w:p>
              </w:tc>
              <w:tc>
                <w:tcPr>
                  <w:tcW w:w="714" w:type="pct"/>
                  <w:tcBorders>
                    <w:tl2br w:val="nil"/>
                    <w:tr2bl w:val="nil"/>
                  </w:tcBorders>
                  <w:noWrap w:val="0"/>
                  <w:vAlign w:val="center"/>
                </w:tcPr>
                <w:p w14:paraId="2853A0DB">
                  <w:pPr>
                    <w:pStyle w:val="227"/>
                    <w:bidi w:val="0"/>
                    <w:rPr>
                      <w:rFonts w:hint="default"/>
                      <w:color w:val="auto"/>
                      <w:lang w:val="en-US" w:eastAsia="zh-CN"/>
                    </w:rPr>
                  </w:pPr>
                  <w:r>
                    <w:rPr>
                      <w:rFonts w:hint="eastAsia"/>
                      <w:color w:val="auto"/>
                      <w:lang w:val="en-US" w:eastAsia="zh-CN"/>
                    </w:rPr>
                    <w:t>0.0202</w:t>
                  </w:r>
                </w:p>
              </w:tc>
              <w:tc>
                <w:tcPr>
                  <w:tcW w:w="884" w:type="pct"/>
                  <w:tcBorders>
                    <w:tl2br w:val="nil"/>
                    <w:tr2bl w:val="nil"/>
                  </w:tcBorders>
                  <w:shd w:val="clear" w:color="auto" w:fill="auto"/>
                  <w:noWrap w:val="0"/>
                  <w:vAlign w:val="center"/>
                </w:tcPr>
                <w:p w14:paraId="3C176256">
                  <w:pPr>
                    <w:pStyle w:val="227"/>
                    <w:bidi w:val="0"/>
                    <w:rPr>
                      <w:rFonts w:hint="eastAsia"/>
                      <w:color w:val="auto"/>
                      <w:lang w:val="en-US" w:eastAsia="zh-CN"/>
                    </w:rPr>
                  </w:pPr>
                  <w:r>
                    <w:rPr>
                      <w:rFonts w:hint="eastAsia"/>
                      <w:color w:val="auto"/>
                      <w:lang w:val="en-US" w:eastAsia="zh-CN"/>
                    </w:rPr>
                    <w:t>0.0236</w:t>
                  </w:r>
                </w:p>
              </w:tc>
              <w:tc>
                <w:tcPr>
                  <w:tcW w:w="994" w:type="pct"/>
                  <w:tcBorders>
                    <w:tl2br w:val="nil"/>
                    <w:tr2bl w:val="nil"/>
                  </w:tcBorders>
                  <w:noWrap w:val="0"/>
                  <w:vAlign w:val="center"/>
                </w:tcPr>
                <w:p w14:paraId="09DC39AE">
                  <w:pPr>
                    <w:pStyle w:val="227"/>
                    <w:bidi w:val="0"/>
                    <w:rPr>
                      <w:rFonts w:hint="default"/>
                      <w:color w:val="auto"/>
                      <w:lang w:val="en-US" w:eastAsia="zh-CN"/>
                    </w:rPr>
                  </w:pPr>
                  <w:r>
                    <w:rPr>
                      <w:rFonts w:hint="eastAsia"/>
                      <w:color w:val="auto"/>
                      <w:lang w:val="en-US" w:eastAsia="zh-CN"/>
                    </w:rPr>
                    <w:t>0.02832</w:t>
                  </w:r>
                </w:p>
              </w:tc>
            </w:tr>
            <w:tr w14:paraId="55E5E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6" w:hRule="atLeast"/>
                <w:jc w:val="center"/>
              </w:trPr>
              <w:tc>
                <w:tcPr>
                  <w:tcW w:w="508" w:type="pct"/>
                  <w:tcBorders>
                    <w:tl2br w:val="nil"/>
                    <w:tr2bl w:val="nil"/>
                  </w:tcBorders>
                  <w:noWrap w:val="0"/>
                  <w:vAlign w:val="center"/>
                </w:tcPr>
                <w:p w14:paraId="34F7EB17">
                  <w:pPr>
                    <w:pStyle w:val="227"/>
                    <w:bidi w:val="0"/>
                    <w:rPr>
                      <w:rFonts w:hint="eastAsia"/>
                      <w:color w:val="auto"/>
                      <w:lang w:val="en-US" w:eastAsia="zh-CN"/>
                    </w:rPr>
                  </w:pPr>
                  <w:r>
                    <w:rPr>
                      <w:rFonts w:hint="eastAsia"/>
                      <w:color w:val="auto"/>
                      <w:lang w:val="en-US" w:eastAsia="zh-CN"/>
                    </w:rPr>
                    <w:t>NH3-N</w:t>
                  </w:r>
                </w:p>
              </w:tc>
              <w:tc>
                <w:tcPr>
                  <w:tcW w:w="542" w:type="pct"/>
                  <w:tcBorders>
                    <w:tl2br w:val="nil"/>
                    <w:tr2bl w:val="nil"/>
                  </w:tcBorders>
                  <w:noWrap w:val="0"/>
                  <w:vAlign w:val="center"/>
                </w:tcPr>
                <w:p w14:paraId="14FAFF1F">
                  <w:pPr>
                    <w:pStyle w:val="227"/>
                    <w:bidi w:val="0"/>
                    <w:rPr>
                      <w:rFonts w:hint="eastAsia"/>
                      <w:color w:val="auto"/>
                      <w:lang w:val="en-US" w:eastAsia="zh-CN"/>
                    </w:rPr>
                  </w:pPr>
                  <w:r>
                    <w:rPr>
                      <w:rFonts w:hint="eastAsia"/>
                      <w:color w:val="auto"/>
                      <w:lang w:val="en-US" w:eastAsia="zh-CN"/>
                    </w:rPr>
                    <w:t>5</w:t>
                  </w:r>
                </w:p>
              </w:tc>
              <w:tc>
                <w:tcPr>
                  <w:tcW w:w="585" w:type="pct"/>
                  <w:tcBorders>
                    <w:tl2br w:val="nil"/>
                    <w:tr2bl w:val="nil"/>
                  </w:tcBorders>
                  <w:noWrap w:val="0"/>
                  <w:vAlign w:val="center"/>
                </w:tcPr>
                <w:p w14:paraId="5B941E3F">
                  <w:pPr>
                    <w:pStyle w:val="227"/>
                    <w:bidi w:val="0"/>
                    <w:rPr>
                      <w:rFonts w:hint="default"/>
                      <w:color w:val="auto"/>
                      <w:lang w:val="en-US" w:eastAsia="zh-CN"/>
                    </w:rPr>
                  </w:pPr>
                  <w:r>
                    <w:rPr>
                      <w:rFonts w:hint="eastAsia"/>
                      <w:color w:val="auto"/>
                      <w:lang w:val="en-US" w:eastAsia="zh-CN"/>
                    </w:rPr>
                    <w:t>0.002357</w:t>
                  </w:r>
                </w:p>
              </w:tc>
              <w:tc>
                <w:tcPr>
                  <w:tcW w:w="768" w:type="pct"/>
                  <w:tcBorders>
                    <w:tl2br w:val="nil"/>
                    <w:tr2bl w:val="nil"/>
                  </w:tcBorders>
                  <w:noWrap w:val="0"/>
                  <w:vAlign w:val="center"/>
                </w:tcPr>
                <w:p w14:paraId="00564808">
                  <w:pPr>
                    <w:pStyle w:val="227"/>
                    <w:bidi w:val="0"/>
                    <w:rPr>
                      <w:rFonts w:hint="default"/>
                      <w:color w:val="auto"/>
                      <w:lang w:val="en-US" w:eastAsia="zh-CN"/>
                    </w:rPr>
                  </w:pPr>
                  <w:r>
                    <w:rPr>
                      <w:rFonts w:hint="eastAsia"/>
                      <w:color w:val="auto"/>
                      <w:lang w:val="en-US" w:eastAsia="zh-CN"/>
                    </w:rPr>
                    <w:t>0.00367</w:t>
                  </w:r>
                </w:p>
              </w:tc>
              <w:tc>
                <w:tcPr>
                  <w:tcW w:w="714" w:type="pct"/>
                  <w:tcBorders>
                    <w:tl2br w:val="nil"/>
                    <w:tr2bl w:val="nil"/>
                  </w:tcBorders>
                  <w:noWrap w:val="0"/>
                  <w:vAlign w:val="center"/>
                </w:tcPr>
                <w:p w14:paraId="72971AD2">
                  <w:pPr>
                    <w:pStyle w:val="227"/>
                    <w:bidi w:val="0"/>
                    <w:rPr>
                      <w:rFonts w:hint="default"/>
                      <w:color w:val="auto"/>
                      <w:lang w:val="en-US" w:eastAsia="zh-CN"/>
                    </w:rPr>
                  </w:pPr>
                  <w:r>
                    <w:rPr>
                      <w:rFonts w:hint="eastAsia"/>
                      <w:color w:val="auto"/>
                      <w:lang w:val="en-US" w:eastAsia="zh-CN"/>
                    </w:rPr>
                    <w:t>0.00199</w:t>
                  </w:r>
                </w:p>
              </w:tc>
              <w:tc>
                <w:tcPr>
                  <w:tcW w:w="884" w:type="pct"/>
                  <w:tcBorders>
                    <w:tl2br w:val="nil"/>
                    <w:tr2bl w:val="nil"/>
                  </w:tcBorders>
                  <w:shd w:val="clear" w:color="auto" w:fill="auto"/>
                  <w:noWrap w:val="0"/>
                  <w:vAlign w:val="center"/>
                </w:tcPr>
                <w:p w14:paraId="170DC832">
                  <w:pPr>
                    <w:pStyle w:val="227"/>
                    <w:bidi w:val="0"/>
                    <w:rPr>
                      <w:rFonts w:hint="default"/>
                      <w:color w:val="auto"/>
                      <w:lang w:val="en-US" w:eastAsia="zh-CN"/>
                    </w:rPr>
                  </w:pPr>
                  <w:r>
                    <w:rPr>
                      <w:rFonts w:hint="eastAsia"/>
                      <w:color w:val="auto"/>
                      <w:lang w:val="en-US" w:eastAsia="zh-CN"/>
                    </w:rPr>
                    <w:t>0.002357</w:t>
                  </w:r>
                </w:p>
              </w:tc>
              <w:tc>
                <w:tcPr>
                  <w:tcW w:w="994" w:type="pct"/>
                  <w:tcBorders>
                    <w:tl2br w:val="nil"/>
                    <w:tr2bl w:val="nil"/>
                  </w:tcBorders>
                  <w:noWrap w:val="0"/>
                  <w:vAlign w:val="center"/>
                </w:tcPr>
                <w:p w14:paraId="4A63F23D">
                  <w:pPr>
                    <w:pStyle w:val="227"/>
                    <w:bidi w:val="0"/>
                    <w:rPr>
                      <w:rFonts w:hint="default"/>
                      <w:color w:val="auto"/>
                      <w:lang w:val="en-US" w:eastAsia="zh-CN"/>
                    </w:rPr>
                  </w:pPr>
                  <w:r>
                    <w:rPr>
                      <w:rFonts w:hint="eastAsia"/>
                      <w:color w:val="auto"/>
                      <w:lang w:val="en-US" w:eastAsia="zh-CN"/>
                    </w:rPr>
                    <w:t>0.0028284</w:t>
                  </w:r>
                </w:p>
              </w:tc>
            </w:tr>
          </w:tbl>
          <w:p w14:paraId="381C5B6B">
            <w:pPr>
              <w:pStyle w:val="5"/>
              <w:bidi w:val="0"/>
              <w:rPr>
                <w:rFonts w:hint="eastAsia" w:ascii="Times New Roman" w:hAnsi="Times New Roman"/>
                <w:color w:val="auto"/>
              </w:rPr>
            </w:pPr>
            <w:r>
              <w:rPr>
                <w:rFonts w:hint="eastAsia" w:ascii="Times New Roman" w:hAnsi="Times New Roman"/>
                <w:color w:val="auto"/>
              </w:rPr>
              <w:t>根据福建省环保厅关于印发《福建省主要污染物排污权指标核定管理办法（试行）》的通知（闽环发[2014]12号），生活污水排放暂不需要购买相应的排污权指标，因此，无需申请总量控制指标。</w:t>
            </w:r>
          </w:p>
          <w:p w14:paraId="242CEA7A">
            <w:pPr>
              <w:pStyle w:val="5"/>
              <w:bidi w:val="0"/>
              <w:rPr>
                <w:rFonts w:hint="eastAsia" w:ascii="Times New Roman" w:hAnsi="Times New Roman"/>
                <w:color w:val="auto"/>
              </w:rPr>
            </w:pPr>
            <w:r>
              <w:rPr>
                <w:rFonts w:hint="eastAsia" w:ascii="宋体" w:hAnsi="宋体" w:eastAsia="宋体" w:cs="宋体"/>
                <w:color w:val="auto"/>
                <w:sz w:val="24"/>
                <w:szCs w:val="24"/>
                <w:lang w:val="en-US" w:eastAsia="zh-CN"/>
              </w:rPr>
              <w:t>根据</w:t>
            </w:r>
            <w:r>
              <w:rPr>
                <w:rFonts w:hint="eastAsia" w:ascii="Times New Roman" w:hAnsi="Times New Roman"/>
                <w:color w:val="auto"/>
              </w:rPr>
              <w:t>《</w:t>
            </w:r>
            <w:r>
              <w:rPr>
                <w:rFonts w:hint="eastAsia" w:ascii="Times New Roman" w:hAnsi="Times New Roman" w:eastAsia="宋体" w:cs="宋体"/>
                <w:color w:val="auto"/>
              </w:rPr>
              <w:t>福建省生态环境厅关于印发服务和促进民营经济发展九条措施的通知</w:t>
            </w:r>
            <w:r>
              <w:rPr>
                <w:rFonts w:hint="eastAsia" w:ascii="Times New Roman" w:hAnsi="Times New Roman"/>
                <w:color w:val="auto"/>
              </w:rPr>
              <w:t>》</w:t>
            </w:r>
            <w:r>
              <w:rPr>
                <w:rFonts w:hint="eastAsia" w:ascii="Times New Roman" w:hAnsi="Times New Roman" w:eastAsia="宋体" w:cs="宋体"/>
                <w:color w:val="auto"/>
                <w:lang w:eastAsia="zh-CN"/>
              </w:rPr>
              <w:t>，</w:t>
            </w:r>
            <w:r>
              <w:rPr>
                <w:rFonts w:ascii="宋体" w:hAnsi="宋体" w:eastAsia="宋体" w:cs="宋体"/>
                <w:color w:val="auto"/>
                <w:sz w:val="24"/>
                <w:szCs w:val="24"/>
              </w:rPr>
              <w:t>在严格实施各项污染防治措施基础上，二氧化硫、氮氧化物、化学需氧量的单项新增年排放量小于0.1吨，氨氮小于0.01吨的建设项目，免购买排污权交易指标、提交总量来源说明；挥发性有机污染物新增年排放量小于0.1吨的建设项目，免予提交总量来源说明，由市级生态环境部门统筹总量指标替代来源。</w:t>
            </w:r>
            <w:r>
              <w:rPr>
                <w:rFonts w:hint="eastAsia" w:ascii="Times New Roman" w:hAnsi="Times New Roman"/>
                <w:color w:val="auto"/>
              </w:rPr>
              <w:t>故本项目</w:t>
            </w:r>
            <w:r>
              <w:rPr>
                <w:rFonts w:hint="eastAsia"/>
                <w:color w:val="auto"/>
                <w:lang w:val="en-US" w:eastAsia="zh-CN"/>
              </w:rPr>
              <w:t>无</w:t>
            </w:r>
            <w:r>
              <w:rPr>
                <w:rFonts w:hint="eastAsia" w:ascii="Times New Roman" w:hAnsi="Times New Roman"/>
                <w:color w:val="auto"/>
              </w:rPr>
              <w:t>需申请购买COD、NH</w:t>
            </w:r>
            <w:r>
              <w:rPr>
                <w:rFonts w:hint="eastAsia" w:ascii="Times New Roman" w:hAnsi="Times New Roman"/>
                <w:color w:val="auto"/>
                <w:vertAlign w:val="subscript"/>
              </w:rPr>
              <w:t>3</w:t>
            </w:r>
            <w:r>
              <w:rPr>
                <w:rFonts w:hint="eastAsia" w:ascii="Times New Roman" w:hAnsi="Times New Roman"/>
                <w:color w:val="auto"/>
              </w:rPr>
              <w:t>-N总量。</w:t>
            </w:r>
          </w:p>
          <w:p w14:paraId="119514E2">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b/>
                <w:bCs/>
                <w:color w:val="auto"/>
                <w:kern w:val="2"/>
                <w:sz w:val="28"/>
                <w:szCs w:val="28"/>
                <w:lang w:val="en-US" w:eastAsia="zh-CN" w:bidi="ar-SA"/>
              </w:rPr>
            </w:pPr>
            <w:r>
              <w:rPr>
                <w:rFonts w:hint="eastAsia" w:ascii="Times New Roman" w:hAnsi="Times New Roman" w:eastAsia="宋体" w:cs="Times New Roman"/>
                <w:b/>
                <w:bCs/>
                <w:color w:val="auto"/>
                <w:kern w:val="2"/>
                <w:sz w:val="28"/>
                <w:szCs w:val="28"/>
                <w:lang w:val="en-US" w:eastAsia="zh-CN" w:bidi="ar-SA"/>
              </w:rPr>
              <w:t>3.4.2废气总量</w:t>
            </w:r>
          </w:p>
          <w:p w14:paraId="5668E4BA">
            <w:pPr>
              <w:pStyle w:val="5"/>
              <w:bidi w:val="0"/>
              <w:rPr>
                <w:rFonts w:hint="eastAsia" w:ascii="Times New Roman" w:hAnsi="Times New Roman"/>
                <w:color w:val="auto"/>
              </w:rPr>
            </w:pPr>
            <w:r>
              <w:rPr>
                <w:rFonts w:hint="eastAsia" w:ascii="Times New Roman" w:hAnsi="Times New Roman"/>
                <w:color w:val="auto"/>
              </w:rPr>
              <w:t>（1）非甲烷总烃总量控制</w:t>
            </w:r>
          </w:p>
          <w:p w14:paraId="1DF9493D">
            <w:pPr>
              <w:pStyle w:val="5"/>
              <w:bidi w:val="0"/>
              <w:rPr>
                <w:rFonts w:hint="eastAsia" w:ascii="Times New Roman" w:hAnsi="Times New Roman"/>
                <w:color w:val="auto"/>
              </w:rPr>
            </w:pPr>
            <w:r>
              <w:rPr>
                <w:rFonts w:hint="eastAsia" w:ascii="Times New Roman" w:hAnsi="Times New Roman"/>
                <w:color w:val="auto"/>
              </w:rPr>
              <w:t>根据《福州市环境保护局关于印发福州市大气污染联防控联治工作方案的通知》榕环保综[2018]386号：VOCs排放实行区域内倍量替代，新、改扩建涉VOCs排放项目，应从源头加强控制，使用低（无）VOCs含量的原辅材料，加强废气收集、安装高效治理设施。根据工程分析可知，本项目VOCs（以非甲烷总烃计）的排放总量为：</w:t>
            </w:r>
            <w:r>
              <w:rPr>
                <w:rFonts w:hint="eastAsia" w:ascii="Times New Roman" w:hAnsi="Times New Roman"/>
                <w:color w:val="auto"/>
                <w:lang w:val="en-US" w:eastAsia="zh-CN"/>
              </w:rPr>
              <w:t>0.</w:t>
            </w:r>
            <w:r>
              <w:rPr>
                <w:rFonts w:hint="eastAsia"/>
                <w:color w:val="auto"/>
                <w:lang w:val="en-US" w:eastAsia="zh-CN"/>
              </w:rPr>
              <w:t>286</w:t>
            </w:r>
            <w:r>
              <w:rPr>
                <w:rFonts w:hint="eastAsia" w:ascii="Times New Roman" w:hAnsi="Times New Roman"/>
                <w:color w:val="auto"/>
              </w:rPr>
              <w:t>t/a。</w:t>
            </w:r>
            <w:r>
              <w:rPr>
                <w:rFonts w:hint="eastAsia"/>
                <w:color w:val="auto"/>
                <w:lang w:val="en-US" w:eastAsia="zh-CN"/>
              </w:rPr>
              <w:t>其中</w:t>
            </w:r>
            <w:r>
              <w:rPr>
                <w:rFonts w:hint="eastAsia" w:ascii="Times New Roman" w:hAnsi="Times New Roman"/>
                <w:color w:val="auto"/>
              </w:rPr>
              <w:t>VOCs（以非甲烷总烃计）</w:t>
            </w:r>
            <w:r>
              <w:rPr>
                <w:rFonts w:hint="eastAsia"/>
                <w:color w:val="auto"/>
                <w:lang w:val="en-US" w:eastAsia="zh-CN"/>
              </w:rPr>
              <w:t>有组织排放量为0.198t/a，</w:t>
            </w:r>
            <w:r>
              <w:rPr>
                <w:rFonts w:hint="eastAsia" w:ascii="Times New Roman" w:hAnsi="Times New Roman"/>
                <w:color w:val="auto"/>
              </w:rPr>
              <w:t>VOCs（以非甲烷总烃计）</w:t>
            </w:r>
            <w:r>
              <w:rPr>
                <w:rFonts w:hint="eastAsia"/>
                <w:color w:val="auto"/>
                <w:lang w:val="en-US" w:eastAsia="zh-CN"/>
              </w:rPr>
              <w:t>无组织排放量为0.088t/a。</w:t>
            </w:r>
            <w:r>
              <w:rPr>
                <w:rFonts w:hint="eastAsia" w:ascii="Times New Roman" w:hAnsi="Times New Roman"/>
                <w:color w:val="auto"/>
              </w:rPr>
              <w:t>由建设单位向当地生态环境主管部门申请区域削减替代。</w:t>
            </w:r>
          </w:p>
          <w:p w14:paraId="7E5B5BC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cs="宋体"/>
                <w:color w:val="auto"/>
                <w:szCs w:val="21"/>
              </w:rPr>
            </w:pPr>
            <w:r>
              <w:rPr>
                <w:rFonts w:hint="eastAsia" w:ascii="Times New Roman" w:hAnsi="Times New Roman" w:eastAsia="宋体" w:cs="宋体"/>
                <w:color w:val="auto"/>
                <w:sz w:val="24"/>
                <w:szCs w:val="24"/>
                <w:lang w:val="en-US" w:eastAsia="zh-CN" w:bidi="ar-SA"/>
              </w:rPr>
              <w:t>建设单位需按照标准严格控制其排放，VOCs（非甲烷总烃）总量需要通过区域调剂来获得。最终的总量控制指标以本报告表报批环保行政主管部门后核定的总量为准。</w:t>
            </w:r>
          </w:p>
        </w:tc>
      </w:tr>
    </w:tbl>
    <w:p w14:paraId="24393B4B">
      <w:pPr>
        <w:pStyle w:val="204"/>
        <w:jc w:val="center"/>
        <w:outlineLvl w:val="0"/>
        <w:rPr>
          <w:rFonts w:ascii="Times New Roman" w:hAnsi="Times New Roman" w:eastAsia="黑体"/>
          <w:color w:val="auto"/>
          <w:sz w:val="30"/>
          <w:szCs w:val="30"/>
        </w:rPr>
      </w:pPr>
      <w:r>
        <w:rPr>
          <w:rFonts w:ascii="Times New Roman" w:hAnsi="Times New Roman" w:eastAsia="黑体"/>
          <w:color w:val="auto"/>
          <w:sz w:val="36"/>
          <w:szCs w:val="36"/>
        </w:rPr>
        <w:br w:type="page" w:clear="all"/>
      </w:r>
      <w:r>
        <w:rPr>
          <w:rFonts w:hint="eastAsia" w:ascii="Times New Roman" w:hAnsi="Times New Roman" w:eastAsia="黑体"/>
          <w:color w:val="auto"/>
          <w:sz w:val="30"/>
          <w:szCs w:val="30"/>
        </w:rPr>
        <w:t>四、主要环境影响和保护措施</w:t>
      </w:r>
    </w:p>
    <w:tbl>
      <w:tblPr>
        <w:tblStyle w:val="38"/>
        <w:tblW w:w="8908" w:type="dxa"/>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autofit"/>
        <w:tblCellMar>
          <w:top w:w="0" w:type="dxa"/>
          <w:left w:w="108" w:type="dxa"/>
          <w:bottom w:w="0" w:type="dxa"/>
          <w:right w:w="108" w:type="dxa"/>
        </w:tblCellMar>
      </w:tblPr>
      <w:tblGrid>
        <w:gridCol w:w="277"/>
        <w:gridCol w:w="8631"/>
      </w:tblGrid>
      <w:tr w14:paraId="18BBF3F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2545" w:hRule="atLeast"/>
          <w:jc w:val="center"/>
        </w:trPr>
        <w:tc>
          <w:tcPr>
            <w:tcW w:w="558" w:type="dxa"/>
            <w:noWrap w:val="0"/>
            <w:tcMar>
              <w:left w:w="28" w:type="dxa"/>
              <w:right w:w="28" w:type="dxa"/>
            </w:tcMar>
            <w:vAlign w:val="center"/>
          </w:tcPr>
          <w:p w14:paraId="5C7C1F82">
            <w:pPr>
              <w:pStyle w:val="204"/>
              <w:spacing w:before="0" w:beforeAutospacing="0" w:after="0" w:afterAutospacing="0"/>
              <w:jc w:val="center"/>
              <w:rPr>
                <w:rFonts w:hint="eastAsia" w:ascii="Times New Roman" w:hAnsi="Times New Roman" w:cs="宋体"/>
                <w:color w:val="auto"/>
                <w:sz w:val="21"/>
                <w:szCs w:val="21"/>
              </w:rPr>
            </w:pPr>
            <w:r>
              <w:rPr>
                <w:rFonts w:hint="eastAsia" w:ascii="Times New Roman" w:hAnsi="Times New Roman" w:cs="宋体"/>
                <w:color w:val="auto"/>
                <w:sz w:val="21"/>
                <w:szCs w:val="21"/>
              </w:rPr>
              <w:t>施工</w:t>
            </w:r>
          </w:p>
          <w:p w14:paraId="5C3941B5">
            <w:pPr>
              <w:pStyle w:val="204"/>
              <w:spacing w:before="0" w:beforeAutospacing="0" w:after="0" w:afterAutospacing="0"/>
              <w:jc w:val="center"/>
              <w:rPr>
                <w:rFonts w:hint="eastAsia" w:ascii="Times New Roman" w:hAnsi="Times New Roman" w:cs="宋体"/>
                <w:color w:val="auto"/>
                <w:sz w:val="21"/>
                <w:szCs w:val="21"/>
              </w:rPr>
            </w:pPr>
            <w:r>
              <w:rPr>
                <w:rFonts w:hint="eastAsia" w:ascii="Times New Roman" w:hAnsi="Times New Roman" w:cs="宋体"/>
                <w:color w:val="auto"/>
                <w:sz w:val="21"/>
                <w:szCs w:val="21"/>
              </w:rPr>
              <w:t>期环</w:t>
            </w:r>
          </w:p>
          <w:p w14:paraId="394BBCA1">
            <w:pPr>
              <w:pStyle w:val="204"/>
              <w:spacing w:before="0" w:beforeAutospacing="0" w:after="0" w:afterAutospacing="0"/>
              <w:jc w:val="center"/>
              <w:rPr>
                <w:rFonts w:hint="eastAsia" w:ascii="Times New Roman" w:hAnsi="Times New Roman" w:cs="宋体"/>
                <w:color w:val="auto"/>
                <w:sz w:val="21"/>
                <w:szCs w:val="21"/>
              </w:rPr>
            </w:pPr>
            <w:r>
              <w:rPr>
                <w:rFonts w:hint="eastAsia" w:ascii="Times New Roman" w:hAnsi="Times New Roman" w:cs="宋体"/>
                <w:color w:val="auto"/>
                <w:sz w:val="21"/>
                <w:szCs w:val="21"/>
              </w:rPr>
              <w:t>境保</w:t>
            </w:r>
          </w:p>
          <w:p w14:paraId="4226787D">
            <w:pPr>
              <w:pStyle w:val="204"/>
              <w:spacing w:before="0" w:beforeAutospacing="0" w:after="0" w:afterAutospacing="0"/>
              <w:jc w:val="center"/>
              <w:rPr>
                <w:rFonts w:hint="eastAsia" w:ascii="Times New Roman" w:hAnsi="Times New Roman" w:cs="宋体"/>
                <w:color w:val="auto"/>
                <w:sz w:val="21"/>
                <w:szCs w:val="21"/>
              </w:rPr>
            </w:pPr>
            <w:r>
              <w:rPr>
                <w:rFonts w:hint="eastAsia" w:ascii="Times New Roman" w:hAnsi="Times New Roman" w:cs="宋体"/>
                <w:color w:val="auto"/>
                <w:sz w:val="21"/>
                <w:szCs w:val="21"/>
              </w:rPr>
              <w:t>护措</w:t>
            </w:r>
          </w:p>
          <w:p w14:paraId="1D76DF51">
            <w:pPr>
              <w:pStyle w:val="204"/>
              <w:spacing w:before="0" w:beforeAutospacing="0" w:after="0" w:afterAutospacing="0"/>
              <w:jc w:val="center"/>
              <w:rPr>
                <w:rFonts w:hint="eastAsia" w:ascii="Times New Roman" w:hAnsi="Times New Roman" w:cs="宋体"/>
                <w:bCs/>
                <w:color w:val="auto"/>
                <w:sz w:val="21"/>
                <w:szCs w:val="21"/>
              </w:rPr>
            </w:pPr>
            <w:r>
              <w:rPr>
                <w:rFonts w:hint="eastAsia" w:ascii="Times New Roman" w:hAnsi="Times New Roman" w:cs="宋体"/>
                <w:color w:val="auto"/>
                <w:sz w:val="21"/>
                <w:szCs w:val="21"/>
              </w:rPr>
              <w:t>施</w:t>
            </w:r>
          </w:p>
        </w:tc>
        <w:tc>
          <w:tcPr>
            <w:tcW w:w="8350" w:type="dxa"/>
            <w:noWrap w:val="0"/>
            <w:vAlign w:val="top"/>
          </w:tcPr>
          <w:p w14:paraId="72AA6757">
            <w:pPr>
              <w:keepNext w:val="0"/>
              <w:keepLines w:val="0"/>
              <w:pageBreakBefore w:val="0"/>
              <w:widowControl w:val="0"/>
              <w:kinsoku/>
              <w:wordWrap/>
              <w:overflowPunct/>
              <w:topLinePunct w:val="0"/>
              <w:bidi w:val="0"/>
              <w:snapToGrid/>
              <w:spacing w:line="480" w:lineRule="exact"/>
              <w:ind w:left="0" w:leftChars="0" w:firstLine="420" w:firstLineChars="175"/>
              <w:textAlignment w:val="auto"/>
              <w:rPr>
                <w:rFonts w:hint="default" w:ascii="Times New Roman" w:hAnsi="Times New Roman" w:eastAsia="宋体" w:cs="Times New Roman"/>
                <w:color w:val="auto"/>
                <w:sz w:val="24"/>
                <w:szCs w:val="24"/>
              </w:rPr>
            </w:pPr>
            <w:r>
              <w:rPr>
                <w:rFonts w:hint="eastAsia" w:ascii="Times New Roman" w:hAnsi="Times New Roman" w:eastAsia="宋体" w:cs="宋体"/>
                <w:color w:val="auto"/>
                <w:sz w:val="24"/>
                <w:szCs w:val="24"/>
                <w:lang w:val="en-US" w:eastAsia="zh-CN"/>
              </w:rPr>
              <w:t>本项目位于</w:t>
            </w:r>
            <w:r>
              <w:rPr>
                <w:rFonts w:hint="default" w:ascii="Times New Roman" w:hAnsi="Times New Roman" w:eastAsia="宋体" w:cs="宋体"/>
                <w:color w:val="auto"/>
                <w:sz w:val="24"/>
                <w:szCs w:val="24"/>
                <w:lang w:val="en-US" w:eastAsia="zh-CN"/>
              </w:rPr>
              <w:t>福建省福州市闽侯县经济技术开发区一期延伸区综合大楼第五层</w:t>
            </w:r>
            <w:r>
              <w:rPr>
                <w:rFonts w:hint="eastAsia" w:ascii="Times New Roman" w:hAnsi="Times New Roman" w:eastAsia="宋体" w:cs="宋体"/>
                <w:color w:val="auto"/>
                <w:sz w:val="24"/>
                <w:szCs w:val="24"/>
                <w:lang w:val="en-US" w:eastAsia="zh-CN"/>
              </w:rPr>
              <w:t>。厂房早已建成。项目施工期主要为设备安装、调试阶段产生的环境问题，本项目设备安装、调试简单，且时间较短，因此，随着设备安装、调试完毕后，项目施工期也将结束，施工期环境影响也随着</w:t>
            </w:r>
            <w:r>
              <w:rPr>
                <w:rFonts w:hint="eastAsia" w:ascii="Times New Roman" w:hAnsi="Times New Roman" w:eastAsia="宋体" w:cs="宋体"/>
                <w:color w:val="auto"/>
                <w:spacing w:val="0"/>
                <w:sz w:val="24"/>
                <w:szCs w:val="24"/>
                <w:lang w:val="en-US" w:eastAsia="zh-CN"/>
              </w:rPr>
              <w:t>消失</w:t>
            </w:r>
            <w:r>
              <w:rPr>
                <w:rFonts w:hint="eastAsia" w:ascii="Times New Roman" w:hAnsi="Times New Roman" w:eastAsia="宋体" w:cs="宋体"/>
                <w:color w:val="auto"/>
                <w:sz w:val="24"/>
                <w:szCs w:val="24"/>
                <w:lang w:eastAsia="zh-CN"/>
              </w:rPr>
              <w:t>，不会对周边环境影响。</w:t>
            </w:r>
            <w:r>
              <w:rPr>
                <w:rFonts w:hint="eastAsia" w:ascii="Times New Roman" w:hAnsi="Times New Roman" w:eastAsia="宋体" w:cs="Times New Roman"/>
                <w:color w:val="auto"/>
                <w:sz w:val="24"/>
                <w:szCs w:val="24"/>
                <w:lang w:eastAsia="zh-CN"/>
              </w:rPr>
              <w:t>主要环保措施见表</w:t>
            </w:r>
            <w:r>
              <w:rPr>
                <w:rFonts w:hint="eastAsia" w:ascii="Times New Roman" w:hAnsi="Times New Roman" w:eastAsia="宋体" w:cs="Times New Roman"/>
                <w:color w:val="auto"/>
                <w:sz w:val="24"/>
                <w:szCs w:val="24"/>
                <w:lang w:val="en-US" w:eastAsia="zh-CN"/>
              </w:rPr>
              <w:t>4-1</w:t>
            </w:r>
            <w:r>
              <w:rPr>
                <w:rFonts w:hint="default" w:ascii="Times New Roman" w:hAnsi="Times New Roman" w:eastAsia="宋体" w:cs="Times New Roman"/>
                <w:color w:val="auto"/>
                <w:sz w:val="24"/>
                <w:szCs w:val="24"/>
              </w:rPr>
              <w:t>。</w:t>
            </w:r>
          </w:p>
          <w:p w14:paraId="5204C466">
            <w:pPr>
              <w:pStyle w:val="237"/>
              <w:keepNext w:val="0"/>
              <w:keepLines w:val="0"/>
              <w:pageBreakBefore w:val="0"/>
              <w:widowControl w:val="0"/>
              <w:kinsoku/>
              <w:wordWrap/>
              <w:overflowPunct/>
              <w:topLinePunct w:val="0"/>
              <w:autoSpaceDE/>
              <w:autoSpaceDN/>
              <w:bidi w:val="0"/>
              <w:snapToGrid/>
              <w:spacing w:line="480" w:lineRule="exact"/>
              <w:ind w:left="0" w:leftChars="0" w:right="0" w:rightChars="0" w:firstLine="0" w:firstLineChars="0"/>
              <w:jc w:val="center"/>
              <w:textAlignment w:val="auto"/>
              <w:rPr>
                <w:rFonts w:hint="eastAsia" w:ascii="Times New Roman" w:hAnsi="Times New Roman" w:eastAsia="宋体" w:cs="Times New Roman"/>
                <w:b/>
                <w:color w:val="auto"/>
                <w:kern w:val="0"/>
                <w:sz w:val="24"/>
                <w:szCs w:val="20"/>
                <w:lang w:val="en-US" w:eastAsia="zh-CN" w:bidi="ar-SA"/>
              </w:rPr>
            </w:pPr>
            <w:r>
              <w:rPr>
                <w:rFonts w:hint="eastAsia" w:ascii="Times New Roman" w:hAnsi="Times New Roman" w:eastAsia="宋体" w:cs="Times New Roman"/>
                <w:b/>
                <w:color w:val="auto"/>
                <w:kern w:val="0"/>
                <w:sz w:val="24"/>
                <w:szCs w:val="20"/>
                <w:lang w:val="en-US" w:eastAsia="zh-CN" w:bidi="ar-SA"/>
              </w:rPr>
              <w:t>表4-1施工期环境保护措施一览表</w:t>
            </w:r>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7"/>
              <w:gridCol w:w="7188"/>
            </w:tblGrid>
            <w:tr w14:paraId="3F47E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4" w:type="pct"/>
                  <w:noWrap w:val="0"/>
                  <w:vAlign w:val="top"/>
                </w:tcPr>
                <w:p w14:paraId="12F9D2FE">
                  <w:pPr>
                    <w:pStyle w:val="237"/>
                    <w:keepNext w:val="0"/>
                    <w:keepLines w:val="0"/>
                    <w:pageBreakBefore w:val="0"/>
                    <w:widowControl w:val="0"/>
                    <w:kinsoku/>
                    <w:wordWrap/>
                    <w:overflowPunct/>
                    <w:topLinePunct w:val="0"/>
                    <w:autoSpaceDE/>
                    <w:autoSpaceDN/>
                    <w:bidi w:val="0"/>
                    <w:snapToGrid/>
                    <w:spacing w:after="0" w:line="480" w:lineRule="exact"/>
                    <w:ind w:left="0" w:leftChars="0" w:right="0" w:rightChars="0" w:firstLine="0" w:firstLineChars="0"/>
                    <w:jc w:val="center"/>
                    <w:textAlignment w:val="auto"/>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污染物</w:t>
                  </w:r>
                </w:p>
              </w:tc>
              <w:tc>
                <w:tcPr>
                  <w:tcW w:w="4275" w:type="pct"/>
                  <w:noWrap w:val="0"/>
                  <w:vAlign w:val="top"/>
                </w:tcPr>
                <w:p w14:paraId="265F3D87">
                  <w:pPr>
                    <w:pStyle w:val="237"/>
                    <w:keepNext w:val="0"/>
                    <w:keepLines w:val="0"/>
                    <w:pageBreakBefore w:val="0"/>
                    <w:widowControl w:val="0"/>
                    <w:kinsoku/>
                    <w:wordWrap/>
                    <w:overflowPunct/>
                    <w:topLinePunct w:val="0"/>
                    <w:autoSpaceDE/>
                    <w:autoSpaceDN/>
                    <w:bidi w:val="0"/>
                    <w:snapToGrid/>
                    <w:spacing w:after="0" w:line="480" w:lineRule="exact"/>
                    <w:ind w:left="0" w:leftChars="0" w:right="0" w:rightChars="0" w:firstLine="0" w:firstLineChars="0"/>
                    <w:jc w:val="center"/>
                    <w:textAlignment w:val="auto"/>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环保措施</w:t>
                  </w:r>
                </w:p>
              </w:tc>
            </w:tr>
            <w:tr w14:paraId="033F8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4" w:type="pct"/>
                  <w:noWrap w:val="0"/>
                  <w:vAlign w:val="top"/>
                </w:tcPr>
                <w:p w14:paraId="49B320F3">
                  <w:pPr>
                    <w:pStyle w:val="237"/>
                    <w:keepNext w:val="0"/>
                    <w:keepLines w:val="0"/>
                    <w:pageBreakBefore w:val="0"/>
                    <w:widowControl w:val="0"/>
                    <w:kinsoku/>
                    <w:wordWrap/>
                    <w:overflowPunct/>
                    <w:topLinePunct w:val="0"/>
                    <w:autoSpaceDE/>
                    <w:autoSpaceDN/>
                    <w:bidi w:val="0"/>
                    <w:snapToGrid/>
                    <w:spacing w:after="0" w:line="480" w:lineRule="exact"/>
                    <w:ind w:left="0" w:leftChars="0" w:right="0" w:rightChars="0" w:firstLine="0" w:firstLineChars="0"/>
                    <w:jc w:val="center"/>
                    <w:textAlignment w:val="auto"/>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废气</w:t>
                  </w:r>
                </w:p>
              </w:tc>
              <w:tc>
                <w:tcPr>
                  <w:tcW w:w="4275" w:type="pct"/>
                  <w:noWrap w:val="0"/>
                  <w:vAlign w:val="top"/>
                </w:tcPr>
                <w:p w14:paraId="36FDDCE2">
                  <w:pPr>
                    <w:pStyle w:val="237"/>
                    <w:keepNext w:val="0"/>
                    <w:keepLines w:val="0"/>
                    <w:pageBreakBefore w:val="0"/>
                    <w:widowControl w:val="0"/>
                    <w:numPr>
                      <w:ilvl w:val="0"/>
                      <w:numId w:val="0"/>
                    </w:numPr>
                    <w:kinsoku/>
                    <w:wordWrap/>
                    <w:overflowPunct/>
                    <w:topLinePunct w:val="0"/>
                    <w:autoSpaceDE/>
                    <w:autoSpaceDN/>
                    <w:bidi w:val="0"/>
                    <w:snapToGrid/>
                    <w:spacing w:after="0" w:line="480" w:lineRule="exact"/>
                    <w:ind w:left="0" w:leftChars="0" w:right="0" w:rightChars="0" w:firstLine="0" w:firstLineChars="0"/>
                    <w:jc w:val="center"/>
                    <w:textAlignment w:val="auto"/>
                    <w:rPr>
                      <w:rFonts w:hint="eastAsia" w:ascii="Times New Roman" w:hAnsi="Times New Roman" w:eastAsia="宋体"/>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bidi="ar-SA"/>
                    </w:rPr>
                    <w:t>1、</w:t>
                  </w:r>
                  <w:r>
                    <w:rPr>
                      <w:rFonts w:hint="eastAsia" w:ascii="Times New Roman" w:hAnsi="Times New Roman" w:eastAsia="宋体"/>
                      <w:color w:val="auto"/>
                      <w:sz w:val="21"/>
                      <w:szCs w:val="21"/>
                      <w:vertAlign w:val="baseline"/>
                      <w:lang w:val="en-US" w:eastAsia="zh-CN"/>
                    </w:rPr>
                    <w:t>如进行干燥、易起尘的作业时，应辅以洒水抑尘，尽量缩短起尘时间</w:t>
                  </w:r>
                </w:p>
                <w:p w14:paraId="145CA024">
                  <w:pPr>
                    <w:pStyle w:val="237"/>
                    <w:keepNext w:val="0"/>
                    <w:keepLines w:val="0"/>
                    <w:pageBreakBefore w:val="0"/>
                    <w:widowControl w:val="0"/>
                    <w:numPr>
                      <w:ilvl w:val="0"/>
                      <w:numId w:val="0"/>
                    </w:numPr>
                    <w:kinsoku/>
                    <w:wordWrap/>
                    <w:overflowPunct/>
                    <w:topLinePunct w:val="0"/>
                    <w:autoSpaceDE/>
                    <w:autoSpaceDN/>
                    <w:bidi w:val="0"/>
                    <w:snapToGrid/>
                    <w:spacing w:after="0" w:line="480" w:lineRule="exact"/>
                    <w:ind w:left="0" w:leftChars="0" w:right="0" w:rightChars="0" w:firstLine="0" w:firstLineChars="0"/>
                    <w:jc w:val="center"/>
                    <w:textAlignment w:val="auto"/>
                    <w:rPr>
                      <w:rFonts w:hint="default" w:ascii="Times New Roman" w:hAnsi="Times New Roman" w:eastAsia="宋体"/>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bidi="ar-SA"/>
                    </w:rPr>
                    <w:t>2、</w:t>
                  </w:r>
                  <w:r>
                    <w:rPr>
                      <w:rFonts w:hint="eastAsia" w:ascii="Times New Roman" w:hAnsi="Times New Roman" w:eastAsia="宋体"/>
                      <w:color w:val="auto"/>
                      <w:sz w:val="21"/>
                      <w:szCs w:val="21"/>
                      <w:vertAlign w:val="baseline"/>
                      <w:lang w:val="en-US" w:eastAsia="zh-CN"/>
                    </w:rPr>
                    <w:t>选用环保建筑材料</w:t>
                  </w:r>
                </w:p>
              </w:tc>
            </w:tr>
            <w:tr w14:paraId="251B1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4" w:type="pct"/>
                  <w:noWrap w:val="0"/>
                  <w:vAlign w:val="top"/>
                </w:tcPr>
                <w:p w14:paraId="2A769E38">
                  <w:pPr>
                    <w:pStyle w:val="237"/>
                    <w:keepNext w:val="0"/>
                    <w:keepLines w:val="0"/>
                    <w:pageBreakBefore w:val="0"/>
                    <w:widowControl w:val="0"/>
                    <w:kinsoku/>
                    <w:wordWrap/>
                    <w:overflowPunct/>
                    <w:topLinePunct w:val="0"/>
                    <w:autoSpaceDE/>
                    <w:autoSpaceDN/>
                    <w:bidi w:val="0"/>
                    <w:snapToGrid/>
                    <w:spacing w:after="0" w:line="480" w:lineRule="exact"/>
                    <w:ind w:left="0" w:leftChars="0" w:right="0" w:rightChars="0" w:firstLine="0" w:firstLineChars="0"/>
                    <w:jc w:val="center"/>
                    <w:textAlignment w:val="auto"/>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生活污水</w:t>
                  </w:r>
                </w:p>
              </w:tc>
              <w:tc>
                <w:tcPr>
                  <w:tcW w:w="4275" w:type="pct"/>
                  <w:noWrap w:val="0"/>
                  <w:vAlign w:val="top"/>
                </w:tcPr>
                <w:p w14:paraId="4B8ADAB9">
                  <w:pPr>
                    <w:pStyle w:val="237"/>
                    <w:keepNext w:val="0"/>
                    <w:keepLines w:val="0"/>
                    <w:pageBreakBefore w:val="0"/>
                    <w:widowControl w:val="0"/>
                    <w:kinsoku/>
                    <w:wordWrap/>
                    <w:overflowPunct/>
                    <w:topLinePunct w:val="0"/>
                    <w:autoSpaceDE/>
                    <w:autoSpaceDN/>
                    <w:bidi w:val="0"/>
                    <w:snapToGrid/>
                    <w:spacing w:after="0" w:line="480" w:lineRule="exact"/>
                    <w:ind w:left="0" w:leftChars="0" w:right="0" w:rightChars="0" w:firstLine="0" w:firstLineChars="0"/>
                    <w:jc w:val="center"/>
                    <w:textAlignment w:val="auto"/>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经化粪池处理后排入市政污水管网</w:t>
                  </w:r>
                </w:p>
              </w:tc>
            </w:tr>
            <w:tr w14:paraId="1AF0F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4" w:type="pct"/>
                  <w:noWrap w:val="0"/>
                  <w:vAlign w:val="top"/>
                </w:tcPr>
                <w:p w14:paraId="386DFAC9">
                  <w:pPr>
                    <w:pStyle w:val="237"/>
                    <w:keepNext w:val="0"/>
                    <w:keepLines w:val="0"/>
                    <w:pageBreakBefore w:val="0"/>
                    <w:widowControl w:val="0"/>
                    <w:kinsoku/>
                    <w:wordWrap/>
                    <w:overflowPunct/>
                    <w:topLinePunct w:val="0"/>
                    <w:autoSpaceDE/>
                    <w:autoSpaceDN/>
                    <w:bidi w:val="0"/>
                    <w:snapToGrid/>
                    <w:spacing w:after="0" w:line="480" w:lineRule="exact"/>
                    <w:ind w:left="0" w:leftChars="0" w:right="0" w:rightChars="0" w:firstLine="0" w:firstLineChars="0"/>
                    <w:jc w:val="center"/>
                    <w:textAlignment w:val="auto"/>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噪声</w:t>
                  </w:r>
                </w:p>
              </w:tc>
              <w:tc>
                <w:tcPr>
                  <w:tcW w:w="4275" w:type="pct"/>
                  <w:noWrap w:val="0"/>
                  <w:vAlign w:val="top"/>
                </w:tcPr>
                <w:p w14:paraId="3D381F02">
                  <w:pPr>
                    <w:pStyle w:val="237"/>
                    <w:keepNext w:val="0"/>
                    <w:keepLines w:val="0"/>
                    <w:pageBreakBefore w:val="0"/>
                    <w:widowControl w:val="0"/>
                    <w:kinsoku/>
                    <w:wordWrap/>
                    <w:overflowPunct/>
                    <w:topLinePunct w:val="0"/>
                    <w:autoSpaceDE/>
                    <w:autoSpaceDN/>
                    <w:bidi w:val="0"/>
                    <w:snapToGrid/>
                    <w:spacing w:after="0" w:line="480" w:lineRule="exact"/>
                    <w:ind w:left="0" w:leftChars="0" w:right="0" w:rightChars="0" w:firstLine="0" w:firstLineChars="0"/>
                    <w:jc w:val="center"/>
                    <w:textAlignment w:val="auto"/>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距离衰减、厂房隔声、设备减振</w:t>
                  </w:r>
                </w:p>
              </w:tc>
            </w:tr>
            <w:tr w14:paraId="4956F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4" w:type="pct"/>
                  <w:noWrap w:val="0"/>
                  <w:vAlign w:val="top"/>
                </w:tcPr>
                <w:p w14:paraId="322FC804">
                  <w:pPr>
                    <w:pStyle w:val="237"/>
                    <w:keepNext w:val="0"/>
                    <w:keepLines w:val="0"/>
                    <w:pageBreakBefore w:val="0"/>
                    <w:widowControl w:val="0"/>
                    <w:kinsoku/>
                    <w:wordWrap/>
                    <w:overflowPunct/>
                    <w:topLinePunct w:val="0"/>
                    <w:autoSpaceDE/>
                    <w:autoSpaceDN/>
                    <w:bidi w:val="0"/>
                    <w:snapToGrid/>
                    <w:spacing w:after="0" w:line="480" w:lineRule="exact"/>
                    <w:ind w:left="0" w:leftChars="0" w:right="0" w:rightChars="0" w:firstLine="0" w:firstLineChars="0"/>
                    <w:jc w:val="center"/>
                    <w:textAlignment w:val="auto"/>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建筑垃圾</w:t>
                  </w:r>
                </w:p>
              </w:tc>
              <w:tc>
                <w:tcPr>
                  <w:tcW w:w="4275" w:type="pct"/>
                  <w:noWrap w:val="0"/>
                  <w:vAlign w:val="top"/>
                </w:tcPr>
                <w:p w14:paraId="1501481E">
                  <w:pPr>
                    <w:pStyle w:val="237"/>
                    <w:keepNext w:val="0"/>
                    <w:keepLines w:val="0"/>
                    <w:pageBreakBefore w:val="0"/>
                    <w:widowControl w:val="0"/>
                    <w:kinsoku/>
                    <w:wordWrap/>
                    <w:overflowPunct/>
                    <w:topLinePunct w:val="0"/>
                    <w:autoSpaceDE/>
                    <w:autoSpaceDN/>
                    <w:bidi w:val="0"/>
                    <w:snapToGrid/>
                    <w:spacing w:after="0" w:line="480" w:lineRule="exact"/>
                    <w:ind w:left="0" w:leftChars="0" w:right="0" w:rightChars="0" w:firstLine="0" w:firstLineChars="0"/>
                    <w:jc w:val="center"/>
                    <w:textAlignment w:val="auto"/>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能回收的回收利用，不能利用的交由相关部门运至指定地点填埋</w:t>
                  </w:r>
                </w:p>
              </w:tc>
            </w:tr>
            <w:tr w14:paraId="1533E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4" w:type="pct"/>
                  <w:noWrap w:val="0"/>
                  <w:vAlign w:val="top"/>
                </w:tcPr>
                <w:p w14:paraId="70167372">
                  <w:pPr>
                    <w:pStyle w:val="237"/>
                    <w:keepNext w:val="0"/>
                    <w:keepLines w:val="0"/>
                    <w:pageBreakBefore w:val="0"/>
                    <w:widowControl w:val="0"/>
                    <w:kinsoku/>
                    <w:wordWrap/>
                    <w:overflowPunct/>
                    <w:topLinePunct w:val="0"/>
                    <w:autoSpaceDE/>
                    <w:autoSpaceDN/>
                    <w:bidi w:val="0"/>
                    <w:snapToGrid/>
                    <w:spacing w:after="0" w:line="480" w:lineRule="exact"/>
                    <w:ind w:left="0" w:leftChars="0" w:right="0" w:rightChars="0" w:firstLine="0" w:firstLineChars="0"/>
                    <w:jc w:val="center"/>
                    <w:textAlignment w:val="auto"/>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生活垃圾</w:t>
                  </w:r>
                </w:p>
              </w:tc>
              <w:tc>
                <w:tcPr>
                  <w:tcW w:w="4275" w:type="pct"/>
                  <w:noWrap w:val="0"/>
                  <w:vAlign w:val="top"/>
                </w:tcPr>
                <w:p w14:paraId="57F2F0BC">
                  <w:pPr>
                    <w:pStyle w:val="237"/>
                    <w:keepNext w:val="0"/>
                    <w:keepLines w:val="0"/>
                    <w:pageBreakBefore w:val="0"/>
                    <w:widowControl w:val="0"/>
                    <w:kinsoku/>
                    <w:wordWrap/>
                    <w:overflowPunct/>
                    <w:topLinePunct w:val="0"/>
                    <w:autoSpaceDE/>
                    <w:autoSpaceDN/>
                    <w:bidi w:val="0"/>
                    <w:snapToGrid/>
                    <w:spacing w:after="0" w:line="480" w:lineRule="exact"/>
                    <w:ind w:left="0" w:leftChars="0" w:right="0" w:rightChars="0" w:firstLine="0" w:firstLineChars="0"/>
                    <w:jc w:val="center"/>
                    <w:textAlignment w:val="auto"/>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统一交由环卫部门处理</w:t>
                  </w:r>
                </w:p>
              </w:tc>
            </w:tr>
          </w:tbl>
          <w:p w14:paraId="661C149D">
            <w:pPr>
              <w:pStyle w:val="229"/>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color w:val="auto"/>
                <w:sz w:val="24"/>
                <w:szCs w:val="24"/>
                <w:lang w:val="en-US" w:eastAsia="zh-CN"/>
              </w:rPr>
            </w:pPr>
          </w:p>
        </w:tc>
      </w:tr>
      <w:tr w14:paraId="0586C9F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6810" w:hRule="atLeast"/>
          <w:jc w:val="center"/>
        </w:trPr>
        <w:tc>
          <w:tcPr>
            <w:tcW w:w="558" w:type="dxa"/>
            <w:noWrap w:val="0"/>
            <w:tcMar>
              <w:left w:w="28" w:type="dxa"/>
              <w:right w:w="28" w:type="dxa"/>
            </w:tcMar>
            <w:vAlign w:val="center"/>
          </w:tcPr>
          <w:p w14:paraId="263C74A6">
            <w:pPr>
              <w:jc w:val="center"/>
              <w:rPr>
                <w:rFonts w:hint="eastAsia" w:ascii="Times New Roman" w:hAnsi="Times New Roman" w:cs="宋体"/>
                <w:bCs/>
                <w:color w:val="auto"/>
                <w:szCs w:val="21"/>
              </w:rPr>
            </w:pPr>
            <w:r>
              <w:rPr>
                <w:rFonts w:hint="eastAsia" w:ascii="Times New Roman" w:hAnsi="Times New Roman" w:cs="宋体"/>
                <w:bCs/>
                <w:color w:val="auto"/>
                <w:szCs w:val="21"/>
              </w:rPr>
              <w:t>运营</w:t>
            </w:r>
          </w:p>
          <w:p w14:paraId="50EC208D">
            <w:pPr>
              <w:jc w:val="center"/>
              <w:rPr>
                <w:rFonts w:hint="eastAsia" w:ascii="Times New Roman" w:hAnsi="Times New Roman" w:cs="宋体"/>
                <w:bCs/>
                <w:color w:val="auto"/>
                <w:szCs w:val="21"/>
              </w:rPr>
            </w:pPr>
            <w:r>
              <w:rPr>
                <w:rFonts w:hint="eastAsia" w:ascii="Times New Roman" w:hAnsi="Times New Roman" w:cs="宋体"/>
                <w:bCs/>
                <w:color w:val="auto"/>
                <w:szCs w:val="21"/>
              </w:rPr>
              <w:t>期环</w:t>
            </w:r>
          </w:p>
          <w:p w14:paraId="6E3D84CB">
            <w:pPr>
              <w:jc w:val="center"/>
              <w:rPr>
                <w:rFonts w:hint="eastAsia" w:ascii="Times New Roman" w:hAnsi="Times New Roman" w:cs="宋体"/>
                <w:bCs/>
                <w:color w:val="auto"/>
                <w:szCs w:val="21"/>
              </w:rPr>
            </w:pPr>
            <w:r>
              <w:rPr>
                <w:rFonts w:hint="eastAsia" w:ascii="Times New Roman" w:hAnsi="Times New Roman" w:cs="宋体"/>
                <w:bCs/>
                <w:color w:val="auto"/>
                <w:szCs w:val="21"/>
              </w:rPr>
              <w:t>境影</w:t>
            </w:r>
          </w:p>
          <w:p w14:paraId="1FE7DCB4">
            <w:pPr>
              <w:jc w:val="center"/>
              <w:rPr>
                <w:rFonts w:hint="eastAsia" w:ascii="Times New Roman" w:hAnsi="Times New Roman" w:cs="宋体"/>
                <w:bCs/>
                <w:color w:val="auto"/>
                <w:szCs w:val="21"/>
              </w:rPr>
            </w:pPr>
            <w:r>
              <w:rPr>
                <w:rFonts w:hint="eastAsia" w:ascii="Times New Roman" w:hAnsi="Times New Roman" w:cs="宋体"/>
                <w:bCs/>
                <w:color w:val="auto"/>
                <w:szCs w:val="21"/>
              </w:rPr>
              <w:t>响和</w:t>
            </w:r>
          </w:p>
          <w:p w14:paraId="53E8BA8E">
            <w:pPr>
              <w:jc w:val="center"/>
              <w:rPr>
                <w:rFonts w:hint="eastAsia" w:ascii="Times New Roman" w:hAnsi="Times New Roman" w:cs="宋体"/>
                <w:bCs/>
                <w:color w:val="auto"/>
                <w:szCs w:val="21"/>
              </w:rPr>
            </w:pPr>
            <w:r>
              <w:rPr>
                <w:rFonts w:hint="eastAsia" w:ascii="Times New Roman" w:hAnsi="Times New Roman" w:cs="宋体"/>
                <w:bCs/>
                <w:color w:val="auto"/>
                <w:szCs w:val="21"/>
              </w:rPr>
              <w:t>保护</w:t>
            </w:r>
          </w:p>
          <w:p w14:paraId="3CFFD786">
            <w:pPr>
              <w:jc w:val="center"/>
              <w:rPr>
                <w:rFonts w:ascii="Times New Roman" w:hAnsi="Times New Roman" w:cs="宋体"/>
                <w:bCs/>
                <w:color w:val="auto"/>
                <w:szCs w:val="21"/>
              </w:rPr>
            </w:pPr>
            <w:r>
              <w:rPr>
                <w:rFonts w:hint="eastAsia" w:ascii="Times New Roman" w:hAnsi="Times New Roman" w:cs="宋体"/>
                <w:bCs/>
                <w:color w:val="auto"/>
                <w:szCs w:val="21"/>
              </w:rPr>
              <w:t>措施</w:t>
            </w:r>
          </w:p>
        </w:tc>
        <w:tc>
          <w:tcPr>
            <w:tcW w:w="8350" w:type="dxa"/>
            <w:shd w:val="clear" w:color="auto" w:fill="auto"/>
            <w:noWrap w:val="0"/>
            <w:vAlign w:val="center"/>
          </w:tcPr>
          <w:p w14:paraId="53859B08">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b/>
                <w:bCs/>
                <w:color w:val="auto"/>
                <w:kern w:val="2"/>
                <w:sz w:val="28"/>
                <w:szCs w:val="28"/>
                <w:lang w:val="en-US" w:eastAsia="zh-CN" w:bidi="ar-SA"/>
              </w:rPr>
            </w:pPr>
            <w:r>
              <w:rPr>
                <w:rFonts w:hint="eastAsia" w:ascii="Times New Roman" w:hAnsi="Times New Roman" w:eastAsia="宋体" w:cs="Times New Roman"/>
                <w:b/>
                <w:bCs/>
                <w:color w:val="auto"/>
                <w:kern w:val="2"/>
                <w:sz w:val="28"/>
                <w:szCs w:val="28"/>
                <w:lang w:val="en-US" w:eastAsia="zh-CN" w:bidi="ar-SA"/>
              </w:rPr>
              <w:t>4.1运营期水环境影响分析和污染防治措施</w:t>
            </w:r>
          </w:p>
          <w:p w14:paraId="5EDED337">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4.1.1运营期废水源强核算</w:t>
            </w:r>
          </w:p>
          <w:p w14:paraId="6F04FD17">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本项目用水工序为</w:t>
            </w:r>
            <w:r>
              <w:rPr>
                <w:rFonts w:hint="eastAsia" w:ascii="Times New Roman" w:hAnsi="Times New Roman" w:cs="宋体"/>
                <w:color w:val="auto"/>
                <w:kern w:val="2"/>
                <w:sz w:val="24"/>
                <w:szCs w:val="24"/>
                <w:lang w:val="en-US" w:eastAsia="zh-CN" w:bidi="ar-SA"/>
              </w:rPr>
              <w:t>生活污水和生产废水</w:t>
            </w:r>
            <w:r>
              <w:rPr>
                <w:rFonts w:hint="eastAsia" w:ascii="Times New Roman" w:hAnsi="Times New Roman" w:eastAsia="宋体" w:cs="宋体"/>
                <w:color w:val="auto"/>
                <w:kern w:val="2"/>
                <w:sz w:val="24"/>
                <w:szCs w:val="24"/>
                <w:lang w:val="en-US" w:eastAsia="zh-CN" w:bidi="ar-SA"/>
              </w:rPr>
              <w:t>。</w:t>
            </w:r>
            <w:r>
              <w:rPr>
                <w:rFonts w:hint="eastAsia" w:ascii="Times New Roman" w:hAnsi="Times New Roman" w:cs="宋体"/>
                <w:color w:val="auto"/>
                <w:kern w:val="2"/>
                <w:sz w:val="24"/>
                <w:szCs w:val="24"/>
                <w:lang w:val="en-US" w:eastAsia="zh-CN" w:bidi="ar-SA"/>
              </w:rPr>
              <w:t>生活污水包括</w:t>
            </w:r>
            <w:r>
              <w:rPr>
                <w:rFonts w:hint="eastAsia" w:ascii="Times New Roman" w:hAnsi="Times New Roman" w:eastAsia="宋体" w:cs="宋体"/>
                <w:color w:val="auto"/>
                <w:kern w:val="2"/>
                <w:sz w:val="24"/>
                <w:szCs w:val="24"/>
                <w:lang w:val="en-US" w:eastAsia="zh-CN" w:bidi="ar-SA"/>
              </w:rPr>
              <w:t>职工生活用水，</w:t>
            </w:r>
            <w:r>
              <w:rPr>
                <w:rFonts w:hint="eastAsia" w:ascii="Times New Roman" w:hAnsi="Times New Roman" w:cs="宋体"/>
                <w:color w:val="auto"/>
                <w:kern w:val="2"/>
                <w:sz w:val="24"/>
                <w:szCs w:val="24"/>
                <w:lang w:val="en-US" w:eastAsia="zh-CN" w:bidi="ar-SA"/>
              </w:rPr>
              <w:t>生产</w:t>
            </w:r>
            <w:r>
              <w:rPr>
                <w:rFonts w:hint="eastAsia" w:ascii="Times New Roman" w:hAnsi="Times New Roman" w:eastAsia="宋体" w:cs="宋体"/>
                <w:color w:val="auto"/>
                <w:kern w:val="2"/>
                <w:sz w:val="24"/>
                <w:szCs w:val="24"/>
                <w:lang w:val="en-US" w:eastAsia="zh-CN" w:bidi="ar-SA"/>
              </w:rPr>
              <w:t>废水为</w:t>
            </w:r>
            <w:r>
              <w:rPr>
                <w:rFonts w:hint="eastAsia" w:cs="宋体"/>
                <w:color w:val="auto"/>
                <w:kern w:val="2"/>
                <w:sz w:val="24"/>
                <w:szCs w:val="24"/>
                <w:lang w:val="en-US" w:eastAsia="zh-CN" w:bidi="ar-SA"/>
              </w:rPr>
              <w:t>研磨废水、</w:t>
            </w:r>
            <w:r>
              <w:rPr>
                <w:rFonts w:ascii="Times New Roman" w:hAnsi="Times New Roman"/>
                <w:color w:val="auto"/>
                <w:sz w:val="24"/>
                <w:szCs w:val="24"/>
              </w:rPr>
              <w:t>抛光废水、</w:t>
            </w:r>
            <w:r>
              <w:rPr>
                <w:rFonts w:hint="eastAsia"/>
                <w:color w:val="auto"/>
                <w:sz w:val="24"/>
                <w:szCs w:val="24"/>
                <w:lang w:val="en-US" w:eastAsia="zh-CN"/>
              </w:rPr>
              <w:t>超声波</w:t>
            </w:r>
            <w:r>
              <w:rPr>
                <w:rFonts w:ascii="Times New Roman" w:hAnsi="Times New Roman"/>
                <w:color w:val="auto"/>
                <w:sz w:val="24"/>
                <w:szCs w:val="24"/>
              </w:rPr>
              <w:t>清洗</w:t>
            </w:r>
            <w:r>
              <w:rPr>
                <w:rFonts w:ascii="Times New Roman" w:hAnsi="Times New Roman"/>
                <w:color w:val="auto"/>
                <w:spacing w:val="-1"/>
                <w:sz w:val="24"/>
                <w:szCs w:val="24"/>
              </w:rPr>
              <w:t>废水</w:t>
            </w:r>
            <w:r>
              <w:rPr>
                <w:rFonts w:hint="eastAsia"/>
                <w:color w:val="auto"/>
                <w:spacing w:val="-1"/>
                <w:sz w:val="24"/>
                <w:szCs w:val="24"/>
                <w:lang w:eastAsia="zh-CN"/>
              </w:rPr>
              <w:t>。</w:t>
            </w:r>
          </w:p>
          <w:p w14:paraId="44C8D20C">
            <w:pPr>
              <w:pStyle w:val="5"/>
              <w:bidi w:val="0"/>
              <w:rPr>
                <w:rFonts w:hint="eastAsia" w:ascii="Times New Roman" w:hAnsi="Times New Roman"/>
                <w:color w:val="auto"/>
                <w:lang w:val="en-US" w:eastAsia="zh-CN"/>
              </w:rPr>
            </w:pPr>
            <w:r>
              <w:rPr>
                <w:rFonts w:hint="eastAsia" w:ascii="Times New Roman" w:hAnsi="Times New Roman"/>
                <w:color w:val="auto"/>
                <w:lang w:val="en-US" w:eastAsia="zh-CN"/>
              </w:rPr>
              <w:t>（1）生活污水</w:t>
            </w:r>
          </w:p>
          <w:p w14:paraId="3E00F6C7">
            <w:pPr>
              <w:pStyle w:val="5"/>
              <w:bidi w:val="0"/>
              <w:rPr>
                <w:rFonts w:hint="eastAsia" w:ascii="Times New Roman" w:hAnsi="Times New Roman"/>
                <w:color w:val="auto"/>
                <w:lang w:val="en-US" w:eastAsia="zh-CN"/>
              </w:rPr>
            </w:pPr>
            <w:r>
              <w:rPr>
                <w:rFonts w:hint="eastAsia"/>
                <w:color w:val="auto"/>
                <w:lang w:val="en-US" w:eastAsia="zh-CN"/>
              </w:rPr>
              <w:t>本</w:t>
            </w:r>
            <w:r>
              <w:rPr>
                <w:rFonts w:hint="eastAsia" w:ascii="Times New Roman" w:hAnsi="Times New Roman"/>
                <w:color w:val="auto"/>
                <w:lang w:val="en-US" w:eastAsia="zh-CN"/>
              </w:rPr>
              <w:t>项目生活污水产生量约</w:t>
            </w:r>
            <w:r>
              <w:rPr>
                <w:rFonts w:hint="eastAsia"/>
                <w:color w:val="auto"/>
                <w:lang w:val="en-US" w:eastAsia="zh-CN"/>
              </w:rPr>
              <w:t>0.32</w:t>
            </w:r>
            <w:r>
              <w:rPr>
                <w:rFonts w:hint="eastAsia" w:ascii="Times New Roman" w:hAnsi="Times New Roman"/>
                <w:color w:val="auto"/>
                <w:lang w:val="en-US" w:eastAsia="zh-CN"/>
              </w:rPr>
              <w:t>t/d（</w:t>
            </w:r>
            <w:r>
              <w:rPr>
                <w:rFonts w:hint="eastAsia"/>
                <w:color w:val="auto"/>
                <w:lang w:val="en-US" w:eastAsia="zh-CN"/>
              </w:rPr>
              <w:t>79.68</w:t>
            </w:r>
            <w:r>
              <w:rPr>
                <w:rFonts w:hint="eastAsia" w:ascii="Times New Roman" w:hAnsi="Times New Roman"/>
                <w:color w:val="auto"/>
                <w:lang w:val="en-US" w:eastAsia="zh-CN"/>
              </w:rPr>
              <w:t>t/a）。生活污水经化粪池处理达标后，排入市政管网，纳入</w:t>
            </w:r>
            <w:r>
              <w:rPr>
                <w:rFonts w:hint="eastAsia"/>
                <w:color w:val="auto"/>
                <w:lang w:val="en-US" w:eastAsia="zh-CN"/>
              </w:rPr>
              <w:t>闽侯县城关污水处理厂</w:t>
            </w:r>
            <w:r>
              <w:rPr>
                <w:rFonts w:hint="eastAsia" w:ascii="Times New Roman" w:hAnsi="Times New Roman"/>
                <w:color w:val="auto"/>
                <w:lang w:val="en-US" w:eastAsia="zh-CN"/>
              </w:rPr>
              <w:t>。</w:t>
            </w:r>
          </w:p>
          <w:p w14:paraId="632F91CA">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参考《给排水设计手册》（第五册城镇排水）典型生活污水水质，确定本项目污水污染物浓度为：COD</w:t>
            </w:r>
            <w:r>
              <w:rPr>
                <w:rFonts w:hint="eastAsia" w:ascii="Times New Roman" w:hAnsi="Times New Roman" w:eastAsia="宋体" w:cs="宋体"/>
                <w:color w:val="auto"/>
                <w:kern w:val="2"/>
                <w:sz w:val="24"/>
                <w:szCs w:val="24"/>
                <w:vertAlign w:val="subscript"/>
                <w:lang w:val="en-US" w:eastAsia="zh-CN" w:bidi="ar-SA"/>
              </w:rPr>
              <w:t>Cr</w:t>
            </w:r>
            <w:r>
              <w:rPr>
                <w:rFonts w:hint="eastAsia" w:ascii="Times New Roman" w:hAnsi="Times New Roman" w:eastAsia="宋体" w:cs="宋体"/>
                <w:color w:val="auto"/>
                <w:kern w:val="2"/>
                <w:sz w:val="24"/>
                <w:szCs w:val="24"/>
                <w:lang w:val="en-US" w:eastAsia="zh-CN" w:bidi="ar-SA"/>
              </w:rPr>
              <w:t>：400mg/L、BOD</w:t>
            </w:r>
            <w:r>
              <w:rPr>
                <w:rFonts w:hint="eastAsia" w:ascii="Times New Roman" w:hAnsi="Times New Roman" w:eastAsia="宋体" w:cs="宋体"/>
                <w:color w:val="auto"/>
                <w:kern w:val="2"/>
                <w:sz w:val="24"/>
                <w:szCs w:val="24"/>
                <w:vertAlign w:val="subscript"/>
                <w:lang w:val="en-US" w:eastAsia="zh-CN" w:bidi="ar-SA"/>
              </w:rPr>
              <w:t>5</w:t>
            </w:r>
            <w:r>
              <w:rPr>
                <w:rFonts w:hint="eastAsia" w:ascii="Times New Roman" w:hAnsi="Times New Roman" w:eastAsia="宋体" w:cs="宋体"/>
                <w:color w:val="auto"/>
                <w:kern w:val="2"/>
                <w:sz w:val="24"/>
                <w:szCs w:val="24"/>
                <w:lang w:val="en-US" w:eastAsia="zh-CN" w:bidi="ar-SA"/>
              </w:rPr>
              <w:t>：200mg/L、氨氮：35mg/L、SS：220mg/L。生活污水经厂内三级化粪池预处理达标后，排入市政管网，纳入</w:t>
            </w:r>
            <w:r>
              <w:rPr>
                <w:rFonts w:hint="eastAsia" w:cs="宋体"/>
                <w:color w:val="auto"/>
                <w:kern w:val="2"/>
                <w:sz w:val="24"/>
                <w:szCs w:val="24"/>
                <w:lang w:val="en-US" w:eastAsia="zh-CN" w:bidi="ar-SA"/>
              </w:rPr>
              <w:t>闽侯县城关污水处理厂</w:t>
            </w:r>
            <w:r>
              <w:rPr>
                <w:rFonts w:hint="eastAsia" w:ascii="Times New Roman" w:hAnsi="Times New Roman" w:eastAsia="宋体" w:cs="宋体"/>
                <w:color w:val="auto"/>
                <w:kern w:val="2"/>
                <w:sz w:val="24"/>
                <w:szCs w:val="24"/>
                <w:lang w:val="en-US" w:eastAsia="zh-CN" w:bidi="ar-SA"/>
              </w:rPr>
              <w:t>。参考环评手册中《常用污水处理设备及去除率》，化粪池对生活污水中COD、BOD</w:t>
            </w:r>
            <w:r>
              <w:rPr>
                <w:rFonts w:hint="eastAsia" w:ascii="Times New Roman" w:hAnsi="Times New Roman" w:eastAsia="宋体" w:cs="宋体"/>
                <w:color w:val="auto"/>
                <w:kern w:val="2"/>
                <w:sz w:val="24"/>
                <w:szCs w:val="24"/>
                <w:vertAlign w:val="subscript"/>
                <w:lang w:val="en-US" w:eastAsia="zh-CN" w:bidi="ar-SA"/>
              </w:rPr>
              <w:t>5</w:t>
            </w:r>
            <w:r>
              <w:rPr>
                <w:rFonts w:hint="eastAsia" w:ascii="Times New Roman" w:hAnsi="Times New Roman" w:eastAsia="宋体" w:cs="宋体"/>
                <w:color w:val="auto"/>
                <w:kern w:val="2"/>
                <w:sz w:val="24"/>
                <w:szCs w:val="24"/>
                <w:lang w:val="en-US" w:eastAsia="zh-CN" w:bidi="ar-SA"/>
              </w:rPr>
              <w:t>、SS、NH</w:t>
            </w:r>
            <w:r>
              <w:rPr>
                <w:rFonts w:hint="eastAsia" w:ascii="Times New Roman" w:hAnsi="Times New Roman" w:eastAsia="宋体" w:cs="宋体"/>
                <w:color w:val="auto"/>
                <w:kern w:val="2"/>
                <w:sz w:val="24"/>
                <w:szCs w:val="24"/>
                <w:vertAlign w:val="subscript"/>
                <w:lang w:val="en-US" w:eastAsia="zh-CN" w:bidi="ar-SA"/>
              </w:rPr>
              <w:t>3</w:t>
            </w:r>
            <w:r>
              <w:rPr>
                <w:rFonts w:hint="eastAsia" w:ascii="Times New Roman" w:hAnsi="Times New Roman" w:eastAsia="宋体" w:cs="宋体"/>
                <w:color w:val="auto"/>
                <w:kern w:val="2"/>
                <w:sz w:val="24"/>
                <w:szCs w:val="24"/>
                <w:lang w:val="en-US" w:eastAsia="zh-CN" w:bidi="ar-SA"/>
              </w:rPr>
              <w:t>-N的处理效率分别为20%、15%、30%、</w:t>
            </w:r>
            <w:r>
              <w:rPr>
                <w:rFonts w:hint="eastAsia" w:cs="宋体"/>
                <w:color w:val="auto"/>
                <w:kern w:val="2"/>
                <w:sz w:val="24"/>
                <w:szCs w:val="24"/>
                <w:lang w:val="en-US" w:eastAsia="zh-CN" w:bidi="ar-SA"/>
              </w:rPr>
              <w:t>1</w:t>
            </w:r>
            <w:r>
              <w:rPr>
                <w:rFonts w:hint="eastAsia" w:ascii="Times New Roman" w:hAnsi="Times New Roman" w:eastAsia="宋体" w:cs="宋体"/>
                <w:color w:val="auto"/>
                <w:kern w:val="2"/>
                <w:sz w:val="24"/>
                <w:szCs w:val="24"/>
                <w:lang w:val="en-US" w:eastAsia="zh-CN" w:bidi="ar-SA"/>
              </w:rPr>
              <w:t>0%，则生活污水中各污染物产排情况见表则生活污水中各污染物产生情况见表4.1-1。</w:t>
            </w:r>
          </w:p>
          <w:p w14:paraId="121CDD6E">
            <w:pPr>
              <w:widowControl w:val="0"/>
              <w:bidi w:val="0"/>
              <w:adjustRightInd w:val="0"/>
              <w:snapToGrid w:val="0"/>
              <w:spacing w:before="10" w:beforeLines="10" w:after="10" w:afterLines="10"/>
              <w:jc w:val="center"/>
              <w:rPr>
                <w:rFonts w:hint="eastAsia" w:ascii="Times New Roman" w:hAnsi="Times New Roman" w:eastAsia="宋体" w:cs="Times New Roman"/>
                <w:b/>
                <w:color w:val="auto"/>
                <w:kern w:val="0"/>
                <w:sz w:val="24"/>
                <w:szCs w:val="20"/>
                <w:lang w:val="en-US" w:eastAsia="zh-CN" w:bidi="ar-SA"/>
              </w:rPr>
            </w:pPr>
            <w:r>
              <w:rPr>
                <w:rFonts w:hint="eastAsia" w:ascii="Times New Roman" w:hAnsi="Times New Roman" w:eastAsia="宋体" w:cs="Times New Roman"/>
                <w:b/>
                <w:color w:val="auto"/>
                <w:kern w:val="0"/>
                <w:sz w:val="24"/>
                <w:szCs w:val="20"/>
                <w:lang w:val="en-US" w:eastAsia="zh-CN" w:bidi="ar-SA"/>
              </w:rPr>
              <w:t>表4.1-1运营期生活污水产生排放情况</w:t>
            </w:r>
          </w:p>
          <w:tbl>
            <w:tblPr>
              <w:tblStyle w:val="38"/>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395"/>
              <w:gridCol w:w="1400"/>
              <w:gridCol w:w="1400"/>
              <w:gridCol w:w="1400"/>
              <w:gridCol w:w="1400"/>
              <w:gridCol w:w="1405"/>
            </w:tblGrid>
            <w:tr w14:paraId="4056F0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31" w:type="pct"/>
                  <w:tcBorders>
                    <w:tl2br w:val="nil"/>
                    <w:tr2bl w:val="nil"/>
                  </w:tcBorders>
                  <w:noWrap w:val="0"/>
                  <w:vAlign w:val="center"/>
                </w:tcPr>
                <w:p w14:paraId="029D4C3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废水量</w:t>
                  </w:r>
                </w:p>
              </w:tc>
              <w:tc>
                <w:tcPr>
                  <w:tcW w:w="833" w:type="pct"/>
                  <w:tcBorders>
                    <w:tl2br w:val="nil"/>
                    <w:tr2bl w:val="nil"/>
                  </w:tcBorders>
                  <w:noWrap w:val="0"/>
                  <w:vAlign w:val="center"/>
                </w:tcPr>
                <w:p w14:paraId="6948220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项目</w:t>
                  </w:r>
                </w:p>
              </w:tc>
              <w:tc>
                <w:tcPr>
                  <w:tcW w:w="833" w:type="pct"/>
                  <w:tcBorders>
                    <w:tl2br w:val="nil"/>
                    <w:tr2bl w:val="nil"/>
                  </w:tcBorders>
                  <w:noWrap w:val="0"/>
                  <w:vAlign w:val="center"/>
                </w:tcPr>
                <w:p w14:paraId="7F53F6F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COD</w:t>
                  </w:r>
                  <w:r>
                    <w:rPr>
                      <w:rFonts w:hint="default" w:ascii="Times New Roman" w:hAnsi="Times New Roman" w:eastAsia="宋体" w:cs="Times New Roman"/>
                      <w:color w:val="auto"/>
                      <w:kern w:val="0"/>
                      <w:sz w:val="21"/>
                      <w:szCs w:val="20"/>
                      <w:vertAlign w:val="subscript"/>
                      <w:lang w:val="en-US" w:eastAsia="zh-CN" w:bidi="ar-SA"/>
                    </w:rPr>
                    <w:t>cr</w:t>
                  </w:r>
                </w:p>
              </w:tc>
              <w:tc>
                <w:tcPr>
                  <w:tcW w:w="833" w:type="pct"/>
                  <w:tcBorders>
                    <w:tl2br w:val="nil"/>
                    <w:tr2bl w:val="nil"/>
                  </w:tcBorders>
                  <w:noWrap w:val="0"/>
                  <w:vAlign w:val="center"/>
                </w:tcPr>
                <w:p w14:paraId="2E39DFE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BOD</w:t>
                  </w:r>
                  <w:r>
                    <w:rPr>
                      <w:rFonts w:hint="default" w:ascii="Times New Roman" w:hAnsi="Times New Roman" w:eastAsia="宋体" w:cs="Times New Roman"/>
                      <w:color w:val="auto"/>
                      <w:kern w:val="0"/>
                      <w:sz w:val="21"/>
                      <w:szCs w:val="20"/>
                      <w:vertAlign w:val="subscript"/>
                      <w:lang w:val="en-US" w:eastAsia="zh-CN" w:bidi="ar-SA"/>
                    </w:rPr>
                    <w:t>5</w:t>
                  </w:r>
                </w:p>
              </w:tc>
              <w:tc>
                <w:tcPr>
                  <w:tcW w:w="833" w:type="pct"/>
                  <w:tcBorders>
                    <w:tl2br w:val="nil"/>
                    <w:tr2bl w:val="nil"/>
                  </w:tcBorders>
                  <w:noWrap w:val="0"/>
                  <w:vAlign w:val="center"/>
                </w:tcPr>
                <w:p w14:paraId="03AD8BFD">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SS</w:t>
                  </w:r>
                </w:p>
              </w:tc>
              <w:tc>
                <w:tcPr>
                  <w:tcW w:w="835" w:type="pct"/>
                  <w:tcBorders>
                    <w:tl2br w:val="nil"/>
                    <w:tr2bl w:val="nil"/>
                  </w:tcBorders>
                  <w:noWrap w:val="0"/>
                  <w:vAlign w:val="center"/>
                </w:tcPr>
                <w:p w14:paraId="791ED74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NH</w:t>
                  </w:r>
                  <w:r>
                    <w:rPr>
                      <w:rFonts w:hint="default" w:ascii="Times New Roman" w:hAnsi="Times New Roman" w:eastAsia="宋体" w:cs="Times New Roman"/>
                      <w:color w:val="auto"/>
                      <w:kern w:val="0"/>
                      <w:sz w:val="21"/>
                      <w:szCs w:val="20"/>
                      <w:vertAlign w:val="subscript"/>
                      <w:lang w:val="en-US" w:eastAsia="zh-CN" w:bidi="ar-SA"/>
                    </w:rPr>
                    <w:t>3</w:t>
                  </w:r>
                  <w:r>
                    <w:rPr>
                      <w:rFonts w:hint="default" w:ascii="Times New Roman" w:hAnsi="Times New Roman" w:eastAsia="宋体" w:cs="Times New Roman"/>
                      <w:color w:val="auto"/>
                      <w:kern w:val="0"/>
                      <w:sz w:val="21"/>
                      <w:szCs w:val="20"/>
                      <w:lang w:val="en-US" w:eastAsia="zh-CN" w:bidi="ar-SA"/>
                    </w:rPr>
                    <w:t>-N</w:t>
                  </w:r>
                </w:p>
              </w:tc>
            </w:tr>
            <w:tr w14:paraId="78E939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31" w:type="pct"/>
                  <w:vMerge w:val="restart"/>
                  <w:tcBorders>
                    <w:tl2br w:val="nil"/>
                    <w:tr2bl w:val="nil"/>
                  </w:tcBorders>
                  <w:noWrap w:val="0"/>
                  <w:vAlign w:val="center"/>
                </w:tcPr>
                <w:p w14:paraId="79578CD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生活</w:t>
                  </w:r>
                  <w:r>
                    <w:rPr>
                      <w:rFonts w:hint="eastAsia" w:ascii="Times New Roman" w:hAnsi="Times New Roman" w:eastAsia="宋体" w:cs="Times New Roman"/>
                      <w:color w:val="auto"/>
                      <w:kern w:val="0"/>
                      <w:sz w:val="21"/>
                      <w:szCs w:val="20"/>
                      <w:lang w:val="en-US" w:eastAsia="zh-CN" w:bidi="ar-SA"/>
                    </w:rPr>
                    <w:t>污</w:t>
                  </w:r>
                  <w:r>
                    <w:rPr>
                      <w:rFonts w:hint="default" w:ascii="Times New Roman" w:hAnsi="Times New Roman" w:eastAsia="宋体" w:cs="Times New Roman"/>
                      <w:color w:val="auto"/>
                      <w:kern w:val="0"/>
                      <w:sz w:val="21"/>
                      <w:szCs w:val="20"/>
                      <w:lang w:val="en-US" w:eastAsia="zh-CN" w:bidi="ar-SA"/>
                    </w:rPr>
                    <w:t>水</w:t>
                  </w:r>
                </w:p>
                <w:p w14:paraId="31ABDA8A">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（79.68t/a）</w:t>
                  </w:r>
                </w:p>
              </w:tc>
              <w:tc>
                <w:tcPr>
                  <w:tcW w:w="833" w:type="pct"/>
                  <w:tcBorders>
                    <w:tl2br w:val="nil"/>
                    <w:tr2bl w:val="nil"/>
                  </w:tcBorders>
                  <w:noWrap w:val="0"/>
                  <w:vAlign w:val="center"/>
                </w:tcPr>
                <w:p w14:paraId="3E1ED50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污染物产生浓度（mg/L）</w:t>
                  </w:r>
                </w:p>
              </w:tc>
              <w:tc>
                <w:tcPr>
                  <w:tcW w:w="833" w:type="pct"/>
                  <w:tcBorders>
                    <w:tl2br w:val="nil"/>
                    <w:tr2bl w:val="nil"/>
                  </w:tcBorders>
                  <w:noWrap w:val="0"/>
                  <w:vAlign w:val="center"/>
                </w:tcPr>
                <w:p w14:paraId="0408F31F">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400</w:t>
                  </w:r>
                </w:p>
              </w:tc>
              <w:tc>
                <w:tcPr>
                  <w:tcW w:w="833" w:type="pct"/>
                  <w:tcBorders>
                    <w:tl2br w:val="nil"/>
                    <w:tr2bl w:val="nil"/>
                  </w:tcBorders>
                  <w:noWrap w:val="0"/>
                  <w:vAlign w:val="center"/>
                </w:tcPr>
                <w:p w14:paraId="4F50753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200</w:t>
                  </w:r>
                </w:p>
              </w:tc>
              <w:tc>
                <w:tcPr>
                  <w:tcW w:w="833" w:type="pct"/>
                  <w:tcBorders>
                    <w:tl2br w:val="nil"/>
                    <w:tr2bl w:val="nil"/>
                  </w:tcBorders>
                  <w:noWrap w:val="0"/>
                  <w:vAlign w:val="center"/>
                </w:tcPr>
                <w:p w14:paraId="6B49202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w:t>
                  </w:r>
                  <w:r>
                    <w:rPr>
                      <w:rFonts w:hint="eastAsia" w:ascii="Times New Roman" w:hAnsi="Times New Roman" w:eastAsia="宋体" w:cs="Times New Roman"/>
                      <w:color w:val="auto"/>
                      <w:kern w:val="0"/>
                      <w:sz w:val="21"/>
                      <w:szCs w:val="21"/>
                      <w:lang w:val="en-US" w:eastAsia="zh-CN" w:bidi="ar-SA"/>
                    </w:rPr>
                    <w:t>2</w:t>
                  </w:r>
                  <w:r>
                    <w:rPr>
                      <w:rFonts w:hint="default" w:ascii="Times New Roman" w:hAnsi="Times New Roman" w:eastAsia="宋体" w:cs="Times New Roman"/>
                      <w:color w:val="auto"/>
                      <w:kern w:val="0"/>
                      <w:sz w:val="21"/>
                      <w:szCs w:val="21"/>
                      <w:lang w:val="en-US" w:eastAsia="zh-CN" w:bidi="ar-SA"/>
                    </w:rPr>
                    <w:t>0</w:t>
                  </w:r>
                </w:p>
              </w:tc>
              <w:tc>
                <w:tcPr>
                  <w:tcW w:w="835" w:type="pct"/>
                  <w:tcBorders>
                    <w:tl2br w:val="nil"/>
                    <w:tr2bl w:val="nil"/>
                  </w:tcBorders>
                  <w:noWrap w:val="0"/>
                  <w:vAlign w:val="center"/>
                </w:tcPr>
                <w:p w14:paraId="4FC86D5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35</w:t>
                  </w:r>
                </w:p>
              </w:tc>
            </w:tr>
            <w:tr w14:paraId="7A6EEF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31" w:type="pct"/>
                  <w:vMerge w:val="continue"/>
                  <w:tcBorders>
                    <w:tl2br w:val="nil"/>
                    <w:tr2bl w:val="nil"/>
                  </w:tcBorders>
                  <w:noWrap w:val="0"/>
                  <w:vAlign w:val="center"/>
                </w:tcPr>
                <w:p w14:paraId="5739FCAD">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p>
              </w:tc>
              <w:tc>
                <w:tcPr>
                  <w:tcW w:w="833" w:type="pct"/>
                  <w:tcBorders>
                    <w:tl2br w:val="nil"/>
                    <w:tr2bl w:val="nil"/>
                  </w:tcBorders>
                  <w:noWrap w:val="0"/>
                  <w:vAlign w:val="center"/>
                </w:tcPr>
                <w:p w14:paraId="4347C4D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污染物产生量（t/a）</w:t>
                  </w:r>
                </w:p>
              </w:tc>
              <w:tc>
                <w:tcPr>
                  <w:tcW w:w="833" w:type="pct"/>
                  <w:tcBorders>
                    <w:tl2br w:val="nil"/>
                    <w:tr2bl w:val="nil"/>
                  </w:tcBorders>
                  <w:noWrap w:val="0"/>
                  <w:vAlign w:val="center"/>
                </w:tcPr>
                <w:p w14:paraId="1E76A3B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0.0255</w:t>
                  </w:r>
                </w:p>
              </w:tc>
              <w:tc>
                <w:tcPr>
                  <w:tcW w:w="833" w:type="pct"/>
                  <w:tcBorders>
                    <w:tl2br w:val="nil"/>
                    <w:tr2bl w:val="nil"/>
                  </w:tcBorders>
                  <w:noWrap w:val="0"/>
                  <w:vAlign w:val="center"/>
                </w:tcPr>
                <w:p w14:paraId="0272DF4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0.0127</w:t>
                  </w:r>
                </w:p>
              </w:tc>
              <w:tc>
                <w:tcPr>
                  <w:tcW w:w="833" w:type="pct"/>
                  <w:tcBorders>
                    <w:tl2br w:val="nil"/>
                    <w:tr2bl w:val="nil"/>
                  </w:tcBorders>
                  <w:noWrap w:val="0"/>
                  <w:vAlign w:val="center"/>
                </w:tcPr>
                <w:p w14:paraId="6F8AC6D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0.014</w:t>
                  </w:r>
                </w:p>
              </w:tc>
              <w:tc>
                <w:tcPr>
                  <w:tcW w:w="835" w:type="pct"/>
                  <w:tcBorders>
                    <w:tl2br w:val="nil"/>
                    <w:tr2bl w:val="nil"/>
                  </w:tcBorders>
                  <w:noWrap w:val="0"/>
                  <w:vAlign w:val="center"/>
                </w:tcPr>
                <w:p w14:paraId="639F4B6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0.0022</w:t>
                  </w:r>
                </w:p>
              </w:tc>
            </w:tr>
            <w:tr w14:paraId="3049D6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31" w:type="pct"/>
                  <w:tcBorders>
                    <w:tl2br w:val="nil"/>
                    <w:tr2bl w:val="nil"/>
                  </w:tcBorders>
                  <w:noWrap w:val="0"/>
                  <w:vAlign w:val="center"/>
                </w:tcPr>
                <w:p w14:paraId="42469B6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处理措施</w:t>
                  </w:r>
                </w:p>
              </w:tc>
              <w:tc>
                <w:tcPr>
                  <w:tcW w:w="4168" w:type="pct"/>
                  <w:gridSpan w:val="5"/>
                  <w:tcBorders>
                    <w:tl2br w:val="nil"/>
                    <w:tr2bl w:val="nil"/>
                  </w:tcBorders>
                  <w:noWrap w:val="0"/>
                  <w:vAlign w:val="center"/>
                </w:tcPr>
                <w:p w14:paraId="25F72E5F">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化粪池处理</w:t>
                  </w:r>
                  <w:r>
                    <w:rPr>
                      <w:rFonts w:hint="eastAsia" w:ascii="Times New Roman" w:hAnsi="Times New Roman" w:eastAsia="宋体" w:cs="Times New Roman"/>
                      <w:color w:val="auto"/>
                      <w:kern w:val="0"/>
                      <w:sz w:val="21"/>
                      <w:szCs w:val="20"/>
                      <w:lang w:val="en-US" w:eastAsia="zh-CN" w:bidi="ar-SA"/>
                    </w:rPr>
                    <w:t>达标后排入市政管网，纳入</w:t>
                  </w:r>
                  <w:r>
                    <w:rPr>
                      <w:rFonts w:hint="eastAsia" w:cs="Times New Roman"/>
                      <w:color w:val="auto"/>
                      <w:kern w:val="0"/>
                      <w:sz w:val="21"/>
                      <w:szCs w:val="20"/>
                      <w:lang w:val="en-US" w:eastAsia="zh-CN" w:bidi="ar-SA"/>
                    </w:rPr>
                    <w:t>闽侯县城关污水处理厂</w:t>
                  </w:r>
                </w:p>
              </w:tc>
            </w:tr>
            <w:tr w14:paraId="5DF5F2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31" w:type="pct"/>
                  <w:vMerge w:val="restart"/>
                  <w:tcBorders>
                    <w:tl2br w:val="nil"/>
                    <w:tr2bl w:val="nil"/>
                  </w:tcBorders>
                  <w:noWrap w:val="0"/>
                  <w:vAlign w:val="center"/>
                </w:tcPr>
                <w:p w14:paraId="0E05D5FD">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生活污水</w:t>
                  </w:r>
                  <w:r>
                    <w:rPr>
                      <w:rFonts w:hint="eastAsia" w:cs="Times New Roman"/>
                      <w:color w:val="auto"/>
                      <w:kern w:val="0"/>
                      <w:sz w:val="21"/>
                      <w:szCs w:val="20"/>
                      <w:lang w:val="en-US" w:eastAsia="zh-CN" w:bidi="ar-SA"/>
                    </w:rPr>
                    <w:t>（79.68t/a）</w:t>
                  </w:r>
                </w:p>
              </w:tc>
              <w:tc>
                <w:tcPr>
                  <w:tcW w:w="833" w:type="pct"/>
                  <w:tcBorders>
                    <w:tl2br w:val="nil"/>
                    <w:tr2bl w:val="nil"/>
                  </w:tcBorders>
                  <w:noWrap w:val="0"/>
                  <w:vAlign w:val="center"/>
                </w:tcPr>
                <w:p w14:paraId="358EF50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化粪池处理效率</w:t>
                  </w:r>
                </w:p>
              </w:tc>
              <w:tc>
                <w:tcPr>
                  <w:tcW w:w="833" w:type="pct"/>
                  <w:tcBorders>
                    <w:tl2br w:val="nil"/>
                    <w:tr2bl w:val="nil"/>
                  </w:tcBorders>
                  <w:noWrap w:val="0"/>
                  <w:vAlign w:val="center"/>
                </w:tcPr>
                <w:p w14:paraId="6AF60B3F">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20%</w:t>
                  </w:r>
                </w:p>
              </w:tc>
              <w:tc>
                <w:tcPr>
                  <w:tcW w:w="833" w:type="pct"/>
                  <w:tcBorders>
                    <w:tl2br w:val="nil"/>
                    <w:tr2bl w:val="nil"/>
                  </w:tcBorders>
                  <w:noWrap w:val="0"/>
                  <w:vAlign w:val="center"/>
                </w:tcPr>
                <w:p w14:paraId="7D72092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15%</w:t>
                  </w:r>
                </w:p>
              </w:tc>
              <w:tc>
                <w:tcPr>
                  <w:tcW w:w="833" w:type="pct"/>
                  <w:tcBorders>
                    <w:tl2br w:val="nil"/>
                    <w:tr2bl w:val="nil"/>
                  </w:tcBorders>
                  <w:noWrap w:val="0"/>
                  <w:vAlign w:val="center"/>
                </w:tcPr>
                <w:p w14:paraId="5CF67B0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30%</w:t>
                  </w:r>
                </w:p>
              </w:tc>
              <w:tc>
                <w:tcPr>
                  <w:tcW w:w="835" w:type="pct"/>
                  <w:tcBorders>
                    <w:tl2br w:val="nil"/>
                    <w:tr2bl w:val="nil"/>
                  </w:tcBorders>
                  <w:noWrap w:val="0"/>
                  <w:vAlign w:val="center"/>
                </w:tcPr>
                <w:p w14:paraId="1DD2924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10</w:t>
                  </w:r>
                  <w:r>
                    <w:rPr>
                      <w:rFonts w:hint="default" w:ascii="Times New Roman" w:hAnsi="Times New Roman" w:eastAsia="宋体" w:cs="Times New Roman"/>
                      <w:color w:val="auto"/>
                      <w:kern w:val="0"/>
                      <w:sz w:val="21"/>
                      <w:szCs w:val="20"/>
                      <w:lang w:val="en-US" w:eastAsia="zh-CN" w:bidi="ar-SA"/>
                    </w:rPr>
                    <w:t>%</w:t>
                  </w:r>
                </w:p>
              </w:tc>
            </w:tr>
            <w:tr w14:paraId="514346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31" w:type="pct"/>
                  <w:vMerge w:val="continue"/>
                  <w:tcBorders>
                    <w:tl2br w:val="nil"/>
                    <w:tr2bl w:val="nil"/>
                  </w:tcBorders>
                  <w:noWrap w:val="0"/>
                  <w:vAlign w:val="center"/>
                </w:tcPr>
                <w:p w14:paraId="0C04339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p>
              </w:tc>
              <w:tc>
                <w:tcPr>
                  <w:tcW w:w="833" w:type="pct"/>
                  <w:tcBorders>
                    <w:tl2br w:val="nil"/>
                    <w:tr2bl w:val="nil"/>
                  </w:tcBorders>
                  <w:noWrap w:val="0"/>
                  <w:vAlign w:val="center"/>
                </w:tcPr>
                <w:p w14:paraId="6C38188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经化粪池处理后废水排放浓度（mg/L）</w:t>
                  </w:r>
                </w:p>
              </w:tc>
              <w:tc>
                <w:tcPr>
                  <w:tcW w:w="833" w:type="pct"/>
                  <w:tcBorders>
                    <w:tl2br w:val="nil"/>
                    <w:tr2bl w:val="nil"/>
                  </w:tcBorders>
                  <w:noWrap w:val="0"/>
                  <w:vAlign w:val="center"/>
                </w:tcPr>
                <w:p w14:paraId="7021858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320</w:t>
                  </w:r>
                </w:p>
              </w:tc>
              <w:tc>
                <w:tcPr>
                  <w:tcW w:w="833" w:type="pct"/>
                  <w:tcBorders>
                    <w:tl2br w:val="nil"/>
                    <w:tr2bl w:val="nil"/>
                  </w:tcBorders>
                  <w:noWrap w:val="0"/>
                  <w:vAlign w:val="center"/>
                </w:tcPr>
                <w:p w14:paraId="024D4C3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170</w:t>
                  </w:r>
                </w:p>
              </w:tc>
              <w:tc>
                <w:tcPr>
                  <w:tcW w:w="833" w:type="pct"/>
                  <w:tcBorders>
                    <w:tl2br w:val="nil"/>
                    <w:tr2bl w:val="nil"/>
                  </w:tcBorders>
                  <w:noWrap w:val="0"/>
                  <w:vAlign w:val="center"/>
                </w:tcPr>
                <w:p w14:paraId="3ED09FC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154</w:t>
                  </w:r>
                </w:p>
              </w:tc>
              <w:tc>
                <w:tcPr>
                  <w:tcW w:w="835" w:type="pct"/>
                  <w:tcBorders>
                    <w:tl2br w:val="nil"/>
                    <w:tr2bl w:val="nil"/>
                  </w:tcBorders>
                  <w:noWrap w:val="0"/>
                  <w:vAlign w:val="center"/>
                </w:tcPr>
                <w:p w14:paraId="6EC44FAA">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31.5</w:t>
                  </w:r>
                </w:p>
              </w:tc>
            </w:tr>
            <w:tr w14:paraId="2F47F5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31" w:type="pct"/>
                  <w:vMerge w:val="continue"/>
                  <w:tcBorders>
                    <w:tl2br w:val="nil"/>
                    <w:tr2bl w:val="nil"/>
                  </w:tcBorders>
                  <w:noWrap w:val="0"/>
                  <w:vAlign w:val="center"/>
                </w:tcPr>
                <w:p w14:paraId="5A5E9C3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p>
              </w:tc>
              <w:tc>
                <w:tcPr>
                  <w:tcW w:w="833" w:type="pct"/>
                  <w:tcBorders>
                    <w:tl2br w:val="nil"/>
                    <w:tr2bl w:val="nil"/>
                  </w:tcBorders>
                  <w:noWrap w:val="0"/>
                  <w:vAlign w:val="center"/>
                </w:tcPr>
                <w:p w14:paraId="2CB84EF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经化粪池处理后废水排放量（t/a）</w:t>
                  </w:r>
                </w:p>
              </w:tc>
              <w:tc>
                <w:tcPr>
                  <w:tcW w:w="833" w:type="pct"/>
                  <w:tcBorders>
                    <w:tl2br w:val="nil"/>
                    <w:tr2bl w:val="nil"/>
                  </w:tcBorders>
                  <w:noWrap w:val="0"/>
                  <w:vAlign w:val="center"/>
                </w:tcPr>
                <w:p w14:paraId="14EFFDF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0.0202</w:t>
                  </w:r>
                </w:p>
              </w:tc>
              <w:tc>
                <w:tcPr>
                  <w:tcW w:w="833" w:type="pct"/>
                  <w:tcBorders>
                    <w:tl2br w:val="nil"/>
                    <w:tr2bl w:val="nil"/>
                  </w:tcBorders>
                  <w:noWrap w:val="0"/>
                  <w:vAlign w:val="center"/>
                </w:tcPr>
                <w:p w14:paraId="363129D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0.0107</w:t>
                  </w:r>
                </w:p>
              </w:tc>
              <w:tc>
                <w:tcPr>
                  <w:tcW w:w="833" w:type="pct"/>
                  <w:tcBorders>
                    <w:tl2br w:val="nil"/>
                    <w:tr2bl w:val="nil"/>
                  </w:tcBorders>
                  <w:noWrap w:val="0"/>
                  <w:vAlign w:val="center"/>
                </w:tcPr>
                <w:p w14:paraId="5981FD0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0.0097</w:t>
                  </w:r>
                </w:p>
              </w:tc>
              <w:tc>
                <w:tcPr>
                  <w:tcW w:w="835" w:type="pct"/>
                  <w:tcBorders>
                    <w:tl2br w:val="nil"/>
                    <w:tr2bl w:val="nil"/>
                  </w:tcBorders>
                  <w:noWrap w:val="0"/>
                  <w:vAlign w:val="center"/>
                </w:tcPr>
                <w:p w14:paraId="54C5050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0.00199</w:t>
                  </w:r>
                </w:p>
              </w:tc>
            </w:tr>
          </w:tbl>
          <w:p w14:paraId="35C8E752">
            <w:pPr>
              <w:pStyle w:val="5"/>
              <w:numPr>
                <w:ilvl w:val="0"/>
                <w:numId w:val="0"/>
              </w:numPr>
              <w:bidi w:val="0"/>
              <w:ind w:firstLine="480" w:firstLineChars="200"/>
              <w:rPr>
                <w:rFonts w:hint="eastAsia" w:ascii="Times New Roman" w:hAnsi="Times New Roman" w:eastAsia="宋体" w:cs="宋体"/>
                <w:color w:val="auto"/>
                <w:lang w:val="en-US" w:eastAsia="zh-CN"/>
              </w:rPr>
            </w:pPr>
            <w:r>
              <w:rPr>
                <w:rFonts w:hint="eastAsia" w:ascii="Times New Roman" w:hAnsi="Times New Roman" w:eastAsia="宋体" w:cs="宋体"/>
                <w:color w:val="auto"/>
                <w:sz w:val="24"/>
                <w:szCs w:val="24"/>
                <w:lang w:val="en-US" w:eastAsia="zh-CN" w:bidi="ar-SA"/>
              </w:rPr>
              <w:t>（2）</w:t>
            </w:r>
            <w:r>
              <w:rPr>
                <w:rFonts w:hint="eastAsia" w:ascii="Times New Roman" w:hAnsi="Times New Roman" w:eastAsia="宋体" w:cs="宋体"/>
                <w:color w:val="auto"/>
                <w:lang w:val="en-US" w:eastAsia="zh-CN"/>
              </w:rPr>
              <w:t>生产废水</w:t>
            </w:r>
          </w:p>
          <w:p w14:paraId="32CE442E">
            <w:pPr>
              <w:pStyle w:val="16"/>
              <w:keepNext w:val="0"/>
              <w:keepLines w:val="0"/>
              <w:pageBreakBefore w:val="0"/>
              <w:widowControl w:val="0"/>
              <w:kinsoku/>
              <w:wordWrap/>
              <w:overflowPunct/>
              <w:topLinePunct w:val="0"/>
              <w:autoSpaceDE/>
              <w:autoSpaceDN/>
              <w:bidi w:val="0"/>
              <w:adjustRightInd/>
              <w:snapToGrid/>
              <w:spacing w:line="360" w:lineRule="auto"/>
              <w:ind w:firstLine="468" w:firstLineChars="200"/>
              <w:jc w:val="both"/>
              <w:textAlignment w:val="auto"/>
              <w:rPr>
                <w:rFonts w:ascii="Times New Roman" w:hAnsi="Times New Roman"/>
                <w:color w:val="auto"/>
                <w:spacing w:val="-1"/>
                <w:sz w:val="24"/>
                <w:szCs w:val="24"/>
              </w:rPr>
            </w:pPr>
            <w:r>
              <w:rPr>
                <w:rFonts w:ascii="Times New Roman" w:hAnsi="Times New Roman"/>
                <w:color w:val="auto"/>
                <w:spacing w:val="-3"/>
                <w:sz w:val="24"/>
                <w:szCs w:val="24"/>
              </w:rPr>
              <w:t>项目生产废水经</w:t>
            </w:r>
            <w:r>
              <w:rPr>
                <w:rFonts w:hint="eastAsia"/>
                <w:color w:val="auto"/>
                <w:spacing w:val="-3"/>
                <w:sz w:val="24"/>
                <w:szCs w:val="24"/>
                <w:lang w:val="en-US" w:eastAsia="zh-CN"/>
              </w:rPr>
              <w:t>三格</w:t>
            </w:r>
            <w:r>
              <w:rPr>
                <w:rFonts w:ascii="Times New Roman" w:hAnsi="Times New Roman"/>
                <w:color w:val="auto"/>
                <w:spacing w:val="-3"/>
                <w:sz w:val="24"/>
                <w:szCs w:val="24"/>
              </w:rPr>
              <w:t>沉淀</w:t>
            </w:r>
            <w:r>
              <w:rPr>
                <w:rFonts w:hint="eastAsia"/>
                <w:color w:val="auto"/>
                <w:spacing w:val="-3"/>
                <w:sz w:val="24"/>
                <w:szCs w:val="24"/>
                <w:lang w:val="en-US" w:eastAsia="zh-CN"/>
              </w:rPr>
              <w:t>桶沉淀</w:t>
            </w:r>
            <w:r>
              <w:rPr>
                <w:rFonts w:ascii="Times New Roman" w:hAnsi="Times New Roman"/>
                <w:color w:val="auto"/>
                <w:sz w:val="24"/>
                <w:szCs w:val="24"/>
              </w:rPr>
              <w:t>后</w:t>
            </w:r>
            <w:r>
              <w:rPr>
                <w:rFonts w:hint="eastAsia"/>
                <w:color w:val="auto"/>
                <w:sz w:val="24"/>
                <w:szCs w:val="24"/>
                <w:lang w:val="en-US" w:eastAsia="zh-CN"/>
              </w:rPr>
              <w:t>排入化粪池处理后</w:t>
            </w:r>
            <w:r>
              <w:rPr>
                <w:rFonts w:ascii="Times New Roman" w:hAnsi="Times New Roman"/>
                <w:color w:val="auto"/>
                <w:sz w:val="24"/>
                <w:szCs w:val="24"/>
              </w:rPr>
              <w:t>经市政污水管网进入</w:t>
            </w:r>
            <w:r>
              <w:rPr>
                <w:rFonts w:hint="eastAsia"/>
                <w:color w:val="auto"/>
                <w:sz w:val="24"/>
                <w:szCs w:val="24"/>
                <w:lang w:val="en-US" w:eastAsia="zh-CN"/>
              </w:rPr>
              <w:t>闽侯县城关污水处理厂</w:t>
            </w:r>
            <w:r>
              <w:rPr>
                <w:rFonts w:ascii="Times New Roman" w:hAnsi="Times New Roman"/>
                <w:color w:val="auto"/>
                <w:spacing w:val="-1"/>
                <w:sz w:val="24"/>
                <w:szCs w:val="24"/>
              </w:rPr>
              <w:t>深度处理，</w:t>
            </w:r>
            <w:r>
              <w:rPr>
                <w:rFonts w:hint="eastAsia"/>
                <w:color w:val="auto"/>
                <w:spacing w:val="-1"/>
                <w:sz w:val="24"/>
                <w:szCs w:val="24"/>
                <w:lang w:val="en-US" w:eastAsia="zh-CN"/>
              </w:rPr>
              <w:t>闽侯县城关污水处理厂</w:t>
            </w:r>
            <w:r>
              <w:rPr>
                <w:rFonts w:ascii="Times New Roman" w:hAnsi="Times New Roman"/>
                <w:color w:val="auto"/>
                <w:sz w:val="24"/>
                <w:szCs w:val="24"/>
              </w:rPr>
              <w:t>出水标准执行《城镇污水处理厂污染物排放标准》一级</w:t>
            </w:r>
            <w:r>
              <w:rPr>
                <w:rFonts w:ascii="Times New Roman" w:hAnsi="Times New Roman"/>
                <w:color w:val="auto"/>
                <w:spacing w:val="-58"/>
                <w:sz w:val="24"/>
                <w:szCs w:val="24"/>
              </w:rPr>
              <w:t xml:space="preserve"> </w:t>
            </w:r>
            <w:r>
              <w:rPr>
                <w:rFonts w:ascii="Times New Roman" w:hAnsi="Times New Roman" w:eastAsia="Times New Roman" w:cs="Times New Roman"/>
                <w:color w:val="auto"/>
                <w:sz w:val="24"/>
                <w:szCs w:val="24"/>
              </w:rPr>
              <w:t>A</w:t>
            </w:r>
            <w:r>
              <w:rPr>
                <w:rFonts w:ascii="Times New Roman" w:hAnsi="Times New Roman"/>
                <w:color w:val="auto"/>
                <w:sz w:val="24"/>
                <w:szCs w:val="24"/>
              </w:rPr>
              <w:t>标准</w:t>
            </w:r>
            <w:r>
              <w:rPr>
                <w:rFonts w:ascii="Times New Roman" w:hAnsi="Times New Roman"/>
                <w:color w:val="auto"/>
                <w:spacing w:val="-1"/>
                <w:sz w:val="24"/>
                <w:szCs w:val="24"/>
              </w:rPr>
              <w:t>，最终排入闽江。</w:t>
            </w:r>
          </w:p>
          <w:p w14:paraId="307023BE">
            <w:pPr>
              <w:keepNext w:val="0"/>
              <w:keepLines w:val="0"/>
              <w:pageBreakBefore w:val="0"/>
              <w:widowControl/>
              <w:suppressLineNumbers w:val="0"/>
              <w:kinsoku/>
              <w:wordWrap/>
              <w:overflowPunct/>
              <w:topLinePunct w:val="0"/>
              <w:autoSpaceDE/>
              <w:autoSpaceDN/>
              <w:bidi w:val="0"/>
              <w:adjustRightInd/>
              <w:snapToGrid/>
              <w:spacing w:line="360" w:lineRule="auto"/>
              <w:ind w:firstLine="476"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eastAsia" w:ascii="Times New Roman" w:hAnsi="Times New Roman"/>
                <w:color w:val="auto"/>
                <w:spacing w:val="-1"/>
                <w:sz w:val="24"/>
                <w:szCs w:val="24"/>
                <w:lang w:val="en-US" w:eastAsia="zh-CN"/>
              </w:rPr>
              <w:t>生产废水包括</w:t>
            </w:r>
            <w:r>
              <w:rPr>
                <w:rFonts w:hint="eastAsia"/>
                <w:color w:val="auto"/>
                <w:spacing w:val="-1"/>
                <w:sz w:val="24"/>
                <w:szCs w:val="24"/>
                <w:lang w:val="en-US" w:eastAsia="zh-CN"/>
              </w:rPr>
              <w:t>研磨、</w:t>
            </w:r>
            <w:r>
              <w:rPr>
                <w:rFonts w:ascii="Times New Roman" w:hAnsi="Times New Roman"/>
                <w:color w:val="auto"/>
                <w:sz w:val="24"/>
                <w:szCs w:val="24"/>
              </w:rPr>
              <w:t>抛光废水、</w:t>
            </w:r>
            <w:r>
              <w:rPr>
                <w:rFonts w:hint="eastAsia"/>
                <w:color w:val="auto"/>
                <w:sz w:val="24"/>
                <w:szCs w:val="24"/>
                <w:lang w:val="en-US" w:eastAsia="zh-CN"/>
              </w:rPr>
              <w:t>超声波</w:t>
            </w:r>
            <w:r>
              <w:rPr>
                <w:rFonts w:ascii="Times New Roman" w:hAnsi="Times New Roman"/>
                <w:color w:val="auto"/>
                <w:sz w:val="24"/>
                <w:szCs w:val="24"/>
              </w:rPr>
              <w:t>清洗</w:t>
            </w:r>
            <w:r>
              <w:rPr>
                <w:rFonts w:ascii="Times New Roman" w:hAnsi="Times New Roman"/>
                <w:color w:val="auto"/>
                <w:spacing w:val="-1"/>
                <w:sz w:val="24"/>
                <w:szCs w:val="24"/>
              </w:rPr>
              <w:t>废水</w:t>
            </w:r>
            <w:r>
              <w:rPr>
                <w:rFonts w:hint="eastAsia" w:ascii="Times New Roman" w:hAnsi="Times New Roman"/>
                <w:color w:val="auto"/>
                <w:spacing w:val="-1"/>
                <w:sz w:val="24"/>
                <w:szCs w:val="24"/>
                <w:lang w:eastAsia="zh-CN"/>
              </w:rPr>
              <w:t>。</w:t>
            </w:r>
            <w:r>
              <w:rPr>
                <w:rFonts w:hint="eastAsia" w:cs="宋体"/>
                <w:color w:val="auto"/>
                <w:sz w:val="24"/>
                <w:szCs w:val="24"/>
                <w:highlight w:val="none"/>
                <w:lang w:val="en-US" w:eastAsia="zh-CN" w:bidi="ar-SA"/>
              </w:rPr>
              <w:t>研磨</w:t>
            </w:r>
            <w:r>
              <w:rPr>
                <w:rFonts w:hint="eastAsia" w:ascii="Times New Roman" w:hAnsi="Times New Roman" w:eastAsia="宋体" w:cs="宋体"/>
                <w:color w:val="auto"/>
                <w:sz w:val="24"/>
                <w:szCs w:val="24"/>
                <w:highlight w:val="none"/>
                <w:lang w:val="en-US" w:eastAsia="zh-CN" w:bidi="ar-SA"/>
              </w:rPr>
              <w:t>补充水量</w:t>
            </w:r>
            <w:r>
              <w:rPr>
                <w:rFonts w:hint="eastAsia" w:ascii="Times New Roman" w:hAnsi="Times New Roman" w:eastAsia="宋体" w:cs="宋体"/>
                <w:color w:val="auto"/>
                <w:kern w:val="0"/>
                <w:sz w:val="24"/>
                <w:szCs w:val="24"/>
                <w:lang w:val="en-US" w:eastAsia="zh-CN" w:bidi="ar"/>
              </w:rPr>
              <w:t>：新鲜水补充量约为</w:t>
            </w:r>
            <w:r>
              <w:rPr>
                <w:rFonts w:hint="eastAsia" w:ascii="Times New Roman" w:hAnsi="Times New Roman" w:eastAsia="宋体" w:cs="Times New Roman"/>
                <w:color w:val="auto"/>
                <w:kern w:val="0"/>
                <w:sz w:val="24"/>
                <w:szCs w:val="24"/>
                <w:lang w:val="en-US" w:eastAsia="zh-CN" w:bidi="ar"/>
              </w:rPr>
              <w:t>0.01t/d（2.49t/a）</w:t>
            </w:r>
            <w:r>
              <w:rPr>
                <w:rFonts w:hint="eastAsia" w:cs="宋体"/>
                <w:color w:val="auto"/>
                <w:kern w:val="0"/>
                <w:sz w:val="24"/>
                <w:szCs w:val="24"/>
                <w:lang w:val="en-US" w:eastAsia="zh-CN" w:bidi="ar"/>
              </w:rPr>
              <w:t>；</w:t>
            </w:r>
            <w:r>
              <w:rPr>
                <w:rFonts w:hint="eastAsia" w:ascii="Times New Roman" w:hAnsi="Times New Roman" w:eastAsia="宋体" w:cs="宋体"/>
                <w:color w:val="auto"/>
                <w:kern w:val="0"/>
                <w:sz w:val="24"/>
                <w:szCs w:val="24"/>
                <w:lang w:val="en-US" w:eastAsia="zh-CN" w:bidi="ar"/>
              </w:rPr>
              <w:t>抛光工序</w:t>
            </w:r>
            <w:r>
              <w:rPr>
                <w:rFonts w:hint="eastAsia" w:cs="宋体"/>
                <w:color w:val="auto"/>
                <w:kern w:val="0"/>
                <w:sz w:val="24"/>
                <w:szCs w:val="24"/>
                <w:lang w:val="en-US" w:eastAsia="zh-CN" w:bidi="ar"/>
              </w:rPr>
              <w:t>用水：</w:t>
            </w:r>
            <w:r>
              <w:rPr>
                <w:rFonts w:hint="eastAsia" w:ascii="Times New Roman" w:hAnsi="Times New Roman" w:eastAsia="宋体" w:cs="宋体"/>
                <w:color w:val="auto"/>
                <w:kern w:val="0"/>
                <w:sz w:val="24"/>
                <w:szCs w:val="24"/>
                <w:lang w:val="en-US" w:eastAsia="zh-CN" w:bidi="ar"/>
              </w:rPr>
              <w:t>使用新鲜水</w:t>
            </w:r>
            <w:r>
              <w:rPr>
                <w:rFonts w:hint="eastAsia" w:ascii="Times New Roman" w:hAnsi="Times New Roman" w:eastAsia="宋体" w:cs="Times New Roman"/>
                <w:color w:val="auto"/>
                <w:kern w:val="0"/>
                <w:sz w:val="24"/>
                <w:szCs w:val="24"/>
                <w:lang w:val="en-US" w:eastAsia="zh-CN" w:bidi="ar"/>
              </w:rPr>
              <w:t>0.03t/d（7.47t/a）</w:t>
            </w:r>
            <w:r>
              <w:rPr>
                <w:rFonts w:hint="eastAsia" w:ascii="Times New Roman" w:hAnsi="Times New Roman" w:eastAsia="宋体" w:cs="宋体"/>
                <w:color w:val="auto"/>
                <w:kern w:val="0"/>
                <w:sz w:val="24"/>
                <w:szCs w:val="24"/>
                <w:lang w:val="en-US" w:eastAsia="zh-CN" w:bidi="ar"/>
              </w:rPr>
              <w:t>；</w:t>
            </w:r>
            <w:r>
              <w:rPr>
                <w:rFonts w:hint="eastAsia" w:cs="宋体"/>
                <w:color w:val="auto"/>
                <w:kern w:val="0"/>
                <w:sz w:val="24"/>
                <w:szCs w:val="24"/>
                <w:lang w:val="en-US" w:eastAsia="zh-CN" w:bidi="ar"/>
              </w:rPr>
              <w:t>超声波</w:t>
            </w:r>
            <w:r>
              <w:rPr>
                <w:rFonts w:hint="eastAsia" w:ascii="Times New Roman" w:hAnsi="Times New Roman" w:eastAsia="宋体" w:cs="宋体"/>
                <w:color w:val="auto"/>
                <w:kern w:val="0"/>
                <w:sz w:val="24"/>
                <w:szCs w:val="24"/>
                <w:lang w:val="en-US" w:eastAsia="zh-CN" w:bidi="ar"/>
              </w:rPr>
              <w:t>清洗工序用水：废水产生量为</w:t>
            </w:r>
            <w:r>
              <w:rPr>
                <w:rFonts w:hint="eastAsia" w:ascii="Times New Roman" w:hAnsi="Times New Roman" w:eastAsia="宋体" w:cs="Times New Roman"/>
                <w:color w:val="auto"/>
                <w:kern w:val="0"/>
                <w:sz w:val="24"/>
                <w:szCs w:val="24"/>
                <w:lang w:val="en-US" w:eastAsia="zh-CN" w:bidi="ar"/>
              </w:rPr>
              <w:t>0.04t/d（9.96t/a）</w:t>
            </w:r>
            <w:r>
              <w:rPr>
                <w:rFonts w:hint="eastAsia" w:cs="Times New Roman"/>
                <w:color w:val="auto"/>
                <w:kern w:val="0"/>
                <w:sz w:val="24"/>
                <w:szCs w:val="24"/>
                <w:lang w:val="en-US" w:eastAsia="zh-CN" w:bidi="ar"/>
              </w:rPr>
              <w:t>。总计19.92t/a。</w:t>
            </w:r>
          </w:p>
          <w:p w14:paraId="5D5C0FC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olor w:val="auto"/>
                <w:lang w:val="en-US" w:eastAsia="zh-CN"/>
              </w:rPr>
            </w:pPr>
            <w:r>
              <w:rPr>
                <w:rFonts w:hint="eastAsia" w:ascii="Times New Roman" w:hAnsi="Times New Roman" w:eastAsia="宋体" w:cs="宋体"/>
                <w:color w:val="auto"/>
                <w:kern w:val="2"/>
                <w:sz w:val="24"/>
                <w:szCs w:val="24"/>
                <w:lang w:val="en-US" w:eastAsia="zh-CN" w:bidi="ar-SA"/>
              </w:rPr>
              <w:t>本项目</w:t>
            </w:r>
            <w:r>
              <w:rPr>
                <w:rFonts w:hint="eastAsia" w:cs="宋体"/>
                <w:color w:val="auto"/>
                <w:kern w:val="2"/>
                <w:sz w:val="24"/>
                <w:szCs w:val="24"/>
                <w:lang w:val="en-US" w:eastAsia="zh-CN" w:bidi="ar-SA"/>
              </w:rPr>
              <w:t>生产</w:t>
            </w:r>
            <w:r>
              <w:rPr>
                <w:rFonts w:hint="eastAsia" w:ascii="Times New Roman" w:hAnsi="Times New Roman" w:eastAsia="宋体" w:cs="宋体"/>
                <w:color w:val="auto"/>
                <w:kern w:val="2"/>
                <w:sz w:val="24"/>
                <w:szCs w:val="24"/>
                <w:lang w:val="en-US" w:eastAsia="zh-CN" w:bidi="ar-SA"/>
              </w:rPr>
              <w:t>废水处理设施的处理工艺为沉淀</w:t>
            </w:r>
            <w:r>
              <w:rPr>
                <w:rFonts w:hint="eastAsia" w:cs="宋体"/>
                <w:color w:val="auto"/>
                <w:kern w:val="2"/>
                <w:sz w:val="24"/>
                <w:szCs w:val="24"/>
                <w:lang w:val="en-US" w:eastAsia="zh-CN" w:bidi="ar-SA"/>
              </w:rPr>
              <w:t>+化粪池</w:t>
            </w:r>
            <w:r>
              <w:rPr>
                <w:rFonts w:hint="eastAsia" w:ascii="Times New Roman" w:hAnsi="Times New Roman" w:eastAsia="宋体" w:cs="宋体"/>
                <w:color w:val="auto"/>
                <w:kern w:val="2"/>
                <w:sz w:val="24"/>
                <w:szCs w:val="24"/>
                <w:lang w:val="en-US" w:eastAsia="zh-CN" w:bidi="ar-SA"/>
              </w:rPr>
              <w:t>，根据《排放源统计调查产排污核算方法和系数手册》中《光学玻璃制造行业系数手册》，对化学需氧量的平均处理效率分别为35%。化学需氧量产污系数为4.10×10</w:t>
            </w:r>
            <w:r>
              <w:rPr>
                <w:rFonts w:hint="eastAsia" w:ascii="Times New Roman" w:hAnsi="Times New Roman" w:eastAsia="宋体" w:cs="宋体"/>
                <w:color w:val="auto"/>
                <w:kern w:val="2"/>
                <w:sz w:val="24"/>
                <w:szCs w:val="24"/>
                <w:vertAlign w:val="superscript"/>
                <w:lang w:val="en-US" w:eastAsia="zh-CN" w:bidi="ar-SA"/>
              </w:rPr>
              <w:t>2</w:t>
            </w:r>
            <w:r>
              <w:rPr>
                <w:rFonts w:hint="eastAsia" w:ascii="Times New Roman" w:hAnsi="Times New Roman" w:eastAsia="宋体" w:cs="宋体"/>
                <w:color w:val="auto"/>
                <w:kern w:val="2"/>
                <w:sz w:val="24"/>
                <w:szCs w:val="24"/>
                <w:lang w:val="en-US" w:eastAsia="zh-CN" w:bidi="ar-SA"/>
              </w:rPr>
              <w:t>克/千克-原料</w:t>
            </w:r>
            <w:r>
              <w:rPr>
                <w:rFonts w:hint="eastAsia" w:cs="宋体"/>
                <w:color w:val="auto"/>
                <w:kern w:val="2"/>
                <w:sz w:val="24"/>
                <w:szCs w:val="24"/>
                <w:lang w:val="en-US" w:eastAsia="zh-CN" w:bidi="ar-SA"/>
              </w:rPr>
              <w:t>。</w:t>
            </w:r>
            <w:r>
              <w:rPr>
                <w:rFonts w:hint="eastAsia" w:ascii="Times New Roman" w:hAnsi="Times New Roman" w:eastAsia="宋体" w:cs="宋体"/>
                <w:color w:val="auto"/>
                <w:kern w:val="2"/>
                <w:sz w:val="24"/>
                <w:szCs w:val="24"/>
                <w:lang w:val="en-US" w:eastAsia="zh-CN" w:bidi="ar-SA"/>
              </w:rPr>
              <w:t>本项目生产废水产排放情况见表4.1-2。</w:t>
            </w:r>
          </w:p>
          <w:p w14:paraId="7DE3FC94">
            <w:pPr>
              <w:widowControl w:val="0"/>
              <w:bidi w:val="0"/>
              <w:adjustRightInd w:val="0"/>
              <w:snapToGrid w:val="0"/>
              <w:spacing w:before="10" w:beforeLines="10" w:after="10" w:afterLines="10"/>
              <w:jc w:val="center"/>
              <w:rPr>
                <w:rFonts w:hint="default" w:ascii="Times New Roman" w:hAnsi="Times New Roman" w:eastAsia="宋体" w:cs="Times New Roman"/>
                <w:b/>
                <w:color w:val="auto"/>
                <w:kern w:val="0"/>
                <w:sz w:val="24"/>
                <w:szCs w:val="20"/>
                <w:lang w:val="en-US" w:eastAsia="zh-CN" w:bidi="ar-SA"/>
              </w:rPr>
            </w:pPr>
            <w:r>
              <w:rPr>
                <w:rFonts w:hint="eastAsia" w:ascii="Times New Roman" w:hAnsi="Times New Roman" w:eastAsia="宋体" w:cs="Times New Roman"/>
                <w:b/>
                <w:color w:val="auto"/>
                <w:kern w:val="0"/>
                <w:sz w:val="24"/>
                <w:szCs w:val="20"/>
                <w:lang w:val="en-US" w:eastAsia="zh-CN" w:bidi="ar-SA"/>
              </w:rPr>
              <w:t>表4.1-2运营期生产废水</w:t>
            </w:r>
            <w:r>
              <w:rPr>
                <w:rFonts w:hint="eastAsia" w:cs="Times New Roman"/>
                <w:b/>
                <w:color w:val="auto"/>
                <w:kern w:val="0"/>
                <w:sz w:val="24"/>
                <w:szCs w:val="20"/>
                <w:lang w:val="en-US" w:eastAsia="zh-CN" w:bidi="ar-SA"/>
              </w:rPr>
              <w:t>与生活污水</w:t>
            </w:r>
            <w:r>
              <w:rPr>
                <w:rFonts w:hint="eastAsia" w:ascii="Times New Roman" w:hAnsi="Times New Roman" w:eastAsia="宋体" w:cs="Times New Roman"/>
                <w:b/>
                <w:color w:val="auto"/>
                <w:kern w:val="0"/>
                <w:sz w:val="24"/>
                <w:szCs w:val="20"/>
                <w:lang w:val="en-US" w:eastAsia="zh-CN" w:bidi="ar-SA"/>
              </w:rPr>
              <w:t>产生排放情况</w:t>
            </w:r>
          </w:p>
          <w:tbl>
            <w:tblPr>
              <w:tblStyle w:val="38"/>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151"/>
              <w:gridCol w:w="1672"/>
              <w:gridCol w:w="2778"/>
              <w:gridCol w:w="2801"/>
            </w:tblGrid>
            <w:tr w14:paraId="6FA691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5" w:hRule="atLeast"/>
              </w:trPr>
              <w:tc>
                <w:tcPr>
                  <w:tcW w:w="685" w:type="pct"/>
                  <w:tcBorders>
                    <w:tl2br w:val="nil"/>
                    <w:tr2bl w:val="nil"/>
                  </w:tcBorders>
                  <w:noWrap w:val="0"/>
                  <w:vAlign w:val="center"/>
                </w:tcPr>
                <w:p w14:paraId="218FC8F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废水量</w:t>
                  </w:r>
                </w:p>
              </w:tc>
              <w:tc>
                <w:tcPr>
                  <w:tcW w:w="995" w:type="pct"/>
                  <w:tcBorders>
                    <w:tl2br w:val="nil"/>
                    <w:tr2bl w:val="nil"/>
                  </w:tcBorders>
                  <w:noWrap w:val="0"/>
                  <w:vAlign w:val="center"/>
                </w:tcPr>
                <w:p w14:paraId="4EA2C17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项目</w:t>
                  </w:r>
                </w:p>
              </w:tc>
              <w:tc>
                <w:tcPr>
                  <w:tcW w:w="1653" w:type="pct"/>
                  <w:tcBorders>
                    <w:tl2br w:val="nil"/>
                    <w:tr2bl w:val="nil"/>
                  </w:tcBorders>
                  <w:noWrap w:val="0"/>
                  <w:vAlign w:val="center"/>
                </w:tcPr>
                <w:p w14:paraId="2AEB2F2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COD</w:t>
                  </w:r>
                  <w:r>
                    <w:rPr>
                      <w:rFonts w:hint="default" w:ascii="Times New Roman" w:hAnsi="Times New Roman" w:eastAsia="宋体" w:cs="Times New Roman"/>
                      <w:color w:val="auto"/>
                      <w:kern w:val="0"/>
                      <w:sz w:val="21"/>
                      <w:szCs w:val="20"/>
                      <w:vertAlign w:val="subscript"/>
                      <w:lang w:val="en-US" w:eastAsia="zh-CN" w:bidi="ar-SA"/>
                    </w:rPr>
                    <w:t>cr</w:t>
                  </w:r>
                </w:p>
              </w:tc>
              <w:tc>
                <w:tcPr>
                  <w:tcW w:w="1665" w:type="pct"/>
                  <w:tcBorders>
                    <w:tl2br w:val="nil"/>
                    <w:tr2bl w:val="nil"/>
                  </w:tcBorders>
                  <w:noWrap w:val="0"/>
                  <w:vAlign w:val="center"/>
                </w:tcPr>
                <w:p w14:paraId="1E469DA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NH</w:t>
                  </w:r>
                  <w:r>
                    <w:rPr>
                      <w:rFonts w:hint="default" w:ascii="Times New Roman" w:hAnsi="Times New Roman" w:eastAsia="宋体" w:cs="Times New Roman"/>
                      <w:color w:val="auto"/>
                      <w:kern w:val="0"/>
                      <w:sz w:val="21"/>
                      <w:szCs w:val="20"/>
                      <w:vertAlign w:val="subscript"/>
                      <w:lang w:val="en-US" w:eastAsia="zh-CN" w:bidi="ar-SA"/>
                    </w:rPr>
                    <w:t>3</w:t>
                  </w:r>
                  <w:r>
                    <w:rPr>
                      <w:rFonts w:hint="default" w:ascii="Times New Roman" w:hAnsi="Times New Roman" w:eastAsia="宋体" w:cs="Times New Roman"/>
                      <w:color w:val="auto"/>
                      <w:kern w:val="0"/>
                      <w:sz w:val="21"/>
                      <w:szCs w:val="20"/>
                      <w:lang w:val="en-US" w:eastAsia="zh-CN" w:bidi="ar-SA"/>
                    </w:rPr>
                    <w:t>-N</w:t>
                  </w:r>
                </w:p>
              </w:tc>
            </w:tr>
            <w:tr w14:paraId="46C3F4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5" w:hRule="atLeast"/>
              </w:trPr>
              <w:tc>
                <w:tcPr>
                  <w:tcW w:w="685" w:type="pct"/>
                  <w:tcBorders>
                    <w:tl2br w:val="nil"/>
                    <w:tr2bl w:val="nil"/>
                  </w:tcBorders>
                  <w:noWrap w:val="0"/>
                  <w:vAlign w:val="center"/>
                </w:tcPr>
                <w:p w14:paraId="054D074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处理措施</w:t>
                  </w:r>
                </w:p>
              </w:tc>
              <w:tc>
                <w:tcPr>
                  <w:tcW w:w="4314" w:type="pct"/>
                  <w:gridSpan w:val="3"/>
                  <w:tcBorders>
                    <w:tl2br w:val="nil"/>
                    <w:tr2bl w:val="nil"/>
                  </w:tcBorders>
                  <w:noWrap w:val="0"/>
                  <w:vAlign w:val="center"/>
                </w:tcPr>
                <w:p w14:paraId="70DFAC62">
                  <w:pPr>
                    <w:pStyle w:val="227"/>
                    <w:bidi w:val="0"/>
                    <w:rPr>
                      <w:rFonts w:hint="default" w:ascii="Times New Roman" w:hAnsi="Times New Roman"/>
                      <w:color w:val="auto"/>
                      <w:lang w:val="en-US" w:eastAsia="zh-CN"/>
                    </w:rPr>
                  </w:pPr>
                  <w:r>
                    <w:rPr>
                      <w:rFonts w:hint="eastAsia" w:cs="Times New Roman"/>
                      <w:color w:val="auto"/>
                      <w:lang w:val="en-US" w:eastAsia="zh-CN"/>
                    </w:rPr>
                    <w:t>生产废水</w:t>
                  </w:r>
                  <w:r>
                    <w:rPr>
                      <w:rFonts w:hint="eastAsia" w:ascii="Times New Roman" w:hAnsi="Times New Roman" w:eastAsia="宋体" w:cs="Times New Roman"/>
                      <w:color w:val="auto"/>
                      <w:lang w:val="en-US" w:eastAsia="zh-CN"/>
                    </w:rPr>
                    <w:t>经</w:t>
                  </w:r>
                  <w:r>
                    <w:rPr>
                      <w:rFonts w:hint="eastAsia" w:cs="Times New Roman"/>
                      <w:color w:val="auto"/>
                      <w:lang w:val="en-US" w:eastAsia="zh-CN"/>
                    </w:rPr>
                    <w:t>三格</w:t>
                  </w:r>
                  <w:r>
                    <w:rPr>
                      <w:rFonts w:hint="default" w:ascii="Times New Roman" w:hAnsi="Times New Roman" w:eastAsia="宋体" w:cs="Times New Roman"/>
                      <w:color w:val="auto"/>
                      <w:lang w:val="en-US" w:eastAsia="zh-CN"/>
                    </w:rPr>
                    <w:t>沉淀</w:t>
                  </w:r>
                  <w:r>
                    <w:rPr>
                      <w:rFonts w:hint="eastAsia" w:cs="Times New Roman"/>
                      <w:color w:val="auto"/>
                      <w:lang w:val="en-US" w:eastAsia="zh-CN"/>
                    </w:rPr>
                    <w:t>桶沉淀后排入化粪池</w:t>
                  </w:r>
                  <w:r>
                    <w:rPr>
                      <w:rFonts w:hint="eastAsia" w:ascii="Times New Roman" w:hAnsi="Times New Roman" w:eastAsia="宋体" w:cs="Times New Roman"/>
                      <w:color w:val="auto"/>
                      <w:lang w:val="en-US" w:eastAsia="zh-CN"/>
                    </w:rPr>
                    <w:t>处理</w:t>
                  </w:r>
                  <w:r>
                    <w:rPr>
                      <w:rFonts w:hint="eastAsia" w:cs="Times New Roman"/>
                      <w:color w:val="auto"/>
                      <w:lang w:val="en-US" w:eastAsia="zh-CN"/>
                    </w:rPr>
                    <w:t>再</w:t>
                  </w:r>
                  <w:r>
                    <w:rPr>
                      <w:rFonts w:hint="default" w:ascii="Times New Roman" w:hAnsi="Times New Roman" w:eastAsia="宋体" w:cs="Times New Roman"/>
                      <w:color w:val="auto"/>
                      <w:lang w:val="en-US" w:eastAsia="zh-CN"/>
                    </w:rPr>
                    <w:t>排入市政管网，纳入</w:t>
                  </w:r>
                  <w:r>
                    <w:rPr>
                      <w:rFonts w:hint="eastAsia" w:cs="Times New Roman"/>
                      <w:color w:val="auto"/>
                      <w:lang w:val="en-US" w:eastAsia="zh-CN"/>
                    </w:rPr>
                    <w:t>闽侯县城关污水处理厂；生活污水经化粪池</w:t>
                  </w:r>
                  <w:r>
                    <w:rPr>
                      <w:rFonts w:hint="eastAsia" w:ascii="Times New Roman" w:hAnsi="Times New Roman" w:eastAsia="宋体" w:cs="Times New Roman"/>
                      <w:color w:val="auto"/>
                      <w:lang w:val="en-US" w:eastAsia="zh-CN"/>
                    </w:rPr>
                    <w:t>处理</w:t>
                  </w:r>
                  <w:r>
                    <w:rPr>
                      <w:rFonts w:hint="eastAsia" w:cs="Times New Roman"/>
                      <w:color w:val="auto"/>
                      <w:lang w:val="en-US" w:eastAsia="zh-CN"/>
                    </w:rPr>
                    <w:t>再</w:t>
                  </w:r>
                  <w:r>
                    <w:rPr>
                      <w:rFonts w:hint="default" w:ascii="Times New Roman" w:hAnsi="Times New Roman" w:eastAsia="宋体" w:cs="Times New Roman"/>
                      <w:color w:val="auto"/>
                      <w:lang w:val="en-US" w:eastAsia="zh-CN"/>
                    </w:rPr>
                    <w:t>排入市政管网，纳入</w:t>
                  </w:r>
                  <w:r>
                    <w:rPr>
                      <w:rFonts w:hint="eastAsia" w:cs="Times New Roman"/>
                      <w:color w:val="auto"/>
                      <w:lang w:val="en-US" w:eastAsia="zh-CN"/>
                    </w:rPr>
                    <w:t>闽侯县城关污水处理厂。</w:t>
                  </w:r>
                </w:p>
              </w:tc>
            </w:tr>
            <w:tr w14:paraId="39AADE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9" w:hRule="atLeast"/>
              </w:trPr>
              <w:tc>
                <w:tcPr>
                  <w:tcW w:w="685" w:type="pct"/>
                  <w:vMerge w:val="restart"/>
                  <w:tcBorders>
                    <w:tl2br w:val="nil"/>
                    <w:tr2bl w:val="nil"/>
                  </w:tcBorders>
                  <w:noWrap w:val="0"/>
                  <w:vAlign w:val="center"/>
                </w:tcPr>
                <w:p w14:paraId="6759D069">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生产废水</w:t>
                  </w:r>
                </w:p>
                <w:p w14:paraId="302A463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19.92t/a</w:t>
                  </w:r>
                </w:p>
              </w:tc>
              <w:tc>
                <w:tcPr>
                  <w:tcW w:w="995" w:type="pct"/>
                  <w:tcBorders>
                    <w:tl2br w:val="nil"/>
                    <w:tr2bl w:val="nil"/>
                  </w:tcBorders>
                  <w:noWrap w:val="0"/>
                  <w:vAlign w:val="center"/>
                </w:tcPr>
                <w:p w14:paraId="62619CFC">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污染物</w:t>
                  </w:r>
                  <w:r>
                    <w:rPr>
                      <w:rFonts w:hint="eastAsia" w:ascii="Times New Roman" w:hAnsi="Times New Roman" w:eastAsia="宋体" w:cs="Times New Roman"/>
                      <w:color w:val="auto"/>
                      <w:kern w:val="0"/>
                      <w:sz w:val="21"/>
                      <w:szCs w:val="20"/>
                      <w:lang w:val="en-US" w:eastAsia="zh-CN" w:bidi="ar-SA"/>
                    </w:rPr>
                    <w:t>排放</w:t>
                  </w:r>
                  <w:r>
                    <w:rPr>
                      <w:rFonts w:hint="default" w:ascii="Times New Roman" w:hAnsi="Times New Roman" w:eastAsia="宋体" w:cs="Times New Roman"/>
                      <w:color w:val="auto"/>
                      <w:kern w:val="0"/>
                      <w:sz w:val="21"/>
                      <w:szCs w:val="20"/>
                      <w:lang w:val="en-US" w:eastAsia="zh-CN" w:bidi="ar-SA"/>
                    </w:rPr>
                    <w:t>浓度（mg/L）</w:t>
                  </w:r>
                </w:p>
              </w:tc>
              <w:tc>
                <w:tcPr>
                  <w:tcW w:w="1653" w:type="pct"/>
                  <w:tcBorders>
                    <w:tl2br w:val="nil"/>
                    <w:tr2bl w:val="nil"/>
                  </w:tcBorders>
                  <w:noWrap w:val="0"/>
                  <w:vAlign w:val="center"/>
                </w:tcPr>
                <w:p w14:paraId="22AF31E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5.248</w:t>
                  </w:r>
                </w:p>
              </w:tc>
              <w:tc>
                <w:tcPr>
                  <w:tcW w:w="1665" w:type="pct"/>
                  <w:tcBorders>
                    <w:tl2br w:val="nil"/>
                    <w:tr2bl w:val="nil"/>
                  </w:tcBorders>
                  <w:noWrap w:val="0"/>
                  <w:vAlign w:val="center"/>
                </w:tcPr>
                <w:p w14:paraId="0F61010A">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1.148</w:t>
                  </w:r>
                </w:p>
              </w:tc>
            </w:tr>
            <w:tr w14:paraId="190005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9" w:hRule="atLeast"/>
              </w:trPr>
              <w:tc>
                <w:tcPr>
                  <w:tcW w:w="685" w:type="pct"/>
                  <w:vMerge w:val="continue"/>
                  <w:tcBorders>
                    <w:tl2br w:val="nil"/>
                    <w:tr2bl w:val="nil"/>
                  </w:tcBorders>
                  <w:noWrap w:val="0"/>
                  <w:vAlign w:val="center"/>
                </w:tcPr>
                <w:p w14:paraId="59C05E6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p>
              </w:tc>
              <w:tc>
                <w:tcPr>
                  <w:tcW w:w="995" w:type="pct"/>
                  <w:tcBorders>
                    <w:tl2br w:val="nil"/>
                    <w:tr2bl w:val="nil"/>
                  </w:tcBorders>
                  <w:noWrap w:val="0"/>
                  <w:vAlign w:val="center"/>
                </w:tcPr>
                <w:p w14:paraId="1968B7D1">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污染物</w:t>
                  </w:r>
                  <w:r>
                    <w:rPr>
                      <w:rFonts w:hint="eastAsia" w:ascii="Times New Roman" w:hAnsi="Times New Roman" w:eastAsia="宋体" w:cs="Times New Roman"/>
                      <w:color w:val="auto"/>
                      <w:kern w:val="0"/>
                      <w:sz w:val="21"/>
                      <w:szCs w:val="20"/>
                      <w:lang w:val="en-US" w:eastAsia="zh-CN" w:bidi="ar-SA"/>
                    </w:rPr>
                    <w:t>排放</w:t>
                  </w:r>
                  <w:r>
                    <w:rPr>
                      <w:rFonts w:hint="default" w:ascii="Times New Roman" w:hAnsi="Times New Roman" w:eastAsia="宋体" w:cs="Times New Roman"/>
                      <w:color w:val="auto"/>
                      <w:kern w:val="0"/>
                      <w:sz w:val="21"/>
                      <w:szCs w:val="20"/>
                      <w:lang w:val="en-US" w:eastAsia="zh-CN" w:bidi="ar-SA"/>
                    </w:rPr>
                    <w:t>量（t/a）</w:t>
                  </w:r>
                </w:p>
              </w:tc>
              <w:tc>
                <w:tcPr>
                  <w:tcW w:w="1653" w:type="pct"/>
                  <w:tcBorders>
                    <w:tl2br w:val="nil"/>
                    <w:tr2bl w:val="nil"/>
                  </w:tcBorders>
                  <w:noWrap w:val="0"/>
                  <w:vAlign w:val="center"/>
                </w:tcPr>
                <w:p w14:paraId="40E50E9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0.0034</w:t>
                  </w:r>
                </w:p>
              </w:tc>
              <w:tc>
                <w:tcPr>
                  <w:tcW w:w="1665" w:type="pct"/>
                  <w:tcBorders>
                    <w:tl2br w:val="nil"/>
                    <w:tr2bl w:val="nil"/>
                  </w:tcBorders>
                  <w:noWrap w:val="0"/>
                  <w:vAlign w:val="center"/>
                </w:tcPr>
                <w:p w14:paraId="3A86055F">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0.000734</w:t>
                  </w:r>
                </w:p>
              </w:tc>
            </w:tr>
            <w:tr w14:paraId="114F67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9" w:hRule="atLeast"/>
              </w:trPr>
              <w:tc>
                <w:tcPr>
                  <w:tcW w:w="685" w:type="pct"/>
                  <w:tcBorders>
                    <w:tl2br w:val="nil"/>
                    <w:tr2bl w:val="nil"/>
                  </w:tcBorders>
                  <w:noWrap w:val="0"/>
                  <w:vAlign w:val="center"/>
                </w:tcPr>
                <w:p w14:paraId="636A0E6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生活污水</w:t>
                  </w:r>
                  <w:r>
                    <w:rPr>
                      <w:rFonts w:hint="eastAsia" w:cs="Times New Roman"/>
                      <w:color w:val="auto"/>
                      <w:kern w:val="0"/>
                      <w:sz w:val="21"/>
                      <w:szCs w:val="20"/>
                      <w:lang w:val="en-US" w:eastAsia="zh-CN" w:bidi="ar-SA"/>
                    </w:rPr>
                    <w:t>（79.68t/a）</w:t>
                  </w:r>
                </w:p>
              </w:tc>
              <w:tc>
                <w:tcPr>
                  <w:tcW w:w="995" w:type="pct"/>
                  <w:tcBorders>
                    <w:tl2br w:val="nil"/>
                    <w:tr2bl w:val="nil"/>
                  </w:tcBorders>
                  <w:noWrap w:val="0"/>
                  <w:vAlign w:val="center"/>
                </w:tcPr>
                <w:p w14:paraId="1EBD481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污染物</w:t>
                  </w:r>
                  <w:r>
                    <w:rPr>
                      <w:rFonts w:hint="eastAsia" w:ascii="Times New Roman" w:hAnsi="Times New Roman" w:eastAsia="宋体" w:cs="Times New Roman"/>
                      <w:color w:val="auto"/>
                      <w:kern w:val="0"/>
                      <w:sz w:val="21"/>
                      <w:szCs w:val="20"/>
                      <w:lang w:val="en-US" w:eastAsia="zh-CN" w:bidi="ar-SA"/>
                    </w:rPr>
                    <w:t>排放</w:t>
                  </w:r>
                  <w:r>
                    <w:rPr>
                      <w:rFonts w:hint="default" w:ascii="Times New Roman" w:hAnsi="Times New Roman" w:eastAsia="宋体" w:cs="Times New Roman"/>
                      <w:color w:val="auto"/>
                      <w:kern w:val="0"/>
                      <w:sz w:val="21"/>
                      <w:szCs w:val="20"/>
                      <w:lang w:val="en-US" w:eastAsia="zh-CN" w:bidi="ar-SA"/>
                    </w:rPr>
                    <w:t>量（t/a）</w:t>
                  </w:r>
                </w:p>
              </w:tc>
              <w:tc>
                <w:tcPr>
                  <w:tcW w:w="1653" w:type="pct"/>
                  <w:tcBorders>
                    <w:tl2br w:val="nil"/>
                    <w:tr2bl w:val="nil"/>
                  </w:tcBorders>
                  <w:noWrap w:val="0"/>
                  <w:vAlign w:val="center"/>
                </w:tcPr>
                <w:p w14:paraId="63A196E2">
                  <w:pPr>
                    <w:widowControl w:val="0"/>
                    <w:bidi w:val="0"/>
                    <w:adjustRightInd w:val="0"/>
                    <w:snapToGrid w:val="0"/>
                    <w:spacing w:before="10" w:beforeLines="10" w:after="10" w:afterLines="10" w:line="240" w:lineRule="auto"/>
                    <w:jc w:val="center"/>
                    <w:rPr>
                      <w:rFonts w:hint="eastAsia" w:cs="Times New Roman"/>
                      <w:color w:val="auto"/>
                      <w:kern w:val="0"/>
                      <w:sz w:val="21"/>
                      <w:szCs w:val="20"/>
                      <w:lang w:val="en-US" w:eastAsia="zh-CN" w:bidi="ar-SA"/>
                    </w:rPr>
                  </w:pPr>
                  <w:r>
                    <w:rPr>
                      <w:rFonts w:hint="eastAsia" w:cs="Times New Roman"/>
                      <w:color w:val="auto"/>
                      <w:kern w:val="0"/>
                      <w:sz w:val="21"/>
                      <w:szCs w:val="20"/>
                      <w:lang w:val="en-US" w:eastAsia="zh-CN" w:bidi="ar-SA"/>
                    </w:rPr>
                    <w:t>0.0202</w:t>
                  </w:r>
                </w:p>
              </w:tc>
              <w:tc>
                <w:tcPr>
                  <w:tcW w:w="1665" w:type="pct"/>
                  <w:tcBorders>
                    <w:tl2br w:val="nil"/>
                    <w:tr2bl w:val="nil"/>
                  </w:tcBorders>
                  <w:noWrap w:val="0"/>
                  <w:vAlign w:val="center"/>
                </w:tcPr>
                <w:p w14:paraId="4CAE5767">
                  <w:pPr>
                    <w:widowControl w:val="0"/>
                    <w:bidi w:val="0"/>
                    <w:adjustRightInd w:val="0"/>
                    <w:snapToGrid w:val="0"/>
                    <w:spacing w:before="10" w:beforeLines="10" w:after="10" w:afterLines="10" w:line="240" w:lineRule="auto"/>
                    <w:jc w:val="center"/>
                    <w:rPr>
                      <w:rFonts w:hint="default" w:cs="Times New Roman"/>
                      <w:color w:val="auto"/>
                      <w:kern w:val="0"/>
                      <w:sz w:val="21"/>
                      <w:szCs w:val="20"/>
                      <w:lang w:val="en-US" w:eastAsia="zh-CN" w:bidi="ar-SA"/>
                    </w:rPr>
                  </w:pPr>
                  <w:r>
                    <w:rPr>
                      <w:rFonts w:hint="eastAsia" w:cs="Times New Roman"/>
                      <w:color w:val="auto"/>
                      <w:kern w:val="0"/>
                      <w:sz w:val="21"/>
                      <w:szCs w:val="20"/>
                      <w:lang w:val="en-US" w:eastAsia="zh-CN" w:bidi="ar-SA"/>
                    </w:rPr>
                    <w:t>0.001990</w:t>
                  </w:r>
                </w:p>
              </w:tc>
            </w:tr>
          </w:tbl>
          <w:p w14:paraId="395F7233">
            <w:pPr>
              <w:pStyle w:val="232"/>
              <w:bidi w:val="0"/>
              <w:rPr>
                <w:rFonts w:hint="eastAsia"/>
                <w:color w:val="auto"/>
                <w:lang w:val="en-US" w:eastAsia="zh-CN"/>
              </w:rPr>
            </w:pPr>
            <w:r>
              <w:rPr>
                <w:rFonts w:hint="eastAsia"/>
                <w:color w:val="auto"/>
                <w:lang w:val="en-US" w:eastAsia="zh-CN"/>
              </w:rPr>
              <w:t>表4.1-3运营期综合废水排放情况</w:t>
            </w:r>
          </w:p>
          <w:tbl>
            <w:tblPr>
              <w:tblStyle w:val="38"/>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224"/>
              <w:gridCol w:w="1852"/>
              <w:gridCol w:w="1299"/>
              <w:gridCol w:w="1425"/>
              <w:gridCol w:w="1379"/>
              <w:gridCol w:w="1223"/>
            </w:tblGrid>
            <w:tr w14:paraId="611C22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7" w:hRule="atLeast"/>
              </w:trPr>
              <w:tc>
                <w:tcPr>
                  <w:tcW w:w="728" w:type="pct"/>
                  <w:tcBorders>
                    <w:tl2br w:val="nil"/>
                    <w:tr2bl w:val="nil"/>
                  </w:tcBorders>
                  <w:noWrap w:val="0"/>
                  <w:vAlign w:val="center"/>
                </w:tcPr>
                <w:p w14:paraId="631FC42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废水量</w:t>
                  </w:r>
                </w:p>
              </w:tc>
              <w:tc>
                <w:tcPr>
                  <w:tcW w:w="1102" w:type="pct"/>
                  <w:tcBorders>
                    <w:tl2br w:val="nil"/>
                    <w:tr2bl w:val="nil"/>
                  </w:tcBorders>
                  <w:noWrap w:val="0"/>
                  <w:vAlign w:val="center"/>
                </w:tcPr>
                <w:p w14:paraId="7C273BF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项目</w:t>
                  </w:r>
                </w:p>
              </w:tc>
              <w:tc>
                <w:tcPr>
                  <w:tcW w:w="773" w:type="pct"/>
                  <w:tcBorders>
                    <w:tl2br w:val="nil"/>
                    <w:tr2bl w:val="nil"/>
                  </w:tcBorders>
                  <w:noWrap w:val="0"/>
                  <w:vAlign w:val="center"/>
                </w:tcPr>
                <w:p w14:paraId="2A408DEF">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COD</w:t>
                  </w:r>
                  <w:r>
                    <w:rPr>
                      <w:rFonts w:hint="default" w:ascii="Times New Roman" w:hAnsi="Times New Roman" w:eastAsia="宋体" w:cs="Times New Roman"/>
                      <w:color w:val="auto"/>
                      <w:kern w:val="0"/>
                      <w:sz w:val="21"/>
                      <w:szCs w:val="20"/>
                      <w:vertAlign w:val="subscript"/>
                      <w:lang w:val="en-US" w:eastAsia="zh-CN" w:bidi="ar-SA"/>
                    </w:rPr>
                    <w:t>cr</w:t>
                  </w:r>
                </w:p>
              </w:tc>
              <w:tc>
                <w:tcPr>
                  <w:tcW w:w="848" w:type="pct"/>
                  <w:tcBorders>
                    <w:tl2br w:val="nil"/>
                    <w:tr2bl w:val="nil"/>
                  </w:tcBorders>
                  <w:noWrap w:val="0"/>
                  <w:vAlign w:val="center"/>
                </w:tcPr>
                <w:p w14:paraId="44DA17E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BOD</w:t>
                  </w:r>
                  <w:r>
                    <w:rPr>
                      <w:rFonts w:hint="default" w:ascii="Times New Roman" w:hAnsi="Times New Roman" w:eastAsia="宋体" w:cs="Times New Roman"/>
                      <w:color w:val="auto"/>
                      <w:kern w:val="0"/>
                      <w:sz w:val="21"/>
                      <w:szCs w:val="20"/>
                      <w:vertAlign w:val="subscript"/>
                      <w:lang w:val="en-US" w:eastAsia="zh-CN" w:bidi="ar-SA"/>
                    </w:rPr>
                    <w:t>5</w:t>
                  </w:r>
                </w:p>
              </w:tc>
              <w:tc>
                <w:tcPr>
                  <w:tcW w:w="820" w:type="pct"/>
                  <w:tcBorders>
                    <w:tl2br w:val="nil"/>
                    <w:tr2bl w:val="nil"/>
                  </w:tcBorders>
                  <w:noWrap w:val="0"/>
                  <w:vAlign w:val="center"/>
                </w:tcPr>
                <w:p w14:paraId="0F1B51C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SS</w:t>
                  </w:r>
                </w:p>
              </w:tc>
              <w:tc>
                <w:tcPr>
                  <w:tcW w:w="727" w:type="pct"/>
                  <w:tcBorders>
                    <w:tl2br w:val="nil"/>
                    <w:tr2bl w:val="nil"/>
                  </w:tcBorders>
                  <w:noWrap w:val="0"/>
                  <w:vAlign w:val="center"/>
                </w:tcPr>
                <w:p w14:paraId="71A7C3BF">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NH</w:t>
                  </w:r>
                  <w:r>
                    <w:rPr>
                      <w:rFonts w:hint="default" w:ascii="Times New Roman" w:hAnsi="Times New Roman" w:eastAsia="宋体" w:cs="Times New Roman"/>
                      <w:color w:val="auto"/>
                      <w:kern w:val="0"/>
                      <w:sz w:val="21"/>
                      <w:szCs w:val="20"/>
                      <w:vertAlign w:val="subscript"/>
                      <w:lang w:val="en-US" w:eastAsia="zh-CN" w:bidi="ar-SA"/>
                    </w:rPr>
                    <w:t>3</w:t>
                  </w:r>
                  <w:r>
                    <w:rPr>
                      <w:rFonts w:hint="default" w:ascii="Times New Roman" w:hAnsi="Times New Roman" w:eastAsia="宋体" w:cs="Times New Roman"/>
                      <w:color w:val="auto"/>
                      <w:kern w:val="0"/>
                      <w:sz w:val="21"/>
                      <w:szCs w:val="20"/>
                      <w:lang w:val="en-US" w:eastAsia="zh-CN" w:bidi="ar-SA"/>
                    </w:rPr>
                    <w:t>-N</w:t>
                  </w:r>
                </w:p>
              </w:tc>
            </w:tr>
            <w:tr w14:paraId="6E7D6F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7" w:hRule="atLeast"/>
              </w:trPr>
              <w:tc>
                <w:tcPr>
                  <w:tcW w:w="728" w:type="pct"/>
                  <w:vMerge w:val="restart"/>
                  <w:tcBorders>
                    <w:tl2br w:val="nil"/>
                    <w:tr2bl w:val="nil"/>
                  </w:tcBorders>
                  <w:noWrap w:val="0"/>
                  <w:vAlign w:val="center"/>
                </w:tcPr>
                <w:p w14:paraId="0FB4E37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综合废水</w:t>
                  </w:r>
                  <w:r>
                    <w:rPr>
                      <w:rFonts w:hint="default" w:ascii="Times New Roman" w:hAnsi="Times New Roman" w:eastAsia="宋体" w:cs="Times New Roman"/>
                      <w:color w:val="auto"/>
                      <w:kern w:val="0"/>
                      <w:sz w:val="21"/>
                      <w:szCs w:val="20"/>
                      <w:lang w:val="en-US" w:eastAsia="zh-CN" w:bidi="ar-SA"/>
                    </w:rPr>
                    <w:t>（</w:t>
                  </w:r>
                  <w:r>
                    <w:rPr>
                      <w:rFonts w:hint="eastAsia" w:cs="Times New Roman"/>
                      <w:color w:val="auto"/>
                      <w:kern w:val="0"/>
                      <w:sz w:val="21"/>
                      <w:szCs w:val="20"/>
                      <w:lang w:val="en-US" w:eastAsia="zh-CN" w:bidi="ar-SA"/>
                    </w:rPr>
                    <w:t>99.6</w:t>
                  </w:r>
                  <w:r>
                    <w:rPr>
                      <w:rFonts w:hint="default" w:ascii="Times New Roman" w:hAnsi="Times New Roman" w:eastAsia="宋体" w:cs="Times New Roman"/>
                      <w:color w:val="auto"/>
                      <w:kern w:val="0"/>
                      <w:sz w:val="21"/>
                      <w:szCs w:val="20"/>
                      <w:lang w:val="en-US" w:eastAsia="zh-CN" w:bidi="ar-SA"/>
                    </w:rPr>
                    <w:t>t/a）</w:t>
                  </w:r>
                </w:p>
              </w:tc>
              <w:tc>
                <w:tcPr>
                  <w:tcW w:w="1102" w:type="pct"/>
                  <w:tcBorders>
                    <w:tl2br w:val="nil"/>
                    <w:tr2bl w:val="nil"/>
                  </w:tcBorders>
                  <w:noWrap w:val="0"/>
                  <w:vAlign w:val="center"/>
                </w:tcPr>
                <w:p w14:paraId="55A406AF">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污染物产生浓度（mg/L）</w:t>
                  </w:r>
                </w:p>
              </w:tc>
              <w:tc>
                <w:tcPr>
                  <w:tcW w:w="773" w:type="pct"/>
                  <w:tcBorders>
                    <w:tl2br w:val="nil"/>
                    <w:tr2bl w:val="nil"/>
                  </w:tcBorders>
                  <w:noWrap w:val="0"/>
                  <w:vAlign w:val="center"/>
                </w:tcPr>
                <w:p w14:paraId="25424BB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236.95</w:t>
                  </w:r>
                </w:p>
              </w:tc>
              <w:tc>
                <w:tcPr>
                  <w:tcW w:w="848" w:type="pct"/>
                  <w:tcBorders>
                    <w:tl2br w:val="nil"/>
                    <w:tr2bl w:val="nil"/>
                  </w:tcBorders>
                  <w:noWrap w:val="0"/>
                  <w:vAlign w:val="center"/>
                </w:tcPr>
                <w:p w14:paraId="0AD997C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107.43</w:t>
                  </w:r>
                </w:p>
              </w:tc>
              <w:tc>
                <w:tcPr>
                  <w:tcW w:w="820" w:type="pct"/>
                  <w:tcBorders>
                    <w:tl2br w:val="nil"/>
                    <w:tr2bl w:val="nil"/>
                  </w:tcBorders>
                  <w:noWrap w:val="0"/>
                  <w:vAlign w:val="center"/>
                </w:tcPr>
                <w:p w14:paraId="0230E86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97.39</w:t>
                  </w:r>
                </w:p>
              </w:tc>
              <w:tc>
                <w:tcPr>
                  <w:tcW w:w="727" w:type="pct"/>
                  <w:tcBorders>
                    <w:tl2br w:val="nil"/>
                    <w:tr2bl w:val="nil"/>
                  </w:tcBorders>
                  <w:noWrap w:val="0"/>
                  <w:vAlign w:val="center"/>
                </w:tcPr>
                <w:p w14:paraId="40098FAF">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27.35</w:t>
                  </w:r>
                </w:p>
              </w:tc>
            </w:tr>
            <w:tr w14:paraId="46C947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7" w:hRule="atLeast"/>
              </w:trPr>
              <w:tc>
                <w:tcPr>
                  <w:tcW w:w="728" w:type="pct"/>
                  <w:vMerge w:val="continue"/>
                  <w:tcBorders>
                    <w:tl2br w:val="nil"/>
                    <w:tr2bl w:val="nil"/>
                  </w:tcBorders>
                  <w:noWrap w:val="0"/>
                  <w:vAlign w:val="center"/>
                </w:tcPr>
                <w:p w14:paraId="480A309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p>
              </w:tc>
              <w:tc>
                <w:tcPr>
                  <w:tcW w:w="1102" w:type="pct"/>
                  <w:tcBorders>
                    <w:tl2br w:val="nil"/>
                    <w:tr2bl w:val="nil"/>
                  </w:tcBorders>
                  <w:noWrap w:val="0"/>
                  <w:vAlign w:val="center"/>
                </w:tcPr>
                <w:p w14:paraId="752C0E9F">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污染物产生量（t/a）</w:t>
                  </w:r>
                </w:p>
              </w:tc>
              <w:tc>
                <w:tcPr>
                  <w:tcW w:w="773" w:type="pct"/>
                  <w:tcBorders>
                    <w:tl2br w:val="nil"/>
                    <w:tr2bl w:val="nil"/>
                  </w:tcBorders>
                  <w:noWrap w:val="0"/>
                  <w:vAlign w:val="center"/>
                </w:tcPr>
                <w:p w14:paraId="5102738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0.0236</w:t>
                  </w:r>
                </w:p>
              </w:tc>
              <w:tc>
                <w:tcPr>
                  <w:tcW w:w="848" w:type="pct"/>
                  <w:tcBorders>
                    <w:tl2br w:val="nil"/>
                    <w:tr2bl w:val="nil"/>
                  </w:tcBorders>
                  <w:noWrap w:val="0"/>
                  <w:vAlign w:val="center"/>
                </w:tcPr>
                <w:p w14:paraId="1D9E6D7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0.0107</w:t>
                  </w:r>
                </w:p>
              </w:tc>
              <w:tc>
                <w:tcPr>
                  <w:tcW w:w="820" w:type="pct"/>
                  <w:tcBorders>
                    <w:tl2br w:val="nil"/>
                    <w:tr2bl w:val="nil"/>
                  </w:tcBorders>
                  <w:noWrap w:val="0"/>
                  <w:vAlign w:val="center"/>
                </w:tcPr>
                <w:p w14:paraId="4244C4C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0.0097</w:t>
                  </w:r>
                </w:p>
              </w:tc>
              <w:tc>
                <w:tcPr>
                  <w:tcW w:w="727" w:type="pct"/>
                  <w:tcBorders>
                    <w:tl2br w:val="nil"/>
                    <w:tr2bl w:val="nil"/>
                  </w:tcBorders>
                  <w:noWrap w:val="0"/>
                  <w:vAlign w:val="center"/>
                </w:tcPr>
                <w:p w14:paraId="04E7043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0.002724</w:t>
                  </w:r>
                </w:p>
              </w:tc>
            </w:tr>
          </w:tbl>
          <w:p w14:paraId="23C9E472">
            <w:pPr>
              <w:keepNext w:val="0"/>
              <w:keepLines w:val="0"/>
              <w:widowControl/>
              <w:suppressLineNumbers w:val="0"/>
              <w:ind w:left="0" w:leftChars="0" w:firstLine="0" w:firstLineChars="0"/>
              <w:jc w:val="left"/>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4.</w:t>
            </w:r>
            <w:r>
              <w:rPr>
                <w:rFonts w:hint="eastAsia" w:ascii="Times New Roman" w:hAnsi="Times New Roman" w:eastAsia="宋体" w:cs="Times New Roman"/>
                <w:b/>
                <w:bCs/>
                <w:color w:val="auto"/>
                <w:kern w:val="2"/>
                <w:sz w:val="21"/>
                <w:szCs w:val="21"/>
                <w:lang w:val="en-US" w:eastAsia="zh-CN" w:bidi="ar-SA"/>
              </w:rPr>
              <w:t>1</w:t>
            </w:r>
            <w:r>
              <w:rPr>
                <w:rFonts w:hint="default" w:ascii="Times New Roman" w:hAnsi="Times New Roman" w:eastAsia="宋体" w:cs="Times New Roman"/>
                <w:b/>
                <w:bCs/>
                <w:color w:val="auto"/>
                <w:kern w:val="2"/>
                <w:sz w:val="21"/>
                <w:szCs w:val="21"/>
                <w:lang w:val="en-US" w:eastAsia="zh-CN" w:bidi="ar-SA"/>
              </w:rPr>
              <w:t>.</w:t>
            </w:r>
            <w:r>
              <w:rPr>
                <w:rFonts w:hint="eastAsia" w:ascii="Times New Roman" w:hAnsi="Times New Roman" w:eastAsia="宋体" w:cs="Times New Roman"/>
                <w:b/>
                <w:bCs/>
                <w:color w:val="auto"/>
                <w:kern w:val="2"/>
                <w:sz w:val="21"/>
                <w:szCs w:val="21"/>
                <w:lang w:val="en-US" w:eastAsia="zh-CN" w:bidi="ar-SA"/>
              </w:rPr>
              <w:t>1.1</w:t>
            </w:r>
            <w:r>
              <w:rPr>
                <w:rFonts w:hint="default" w:ascii="Times New Roman" w:hAnsi="Times New Roman" w:eastAsia="宋体" w:cs="Times New Roman"/>
                <w:b/>
                <w:bCs/>
                <w:color w:val="auto"/>
                <w:kern w:val="2"/>
                <w:sz w:val="21"/>
                <w:szCs w:val="21"/>
                <w:lang w:val="en-US" w:eastAsia="zh-CN" w:bidi="ar-SA"/>
              </w:rPr>
              <w:t xml:space="preserve"> </w:t>
            </w:r>
            <w:r>
              <w:rPr>
                <w:rFonts w:hint="eastAsia" w:ascii="Times New Roman" w:hAnsi="Times New Roman" w:eastAsia="宋体" w:cs="Times New Roman"/>
                <w:b/>
                <w:bCs/>
                <w:color w:val="auto"/>
                <w:kern w:val="2"/>
                <w:sz w:val="21"/>
                <w:szCs w:val="21"/>
                <w:lang w:val="en-US" w:eastAsia="zh-CN" w:bidi="ar-SA"/>
              </w:rPr>
              <w:t>废水监测要求</w:t>
            </w:r>
            <w:r>
              <w:rPr>
                <w:rFonts w:hint="default" w:ascii="Times New Roman" w:hAnsi="Times New Roman" w:eastAsia="宋体" w:cs="Times New Roman"/>
                <w:b/>
                <w:bCs/>
                <w:color w:val="auto"/>
                <w:kern w:val="2"/>
                <w:sz w:val="21"/>
                <w:szCs w:val="21"/>
                <w:lang w:val="en-US" w:eastAsia="zh-CN" w:bidi="ar-SA"/>
              </w:rPr>
              <w:t xml:space="preserve"> </w:t>
            </w:r>
          </w:p>
          <w:p w14:paraId="2C3C1868">
            <w:pPr>
              <w:pStyle w:val="238"/>
              <w:keepNext w:val="0"/>
              <w:keepLines w:val="0"/>
              <w:pageBreakBefore w:val="0"/>
              <w:widowControl w:val="0"/>
              <w:kinsoku/>
              <w:wordWrap/>
              <w:overflowPunct/>
              <w:topLinePunct w:val="0"/>
              <w:autoSpaceDE w:val="0"/>
              <w:autoSpaceDN w:val="0"/>
              <w:bidi w:val="0"/>
              <w:adjustRightInd w:val="0"/>
              <w:snapToGrid w:val="0"/>
              <w:spacing w:before="0" w:beforeLines="0" w:after="0" w:afterLines="0"/>
              <w:ind w:left="0" w:leftChars="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根据</w:t>
            </w:r>
            <w:r>
              <w:rPr>
                <w:rFonts w:hint="default" w:ascii="Times New Roman" w:hAnsi="Times New Roman" w:eastAsia="宋体" w:cs="Times New Roman"/>
                <w:color w:val="auto"/>
                <w:kern w:val="2"/>
                <w:sz w:val="24"/>
                <w:szCs w:val="24"/>
                <w:highlight w:val="none"/>
                <w:lang w:val="en-US" w:eastAsia="zh-CN" w:bidi="ar-SA"/>
              </w:rPr>
              <w:t>《排污单位自行监测技术指南总则》（HJ819-2017）</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中相关要求制定监测计划，监测内容及监测计划详见下表。</w:t>
            </w:r>
          </w:p>
          <w:p w14:paraId="57250AA4">
            <w:pPr>
              <w:pStyle w:val="7"/>
              <w:keepNext w:val="0"/>
              <w:keepLines/>
              <w:pageBreakBefore w:val="0"/>
              <w:widowControl w:val="0"/>
              <w:kinsoku/>
              <w:wordWrap/>
              <w:overflowPunct/>
              <w:topLinePunct w:val="0"/>
              <w:autoSpaceDE/>
              <w:autoSpaceDN/>
              <w:bidi w:val="0"/>
              <w:adjustRightInd w:val="0"/>
              <w:snapToGrid w:val="0"/>
              <w:spacing w:before="164" w:beforeLines="50" w:line="240" w:lineRule="auto"/>
              <w:ind w:firstLine="0" w:firstLineChars="0"/>
              <w:jc w:val="center"/>
              <w:textAlignment w:val="auto"/>
              <w:rPr>
                <w:rFonts w:hint="default" w:ascii="Times New Roman" w:hAnsi="Times New Roman" w:eastAsia="宋体" w:cs="Times New Roman"/>
                <w:b/>
                <w:bCs w:val="0"/>
                <w:color w:val="auto"/>
                <w:kern w:val="0"/>
                <w:sz w:val="24"/>
                <w:szCs w:val="20"/>
                <w:lang w:val="en-US" w:eastAsia="zh-CN" w:bidi="ar-SA"/>
              </w:rPr>
            </w:pPr>
            <w:r>
              <w:rPr>
                <w:rFonts w:hint="default" w:ascii="Times New Roman" w:hAnsi="Times New Roman" w:eastAsia="宋体" w:cs="Times New Roman"/>
                <w:b/>
                <w:bCs w:val="0"/>
                <w:color w:val="auto"/>
                <w:kern w:val="0"/>
                <w:sz w:val="24"/>
                <w:szCs w:val="20"/>
                <w:lang w:val="en-US" w:eastAsia="zh-CN" w:bidi="ar-SA"/>
              </w:rPr>
              <w:t>表</w:t>
            </w:r>
            <w:r>
              <w:rPr>
                <w:rFonts w:hint="eastAsia" w:ascii="Times New Roman" w:hAnsi="Times New Roman" w:eastAsia="宋体" w:cs="Times New Roman"/>
                <w:b/>
                <w:bCs w:val="0"/>
                <w:color w:val="auto"/>
                <w:kern w:val="0"/>
                <w:sz w:val="24"/>
                <w:szCs w:val="20"/>
                <w:lang w:val="en-US" w:eastAsia="zh-CN" w:bidi="ar-SA"/>
              </w:rPr>
              <w:t>4</w:t>
            </w:r>
            <w:r>
              <w:rPr>
                <w:rFonts w:hint="default" w:ascii="Times New Roman" w:hAnsi="Times New Roman" w:eastAsia="宋体" w:cs="Times New Roman"/>
                <w:b/>
                <w:bCs w:val="0"/>
                <w:color w:val="auto"/>
                <w:kern w:val="0"/>
                <w:sz w:val="24"/>
                <w:szCs w:val="20"/>
                <w:lang w:val="en-US" w:eastAsia="zh-CN" w:bidi="ar-SA"/>
              </w:rPr>
              <w:t>.</w:t>
            </w:r>
            <w:r>
              <w:rPr>
                <w:rFonts w:hint="eastAsia" w:ascii="Times New Roman" w:hAnsi="Times New Roman" w:eastAsia="宋体" w:cs="Times New Roman"/>
                <w:b/>
                <w:bCs w:val="0"/>
                <w:color w:val="auto"/>
                <w:kern w:val="0"/>
                <w:sz w:val="24"/>
                <w:szCs w:val="20"/>
                <w:lang w:val="en-US" w:eastAsia="zh-CN" w:bidi="ar-SA"/>
              </w:rPr>
              <w:t>1</w:t>
            </w:r>
            <w:r>
              <w:rPr>
                <w:rFonts w:hint="default" w:ascii="Times New Roman" w:hAnsi="Times New Roman" w:eastAsia="宋体" w:cs="Times New Roman"/>
                <w:b/>
                <w:bCs w:val="0"/>
                <w:color w:val="auto"/>
                <w:kern w:val="0"/>
                <w:sz w:val="24"/>
                <w:szCs w:val="20"/>
                <w:lang w:val="en-US" w:eastAsia="zh-CN" w:bidi="ar-SA"/>
              </w:rPr>
              <w:t>-</w:t>
            </w:r>
            <w:r>
              <w:rPr>
                <w:rFonts w:hint="eastAsia" w:ascii="Times New Roman" w:hAnsi="Times New Roman" w:eastAsia="宋体" w:cs="Times New Roman"/>
                <w:b/>
                <w:bCs w:val="0"/>
                <w:color w:val="auto"/>
                <w:kern w:val="0"/>
                <w:sz w:val="24"/>
                <w:szCs w:val="20"/>
                <w:lang w:val="en-US" w:eastAsia="zh-CN" w:bidi="ar-SA"/>
              </w:rPr>
              <w:t>4</w:t>
            </w:r>
            <w:r>
              <w:rPr>
                <w:rFonts w:hint="default" w:ascii="Times New Roman" w:hAnsi="Times New Roman" w:eastAsia="宋体" w:cs="Times New Roman"/>
                <w:b/>
                <w:bCs w:val="0"/>
                <w:color w:val="auto"/>
                <w:kern w:val="0"/>
                <w:sz w:val="24"/>
                <w:szCs w:val="20"/>
                <w:lang w:val="en-US" w:eastAsia="zh-CN" w:bidi="ar-SA"/>
              </w:rPr>
              <w:t>项目运营期</w:t>
            </w:r>
            <w:r>
              <w:rPr>
                <w:rFonts w:hint="eastAsia" w:ascii="Times New Roman" w:hAnsi="Times New Roman" w:eastAsia="宋体" w:cs="Times New Roman"/>
                <w:b/>
                <w:bCs w:val="0"/>
                <w:color w:val="auto"/>
                <w:kern w:val="0"/>
                <w:sz w:val="24"/>
                <w:szCs w:val="20"/>
                <w:lang w:val="en-US" w:eastAsia="zh-CN" w:bidi="ar-SA"/>
              </w:rPr>
              <w:t>废水</w:t>
            </w:r>
            <w:r>
              <w:rPr>
                <w:rFonts w:hint="default" w:ascii="Times New Roman" w:hAnsi="Times New Roman" w:eastAsia="宋体" w:cs="Times New Roman"/>
                <w:b/>
                <w:bCs w:val="0"/>
                <w:color w:val="auto"/>
                <w:kern w:val="0"/>
                <w:sz w:val="24"/>
                <w:szCs w:val="20"/>
                <w:lang w:val="en-US" w:eastAsia="zh-CN" w:bidi="ar-SA"/>
              </w:rPr>
              <w:t>污染物监测内容及计划一览表</w:t>
            </w:r>
          </w:p>
          <w:tbl>
            <w:tblPr>
              <w:tblStyle w:val="39"/>
              <w:tblW w:w="8405"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2"/>
              <w:gridCol w:w="3100"/>
              <w:gridCol w:w="2101"/>
              <w:gridCol w:w="2102"/>
            </w:tblGrid>
            <w:tr w14:paraId="2F5DD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2" w:type="dxa"/>
                  <w:tcBorders>
                    <w:top w:val="single" w:color="auto" w:sz="12" w:space="0"/>
                    <w:left w:val="nil"/>
                  </w:tcBorders>
                </w:tcPr>
                <w:p w14:paraId="534911E7">
                  <w:pPr>
                    <w:pStyle w:val="238"/>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环境因素</w:t>
                  </w:r>
                </w:p>
              </w:tc>
              <w:tc>
                <w:tcPr>
                  <w:tcW w:w="3100" w:type="dxa"/>
                  <w:tcBorders>
                    <w:top w:val="single" w:color="auto" w:sz="12" w:space="0"/>
                  </w:tcBorders>
                </w:tcPr>
                <w:p w14:paraId="088986F6">
                  <w:pPr>
                    <w:pStyle w:val="238"/>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监测项目</w:t>
                  </w:r>
                </w:p>
              </w:tc>
              <w:tc>
                <w:tcPr>
                  <w:tcW w:w="2101" w:type="dxa"/>
                  <w:tcBorders>
                    <w:top w:val="single" w:color="auto" w:sz="12" w:space="0"/>
                  </w:tcBorders>
                </w:tcPr>
                <w:p w14:paraId="6F170EA4">
                  <w:pPr>
                    <w:pStyle w:val="238"/>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监测频次</w:t>
                  </w:r>
                </w:p>
              </w:tc>
              <w:tc>
                <w:tcPr>
                  <w:tcW w:w="2102" w:type="dxa"/>
                  <w:tcBorders>
                    <w:top w:val="single" w:color="auto" w:sz="12" w:space="0"/>
                    <w:right w:val="nil"/>
                  </w:tcBorders>
                </w:tcPr>
                <w:p w14:paraId="74E933E5">
                  <w:pPr>
                    <w:pStyle w:val="238"/>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监测点</w:t>
                  </w:r>
                </w:p>
              </w:tc>
            </w:tr>
            <w:tr w14:paraId="7BD23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9" w:hRule="atLeast"/>
              </w:trPr>
              <w:tc>
                <w:tcPr>
                  <w:tcW w:w="1102" w:type="dxa"/>
                  <w:tcBorders>
                    <w:left w:val="nil"/>
                    <w:bottom w:val="single" w:color="auto" w:sz="12" w:space="0"/>
                  </w:tcBorders>
                  <w:vAlign w:val="center"/>
                </w:tcPr>
                <w:p w14:paraId="67C8EAA4">
                  <w:pPr>
                    <w:pStyle w:val="238"/>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生产废水</w:t>
                  </w:r>
                </w:p>
              </w:tc>
              <w:tc>
                <w:tcPr>
                  <w:tcW w:w="3100" w:type="dxa"/>
                  <w:tcBorders>
                    <w:bottom w:val="single" w:color="auto" w:sz="12" w:space="0"/>
                  </w:tcBorders>
                  <w:vAlign w:val="center"/>
                </w:tcPr>
                <w:p w14:paraId="0187A7F1">
                  <w:pPr>
                    <w:pStyle w:val="238"/>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悬浮物、五日生化需氧量、化学需氧量、氨氮</w:t>
                  </w:r>
                </w:p>
              </w:tc>
              <w:tc>
                <w:tcPr>
                  <w:tcW w:w="2101" w:type="dxa"/>
                  <w:tcBorders>
                    <w:bottom w:val="single" w:color="auto" w:sz="12" w:space="0"/>
                  </w:tcBorders>
                  <w:vAlign w:val="center"/>
                </w:tcPr>
                <w:p w14:paraId="4ABD24A6">
                  <w:pPr>
                    <w:pStyle w:val="238"/>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1次/</w:t>
                  </w:r>
                  <w:r>
                    <w:rPr>
                      <w:rFonts w:hint="eastAsia" w:ascii="Times New Roman" w:hAnsi="Times New Roman" w:eastAsia="宋体" w:cs="Times New Roman"/>
                      <w:color w:val="auto"/>
                      <w:sz w:val="21"/>
                      <w:szCs w:val="21"/>
                      <w:highlight w:val="none"/>
                      <w:lang w:val="en-US" w:eastAsia="zh-CN"/>
                    </w:rPr>
                    <w:t>季度</w:t>
                  </w:r>
                </w:p>
              </w:tc>
              <w:tc>
                <w:tcPr>
                  <w:tcW w:w="2102" w:type="dxa"/>
                  <w:tcBorders>
                    <w:bottom w:val="single" w:color="auto" w:sz="12" w:space="0"/>
                    <w:right w:val="nil"/>
                  </w:tcBorders>
                  <w:vAlign w:val="center"/>
                </w:tcPr>
                <w:p w14:paraId="2F264454">
                  <w:pPr>
                    <w:pStyle w:val="238"/>
                    <w:keepNext w:val="0"/>
                    <w:keepLines w:val="0"/>
                    <w:pageBreakBefore w:val="0"/>
                    <w:widowControl w:val="0"/>
                    <w:kinsoku/>
                    <w:wordWrap/>
                    <w:overflowPunct/>
                    <w:topLinePunct w:val="0"/>
                    <w:autoSpaceDE w:val="0"/>
                    <w:autoSpaceDN w:val="0"/>
                    <w:bidi w:val="0"/>
                    <w:adjustRightInd w:val="0"/>
                    <w:snapToGrid w:val="0"/>
                    <w:spacing w:before="0" w:beforeLines="0" w:after="0" w:afterLines="0"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生产废水排放口</w:t>
                  </w:r>
                </w:p>
              </w:tc>
            </w:tr>
          </w:tbl>
          <w:p w14:paraId="5071FC9F">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4.1.2运营期水环境影响及污染防治措施可行性分析</w:t>
            </w:r>
          </w:p>
          <w:p w14:paraId="44897137">
            <w:pPr>
              <w:pStyle w:val="5"/>
              <w:bidi w:val="0"/>
              <w:rPr>
                <w:rFonts w:hint="default" w:ascii="Times New Roman" w:hAnsi="Times New Roman"/>
                <w:color w:val="auto"/>
                <w:lang w:val="en-US" w:eastAsia="zh-CN"/>
              </w:rPr>
            </w:pPr>
            <w:r>
              <w:rPr>
                <w:rFonts w:hint="default" w:ascii="Times New Roman" w:hAnsi="Times New Roman"/>
                <w:color w:val="auto"/>
                <w:lang w:val="en-US" w:eastAsia="zh-CN"/>
              </w:rPr>
              <w:t>（1）化粪池治理措施可行性分析</w:t>
            </w:r>
          </w:p>
          <w:p w14:paraId="0F8F3F4B">
            <w:pPr>
              <w:pStyle w:val="5"/>
              <w:bidi w:val="0"/>
              <w:rPr>
                <w:rFonts w:hint="default" w:ascii="Times New Roman" w:hAnsi="Times New Roman"/>
                <w:color w:val="auto"/>
                <w:lang w:val="en-US" w:eastAsia="zh-CN"/>
              </w:rPr>
            </w:pPr>
            <w:r>
              <w:rPr>
                <w:rFonts w:hint="default" w:ascii="Times New Roman" w:hAnsi="Times New Roman"/>
                <w:color w:val="auto"/>
                <w:lang w:val="en-US" w:eastAsia="zh-CN"/>
              </w:rPr>
              <w:t>三级化粪池是化粪池的一种，由一级池中部通过管道上弯转入下一级池中进行二次净化，再由二次净化后的粪水再导入下一级再次净化，这样经过三次</w:t>
            </w:r>
            <w:r>
              <w:rPr>
                <w:rFonts w:hint="eastAsia" w:ascii="Times New Roman" w:hAnsi="Times New Roman"/>
                <w:color w:val="auto"/>
                <w:lang w:val="en-US" w:eastAsia="zh-CN"/>
              </w:rPr>
              <w:t>净化</w:t>
            </w:r>
            <w:r>
              <w:rPr>
                <w:rFonts w:hint="default" w:ascii="Times New Roman" w:hAnsi="Times New Roman"/>
                <w:color w:val="auto"/>
                <w:lang w:val="en-US" w:eastAsia="zh-CN"/>
              </w:rPr>
              <w:t>后</w:t>
            </w:r>
            <w:r>
              <w:rPr>
                <w:rFonts w:hint="eastAsia" w:ascii="Times New Roman" w:hAnsi="Times New Roman"/>
                <w:color w:val="auto"/>
                <w:lang w:val="en-US" w:eastAsia="zh-CN"/>
              </w:rPr>
              <w:t>就已</w:t>
            </w:r>
            <w:r>
              <w:rPr>
                <w:rFonts w:hint="default" w:ascii="Times New Roman" w:hAnsi="Times New Roman"/>
                <w:color w:val="auto"/>
                <w:lang w:val="en-US" w:eastAsia="zh-CN"/>
              </w:rPr>
              <w:t>全部化尽为水。</w:t>
            </w:r>
          </w:p>
          <w:p w14:paraId="4A700C40">
            <w:pPr>
              <w:pStyle w:val="5"/>
              <w:bidi w:val="0"/>
              <w:rPr>
                <w:rFonts w:hint="default" w:ascii="Times New Roman" w:hAnsi="Times New Roman"/>
                <w:color w:val="auto"/>
                <w:lang w:val="en-US" w:eastAsia="zh-CN"/>
              </w:rPr>
            </w:pPr>
            <w:r>
              <w:rPr>
                <w:rFonts w:hint="default" w:ascii="Times New Roman" w:hAnsi="Times New Roman"/>
                <w:color w:val="auto"/>
                <w:lang w:val="en-US" w:eastAsia="zh-CN"/>
              </w:rPr>
              <w:t>三级化粪池原理：新鲜粪便由进粪口进入第一池，池内粪便开始发酵分解、因比重不同粪液可自然分为三层，上层为糊状粪皮，下层为块状或颗状粪渣，中层为比较澄清的粪液。在上层粪皮和下层粪渣中含细菌和寄生虫卵最多，中层含虫卵最少，初步发酵的中层粪液经过粪管溢流至第二池，而将大部分未经充分发酵的粪皮和粪渣阻留在第一池内继续发酵。流入第二池的粪液进一步发酵分解，虫卵继续下沉，病原体逐渐死亡，粪液得到进一步无害化，产生的粪皮和粪厚度比第一池显著减少。流入第三池的粪液一般已经腐熟，其中病菌和寄生虫卵已基本杀灭。第三池功能主要起储存已基本无害化的粪液作用</w:t>
            </w:r>
            <w:r>
              <w:rPr>
                <w:rFonts w:hint="eastAsia" w:ascii="Times New Roman" w:hAnsi="Times New Roman"/>
                <w:color w:val="auto"/>
                <w:lang w:val="en-US" w:eastAsia="zh-CN"/>
              </w:rPr>
              <w:t>故化粪池治理措施可行。</w:t>
            </w:r>
          </w:p>
          <w:p w14:paraId="1EB3F4C8">
            <w:pPr>
              <w:pStyle w:val="5"/>
              <w:bidi w:val="0"/>
              <w:rPr>
                <w:rFonts w:hint="default" w:ascii="Times New Roman" w:hAnsi="Times New Roman"/>
                <w:color w:val="auto"/>
                <w:lang w:val="en-US" w:eastAsia="zh-CN"/>
              </w:rPr>
            </w:pPr>
            <w:r>
              <w:rPr>
                <w:rFonts w:hint="default" w:ascii="Times New Roman" w:hAnsi="Times New Roman" w:eastAsia="宋体" w:cs="宋体"/>
                <w:color w:val="auto"/>
                <w:kern w:val="2"/>
                <w:szCs w:val="24"/>
                <w:lang w:val="en-US" w:eastAsia="zh-CN" w:bidi="ar-SA"/>
              </w:rPr>
              <w:t>（</w:t>
            </w:r>
            <w:r>
              <w:rPr>
                <w:rFonts w:hint="eastAsia" w:ascii="Times New Roman" w:hAnsi="Times New Roman"/>
                <w:color w:val="auto"/>
                <w:lang w:val="en-US" w:eastAsia="zh-CN"/>
              </w:rPr>
              <w:t>2</w:t>
            </w:r>
            <w:r>
              <w:rPr>
                <w:rFonts w:hint="default" w:ascii="Times New Roman" w:hAnsi="Times New Roman"/>
                <w:color w:val="auto"/>
                <w:lang w:val="en-US" w:eastAsia="zh-CN"/>
              </w:rPr>
              <w:t>）依托集中污水处理厂的可行性分析</w:t>
            </w:r>
          </w:p>
          <w:p w14:paraId="07703364">
            <w:pPr>
              <w:pStyle w:val="5"/>
              <w:bidi w:val="0"/>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项目</w:t>
            </w:r>
            <w:r>
              <w:rPr>
                <w:rFonts w:hint="eastAsia" w:ascii="Times New Roman" w:hAnsi="Times New Roman" w:eastAsia="宋体" w:cs="宋体"/>
                <w:color w:val="auto"/>
                <w:kern w:val="2"/>
                <w:sz w:val="24"/>
                <w:szCs w:val="24"/>
                <w:lang w:val="en-US" w:eastAsia="zh-CN" w:bidi="ar-SA"/>
              </w:rPr>
              <w:t>生活污水</w:t>
            </w:r>
            <w:r>
              <w:rPr>
                <w:rFonts w:hint="default" w:ascii="Times New Roman" w:hAnsi="Times New Roman" w:eastAsia="宋体" w:cs="宋体"/>
                <w:color w:val="auto"/>
                <w:kern w:val="2"/>
                <w:sz w:val="24"/>
                <w:szCs w:val="24"/>
                <w:lang w:val="en-US" w:eastAsia="zh-CN" w:bidi="ar-SA"/>
              </w:rPr>
              <w:t>经处理达标后排入市政污水管网，送往</w:t>
            </w:r>
            <w:r>
              <w:rPr>
                <w:rFonts w:hint="eastAsia" w:ascii="Times New Roman" w:hAnsi="Times New Roman" w:eastAsia="宋体" w:cs="宋体"/>
                <w:color w:val="auto"/>
                <w:kern w:val="2"/>
                <w:sz w:val="24"/>
                <w:szCs w:val="24"/>
                <w:lang w:val="en-US" w:eastAsia="zh-CN" w:bidi="ar-SA"/>
              </w:rPr>
              <w:t>闽侯县城关</w:t>
            </w:r>
            <w:r>
              <w:rPr>
                <w:rFonts w:hint="default" w:ascii="Times New Roman" w:hAnsi="Times New Roman" w:eastAsia="宋体" w:cs="宋体"/>
                <w:color w:val="auto"/>
                <w:kern w:val="2"/>
                <w:sz w:val="24"/>
                <w:szCs w:val="24"/>
                <w:lang w:val="en-US" w:eastAsia="zh-CN" w:bidi="ar-SA"/>
              </w:rPr>
              <w:t>污水处理厂集中处理，属于间接排放，根据《建设项目环境影响报告表编制技术指南（污染影响类）（试行）》（环办环评〔2020〕33号）要求，废水间接排放的建设项目应从处理能力、处理工艺、设计进出水水质等方面，分析依托集中污水处理厂的可行性。</w:t>
            </w:r>
          </w:p>
          <w:p w14:paraId="64F2DEA2">
            <w:pPr>
              <w:pStyle w:val="5"/>
              <w:bidi w:val="0"/>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①闽侯县城关污水处理厂基本情况</w:t>
            </w:r>
          </w:p>
          <w:p w14:paraId="19CA81C6">
            <w:pPr>
              <w:pStyle w:val="5"/>
              <w:bidi w:val="0"/>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闽侯县城关污水处理厂位于福州市闽侯县甘蔗街道洽浦村，其中一期工程规模1.5万m</w:t>
            </w:r>
            <w:r>
              <w:rPr>
                <w:rFonts w:hint="eastAsia" w:ascii="Times New Roman" w:hAnsi="Times New Roman" w:eastAsia="宋体" w:cs="宋体"/>
                <w:color w:val="auto"/>
                <w:kern w:val="2"/>
                <w:sz w:val="24"/>
                <w:szCs w:val="24"/>
                <w:vertAlign w:val="superscript"/>
                <w:lang w:val="en-US" w:eastAsia="zh-CN" w:bidi="ar-SA"/>
              </w:rPr>
              <w:t>3</w:t>
            </w:r>
            <w:r>
              <w:rPr>
                <w:rFonts w:hint="eastAsia" w:ascii="Times New Roman" w:hAnsi="Times New Roman" w:eastAsia="宋体" w:cs="宋体"/>
                <w:color w:val="auto"/>
                <w:kern w:val="2"/>
                <w:sz w:val="24"/>
                <w:szCs w:val="24"/>
                <w:lang w:val="en-US" w:eastAsia="zh-CN" w:bidi="ar-SA"/>
              </w:rPr>
              <w:t>/d，二期工程规模1.5万m</w:t>
            </w:r>
            <w:r>
              <w:rPr>
                <w:rFonts w:hint="eastAsia" w:ascii="Times New Roman" w:hAnsi="Times New Roman" w:eastAsia="宋体" w:cs="宋体"/>
                <w:color w:val="auto"/>
                <w:kern w:val="2"/>
                <w:sz w:val="24"/>
                <w:szCs w:val="24"/>
                <w:vertAlign w:val="superscript"/>
                <w:lang w:val="en-US" w:eastAsia="zh-CN" w:bidi="ar-SA"/>
              </w:rPr>
              <w:t>3</w:t>
            </w:r>
            <w:r>
              <w:rPr>
                <w:rFonts w:hint="eastAsia" w:ascii="Times New Roman" w:hAnsi="Times New Roman" w:eastAsia="宋体" w:cs="宋体"/>
                <w:color w:val="auto"/>
                <w:kern w:val="2"/>
                <w:sz w:val="24"/>
                <w:szCs w:val="24"/>
                <w:lang w:val="en-US" w:eastAsia="zh-CN" w:bidi="ar-SA"/>
              </w:rPr>
              <w:t>/d，三期工程规模2.5万m</w:t>
            </w:r>
            <w:r>
              <w:rPr>
                <w:rFonts w:hint="eastAsia" w:ascii="Times New Roman" w:hAnsi="Times New Roman" w:eastAsia="宋体" w:cs="宋体"/>
                <w:color w:val="auto"/>
                <w:kern w:val="2"/>
                <w:sz w:val="24"/>
                <w:szCs w:val="24"/>
                <w:vertAlign w:val="superscript"/>
                <w:lang w:val="en-US" w:eastAsia="zh-CN" w:bidi="ar-SA"/>
              </w:rPr>
              <w:t>3</w:t>
            </w:r>
            <w:r>
              <w:rPr>
                <w:rFonts w:hint="eastAsia" w:ascii="Times New Roman" w:hAnsi="Times New Roman" w:eastAsia="宋体" w:cs="宋体"/>
                <w:color w:val="auto"/>
                <w:kern w:val="2"/>
                <w:sz w:val="24"/>
                <w:szCs w:val="24"/>
                <w:lang w:val="en-US" w:eastAsia="zh-CN" w:bidi="ar-SA"/>
              </w:rPr>
              <w:t>/d，总处理能力达到5.5万m</w:t>
            </w:r>
            <w:r>
              <w:rPr>
                <w:rFonts w:hint="eastAsia" w:ascii="Times New Roman" w:hAnsi="Times New Roman" w:eastAsia="宋体" w:cs="宋体"/>
                <w:color w:val="auto"/>
                <w:kern w:val="2"/>
                <w:sz w:val="24"/>
                <w:szCs w:val="24"/>
                <w:vertAlign w:val="superscript"/>
                <w:lang w:val="en-US" w:eastAsia="zh-CN" w:bidi="ar-SA"/>
              </w:rPr>
              <w:t>3</w:t>
            </w:r>
            <w:r>
              <w:rPr>
                <w:rFonts w:hint="eastAsia" w:ascii="Times New Roman" w:hAnsi="Times New Roman" w:eastAsia="宋体" w:cs="宋体"/>
                <w:color w:val="auto"/>
                <w:kern w:val="2"/>
                <w:sz w:val="24"/>
                <w:szCs w:val="24"/>
                <w:lang w:val="en-US" w:eastAsia="zh-CN" w:bidi="ar-SA"/>
              </w:rPr>
              <w:t>/d，城关污水处理厂尾水经处理达到《城镇污水处理厂污染物排放标准》（GB18918-2002）的一级A标准后排入安平浦。</w:t>
            </w:r>
          </w:p>
          <w:p w14:paraId="7DA10D4C">
            <w:pPr>
              <w:pStyle w:val="5"/>
              <w:bidi w:val="0"/>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I、进出水水质标准</w:t>
            </w:r>
          </w:p>
          <w:p w14:paraId="16D339EE">
            <w:pPr>
              <w:pStyle w:val="5"/>
              <w:bidi w:val="0"/>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根据《闽侯县城关污水处理厂三期扩建工程环境影响报告表》，闽侯县城关污水处理厂进出水水质标准见表4.1-3。</w:t>
            </w:r>
          </w:p>
          <w:p w14:paraId="570CC0FF">
            <w:pPr>
              <w:pStyle w:val="232"/>
              <w:bidi w:val="0"/>
              <w:rPr>
                <w:rFonts w:hint="eastAsia"/>
                <w:color w:val="auto"/>
                <w:lang w:val="en-US" w:eastAsia="zh-CN"/>
              </w:rPr>
            </w:pPr>
            <w:r>
              <w:rPr>
                <w:rFonts w:hint="eastAsia"/>
                <w:color w:val="auto"/>
                <w:lang w:val="en-US" w:eastAsia="zh-CN"/>
              </w:rPr>
              <w:t>表4.1-3闽侯县城关污水处理厂进出水水质标准（单位：mg/L）</w:t>
            </w:r>
          </w:p>
          <w:tbl>
            <w:tblPr>
              <w:tblStyle w:val="38"/>
              <w:tblW w:w="5000" w:type="pct"/>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168"/>
              <w:gridCol w:w="1208"/>
              <w:gridCol w:w="1228"/>
              <w:gridCol w:w="1267"/>
              <w:gridCol w:w="1383"/>
              <w:gridCol w:w="1189"/>
              <w:gridCol w:w="962"/>
            </w:tblGrid>
            <w:tr w14:paraId="799DF5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8" w:hRule="atLeast"/>
              </w:trPr>
              <w:tc>
                <w:tcPr>
                  <w:tcW w:w="694" w:type="pct"/>
                  <w:tcBorders>
                    <w:tl2br w:val="nil"/>
                    <w:tr2bl w:val="nil"/>
                  </w:tcBorders>
                  <w:noWrap w:val="0"/>
                  <w:vAlign w:val="center"/>
                </w:tcPr>
                <w:p w14:paraId="3756F1E8">
                  <w:pPr>
                    <w:pStyle w:val="227"/>
                    <w:bidi w:val="0"/>
                    <w:rPr>
                      <w:rFonts w:hint="default"/>
                      <w:color w:val="auto"/>
                      <w:lang w:val="en-US" w:eastAsia="zh-CN"/>
                    </w:rPr>
                  </w:pPr>
                  <w:r>
                    <w:rPr>
                      <w:rFonts w:hint="default"/>
                      <w:color w:val="auto"/>
                      <w:lang w:val="en-US" w:eastAsia="zh-CN"/>
                    </w:rPr>
                    <w:t>水质指标</w:t>
                  </w:r>
                </w:p>
              </w:tc>
              <w:tc>
                <w:tcPr>
                  <w:tcW w:w="718" w:type="pct"/>
                  <w:tcBorders>
                    <w:tl2br w:val="nil"/>
                    <w:tr2bl w:val="nil"/>
                  </w:tcBorders>
                  <w:noWrap w:val="0"/>
                  <w:vAlign w:val="center"/>
                </w:tcPr>
                <w:p w14:paraId="63CA2EB6">
                  <w:pPr>
                    <w:pStyle w:val="227"/>
                    <w:bidi w:val="0"/>
                    <w:rPr>
                      <w:rFonts w:hint="default"/>
                      <w:color w:val="auto"/>
                      <w:lang w:val="en-US" w:eastAsia="zh-CN"/>
                    </w:rPr>
                  </w:pPr>
                  <w:r>
                    <w:rPr>
                      <w:rFonts w:hint="default"/>
                      <w:color w:val="auto"/>
                      <w:lang w:val="en-US" w:eastAsia="zh-CN"/>
                    </w:rPr>
                    <w:t>COD</w:t>
                  </w:r>
                </w:p>
              </w:tc>
              <w:tc>
                <w:tcPr>
                  <w:tcW w:w="730" w:type="pct"/>
                  <w:tcBorders>
                    <w:tl2br w:val="nil"/>
                    <w:tr2bl w:val="nil"/>
                  </w:tcBorders>
                  <w:noWrap w:val="0"/>
                  <w:vAlign w:val="center"/>
                </w:tcPr>
                <w:p w14:paraId="11C994DA">
                  <w:pPr>
                    <w:pStyle w:val="227"/>
                    <w:bidi w:val="0"/>
                    <w:rPr>
                      <w:rFonts w:hint="default"/>
                      <w:color w:val="auto"/>
                    </w:rPr>
                  </w:pPr>
                  <w:r>
                    <w:rPr>
                      <w:rFonts w:hint="default"/>
                      <w:color w:val="auto"/>
                      <w:lang w:val="en-US" w:eastAsia="zh-CN"/>
                    </w:rPr>
                    <w:t>BOD</w:t>
                  </w:r>
                  <w:r>
                    <w:rPr>
                      <w:rFonts w:hint="default"/>
                      <w:color w:val="auto"/>
                      <w:vertAlign w:val="subscript"/>
                      <w:lang w:val="en-US" w:eastAsia="zh-CN"/>
                    </w:rPr>
                    <w:t>5</w:t>
                  </w:r>
                </w:p>
              </w:tc>
              <w:tc>
                <w:tcPr>
                  <w:tcW w:w="753" w:type="pct"/>
                  <w:tcBorders>
                    <w:tl2br w:val="nil"/>
                    <w:tr2bl w:val="nil"/>
                  </w:tcBorders>
                  <w:noWrap w:val="0"/>
                  <w:vAlign w:val="center"/>
                </w:tcPr>
                <w:p w14:paraId="495B78F9">
                  <w:pPr>
                    <w:pStyle w:val="227"/>
                    <w:bidi w:val="0"/>
                    <w:rPr>
                      <w:rFonts w:hint="default"/>
                      <w:color w:val="auto"/>
                    </w:rPr>
                  </w:pPr>
                  <w:r>
                    <w:rPr>
                      <w:rFonts w:hint="default"/>
                      <w:color w:val="auto"/>
                      <w:lang w:val="en-US" w:eastAsia="zh-CN"/>
                    </w:rPr>
                    <w:t>SS</w:t>
                  </w:r>
                </w:p>
              </w:tc>
              <w:tc>
                <w:tcPr>
                  <w:tcW w:w="822" w:type="pct"/>
                  <w:tcBorders>
                    <w:tl2br w:val="nil"/>
                    <w:tr2bl w:val="nil"/>
                  </w:tcBorders>
                  <w:noWrap w:val="0"/>
                  <w:vAlign w:val="center"/>
                </w:tcPr>
                <w:p w14:paraId="3D41CD0F">
                  <w:pPr>
                    <w:pStyle w:val="227"/>
                    <w:bidi w:val="0"/>
                    <w:rPr>
                      <w:rFonts w:hint="default"/>
                      <w:color w:val="auto"/>
                    </w:rPr>
                  </w:pPr>
                  <w:r>
                    <w:rPr>
                      <w:rFonts w:hint="default"/>
                      <w:color w:val="auto"/>
                      <w:lang w:val="en-US" w:eastAsia="zh-CN"/>
                    </w:rPr>
                    <w:t>NH</w:t>
                  </w:r>
                  <w:r>
                    <w:rPr>
                      <w:rFonts w:hint="default"/>
                      <w:color w:val="auto"/>
                      <w:vertAlign w:val="subscript"/>
                      <w:lang w:val="en-US" w:eastAsia="zh-CN"/>
                    </w:rPr>
                    <w:t>3</w:t>
                  </w:r>
                  <w:r>
                    <w:rPr>
                      <w:rFonts w:hint="default"/>
                      <w:color w:val="auto"/>
                      <w:lang w:val="en-US" w:eastAsia="zh-CN"/>
                    </w:rPr>
                    <w:t>-N</w:t>
                  </w:r>
                </w:p>
              </w:tc>
              <w:tc>
                <w:tcPr>
                  <w:tcW w:w="707" w:type="pct"/>
                  <w:tcBorders>
                    <w:tl2br w:val="nil"/>
                    <w:tr2bl w:val="nil"/>
                  </w:tcBorders>
                  <w:noWrap w:val="0"/>
                  <w:vAlign w:val="center"/>
                </w:tcPr>
                <w:p w14:paraId="4D9ED73B">
                  <w:pPr>
                    <w:pStyle w:val="227"/>
                    <w:bidi w:val="0"/>
                    <w:rPr>
                      <w:rFonts w:hint="default"/>
                      <w:color w:val="auto"/>
                      <w:lang w:val="en-US" w:eastAsia="zh-CN"/>
                    </w:rPr>
                  </w:pPr>
                  <w:r>
                    <w:rPr>
                      <w:rFonts w:hint="default"/>
                      <w:color w:val="auto"/>
                      <w:lang w:val="en-US" w:eastAsia="zh-CN"/>
                    </w:rPr>
                    <w:t>TN</w:t>
                  </w:r>
                </w:p>
              </w:tc>
              <w:tc>
                <w:tcPr>
                  <w:tcW w:w="572" w:type="pct"/>
                  <w:tcBorders>
                    <w:tl2br w:val="nil"/>
                    <w:tr2bl w:val="nil"/>
                  </w:tcBorders>
                  <w:noWrap w:val="0"/>
                  <w:vAlign w:val="center"/>
                </w:tcPr>
                <w:p w14:paraId="5CF4B6B4">
                  <w:pPr>
                    <w:pStyle w:val="227"/>
                    <w:bidi w:val="0"/>
                    <w:rPr>
                      <w:rFonts w:hint="default"/>
                      <w:color w:val="auto"/>
                      <w:lang w:val="en-US" w:eastAsia="zh-CN"/>
                    </w:rPr>
                  </w:pPr>
                  <w:r>
                    <w:rPr>
                      <w:rFonts w:hint="default"/>
                      <w:color w:val="auto"/>
                      <w:lang w:val="en-US" w:eastAsia="zh-CN"/>
                    </w:rPr>
                    <w:t>TP</w:t>
                  </w:r>
                </w:p>
              </w:tc>
            </w:tr>
            <w:tr w14:paraId="1FCDA9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8" w:hRule="atLeast"/>
              </w:trPr>
              <w:tc>
                <w:tcPr>
                  <w:tcW w:w="694" w:type="pct"/>
                  <w:tcBorders>
                    <w:tl2br w:val="nil"/>
                    <w:tr2bl w:val="nil"/>
                  </w:tcBorders>
                  <w:noWrap w:val="0"/>
                  <w:vAlign w:val="center"/>
                </w:tcPr>
                <w:p w14:paraId="216936A2">
                  <w:pPr>
                    <w:pStyle w:val="227"/>
                    <w:bidi w:val="0"/>
                    <w:rPr>
                      <w:rFonts w:hint="default"/>
                      <w:color w:val="auto"/>
                      <w:lang w:val="en-US" w:eastAsia="zh-CN"/>
                    </w:rPr>
                  </w:pPr>
                  <w:r>
                    <w:rPr>
                      <w:rFonts w:hint="default"/>
                      <w:color w:val="auto"/>
                      <w:lang w:val="en-US" w:eastAsia="zh-CN"/>
                    </w:rPr>
                    <w:t>进水水质</w:t>
                  </w:r>
                </w:p>
              </w:tc>
              <w:tc>
                <w:tcPr>
                  <w:tcW w:w="718" w:type="pct"/>
                  <w:tcBorders>
                    <w:tl2br w:val="nil"/>
                    <w:tr2bl w:val="nil"/>
                  </w:tcBorders>
                  <w:noWrap w:val="0"/>
                  <w:vAlign w:val="center"/>
                </w:tcPr>
                <w:p w14:paraId="2DA82E26">
                  <w:pPr>
                    <w:pStyle w:val="227"/>
                    <w:bidi w:val="0"/>
                    <w:rPr>
                      <w:rFonts w:hint="default"/>
                      <w:color w:val="auto"/>
                      <w:lang w:val="en-US" w:eastAsia="zh-CN"/>
                    </w:rPr>
                  </w:pPr>
                  <w:r>
                    <w:rPr>
                      <w:rFonts w:hint="eastAsia"/>
                      <w:color w:val="auto"/>
                      <w:lang w:val="en-US" w:eastAsia="zh-CN"/>
                    </w:rPr>
                    <w:t>300</w:t>
                  </w:r>
                </w:p>
              </w:tc>
              <w:tc>
                <w:tcPr>
                  <w:tcW w:w="730" w:type="pct"/>
                  <w:tcBorders>
                    <w:tl2br w:val="nil"/>
                    <w:tr2bl w:val="nil"/>
                  </w:tcBorders>
                  <w:noWrap w:val="0"/>
                  <w:vAlign w:val="center"/>
                </w:tcPr>
                <w:p w14:paraId="34041695">
                  <w:pPr>
                    <w:pStyle w:val="227"/>
                    <w:bidi w:val="0"/>
                    <w:rPr>
                      <w:rFonts w:hint="default"/>
                      <w:color w:val="auto"/>
                      <w:lang w:val="en-US" w:eastAsia="zh-CN"/>
                    </w:rPr>
                  </w:pPr>
                  <w:r>
                    <w:rPr>
                      <w:rFonts w:hint="eastAsia"/>
                      <w:color w:val="auto"/>
                      <w:lang w:val="en-US" w:eastAsia="zh-CN"/>
                    </w:rPr>
                    <w:t>150</w:t>
                  </w:r>
                </w:p>
              </w:tc>
              <w:tc>
                <w:tcPr>
                  <w:tcW w:w="753" w:type="pct"/>
                  <w:tcBorders>
                    <w:tl2br w:val="nil"/>
                    <w:tr2bl w:val="nil"/>
                  </w:tcBorders>
                  <w:noWrap w:val="0"/>
                  <w:vAlign w:val="center"/>
                </w:tcPr>
                <w:p w14:paraId="1A04A083">
                  <w:pPr>
                    <w:pStyle w:val="227"/>
                    <w:bidi w:val="0"/>
                    <w:rPr>
                      <w:rFonts w:hint="default"/>
                      <w:color w:val="auto"/>
                      <w:lang w:val="en-US" w:eastAsia="zh-CN"/>
                    </w:rPr>
                  </w:pPr>
                  <w:r>
                    <w:rPr>
                      <w:rFonts w:hint="eastAsia"/>
                      <w:color w:val="auto"/>
                      <w:lang w:val="en-US" w:eastAsia="zh-CN"/>
                    </w:rPr>
                    <w:t>200</w:t>
                  </w:r>
                </w:p>
              </w:tc>
              <w:tc>
                <w:tcPr>
                  <w:tcW w:w="822" w:type="pct"/>
                  <w:tcBorders>
                    <w:tl2br w:val="nil"/>
                    <w:tr2bl w:val="nil"/>
                  </w:tcBorders>
                  <w:noWrap w:val="0"/>
                  <w:vAlign w:val="center"/>
                </w:tcPr>
                <w:p w14:paraId="603A074A">
                  <w:pPr>
                    <w:pStyle w:val="227"/>
                    <w:bidi w:val="0"/>
                    <w:rPr>
                      <w:rFonts w:hint="default"/>
                      <w:color w:val="auto"/>
                      <w:lang w:val="en-US" w:eastAsia="zh-CN"/>
                    </w:rPr>
                  </w:pPr>
                  <w:r>
                    <w:rPr>
                      <w:rFonts w:hint="eastAsia"/>
                      <w:color w:val="auto"/>
                      <w:lang w:val="en-US" w:eastAsia="zh-CN"/>
                    </w:rPr>
                    <w:t>30</w:t>
                  </w:r>
                </w:p>
              </w:tc>
              <w:tc>
                <w:tcPr>
                  <w:tcW w:w="707" w:type="pct"/>
                  <w:tcBorders>
                    <w:tl2br w:val="nil"/>
                    <w:tr2bl w:val="nil"/>
                  </w:tcBorders>
                  <w:noWrap w:val="0"/>
                  <w:vAlign w:val="center"/>
                </w:tcPr>
                <w:p w14:paraId="6310BB4C">
                  <w:pPr>
                    <w:pStyle w:val="227"/>
                    <w:bidi w:val="0"/>
                    <w:rPr>
                      <w:rFonts w:hint="default"/>
                      <w:color w:val="auto"/>
                      <w:lang w:val="en-US" w:eastAsia="zh-CN"/>
                    </w:rPr>
                  </w:pPr>
                  <w:r>
                    <w:rPr>
                      <w:rFonts w:hint="eastAsia"/>
                      <w:color w:val="auto"/>
                      <w:lang w:val="en-US" w:eastAsia="zh-CN"/>
                    </w:rPr>
                    <w:t>40</w:t>
                  </w:r>
                </w:p>
              </w:tc>
              <w:tc>
                <w:tcPr>
                  <w:tcW w:w="572" w:type="pct"/>
                  <w:tcBorders>
                    <w:tl2br w:val="nil"/>
                    <w:tr2bl w:val="nil"/>
                  </w:tcBorders>
                  <w:noWrap w:val="0"/>
                  <w:vAlign w:val="center"/>
                </w:tcPr>
                <w:p w14:paraId="56B0B283">
                  <w:pPr>
                    <w:pStyle w:val="227"/>
                    <w:bidi w:val="0"/>
                    <w:rPr>
                      <w:rFonts w:hint="default"/>
                      <w:color w:val="auto"/>
                      <w:lang w:val="en-US" w:eastAsia="zh-CN"/>
                    </w:rPr>
                  </w:pPr>
                  <w:r>
                    <w:rPr>
                      <w:rFonts w:hint="eastAsia"/>
                      <w:color w:val="auto"/>
                      <w:lang w:val="en-US" w:eastAsia="zh-CN"/>
                    </w:rPr>
                    <w:t>5</w:t>
                  </w:r>
                </w:p>
              </w:tc>
            </w:tr>
            <w:tr w14:paraId="58C884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7" w:hRule="atLeast"/>
              </w:trPr>
              <w:tc>
                <w:tcPr>
                  <w:tcW w:w="694" w:type="pct"/>
                  <w:tcBorders>
                    <w:tl2br w:val="nil"/>
                    <w:tr2bl w:val="nil"/>
                  </w:tcBorders>
                  <w:noWrap w:val="0"/>
                  <w:vAlign w:val="center"/>
                </w:tcPr>
                <w:p w14:paraId="189E6DD7">
                  <w:pPr>
                    <w:pStyle w:val="227"/>
                    <w:bidi w:val="0"/>
                    <w:rPr>
                      <w:rFonts w:hint="default"/>
                      <w:color w:val="auto"/>
                      <w:lang w:val="en-US" w:eastAsia="zh-CN"/>
                    </w:rPr>
                  </w:pPr>
                  <w:r>
                    <w:rPr>
                      <w:rFonts w:hint="default"/>
                      <w:color w:val="auto"/>
                      <w:lang w:val="en-US" w:eastAsia="zh-CN"/>
                    </w:rPr>
                    <w:t>出水标准</w:t>
                  </w:r>
                </w:p>
              </w:tc>
              <w:tc>
                <w:tcPr>
                  <w:tcW w:w="718" w:type="pct"/>
                  <w:tcBorders>
                    <w:tl2br w:val="nil"/>
                    <w:tr2bl w:val="nil"/>
                  </w:tcBorders>
                  <w:noWrap w:val="0"/>
                  <w:vAlign w:val="center"/>
                </w:tcPr>
                <w:p w14:paraId="7F530863">
                  <w:pPr>
                    <w:pStyle w:val="227"/>
                    <w:bidi w:val="0"/>
                    <w:rPr>
                      <w:rFonts w:hint="default"/>
                      <w:color w:val="auto"/>
                      <w:lang w:val="en-US" w:eastAsia="zh-CN"/>
                    </w:rPr>
                  </w:pPr>
                  <w:r>
                    <w:rPr>
                      <w:rFonts w:hint="eastAsia"/>
                      <w:color w:val="auto"/>
                      <w:lang w:val="en-US" w:eastAsia="zh-CN"/>
                    </w:rPr>
                    <w:t>≤50</w:t>
                  </w:r>
                </w:p>
              </w:tc>
              <w:tc>
                <w:tcPr>
                  <w:tcW w:w="730" w:type="pct"/>
                  <w:tcBorders>
                    <w:tl2br w:val="nil"/>
                    <w:tr2bl w:val="nil"/>
                  </w:tcBorders>
                  <w:noWrap w:val="0"/>
                  <w:vAlign w:val="center"/>
                </w:tcPr>
                <w:p w14:paraId="3FB11669">
                  <w:pPr>
                    <w:pStyle w:val="227"/>
                    <w:bidi w:val="0"/>
                    <w:rPr>
                      <w:rFonts w:hint="default"/>
                      <w:color w:val="auto"/>
                      <w:lang w:val="en-US" w:eastAsia="zh-CN"/>
                    </w:rPr>
                  </w:pPr>
                  <w:r>
                    <w:rPr>
                      <w:rFonts w:hint="eastAsia"/>
                      <w:color w:val="auto"/>
                      <w:lang w:val="en-US" w:eastAsia="zh-CN"/>
                    </w:rPr>
                    <w:t>≤10</w:t>
                  </w:r>
                </w:p>
              </w:tc>
              <w:tc>
                <w:tcPr>
                  <w:tcW w:w="753" w:type="pct"/>
                  <w:tcBorders>
                    <w:tl2br w:val="nil"/>
                    <w:tr2bl w:val="nil"/>
                  </w:tcBorders>
                  <w:noWrap w:val="0"/>
                  <w:vAlign w:val="center"/>
                </w:tcPr>
                <w:p w14:paraId="6AD3D9EE">
                  <w:pPr>
                    <w:pStyle w:val="227"/>
                    <w:bidi w:val="0"/>
                    <w:rPr>
                      <w:rFonts w:hint="default"/>
                      <w:color w:val="auto"/>
                      <w:lang w:val="en-US" w:eastAsia="zh-CN"/>
                    </w:rPr>
                  </w:pPr>
                  <w:r>
                    <w:rPr>
                      <w:rFonts w:hint="eastAsia"/>
                      <w:color w:val="auto"/>
                      <w:lang w:val="en-US" w:eastAsia="zh-CN"/>
                    </w:rPr>
                    <w:t>≤10</w:t>
                  </w:r>
                </w:p>
              </w:tc>
              <w:tc>
                <w:tcPr>
                  <w:tcW w:w="822" w:type="pct"/>
                  <w:tcBorders>
                    <w:tl2br w:val="nil"/>
                    <w:tr2bl w:val="nil"/>
                  </w:tcBorders>
                  <w:noWrap w:val="0"/>
                  <w:vAlign w:val="center"/>
                </w:tcPr>
                <w:p w14:paraId="04CE3E56">
                  <w:pPr>
                    <w:pStyle w:val="227"/>
                    <w:bidi w:val="0"/>
                    <w:rPr>
                      <w:rFonts w:hint="default"/>
                      <w:color w:val="auto"/>
                      <w:lang w:val="en-US" w:eastAsia="zh-CN"/>
                    </w:rPr>
                  </w:pPr>
                  <w:r>
                    <w:rPr>
                      <w:rFonts w:hint="eastAsia"/>
                      <w:color w:val="auto"/>
                      <w:lang w:val="en-US" w:eastAsia="zh-CN"/>
                    </w:rPr>
                    <w:t>≤5（8）</w:t>
                  </w:r>
                </w:p>
              </w:tc>
              <w:tc>
                <w:tcPr>
                  <w:tcW w:w="707" w:type="pct"/>
                  <w:tcBorders>
                    <w:tl2br w:val="nil"/>
                    <w:tr2bl w:val="nil"/>
                  </w:tcBorders>
                  <w:noWrap w:val="0"/>
                  <w:vAlign w:val="center"/>
                </w:tcPr>
                <w:p w14:paraId="31A1C0E6">
                  <w:pPr>
                    <w:pStyle w:val="227"/>
                    <w:bidi w:val="0"/>
                    <w:rPr>
                      <w:rFonts w:hint="default"/>
                      <w:color w:val="auto"/>
                      <w:lang w:val="en-US" w:eastAsia="zh-CN"/>
                    </w:rPr>
                  </w:pPr>
                  <w:r>
                    <w:rPr>
                      <w:rFonts w:hint="eastAsia"/>
                      <w:color w:val="auto"/>
                      <w:lang w:val="en-US" w:eastAsia="zh-CN"/>
                    </w:rPr>
                    <w:t>≤15</w:t>
                  </w:r>
                </w:p>
              </w:tc>
              <w:tc>
                <w:tcPr>
                  <w:tcW w:w="572" w:type="pct"/>
                  <w:tcBorders>
                    <w:tl2br w:val="nil"/>
                    <w:tr2bl w:val="nil"/>
                  </w:tcBorders>
                  <w:noWrap w:val="0"/>
                  <w:vAlign w:val="center"/>
                </w:tcPr>
                <w:p w14:paraId="5F048E24">
                  <w:pPr>
                    <w:pStyle w:val="227"/>
                    <w:bidi w:val="0"/>
                    <w:rPr>
                      <w:rFonts w:hint="default"/>
                      <w:color w:val="auto"/>
                      <w:lang w:val="en-US" w:eastAsia="zh-CN"/>
                    </w:rPr>
                  </w:pPr>
                  <w:r>
                    <w:rPr>
                      <w:rFonts w:hint="eastAsia"/>
                      <w:color w:val="auto"/>
                      <w:lang w:val="en-US" w:eastAsia="zh-CN"/>
                    </w:rPr>
                    <w:t>≤0.5</w:t>
                  </w:r>
                </w:p>
              </w:tc>
            </w:tr>
            <w:tr w14:paraId="4952CF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7" w:hRule="atLeast"/>
              </w:trPr>
              <w:tc>
                <w:tcPr>
                  <w:tcW w:w="694" w:type="pct"/>
                  <w:tcBorders>
                    <w:tl2br w:val="nil"/>
                    <w:tr2bl w:val="nil"/>
                  </w:tcBorders>
                  <w:noWrap w:val="0"/>
                  <w:vAlign w:val="center"/>
                </w:tcPr>
                <w:p w14:paraId="32C4CD77">
                  <w:pPr>
                    <w:pStyle w:val="227"/>
                    <w:bidi w:val="0"/>
                    <w:rPr>
                      <w:rFonts w:hint="default"/>
                      <w:color w:val="auto"/>
                      <w:lang w:val="en-US" w:eastAsia="zh-CN"/>
                    </w:rPr>
                  </w:pPr>
                  <w:r>
                    <w:rPr>
                      <w:rFonts w:hint="eastAsia"/>
                      <w:color w:val="auto"/>
                      <w:lang w:val="en-US" w:eastAsia="zh-CN"/>
                    </w:rPr>
                    <w:t>本项目污水排放</w:t>
                  </w:r>
                </w:p>
              </w:tc>
              <w:tc>
                <w:tcPr>
                  <w:tcW w:w="718" w:type="pct"/>
                  <w:tcBorders>
                    <w:tl2br w:val="nil"/>
                    <w:tr2bl w:val="nil"/>
                  </w:tcBorders>
                  <w:noWrap w:val="0"/>
                  <w:vAlign w:val="center"/>
                </w:tcPr>
                <w:p w14:paraId="7354E427">
                  <w:pPr>
                    <w:widowControl w:val="0"/>
                    <w:bidi w:val="0"/>
                    <w:adjustRightInd w:val="0"/>
                    <w:snapToGrid w:val="0"/>
                    <w:spacing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236.95</w:t>
                  </w:r>
                </w:p>
              </w:tc>
              <w:tc>
                <w:tcPr>
                  <w:tcW w:w="730" w:type="pct"/>
                  <w:tcBorders>
                    <w:tl2br w:val="nil"/>
                    <w:tr2bl w:val="nil"/>
                  </w:tcBorders>
                  <w:noWrap w:val="0"/>
                  <w:vAlign w:val="center"/>
                </w:tcPr>
                <w:p w14:paraId="4E35F3F7">
                  <w:pPr>
                    <w:widowControl w:val="0"/>
                    <w:bidi w:val="0"/>
                    <w:adjustRightInd w:val="0"/>
                    <w:snapToGrid w:val="0"/>
                    <w:spacing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107.43</w:t>
                  </w:r>
                </w:p>
              </w:tc>
              <w:tc>
                <w:tcPr>
                  <w:tcW w:w="753" w:type="pct"/>
                  <w:tcBorders>
                    <w:tl2br w:val="nil"/>
                    <w:tr2bl w:val="nil"/>
                  </w:tcBorders>
                  <w:noWrap w:val="0"/>
                  <w:vAlign w:val="center"/>
                </w:tcPr>
                <w:p w14:paraId="5BD65421">
                  <w:pPr>
                    <w:widowControl w:val="0"/>
                    <w:bidi w:val="0"/>
                    <w:adjustRightInd w:val="0"/>
                    <w:snapToGrid w:val="0"/>
                    <w:spacing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97.39</w:t>
                  </w:r>
                </w:p>
              </w:tc>
              <w:tc>
                <w:tcPr>
                  <w:tcW w:w="822" w:type="pct"/>
                  <w:tcBorders>
                    <w:tl2br w:val="nil"/>
                    <w:tr2bl w:val="nil"/>
                  </w:tcBorders>
                  <w:noWrap w:val="0"/>
                  <w:vAlign w:val="center"/>
                </w:tcPr>
                <w:p w14:paraId="199595CD">
                  <w:pPr>
                    <w:widowControl w:val="0"/>
                    <w:bidi w:val="0"/>
                    <w:adjustRightInd w:val="0"/>
                    <w:snapToGrid w:val="0"/>
                    <w:spacing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27.35</w:t>
                  </w:r>
                </w:p>
              </w:tc>
              <w:tc>
                <w:tcPr>
                  <w:tcW w:w="707" w:type="pct"/>
                  <w:tcBorders>
                    <w:tl2br w:val="nil"/>
                    <w:tr2bl w:val="nil"/>
                  </w:tcBorders>
                  <w:noWrap w:val="0"/>
                  <w:vAlign w:val="center"/>
                </w:tcPr>
                <w:p w14:paraId="4CCF7E51">
                  <w:pPr>
                    <w:pStyle w:val="227"/>
                    <w:bidi w:val="0"/>
                    <w:rPr>
                      <w:rFonts w:hint="default"/>
                      <w:color w:val="auto"/>
                      <w:lang w:val="en-US" w:eastAsia="zh-CN"/>
                    </w:rPr>
                  </w:pPr>
                  <w:r>
                    <w:rPr>
                      <w:rFonts w:hint="eastAsia"/>
                      <w:color w:val="auto"/>
                      <w:lang w:val="en-US" w:eastAsia="zh-CN"/>
                    </w:rPr>
                    <w:t>/</w:t>
                  </w:r>
                </w:p>
              </w:tc>
              <w:tc>
                <w:tcPr>
                  <w:tcW w:w="572" w:type="pct"/>
                  <w:tcBorders>
                    <w:tl2br w:val="nil"/>
                    <w:tr2bl w:val="nil"/>
                  </w:tcBorders>
                  <w:noWrap w:val="0"/>
                  <w:vAlign w:val="center"/>
                </w:tcPr>
                <w:p w14:paraId="078FC9C6">
                  <w:pPr>
                    <w:pStyle w:val="227"/>
                    <w:bidi w:val="0"/>
                    <w:rPr>
                      <w:rFonts w:hint="default"/>
                      <w:color w:val="auto"/>
                      <w:lang w:val="en-US" w:eastAsia="zh-CN"/>
                    </w:rPr>
                  </w:pPr>
                  <w:r>
                    <w:rPr>
                      <w:rFonts w:hint="eastAsia"/>
                      <w:color w:val="auto"/>
                      <w:lang w:val="en-US" w:eastAsia="zh-CN"/>
                    </w:rPr>
                    <w:t>/</w:t>
                  </w:r>
                </w:p>
              </w:tc>
            </w:tr>
          </w:tbl>
          <w:p w14:paraId="4086D457">
            <w:pPr>
              <w:pStyle w:val="5"/>
              <w:bidi w:val="0"/>
              <w:rPr>
                <w:rFonts w:hint="eastAsia"/>
                <w:color w:val="auto"/>
                <w:lang w:val="en-US" w:eastAsia="zh-CN"/>
              </w:rPr>
            </w:pPr>
            <w:r>
              <w:rPr>
                <w:rFonts w:hint="eastAsia"/>
                <w:color w:val="auto"/>
                <w:lang w:val="en-US" w:eastAsia="zh-CN"/>
              </w:rPr>
              <w:t>II、处理工艺</w:t>
            </w:r>
          </w:p>
          <w:p w14:paraId="0DD11A4B">
            <w:pPr>
              <w:pStyle w:val="5"/>
              <w:bidi w:val="0"/>
              <w:rPr>
                <w:rFonts w:hint="eastAsia"/>
                <w:color w:val="auto"/>
                <w:lang w:val="en-US" w:eastAsia="zh-CN"/>
              </w:rPr>
            </w:pPr>
            <w:r>
              <w:rPr>
                <w:rFonts w:hint="eastAsia"/>
                <w:color w:val="auto"/>
                <w:lang w:val="en-US" w:eastAsia="zh-CN"/>
              </w:rPr>
              <w:t>闽侯县城关污水处理厂废水处理工艺为粗格栅及进水泵房→细格栅及旋流沉淀池→改良型氧化沟或A</w:t>
            </w:r>
            <w:r>
              <w:rPr>
                <w:rFonts w:hint="eastAsia"/>
                <w:color w:val="auto"/>
                <w:vertAlign w:val="superscript"/>
                <w:lang w:val="en-US" w:eastAsia="zh-CN"/>
              </w:rPr>
              <w:t>2</w:t>
            </w:r>
            <w:r>
              <w:rPr>
                <w:rFonts w:hint="eastAsia"/>
                <w:color w:val="auto"/>
                <w:lang w:val="en-US" w:eastAsia="zh-CN"/>
              </w:rPr>
              <w:t>/O生化池→二沉池→高效沉淀池→纤维转盘滤池→消毒及计量，污水处理工艺流程见图4.1-1。</w:t>
            </w:r>
          </w:p>
          <w:p w14:paraId="25049B24">
            <w:pPr>
              <w:pStyle w:val="5"/>
              <w:bidi w:val="0"/>
              <w:spacing w:line="240" w:lineRule="auto"/>
              <w:ind w:firstLine="0" w:firstLineChars="0"/>
              <w:rPr>
                <w:rFonts w:hint="default"/>
                <w:color w:val="auto"/>
                <w:lang w:val="en-US" w:eastAsia="zh-CN"/>
              </w:rPr>
            </w:pPr>
            <w:r>
              <w:rPr>
                <w:rFonts w:hint="default"/>
                <w:color w:val="auto"/>
                <w:lang w:val="en-US" w:eastAsia="zh-CN"/>
              </w:rPr>
              <w:drawing>
                <wp:inline distT="0" distB="0" distL="114300" distR="114300">
                  <wp:extent cx="5042535" cy="2815590"/>
                  <wp:effectExtent l="0" t="0" r="5715" b="3810"/>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24"/>
                          <a:stretch>
                            <a:fillRect/>
                          </a:stretch>
                        </pic:blipFill>
                        <pic:spPr>
                          <a:xfrm>
                            <a:off x="0" y="0"/>
                            <a:ext cx="5042535" cy="2815590"/>
                          </a:xfrm>
                          <a:prstGeom prst="rect">
                            <a:avLst/>
                          </a:prstGeom>
                          <a:noFill/>
                          <a:ln>
                            <a:noFill/>
                          </a:ln>
                        </pic:spPr>
                      </pic:pic>
                    </a:graphicData>
                  </a:graphic>
                </wp:inline>
              </w:drawing>
            </w:r>
          </w:p>
          <w:p w14:paraId="46A9DC36">
            <w:pPr>
              <w:pStyle w:val="232"/>
              <w:bidi w:val="0"/>
              <w:rPr>
                <w:rFonts w:hint="eastAsia"/>
                <w:color w:val="auto"/>
                <w:lang w:val="en-US" w:eastAsia="zh-CN"/>
              </w:rPr>
            </w:pPr>
            <w:r>
              <w:rPr>
                <w:rFonts w:hint="eastAsia"/>
                <w:color w:val="auto"/>
                <w:lang w:val="en-US" w:eastAsia="zh-CN"/>
              </w:rPr>
              <w:t>图4.1-1污水处理工艺流程图</w:t>
            </w:r>
          </w:p>
          <w:p w14:paraId="3A0B30C6">
            <w:pPr>
              <w:pStyle w:val="5"/>
              <w:bidi w:val="0"/>
              <w:rPr>
                <w:rFonts w:hint="eastAsia"/>
                <w:color w:val="auto"/>
                <w:lang w:val="en-US" w:eastAsia="zh-CN"/>
              </w:rPr>
            </w:pPr>
            <w:r>
              <w:rPr>
                <w:rFonts w:hint="eastAsia"/>
                <w:color w:val="auto"/>
                <w:lang w:val="en-US" w:eastAsia="zh-CN"/>
              </w:rPr>
              <w:t>②依托可行性分析</w:t>
            </w:r>
          </w:p>
          <w:p w14:paraId="07935191">
            <w:pPr>
              <w:pStyle w:val="5"/>
              <w:bidi w:val="0"/>
              <w:rPr>
                <w:rFonts w:hint="default"/>
                <w:color w:val="auto"/>
                <w:lang w:val="en-US" w:eastAsia="zh-CN"/>
              </w:rPr>
            </w:pPr>
            <w:r>
              <w:rPr>
                <w:rFonts w:hint="eastAsia"/>
                <w:color w:val="auto"/>
                <w:lang w:val="en-US" w:eastAsia="zh-CN"/>
              </w:rPr>
              <w:t>I、接管可行性分析</w:t>
            </w:r>
          </w:p>
          <w:p w14:paraId="001AA081">
            <w:pPr>
              <w:pStyle w:val="5"/>
              <w:bidi w:val="0"/>
              <w:rPr>
                <w:rFonts w:hint="eastAsia"/>
                <w:color w:val="auto"/>
                <w:lang w:val="en-US" w:eastAsia="zh-CN"/>
              </w:rPr>
            </w:pPr>
            <w:r>
              <w:rPr>
                <w:rFonts w:hint="eastAsia"/>
                <w:color w:val="auto"/>
                <w:lang w:val="en-US" w:eastAsia="zh-CN"/>
              </w:rPr>
              <w:t>根据《闽侯县城关污水处理厂三期扩建工程环境影响报告表》，闽侯县城关污水处理厂服务范围为中心城区的甘蔗片区、港头村以及白沙镇下浦村、长坪园、汶溪及青岐村。</w:t>
            </w:r>
          </w:p>
          <w:p w14:paraId="0A26B5FB">
            <w:pPr>
              <w:pStyle w:val="5"/>
              <w:bidi w:val="0"/>
              <w:spacing w:line="240" w:lineRule="auto"/>
              <w:ind w:firstLine="0" w:firstLineChars="0"/>
              <w:rPr>
                <w:rFonts w:hint="default"/>
                <w:color w:val="auto"/>
                <w:lang w:val="en-US" w:eastAsia="zh-CN"/>
              </w:rPr>
            </w:pPr>
            <w:r>
              <w:rPr>
                <w:color w:val="auto"/>
                <w:sz w:val="24"/>
              </w:rPr>
              <mc:AlternateContent>
                <mc:Choice Requires="wps">
                  <w:drawing>
                    <wp:anchor distT="0" distB="0" distL="114300" distR="114300" simplePos="0" relativeHeight="251663360" behindDoc="0" locked="0" layoutInCell="1" allowOverlap="1">
                      <wp:simplePos x="0" y="0"/>
                      <wp:positionH relativeFrom="column">
                        <wp:posOffset>2693670</wp:posOffset>
                      </wp:positionH>
                      <wp:positionV relativeFrom="paragraph">
                        <wp:posOffset>1609725</wp:posOffset>
                      </wp:positionV>
                      <wp:extent cx="133350" cy="133350"/>
                      <wp:effectExtent l="13970" t="15875" r="24130" b="22225"/>
                      <wp:wrapNone/>
                      <wp:docPr id="52" name="五角星 52"/>
                      <wp:cNvGraphicFramePr/>
                      <a:graphic xmlns:a="http://schemas.openxmlformats.org/drawingml/2006/main">
                        <a:graphicData uri="http://schemas.microsoft.com/office/word/2010/wordprocessingShape">
                          <wps:wsp>
                            <wps:cNvSpPr/>
                            <wps:spPr>
                              <a:xfrm>
                                <a:off x="0" y="0"/>
                                <a:ext cx="133350" cy="133350"/>
                              </a:xfrm>
                              <a:prstGeom prst="star5">
                                <a:avLst/>
                              </a:prstGeom>
                              <a:solidFill>
                                <a:srgbClr val="FF0000"/>
                              </a:solidFill>
                              <a:ln w="9525" cap="flat" cmpd="sng">
                                <a:solidFill>
                                  <a:srgbClr val="FF0000"/>
                                </a:solidFill>
                                <a:prstDash val="solid"/>
                                <a:miter/>
                                <a:headEnd type="none" w="med" len="med"/>
                                <a:tailEnd type="none" w="med" len="med"/>
                              </a:ln>
                              <a:effectLst/>
                            </wps:spPr>
                            <wps:bodyPr upright="1"/>
                          </wps:wsp>
                        </a:graphicData>
                      </a:graphic>
                    </wp:anchor>
                  </w:drawing>
                </mc:Choice>
                <mc:Fallback>
                  <w:pict>
                    <v:shape id="_x0000_s1026" o:spid="_x0000_s1026" style="position:absolute;left:0pt;margin-left:212.1pt;margin-top:126.75pt;height:10.5pt;width:10.5pt;z-index:251663360;mso-width-relative:page;mso-height-relative:page;" fillcolor="#FF0000" filled="t" stroked="t" coordsize="133350,133350" o:gfxdata="UEsDBAoAAAAAAIdO4kAAAAAAAAAAAAAAAAAEAAAAZHJzL1BLAwQUAAAACACHTuJAV+YZhtkAAAAL&#10;AQAADwAAAGRycy9kb3ducmV2LnhtbE2PwU7DMAyG70i8Q2QkLoglKy1MpekkQOWyw0QZ96wxbaFx&#10;qibbCk+POcHRvz/9/lysZzeII06h96RhuVAgkBpve2o17F6r6xWIEA1ZM3hCDV8YYF2enxUmt/5E&#10;L3isYyu4hEJuNHQxjrmUoenQmbDwIxLv3v3kTORxaqWdzInL3SATpW6lMz3xhc6M+Nhh81kfnIZK&#10;fWz7ze75jVYz2c1D9TTXV99aX14s1T2IiHP8g+FXn9WhZKe9P5ANYtCQJmnCqIYku8lAMJGmGSd7&#10;Tu7SDGRZyP8/lD9QSwMEFAAAAAgAh07iQCNd9t8AAgAAMQQAAA4AAABkcnMvZTJvRG9jLnhtbK1T&#10;Ta7TMBDeI3EHy3uatFURRE3fglI2CJ704ACuM0ks+U8et2mvgViwY8kdOA9CHIOxE8p7j00XZOHM&#10;2ONv5vtmvL45Gc2OEFA5W/P5rOQMrHSNsl3NP37YPXvBGUZhG6GdhZqfAfnN5umT9eArWLje6QYC&#10;IxCL1eBr3sfoq6JA2YMROHMeLB22LhgRyQ1d0QQxELrRxaIsnxeDC40PTgIi7W7HQz4hhmsAXdsq&#10;CVsnDwZsHFEDaBGJEvbKI9/katsWZHzftgiR6ZoT05hXSkL2Pq3FZi2qLgjfKzmVIK4p4REnI5Sl&#10;pBeorYiCHYL6B8ooGRy6Ns6kM8VIJCtCLOblI23ueuEhcyGp0V9Ex/8HK98dbwNTTc1XC86sMNTx&#10;H98///r26eeXr4z2SKDBY0Vxd/42TB6Smdie2mDSn3iwUxb1fBEVTpFJ2pwvl8sVyS3paLIJpfh7&#10;2QeMb8AZloya0+yFVdZSHN9iHGP/xKRk6LRqdkrr7IRu/0oHdhTU4N2upC+VTPAPwrRlQ81frhYr&#10;KkTQ1LY0LWQaT8zRdjnfgxt4HXAqbCuwHwvICONMGRUhySWqHkTz2jYsnj2Ja+lR8VSMgYYzDfQG&#10;k5Ujo1D6mkhip22Chjzhk0qpTWNjkrV3zZk6e/BBdT3JOs+ypBOapCzQNPVpVO/7ZN9/6Zv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V+YZhtkAAAALAQAADwAAAAAAAAABACAAAAAiAAAAZHJzL2Rv&#10;d25yZXYueG1sUEsBAhQAFAAAAAgAh07iQCNd9t8AAgAAMQQAAA4AAAAAAAAAAQAgAAAAKAEAAGRy&#10;cy9lMm9Eb2MueG1sUEsFBgAAAAAGAAYAWQEAAJoFAAAAAA==&#10;" path="m0,50935l50935,50935,66675,0,82414,50935,133349,50935,92142,82414,107882,133349,66675,101869,25467,133349,41207,82414xe">
                      <v:path o:connectlocs="66675,0;0,50935;25467,133349;107882,133349;133349,50935" o:connectangles="247,164,82,82,0"/>
                      <v:fill on="t" focussize="0,0"/>
                      <v:stroke color="#FF0000" joinstyle="miter"/>
                      <v:imagedata o:title=""/>
                      <o:lock v:ext="edit" aspectratio="f"/>
                    </v:shape>
                  </w:pict>
                </mc:Fallback>
              </mc:AlternateContent>
            </w:r>
            <w:r>
              <w:rPr>
                <w:color w:val="auto"/>
                <w:sz w:val="24"/>
              </w:rPr>
              <mc:AlternateContent>
                <mc:Choice Requires="wps">
                  <w:drawing>
                    <wp:anchor distT="0" distB="0" distL="114300" distR="114300" simplePos="0" relativeHeight="251664384" behindDoc="0" locked="0" layoutInCell="1" allowOverlap="1">
                      <wp:simplePos x="0" y="0"/>
                      <wp:positionH relativeFrom="column">
                        <wp:posOffset>2779395</wp:posOffset>
                      </wp:positionH>
                      <wp:positionV relativeFrom="paragraph">
                        <wp:posOffset>1205865</wp:posOffset>
                      </wp:positionV>
                      <wp:extent cx="1247775" cy="314325"/>
                      <wp:effectExtent l="5080" t="4445" r="4445" b="138430"/>
                      <wp:wrapNone/>
                      <wp:docPr id="43" name="矩形标注 43"/>
                      <wp:cNvGraphicFramePr/>
                      <a:graphic xmlns:a="http://schemas.openxmlformats.org/drawingml/2006/main">
                        <a:graphicData uri="http://schemas.microsoft.com/office/word/2010/wordprocessingShape">
                          <wps:wsp>
                            <wps:cNvSpPr/>
                            <wps:spPr>
                              <a:xfrm>
                                <a:off x="0" y="0"/>
                                <a:ext cx="1247775" cy="314325"/>
                              </a:xfrm>
                              <a:prstGeom prst="wedgeRectCallout">
                                <a:avLst>
                                  <a:gd name="adj1" fmla="val -42977"/>
                                  <a:gd name="adj2" fmla="val 88181"/>
                                </a:avLst>
                              </a:prstGeom>
                              <a:solidFill>
                                <a:srgbClr val="FFFFFF"/>
                              </a:solidFill>
                              <a:ln w="9525" cap="flat" cmpd="sng">
                                <a:solidFill>
                                  <a:srgbClr val="000000"/>
                                </a:solidFill>
                                <a:prstDash val="solid"/>
                                <a:miter/>
                                <a:headEnd type="none" w="med" len="med"/>
                                <a:tailEnd type="none" w="med" len="med"/>
                              </a:ln>
                              <a:effectLst/>
                            </wps:spPr>
                            <wps:txbx>
                              <w:txbxContent>
                                <w:p w14:paraId="4C63210B">
                                  <w:pPr>
                                    <w:jc w:val="center"/>
                                    <w:rPr>
                                      <w:rFonts w:hint="default" w:eastAsia="宋体"/>
                                      <w:lang w:val="en-US" w:eastAsia="zh-CN"/>
                                    </w:rPr>
                                  </w:pPr>
                                  <w:r>
                                    <w:rPr>
                                      <w:rFonts w:hint="eastAsia"/>
                                      <w:lang w:val="en-US" w:eastAsia="zh-CN"/>
                                    </w:rPr>
                                    <w:t>本项目所在位置</w:t>
                                  </w:r>
                                </w:p>
                              </w:txbxContent>
                            </wps:txbx>
                            <wps:bodyPr upright="1"/>
                          </wps:wsp>
                        </a:graphicData>
                      </a:graphic>
                    </wp:anchor>
                  </w:drawing>
                </mc:Choice>
                <mc:Fallback>
                  <w:pict>
                    <v:shape id="_x0000_s1026" o:spid="_x0000_s1026" o:spt="61" type="#_x0000_t61" style="position:absolute;left:0pt;margin-left:218.85pt;margin-top:94.95pt;height:24.75pt;width:98.25pt;z-index:251664384;mso-width-relative:page;mso-height-relative:page;" fillcolor="#FFFFFF" filled="t" stroked="t" coordsize="21600,21600" o:gfxdata="UEsDBAoAAAAAAIdO4kAAAAAAAAAAAAAAAAAEAAAAZHJzL1BLAwQUAAAACACHTuJAES8xENoAAAAL&#10;AQAADwAAAGRycy9kb3ducmV2LnhtbE2PMW+DMBCF90r9D9ZV6tbYAZQEisnQKlLHkmbIeOALULCN&#10;sJOQ/vq6UzOe3qf3vsu3sx7YhSbXWSNhuRDAyNRWdaaRcPjavWyAOY9G4WANSbiRg23x+JBjpuzV&#10;lHTZ+4aFEuMylNB6P2acu7oljW5hRzIhO9lJow/n1HA14TWU64FHQqy4xs6EhRZHemup7vdnLeF9&#10;7kWE5efp1n+LA5Ufx59qd5Ty+WkpXoF5mv0/DH/6QR2K4FTZs1GODRKSeL0OaAg2aQosEKs4iYBV&#10;EqI4TYAXOb//ofgFUEsDBBQAAAAIAIdO4kCAAZ61QQIAAJ0EAAAOAAAAZHJzL2Uyb0RvYy54bWyt&#10;VEuS0zAQ3VPFHVTaTxznQzKpOLOYEDYUTDFwAEWSbVH6laTEzgk4BhQrZs2a4zBcg5ZsMpmBRRZo&#10;Ibek1lO/191eXrVKoj13Xhhd4HwwxIhrapjQVYE/vN9czDHygWhGpNG8wAfu8dXq+bNlYxd8ZGoj&#10;GXcIQLRfNLbAdQh2kWWe1lwRPzCWazgsjVMkwNJVGXOkAXQls9Fw+CJrjGPWGcq9h911d4h7RHcO&#10;oClLQfna0J3iOnSojksSgJKvhfV4laItS07D27L0PCBZYGAa0gyPgL2Nc7ZakkXliK0F7UMg54Tw&#10;hJMiQsOjR6g1CQTtnPgLSgnqjDdlGFCjso5IUgRY5MMn2tzWxPLEBaT29ii6/3+w9M3+xiHBCjwZ&#10;Y6SJgoz/+nz388fX+y+f7r9/Q7ANGjXWL8D11t64fuXBjITb0qn4BSqoTboejrryNiAKm/loMpvN&#10;phhROBvnk/FoGkGzh9vW+fCKG4WiUeCGs4q/g+RdEynNLiRpyf61D0lj1gdK2Mcco1JJSNmeSHQx&#10;GV3OZn1OT5xGp07zeT7P++d7SAjkTwAR3xsp2EZImRau2l5LhwC/wJs0+suP3KRGTYEvp8AMUQJt&#10;UUI5gqksSOt1lRg8uuFPgYdp/As4BrYmvu4CSAgdQSUCd6l8a07YS81QOFjInoauxTEYxRlGkkOT&#10;Ryt5BiLkOZ4giNSRPU8tBLrHdMUi6NIerdBuW9iN5tawA1TRzjpR1ZC+Tt54AlWb8tx3WGyL03UC&#10;ffirrH4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ES8xENoAAAALAQAADwAAAAAAAAABACAAAAAi&#10;AAAAZHJzL2Rvd25yZXYueG1sUEsBAhQAFAAAAAgAh07iQIABnrVBAgAAnQQAAA4AAAAAAAAAAQAg&#10;AAAAKQEAAGRycy9lMm9Eb2MueG1sUEsFBgAAAAAGAAYAWQEAANwFAAAAAA==&#10;" adj="1517,29847">
                      <v:fill on="t" focussize="0,0"/>
                      <v:stroke color="#000000" joinstyle="miter"/>
                      <v:imagedata o:title=""/>
                      <o:lock v:ext="edit" aspectratio="f"/>
                      <v:textbox>
                        <w:txbxContent>
                          <w:p w14:paraId="4C63210B">
                            <w:pPr>
                              <w:jc w:val="center"/>
                              <w:rPr>
                                <w:rFonts w:hint="default" w:eastAsia="宋体"/>
                                <w:lang w:val="en-US" w:eastAsia="zh-CN"/>
                              </w:rPr>
                            </w:pPr>
                            <w:r>
                              <w:rPr>
                                <w:rFonts w:hint="eastAsia"/>
                                <w:lang w:val="en-US" w:eastAsia="zh-CN"/>
                              </w:rPr>
                              <w:t>本项目所在位置</w:t>
                            </w:r>
                          </w:p>
                        </w:txbxContent>
                      </v:textbox>
                    </v:shape>
                  </w:pict>
                </mc:Fallback>
              </mc:AlternateContent>
            </w:r>
            <w:r>
              <w:rPr>
                <w:rFonts w:hint="default"/>
                <w:color w:val="auto"/>
                <w:lang w:val="en-US" w:eastAsia="zh-CN"/>
              </w:rPr>
              <w:drawing>
                <wp:inline distT="0" distB="0" distL="114300" distR="114300">
                  <wp:extent cx="5044440" cy="2994660"/>
                  <wp:effectExtent l="0" t="0" r="3810" b="15240"/>
                  <wp:docPr id="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
                          <pic:cNvPicPr>
                            <a:picLocks noChangeAspect="1"/>
                          </pic:cNvPicPr>
                        </pic:nvPicPr>
                        <pic:blipFill>
                          <a:blip r:embed="rId25"/>
                          <a:stretch>
                            <a:fillRect/>
                          </a:stretch>
                        </pic:blipFill>
                        <pic:spPr>
                          <a:xfrm>
                            <a:off x="0" y="0"/>
                            <a:ext cx="5044440" cy="2994660"/>
                          </a:xfrm>
                          <a:prstGeom prst="rect">
                            <a:avLst/>
                          </a:prstGeom>
                          <a:noFill/>
                          <a:ln>
                            <a:noFill/>
                          </a:ln>
                        </pic:spPr>
                      </pic:pic>
                    </a:graphicData>
                  </a:graphic>
                </wp:inline>
              </w:drawing>
            </w:r>
          </w:p>
          <w:p w14:paraId="2C357E0E">
            <w:pPr>
              <w:pStyle w:val="232"/>
              <w:bidi w:val="0"/>
              <w:rPr>
                <w:rFonts w:hint="eastAsia"/>
                <w:color w:val="auto"/>
                <w:lang w:val="en-US" w:eastAsia="zh-CN"/>
              </w:rPr>
            </w:pPr>
            <w:r>
              <w:rPr>
                <w:rFonts w:hint="eastAsia"/>
                <w:color w:val="auto"/>
                <w:lang w:val="en-US" w:eastAsia="zh-CN"/>
              </w:rPr>
              <w:t>图4.1-2闽侯县城关污水处理厂服务范围图</w:t>
            </w:r>
          </w:p>
          <w:p w14:paraId="6D9D99ED">
            <w:pPr>
              <w:pStyle w:val="5"/>
              <w:bidi w:val="0"/>
              <w:rPr>
                <w:rFonts w:hint="default"/>
                <w:color w:val="auto"/>
                <w:lang w:val="en-US" w:eastAsia="zh-CN"/>
              </w:rPr>
            </w:pPr>
            <w:r>
              <w:rPr>
                <w:rFonts w:hint="default"/>
                <w:color w:val="auto"/>
                <w:lang w:val="en-US" w:eastAsia="zh-CN"/>
              </w:rPr>
              <w:t>目前市政污水管网已经铺设完成并已经投入正常运行，本项目厂区污水总排口可顺利接入市政污水管网。</w:t>
            </w:r>
          </w:p>
          <w:p w14:paraId="334C99A3">
            <w:pPr>
              <w:pStyle w:val="5"/>
              <w:bidi w:val="0"/>
              <w:rPr>
                <w:rFonts w:hint="eastAsia"/>
                <w:color w:val="auto"/>
                <w:lang w:val="en-US" w:eastAsia="zh-CN"/>
              </w:rPr>
            </w:pPr>
            <w:r>
              <w:rPr>
                <w:rFonts w:hint="eastAsia"/>
                <w:color w:val="auto"/>
                <w:lang w:val="en-US" w:eastAsia="zh-CN"/>
              </w:rPr>
              <w:t>II、水质负荷</w:t>
            </w:r>
          </w:p>
          <w:p w14:paraId="2EC36366">
            <w:pPr>
              <w:pStyle w:val="5"/>
              <w:bidi w:val="0"/>
              <w:rPr>
                <w:rFonts w:hint="eastAsia"/>
                <w:color w:val="auto"/>
                <w:lang w:val="en-US" w:eastAsia="zh-CN"/>
              </w:rPr>
            </w:pPr>
            <w:r>
              <w:rPr>
                <w:rFonts w:hint="eastAsia"/>
                <w:color w:val="auto"/>
                <w:lang w:val="en-US" w:eastAsia="zh-CN"/>
              </w:rPr>
              <w:t>生活污水经化粪池处理达标后排入市政污水管网，纳入闽侯县城关污水处理厂，生产废水经沉淀+化粪池处理达标后排入市政污水管网，纳入闽侯县城关污水处理厂。</w:t>
            </w:r>
          </w:p>
          <w:p w14:paraId="35B197FD">
            <w:pPr>
              <w:pStyle w:val="5"/>
              <w:bidi w:val="0"/>
              <w:rPr>
                <w:rFonts w:hint="default"/>
                <w:color w:val="auto"/>
                <w:lang w:val="en-US" w:eastAsia="zh-CN"/>
              </w:rPr>
            </w:pPr>
            <w:r>
              <w:rPr>
                <w:rFonts w:hint="default"/>
                <w:color w:val="auto"/>
                <w:lang w:val="en-US" w:eastAsia="zh-CN"/>
              </w:rPr>
              <w:t>根据表4.1-5所列数据与表4.1-6进水水质对比，本项目综合</w:t>
            </w:r>
            <w:r>
              <w:rPr>
                <w:rFonts w:hint="eastAsia"/>
                <w:color w:val="auto"/>
                <w:lang w:val="en-US" w:eastAsia="zh-CN"/>
              </w:rPr>
              <w:t>污</w:t>
            </w:r>
            <w:r>
              <w:rPr>
                <w:rFonts w:hint="default"/>
                <w:color w:val="auto"/>
                <w:lang w:val="en-US" w:eastAsia="zh-CN"/>
              </w:rPr>
              <w:t>水主要污染物排放浓度均能满足《污水综合排放标准》（GB8978-1996）表4三级标准及《污水排入城镇下水道水质标准》（GB/T 31962-2015）表1中B级标准限值，也可以符合污水厂进水水质要求。</w:t>
            </w:r>
          </w:p>
          <w:p w14:paraId="3E742DA7">
            <w:pPr>
              <w:pStyle w:val="5"/>
              <w:bidi w:val="0"/>
              <w:rPr>
                <w:rFonts w:hint="default"/>
                <w:color w:val="auto"/>
                <w:lang w:val="en-US" w:eastAsia="zh-CN"/>
              </w:rPr>
            </w:pPr>
            <w:r>
              <w:rPr>
                <w:rFonts w:hint="default"/>
                <w:color w:val="auto"/>
                <w:lang w:val="en-US" w:eastAsia="zh-CN"/>
              </w:rPr>
              <w:t>项目综合</w:t>
            </w:r>
            <w:r>
              <w:rPr>
                <w:rFonts w:hint="eastAsia"/>
                <w:color w:val="auto"/>
                <w:lang w:val="en-US" w:eastAsia="zh-CN"/>
              </w:rPr>
              <w:t>污</w:t>
            </w:r>
            <w:r>
              <w:rPr>
                <w:rFonts w:hint="default"/>
                <w:color w:val="auto"/>
                <w:lang w:val="en-US" w:eastAsia="zh-CN"/>
              </w:rPr>
              <w:t>水不涉及有毒有害污染物，不涉及持久性、重金属，也不含有腐蚀成分，因此，从水质方面分析，</w:t>
            </w:r>
            <w:r>
              <w:rPr>
                <w:rFonts w:hint="eastAsia"/>
                <w:color w:val="auto"/>
                <w:lang w:val="en-US" w:eastAsia="zh-CN"/>
              </w:rPr>
              <w:t>闽侯县城关</w:t>
            </w:r>
            <w:r>
              <w:rPr>
                <w:rFonts w:hint="default"/>
                <w:color w:val="auto"/>
                <w:lang w:val="en-US" w:eastAsia="zh-CN"/>
              </w:rPr>
              <w:t>污水处理厂可接纳项目废水，不会对污水厂水质负荷造成冲击。</w:t>
            </w:r>
          </w:p>
          <w:p w14:paraId="6BD29401">
            <w:pPr>
              <w:pStyle w:val="5"/>
              <w:bidi w:val="0"/>
              <w:rPr>
                <w:rFonts w:hint="eastAsia"/>
                <w:color w:val="auto"/>
                <w:lang w:val="en-US" w:eastAsia="zh-CN"/>
              </w:rPr>
            </w:pPr>
            <w:r>
              <w:rPr>
                <w:rFonts w:hint="eastAsia"/>
                <w:color w:val="auto"/>
                <w:lang w:val="en-US" w:eastAsia="zh-CN"/>
              </w:rPr>
              <w:t>III、水量负荷</w:t>
            </w:r>
          </w:p>
          <w:p w14:paraId="3BBA1FE9">
            <w:pPr>
              <w:pStyle w:val="5"/>
              <w:bidi w:val="0"/>
              <w:rPr>
                <w:rFonts w:hint="eastAsia"/>
                <w:color w:val="auto"/>
                <w:lang w:val="en-US" w:eastAsia="zh-CN"/>
              </w:rPr>
            </w:pPr>
            <w:r>
              <w:rPr>
                <w:rFonts w:hint="eastAsia"/>
                <w:color w:val="auto"/>
                <w:lang w:val="en-US" w:eastAsia="zh-CN"/>
              </w:rPr>
              <w:t>闽侯县城关污水处理厂总处理规模为5.5万m</w:t>
            </w:r>
            <w:r>
              <w:rPr>
                <w:rFonts w:hint="eastAsia"/>
                <w:color w:val="auto"/>
                <w:vertAlign w:val="superscript"/>
                <w:lang w:val="en-US" w:eastAsia="zh-CN"/>
              </w:rPr>
              <w:t>3</w:t>
            </w:r>
            <w:r>
              <w:rPr>
                <w:rFonts w:hint="eastAsia"/>
                <w:color w:val="auto"/>
                <w:lang w:val="en-US" w:eastAsia="zh-CN"/>
              </w:rPr>
              <w:t>/d，目前实际处理规模为4.89万m</w:t>
            </w:r>
            <w:r>
              <w:rPr>
                <w:rFonts w:hint="eastAsia"/>
                <w:color w:val="auto"/>
                <w:vertAlign w:val="superscript"/>
                <w:lang w:val="en-US" w:eastAsia="zh-CN"/>
              </w:rPr>
              <w:t>3</w:t>
            </w:r>
            <w:r>
              <w:rPr>
                <w:rFonts w:hint="eastAsia"/>
                <w:color w:val="auto"/>
                <w:lang w:val="en-US" w:eastAsia="zh-CN"/>
              </w:rPr>
              <w:t>/d，目前剩余0.61万m</w:t>
            </w:r>
            <w:r>
              <w:rPr>
                <w:rFonts w:hint="eastAsia"/>
                <w:color w:val="auto"/>
                <w:vertAlign w:val="superscript"/>
                <w:lang w:val="en-US" w:eastAsia="zh-CN"/>
              </w:rPr>
              <w:t>3</w:t>
            </w:r>
            <w:r>
              <w:rPr>
                <w:rFonts w:hint="eastAsia"/>
                <w:color w:val="auto"/>
                <w:lang w:val="en-US" w:eastAsia="zh-CN"/>
              </w:rPr>
              <w:t>/d。本项目污水排放量1.935t/d，占污水处理厂剩余处理规模的0.032%。从处理能力及处理工艺分析，马尾快安污水处理厂可接纳项目废水排放量，不会对污水厂水量负荷造成冲击。</w:t>
            </w:r>
          </w:p>
          <w:p w14:paraId="212CA610">
            <w:pPr>
              <w:pStyle w:val="5"/>
              <w:bidi w:val="0"/>
              <w:rPr>
                <w:rFonts w:hint="default" w:ascii="Times New Roman" w:hAnsi="Times New Roman"/>
                <w:color w:val="auto"/>
                <w:lang w:val="en-US" w:eastAsia="zh-CN"/>
              </w:rPr>
            </w:pPr>
            <w:r>
              <w:rPr>
                <w:rFonts w:hint="default"/>
                <w:color w:val="auto"/>
                <w:lang w:val="en-US" w:eastAsia="zh-CN"/>
              </w:rPr>
              <w:t>所有外排废水水质均能符合《污水综合排放标准》（GB8978-1996）表4三级标准及《污水排入城镇下水道水质标准》（GB/T 31962-2015）表1中B级标准限值，也可以符合污水厂进水水质要求，对水环境在可接受范围内。</w:t>
            </w:r>
          </w:p>
          <w:p w14:paraId="7EA2E2CE">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b/>
                <w:bCs/>
                <w:color w:val="auto"/>
                <w:kern w:val="2"/>
                <w:sz w:val="28"/>
                <w:szCs w:val="28"/>
                <w:lang w:val="en-US" w:eastAsia="zh-CN" w:bidi="ar-SA"/>
              </w:rPr>
            </w:pPr>
            <w:r>
              <w:rPr>
                <w:rFonts w:hint="eastAsia" w:ascii="Times New Roman" w:hAnsi="Times New Roman" w:eastAsia="宋体" w:cs="Times New Roman"/>
                <w:b/>
                <w:bCs/>
                <w:color w:val="auto"/>
                <w:kern w:val="2"/>
                <w:sz w:val="28"/>
                <w:szCs w:val="28"/>
                <w:lang w:val="en-US" w:eastAsia="zh-CN" w:bidi="ar-SA"/>
              </w:rPr>
              <w:t>4.2运营期大气环境影响分析和污染防控措施</w:t>
            </w:r>
          </w:p>
          <w:p w14:paraId="612C0E2A">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b/>
                <w:bCs/>
                <w:color w:val="auto"/>
                <w:kern w:val="2"/>
                <w:sz w:val="28"/>
                <w:szCs w:val="28"/>
                <w:lang w:val="en-US" w:eastAsia="zh-CN" w:bidi="ar-SA"/>
              </w:rPr>
            </w:pPr>
            <w:r>
              <w:rPr>
                <w:rFonts w:hint="eastAsia" w:ascii="Times New Roman" w:hAnsi="Times New Roman" w:eastAsia="宋体" w:cs="Times New Roman"/>
                <w:b/>
                <w:bCs/>
                <w:color w:val="auto"/>
                <w:kern w:val="2"/>
                <w:sz w:val="28"/>
                <w:szCs w:val="28"/>
                <w:lang w:val="en-US" w:eastAsia="zh-CN" w:bidi="ar-SA"/>
              </w:rPr>
              <w:t>4.2.1运营期废气源强核算</w:t>
            </w:r>
          </w:p>
          <w:p w14:paraId="5626B66D">
            <w:pPr>
              <w:pStyle w:val="5"/>
              <w:rPr>
                <w:rFonts w:hint="eastAsia"/>
                <w:color w:val="auto"/>
                <w:lang w:val="en-US" w:eastAsia="zh-CN"/>
              </w:rPr>
            </w:pPr>
            <w:r>
              <w:rPr>
                <w:rFonts w:hint="default"/>
                <w:color w:val="auto"/>
                <w:lang w:val="en-US" w:eastAsia="zh-CN"/>
              </w:rPr>
              <w:t>本项目产生的废气包括</w:t>
            </w:r>
            <w:r>
              <w:rPr>
                <w:rFonts w:hint="eastAsia"/>
                <w:color w:val="auto"/>
                <w:lang w:val="en-US" w:eastAsia="zh-CN"/>
              </w:rPr>
              <w:t>上盘废气、清洗废气、检测废气。</w:t>
            </w:r>
          </w:p>
          <w:p w14:paraId="1AD53224">
            <w:pPr>
              <w:pStyle w:val="5"/>
              <w:rPr>
                <w:rFonts w:hint="eastAsia"/>
                <w:color w:val="auto"/>
                <w:lang w:val="en-US" w:eastAsia="zh-CN"/>
              </w:rPr>
            </w:pPr>
            <w:r>
              <w:rPr>
                <w:rFonts w:hint="eastAsia"/>
                <w:color w:val="auto"/>
                <w:lang w:val="en-US" w:eastAsia="zh-CN"/>
              </w:rPr>
              <w:t>（1）清洗废气、检测废气</w:t>
            </w:r>
          </w:p>
          <w:p w14:paraId="73060311">
            <w:pPr>
              <w:pStyle w:val="5"/>
              <w:bidi w:val="0"/>
              <w:rPr>
                <w:rFonts w:hint="eastAsia" w:ascii="Times New Roman" w:hAnsi="Times New Roman" w:eastAsia="宋体" w:cs="宋体"/>
                <w:color w:val="auto"/>
                <w:kern w:val="2"/>
                <w:sz w:val="24"/>
                <w:szCs w:val="24"/>
                <w:lang w:val="en-US" w:eastAsia="zh-CN" w:bidi="ar-SA"/>
              </w:rPr>
            </w:pPr>
            <w:r>
              <w:rPr>
                <w:rFonts w:hint="eastAsia"/>
                <w:color w:val="auto"/>
                <w:lang w:val="en-US" w:eastAsia="zh-CN"/>
              </w:rPr>
              <w:t>清洗、检测工序使用有机溶剂（包括无水乙醇0.5t/a、乙醚0.1t/a、丙酮0.15t/a、汽油0.05t/a）进行操作，</w:t>
            </w:r>
            <w:r>
              <w:rPr>
                <w:rFonts w:hint="eastAsia" w:ascii="Times New Roman" w:hAnsi="Times New Roman" w:eastAsia="宋体" w:cs="宋体"/>
                <w:color w:val="auto"/>
                <w:kern w:val="2"/>
                <w:sz w:val="24"/>
                <w:szCs w:val="24"/>
                <w:lang w:val="en-US" w:eastAsia="zh-CN" w:bidi="ar-SA"/>
              </w:rPr>
              <w:t>本次评价有机溶剂以100%挥发计，产生VOCs（以非甲烷总烃计），则项目VOCs（以非甲烷总烃计）产生量约为0.</w:t>
            </w:r>
            <w:r>
              <w:rPr>
                <w:rFonts w:hint="eastAsia" w:cs="宋体"/>
                <w:color w:val="auto"/>
                <w:kern w:val="2"/>
                <w:sz w:val="24"/>
                <w:szCs w:val="24"/>
                <w:lang w:val="en-US" w:eastAsia="zh-CN" w:bidi="ar-SA"/>
              </w:rPr>
              <w:t>8</w:t>
            </w:r>
            <w:r>
              <w:rPr>
                <w:rFonts w:hint="eastAsia" w:ascii="Times New Roman" w:hAnsi="Times New Roman" w:eastAsia="宋体" w:cs="宋体"/>
                <w:color w:val="auto"/>
                <w:kern w:val="2"/>
                <w:sz w:val="24"/>
                <w:szCs w:val="24"/>
                <w:lang w:val="en-US" w:eastAsia="zh-CN" w:bidi="ar-SA"/>
              </w:rPr>
              <w:t>t/a，产生速率为0.</w:t>
            </w:r>
            <w:r>
              <w:rPr>
                <w:rFonts w:hint="eastAsia" w:cs="宋体"/>
                <w:color w:val="auto"/>
                <w:kern w:val="2"/>
                <w:sz w:val="24"/>
                <w:szCs w:val="24"/>
                <w:lang w:val="en-US" w:eastAsia="zh-CN" w:bidi="ar-SA"/>
              </w:rPr>
              <w:t>4016</w:t>
            </w:r>
            <w:r>
              <w:rPr>
                <w:rFonts w:hint="eastAsia" w:ascii="Times New Roman" w:hAnsi="Times New Roman" w:eastAsia="宋体" w:cs="宋体"/>
                <w:color w:val="auto"/>
                <w:kern w:val="2"/>
                <w:sz w:val="24"/>
                <w:szCs w:val="24"/>
                <w:lang w:val="en-US" w:eastAsia="zh-CN" w:bidi="ar-SA"/>
              </w:rPr>
              <w:t>kg/h。</w:t>
            </w:r>
          </w:p>
          <w:p w14:paraId="7927A3B6">
            <w:pPr>
              <w:keepNext/>
              <w:keepLines/>
              <w:pageBreakBefore w:val="0"/>
              <w:widowControl w:val="0"/>
              <w:kinsoku/>
              <w:wordWrap/>
              <w:overflowPunct/>
              <w:topLinePunct w:val="0"/>
              <w:autoSpaceDE/>
              <w:autoSpaceDN/>
              <w:bidi w:val="0"/>
              <w:adjustRightInd/>
              <w:snapToGrid/>
              <w:spacing w:beforeLines="0" w:beforeAutospacing="0" w:afterLines="0" w:afterAutospacing="0" w:line="360" w:lineRule="auto"/>
              <w:ind w:firstLine="480" w:firstLineChars="200"/>
              <w:jc w:val="left"/>
              <w:textAlignment w:val="auto"/>
              <w:outlineLvl w:val="2"/>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车间为密闭负压车间，考虑到有职工人员进出时开关门，并根据环办综合函〔2022〕350号《关于印发&lt;主要污染物总量减排核算技术指南（2022年修订）&gt;的通知》，密闭负压车间废气收集效率为90%，则VOCs（以非甲烷总烃计）以无组织形式排放系数为10%，则有机废气VOCs（以非甲烷总烃计）无组织排放量为</w:t>
            </w:r>
            <w:r>
              <w:rPr>
                <w:rFonts w:hint="eastAsia" w:cs="宋体"/>
                <w:color w:val="auto"/>
                <w:kern w:val="2"/>
                <w:sz w:val="24"/>
                <w:szCs w:val="24"/>
                <w:lang w:val="en-US" w:eastAsia="zh-CN" w:bidi="ar-SA"/>
              </w:rPr>
              <w:t>0.08</w:t>
            </w:r>
            <w:r>
              <w:rPr>
                <w:rFonts w:hint="eastAsia" w:ascii="Times New Roman" w:hAnsi="Times New Roman" w:eastAsia="宋体" w:cs="宋体"/>
                <w:color w:val="auto"/>
                <w:kern w:val="2"/>
                <w:sz w:val="24"/>
                <w:szCs w:val="24"/>
                <w:lang w:val="en-US" w:eastAsia="zh-CN" w:bidi="ar-SA"/>
              </w:rPr>
              <w:t>t/a，排放速率为0.0</w:t>
            </w:r>
            <w:r>
              <w:rPr>
                <w:rFonts w:hint="eastAsia" w:cs="宋体"/>
                <w:color w:val="auto"/>
                <w:kern w:val="2"/>
                <w:sz w:val="24"/>
                <w:szCs w:val="24"/>
                <w:lang w:val="en-US" w:eastAsia="zh-CN" w:bidi="ar-SA"/>
              </w:rPr>
              <w:t>4016</w:t>
            </w:r>
            <w:r>
              <w:rPr>
                <w:rFonts w:hint="eastAsia" w:ascii="Times New Roman" w:hAnsi="Times New Roman" w:eastAsia="宋体" w:cs="宋体"/>
                <w:color w:val="auto"/>
                <w:kern w:val="2"/>
                <w:sz w:val="24"/>
                <w:szCs w:val="24"/>
                <w:lang w:val="en-US" w:eastAsia="zh-CN" w:bidi="ar-SA"/>
              </w:rPr>
              <w:t>kg/h。项目拟建一台风量为</w:t>
            </w:r>
            <w:r>
              <w:rPr>
                <w:rFonts w:hint="eastAsia" w:cs="宋体"/>
                <w:color w:val="auto"/>
                <w:kern w:val="2"/>
                <w:sz w:val="24"/>
                <w:szCs w:val="24"/>
                <w:lang w:val="en-US" w:eastAsia="zh-CN" w:bidi="ar-SA"/>
              </w:rPr>
              <w:t>10</w:t>
            </w:r>
            <w:r>
              <w:rPr>
                <w:rFonts w:hint="eastAsia" w:ascii="Times New Roman" w:hAnsi="Times New Roman" w:eastAsia="宋体" w:cs="宋体"/>
                <w:color w:val="auto"/>
                <w:kern w:val="2"/>
                <w:sz w:val="24"/>
                <w:szCs w:val="24"/>
                <w:lang w:val="en-US" w:eastAsia="zh-CN" w:bidi="ar-SA"/>
              </w:rPr>
              <w:t>000m</w:t>
            </w:r>
            <w:r>
              <w:rPr>
                <w:rFonts w:hint="eastAsia" w:ascii="Times New Roman" w:hAnsi="Times New Roman" w:eastAsia="宋体" w:cs="宋体"/>
                <w:color w:val="auto"/>
                <w:kern w:val="2"/>
                <w:sz w:val="24"/>
                <w:szCs w:val="24"/>
                <w:vertAlign w:val="superscript"/>
                <w:lang w:val="en-US" w:eastAsia="zh-CN" w:bidi="ar-SA"/>
              </w:rPr>
              <w:t>3</w:t>
            </w:r>
            <w:r>
              <w:rPr>
                <w:rFonts w:hint="eastAsia" w:ascii="Times New Roman" w:hAnsi="Times New Roman" w:eastAsia="宋体" w:cs="宋体"/>
                <w:color w:val="auto"/>
                <w:kern w:val="2"/>
                <w:sz w:val="24"/>
                <w:szCs w:val="24"/>
                <w:lang w:val="en-US" w:eastAsia="zh-CN" w:bidi="ar-SA"/>
              </w:rPr>
              <w:t>/h的风机和二级活性炭吸附装置作为末端治理设施，</w:t>
            </w:r>
            <w:r>
              <w:rPr>
                <w:rFonts w:hint="eastAsia" w:cs="宋体"/>
                <w:color w:val="auto"/>
                <w:kern w:val="2"/>
                <w:sz w:val="24"/>
                <w:szCs w:val="24"/>
                <w:lang w:val="en-US" w:eastAsia="zh-CN" w:bidi="ar-SA"/>
              </w:rPr>
              <w:t>根据</w:t>
            </w:r>
            <w:r>
              <w:rPr>
                <w:rFonts w:hint="eastAsia" w:ascii="Times New Roman" w:hAnsi="Times New Roman" w:eastAsia="宋体" w:cs="宋体"/>
                <w:color w:val="auto"/>
                <w:kern w:val="2"/>
                <w:sz w:val="24"/>
                <w:szCs w:val="24"/>
                <w:lang w:val="en-US" w:eastAsia="zh-CN" w:bidi="ar-SA"/>
              </w:rPr>
              <w:t>《广东省家具行业挥发性有机化合物废气治理技术指南》（粤环[2013]79号）中对有机废气治理设施的治理效率可得，活性炭吸附法处理效率为50~80%。本项目选用碘值不低于800mg/g的颗粒型活性炭，吸附能力较强，本次评价单级活性炭对有机废气的处理效率取50%，则二级活性炭对有机废气的综合处理效率约为75%。则有机废气VOCs（以非甲烷总烃计）有组织排放量为0.1</w:t>
            </w:r>
            <w:r>
              <w:rPr>
                <w:rFonts w:hint="eastAsia" w:cs="宋体"/>
                <w:color w:val="auto"/>
                <w:kern w:val="2"/>
                <w:sz w:val="24"/>
                <w:szCs w:val="24"/>
                <w:lang w:val="en-US" w:eastAsia="zh-CN" w:bidi="ar-SA"/>
              </w:rPr>
              <w:t>8</w:t>
            </w:r>
            <w:r>
              <w:rPr>
                <w:rFonts w:hint="eastAsia" w:ascii="Times New Roman" w:hAnsi="Times New Roman" w:eastAsia="宋体" w:cs="宋体"/>
                <w:color w:val="auto"/>
                <w:kern w:val="2"/>
                <w:sz w:val="24"/>
                <w:szCs w:val="24"/>
                <w:lang w:val="en-US" w:eastAsia="zh-CN" w:bidi="ar-SA"/>
              </w:rPr>
              <w:t>t/a，排放速率为0.0</w:t>
            </w:r>
            <w:r>
              <w:rPr>
                <w:rFonts w:hint="eastAsia" w:cs="宋体"/>
                <w:color w:val="auto"/>
                <w:kern w:val="2"/>
                <w:sz w:val="24"/>
                <w:szCs w:val="24"/>
                <w:lang w:val="en-US" w:eastAsia="zh-CN" w:bidi="ar-SA"/>
              </w:rPr>
              <w:t>9036</w:t>
            </w:r>
            <w:r>
              <w:rPr>
                <w:rFonts w:hint="eastAsia" w:ascii="Times New Roman" w:hAnsi="Times New Roman" w:eastAsia="宋体" w:cs="宋体"/>
                <w:color w:val="auto"/>
                <w:kern w:val="2"/>
                <w:sz w:val="24"/>
                <w:szCs w:val="24"/>
                <w:lang w:val="en-US" w:eastAsia="zh-CN" w:bidi="ar-SA"/>
              </w:rPr>
              <w:t>kg/h，排放浓度为</w:t>
            </w:r>
            <w:r>
              <w:rPr>
                <w:rFonts w:hint="eastAsia" w:cs="宋体"/>
                <w:color w:val="auto"/>
                <w:kern w:val="2"/>
                <w:sz w:val="24"/>
                <w:szCs w:val="24"/>
                <w:lang w:val="en-US" w:eastAsia="zh-CN" w:bidi="ar-SA"/>
              </w:rPr>
              <w:t>7.5</w:t>
            </w:r>
            <w:r>
              <w:rPr>
                <w:rFonts w:hint="eastAsia" w:ascii="Times New Roman" w:hAnsi="Times New Roman" w:eastAsia="宋体" w:cs="宋体"/>
                <w:color w:val="auto"/>
                <w:kern w:val="2"/>
                <w:sz w:val="24"/>
                <w:szCs w:val="24"/>
                <w:lang w:val="en-US" w:eastAsia="zh-CN" w:bidi="ar-SA"/>
              </w:rPr>
              <w:t>mg/m</w:t>
            </w:r>
            <w:r>
              <w:rPr>
                <w:rFonts w:hint="eastAsia" w:ascii="Times New Roman" w:hAnsi="Times New Roman" w:eastAsia="宋体" w:cs="宋体"/>
                <w:color w:val="auto"/>
                <w:kern w:val="2"/>
                <w:sz w:val="24"/>
                <w:szCs w:val="24"/>
                <w:vertAlign w:val="superscript"/>
                <w:lang w:val="en-US" w:eastAsia="zh-CN" w:bidi="ar-SA"/>
              </w:rPr>
              <w:t>3</w:t>
            </w:r>
            <w:r>
              <w:rPr>
                <w:rFonts w:hint="eastAsia" w:cs="宋体"/>
                <w:color w:val="auto"/>
                <w:kern w:val="2"/>
                <w:sz w:val="24"/>
                <w:szCs w:val="24"/>
                <w:lang w:val="en-US" w:eastAsia="zh-CN" w:bidi="ar-SA"/>
              </w:rPr>
              <w:t>；VOCs总排放量为0.26t/a。</w:t>
            </w:r>
          </w:p>
          <w:p w14:paraId="019CD3C0">
            <w:pPr>
              <w:keepNext/>
              <w:keepLines/>
              <w:pageBreakBefore w:val="0"/>
              <w:widowControl w:val="0"/>
              <w:kinsoku/>
              <w:wordWrap/>
              <w:overflowPunct/>
              <w:topLinePunct w:val="0"/>
              <w:autoSpaceDE/>
              <w:autoSpaceDN/>
              <w:bidi w:val="0"/>
              <w:adjustRightInd/>
              <w:snapToGrid/>
              <w:spacing w:beforeLines="0" w:beforeAutospacing="0" w:afterLines="0" w:afterAutospacing="0" w:line="360" w:lineRule="auto"/>
              <w:ind w:firstLine="482" w:firstLineChars="200"/>
              <w:jc w:val="left"/>
              <w:textAlignment w:val="auto"/>
              <w:outlineLvl w:val="2"/>
              <w:rPr>
                <w:rFonts w:hint="eastAsia" w:ascii="Times New Roman" w:hAnsi="Times New Roman" w:eastAsia="宋体" w:cs="Times New Roman"/>
                <w:b/>
                <w:color w:val="auto"/>
                <w:kern w:val="2"/>
                <w:sz w:val="24"/>
                <w:szCs w:val="24"/>
                <w:lang w:val="en-US" w:eastAsia="zh-CN" w:bidi="ar-SA"/>
              </w:rPr>
            </w:pPr>
            <w:r>
              <w:rPr>
                <w:rFonts w:hint="eastAsia" w:cs="Times New Roman"/>
                <w:b/>
                <w:color w:val="auto"/>
                <w:kern w:val="2"/>
                <w:sz w:val="24"/>
                <w:szCs w:val="24"/>
                <w:lang w:val="en-US" w:eastAsia="zh-CN" w:bidi="ar-SA"/>
              </w:rPr>
              <w:t>（2）</w:t>
            </w:r>
            <w:r>
              <w:rPr>
                <w:rFonts w:hint="eastAsia" w:ascii="Times New Roman" w:hAnsi="Times New Roman" w:eastAsia="宋体" w:cs="宋体"/>
                <w:color w:val="auto"/>
                <w:sz w:val="24"/>
                <w:szCs w:val="24"/>
                <w:lang w:val="en-US" w:eastAsia="zh-CN" w:bidi="ar-SA"/>
              </w:rPr>
              <w:t>上盘废气</w:t>
            </w:r>
          </w:p>
          <w:p w14:paraId="622EF7FF">
            <w:pPr>
              <w:keepNext/>
              <w:keepLines/>
              <w:pageBreakBefore w:val="0"/>
              <w:widowControl w:val="0"/>
              <w:kinsoku/>
              <w:wordWrap/>
              <w:overflowPunct/>
              <w:topLinePunct w:val="0"/>
              <w:autoSpaceDE/>
              <w:autoSpaceDN/>
              <w:bidi w:val="0"/>
              <w:adjustRightInd/>
              <w:snapToGrid/>
              <w:spacing w:beforeLines="0" w:beforeAutospacing="0" w:afterLines="0" w:afterAutospacing="0" w:line="360" w:lineRule="auto"/>
              <w:ind w:firstLine="480" w:firstLineChars="200"/>
              <w:jc w:val="left"/>
              <w:textAlignment w:val="auto"/>
              <w:outlineLvl w:val="2"/>
              <w:rPr>
                <w:rFonts w:hint="eastAsia" w:cs="宋体"/>
                <w:color w:val="auto"/>
                <w:kern w:val="2"/>
                <w:sz w:val="24"/>
                <w:szCs w:val="24"/>
                <w:lang w:val="en-US" w:eastAsia="zh-CN" w:bidi="ar-SA"/>
              </w:rPr>
            </w:pPr>
            <w:r>
              <w:rPr>
                <w:rFonts w:hint="eastAsia" w:ascii="Times New Roman" w:hAnsi="Times New Roman" w:eastAsia="宋体" w:cs="宋体"/>
                <w:color w:val="auto"/>
                <w:kern w:val="2"/>
                <w:sz w:val="24"/>
                <w:szCs w:val="24"/>
                <w:vertAlign w:val="baseline"/>
                <w:lang w:val="en-US" w:eastAsia="zh-CN" w:bidi="ar-SA"/>
              </w:rPr>
              <w:t>项目采用</w:t>
            </w:r>
            <w:r>
              <w:rPr>
                <w:rFonts w:hint="eastAsia" w:cs="宋体"/>
                <w:color w:val="auto"/>
                <w:kern w:val="2"/>
                <w:sz w:val="24"/>
                <w:szCs w:val="24"/>
                <w:vertAlign w:val="baseline"/>
                <w:lang w:val="en-US" w:eastAsia="zh-CN" w:bidi="ar-SA"/>
              </w:rPr>
              <w:t>抛光胶</w:t>
            </w:r>
            <w:r>
              <w:rPr>
                <w:rFonts w:hint="eastAsia" w:ascii="Times New Roman" w:hAnsi="Times New Roman" w:eastAsia="宋体" w:cs="宋体"/>
                <w:color w:val="auto"/>
                <w:kern w:val="2"/>
                <w:sz w:val="24"/>
                <w:szCs w:val="24"/>
                <w:vertAlign w:val="baseline"/>
                <w:lang w:val="en-US" w:eastAsia="zh-CN" w:bidi="ar-SA"/>
              </w:rPr>
              <w:t>进行上盘，根据建设单位提供的胶水资料（详见附件十五），以易挥发物质最大挥发量计算，产生的废气为VOCs（以非甲烷总烃计），项目胶水使用量为0.08t/a，则</w:t>
            </w:r>
            <w:r>
              <w:rPr>
                <w:rFonts w:hint="eastAsia" w:cs="宋体"/>
                <w:color w:val="auto"/>
                <w:kern w:val="2"/>
                <w:sz w:val="24"/>
                <w:szCs w:val="24"/>
                <w:vertAlign w:val="baseline"/>
                <w:lang w:val="en-US" w:eastAsia="zh-CN" w:bidi="ar-SA"/>
              </w:rPr>
              <w:t>上盘</w:t>
            </w:r>
            <w:r>
              <w:rPr>
                <w:rFonts w:hint="eastAsia" w:ascii="Times New Roman" w:hAnsi="Times New Roman" w:eastAsia="宋体" w:cs="宋体"/>
                <w:color w:val="auto"/>
                <w:kern w:val="2"/>
                <w:sz w:val="24"/>
                <w:szCs w:val="24"/>
                <w:vertAlign w:val="baseline"/>
                <w:lang w:val="en-US" w:eastAsia="zh-CN" w:bidi="ar-SA"/>
              </w:rPr>
              <w:t>废气VOCs（以非甲烷总烃计）产生量为0.08t/a，产生速率为0.04016kg/h。上盘车间为密闭负压车间，考虑到有职工人员进出时开关门，有机废气（以非甲烷总烃计）以无组织形式排放系数为10%，有组织废气收集效率为90%，则上盘废气VOCs（以非甲烷总烃计）无组织排放量为0.008t/a，排放速率为0.004016kg/h。项目拟建一台风量为10000m</w:t>
            </w:r>
            <w:r>
              <w:rPr>
                <w:rFonts w:hint="eastAsia" w:ascii="Times New Roman" w:hAnsi="Times New Roman" w:eastAsia="宋体" w:cs="宋体"/>
                <w:color w:val="auto"/>
                <w:kern w:val="2"/>
                <w:sz w:val="24"/>
                <w:szCs w:val="24"/>
                <w:vertAlign w:val="superscript"/>
                <w:lang w:val="en-US" w:eastAsia="zh-CN" w:bidi="ar-SA"/>
              </w:rPr>
              <w:t>3</w:t>
            </w:r>
            <w:r>
              <w:rPr>
                <w:rFonts w:hint="eastAsia" w:ascii="Times New Roman" w:hAnsi="Times New Roman" w:eastAsia="宋体" w:cs="宋体"/>
                <w:color w:val="auto"/>
                <w:kern w:val="2"/>
                <w:sz w:val="24"/>
                <w:szCs w:val="24"/>
                <w:vertAlign w:val="baseline"/>
                <w:lang w:val="en-US" w:eastAsia="zh-CN" w:bidi="ar-SA"/>
              </w:rPr>
              <w:t>/h的风机和二级活性炭吸附装置作为末端治理设施，治理效率为</w:t>
            </w:r>
            <w:r>
              <w:rPr>
                <w:rFonts w:hint="eastAsia" w:cs="宋体"/>
                <w:color w:val="auto"/>
                <w:kern w:val="2"/>
                <w:sz w:val="24"/>
                <w:szCs w:val="24"/>
                <w:vertAlign w:val="baseline"/>
                <w:lang w:val="en-US" w:eastAsia="zh-CN" w:bidi="ar-SA"/>
              </w:rPr>
              <w:t>75</w:t>
            </w:r>
            <w:r>
              <w:rPr>
                <w:rFonts w:hint="eastAsia" w:ascii="Times New Roman" w:hAnsi="Times New Roman" w:eastAsia="宋体" w:cs="宋体"/>
                <w:color w:val="auto"/>
                <w:kern w:val="2"/>
                <w:sz w:val="24"/>
                <w:szCs w:val="24"/>
                <w:vertAlign w:val="baseline"/>
                <w:lang w:val="en-US" w:eastAsia="zh-CN" w:bidi="ar-SA"/>
              </w:rPr>
              <w:t>%，则</w:t>
            </w:r>
            <w:r>
              <w:rPr>
                <w:rFonts w:hint="eastAsia" w:cs="宋体"/>
                <w:color w:val="auto"/>
                <w:kern w:val="2"/>
                <w:sz w:val="24"/>
                <w:szCs w:val="24"/>
                <w:vertAlign w:val="baseline"/>
                <w:lang w:val="en-US" w:eastAsia="zh-CN" w:bidi="ar-SA"/>
              </w:rPr>
              <w:t>上盘</w:t>
            </w:r>
            <w:r>
              <w:rPr>
                <w:rFonts w:hint="eastAsia" w:ascii="Times New Roman" w:hAnsi="Times New Roman" w:eastAsia="宋体" w:cs="宋体"/>
                <w:color w:val="auto"/>
                <w:kern w:val="2"/>
                <w:sz w:val="24"/>
                <w:szCs w:val="24"/>
                <w:vertAlign w:val="baseline"/>
                <w:lang w:val="en-US" w:eastAsia="zh-CN" w:bidi="ar-SA"/>
              </w:rPr>
              <w:t>废气VOCs（以非甲烷总烃计）有组织排放量为0.018t/a，排放速率为0.009036kg/h，排放浓度为0.75mg/m</w:t>
            </w:r>
            <w:r>
              <w:rPr>
                <w:rFonts w:hint="eastAsia" w:ascii="Times New Roman" w:hAnsi="Times New Roman" w:eastAsia="宋体" w:cs="宋体"/>
                <w:color w:val="auto"/>
                <w:kern w:val="2"/>
                <w:sz w:val="24"/>
                <w:szCs w:val="24"/>
                <w:vertAlign w:val="superscript"/>
                <w:lang w:val="en-US" w:eastAsia="zh-CN" w:bidi="ar-SA"/>
              </w:rPr>
              <w:t>3</w:t>
            </w:r>
            <w:r>
              <w:rPr>
                <w:rFonts w:hint="eastAsia" w:ascii="Times New Roman" w:hAnsi="Times New Roman" w:eastAsia="宋体" w:cs="宋体"/>
                <w:color w:val="auto"/>
                <w:kern w:val="2"/>
                <w:sz w:val="24"/>
                <w:szCs w:val="24"/>
                <w:vertAlign w:val="baseline"/>
                <w:lang w:val="en-US" w:eastAsia="zh-CN" w:bidi="ar-SA"/>
              </w:rPr>
              <w:t>；</w:t>
            </w:r>
            <w:r>
              <w:rPr>
                <w:rFonts w:hint="eastAsia" w:cs="宋体"/>
                <w:color w:val="auto"/>
                <w:kern w:val="2"/>
                <w:sz w:val="24"/>
                <w:szCs w:val="24"/>
                <w:lang w:val="en-US" w:eastAsia="zh-CN" w:bidi="ar-SA"/>
              </w:rPr>
              <w:t>VOCs总排放量为0.026t/a。</w:t>
            </w:r>
          </w:p>
          <w:p w14:paraId="2FC212F0">
            <w:pPr>
              <w:keepNext/>
              <w:keepLines/>
              <w:pageBreakBefore w:val="0"/>
              <w:widowControl w:val="0"/>
              <w:kinsoku/>
              <w:wordWrap/>
              <w:overflowPunct/>
              <w:topLinePunct w:val="0"/>
              <w:autoSpaceDE/>
              <w:autoSpaceDN/>
              <w:bidi w:val="0"/>
              <w:adjustRightInd/>
              <w:snapToGrid/>
              <w:spacing w:beforeLines="0" w:beforeAutospacing="0" w:afterLines="0" w:afterAutospacing="0" w:line="360" w:lineRule="auto"/>
              <w:ind w:firstLine="420" w:firstLineChars="200"/>
              <w:jc w:val="center"/>
              <w:textAlignment w:val="auto"/>
              <w:outlineLvl w:val="2"/>
              <w:rPr>
                <w:rFonts w:hint="eastAsia"/>
                <w:color w:val="auto"/>
                <w:lang w:val="en-US" w:eastAsia="zh-CN"/>
              </w:rPr>
            </w:pPr>
            <w:r>
              <w:rPr>
                <w:rFonts w:hint="eastAsia"/>
                <w:color w:val="auto"/>
                <w:lang w:val="en-US" w:eastAsia="zh-CN"/>
              </w:rPr>
              <w:t>表4.2-1本项目废气处理设施情况一览表</w:t>
            </w:r>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5"/>
              <w:gridCol w:w="989"/>
              <w:gridCol w:w="1973"/>
              <w:gridCol w:w="942"/>
              <w:gridCol w:w="1014"/>
              <w:gridCol w:w="609"/>
              <w:gridCol w:w="722"/>
              <w:gridCol w:w="1051"/>
            </w:tblGrid>
            <w:tr w14:paraId="34DFF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7" w:type="pct"/>
                  <w:vAlign w:val="center"/>
                </w:tcPr>
                <w:p w14:paraId="7035C57D">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lang w:val="en-US" w:eastAsia="zh-CN" w:bidi="ar-SA"/>
                    </w:rPr>
                    <w:t>产污环节</w:t>
                  </w:r>
                </w:p>
              </w:tc>
              <w:tc>
                <w:tcPr>
                  <w:tcW w:w="588" w:type="pct"/>
                  <w:vAlign w:val="center"/>
                </w:tcPr>
                <w:p w14:paraId="0FC5978D">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lang w:val="en-US" w:eastAsia="zh-CN" w:bidi="ar-SA"/>
                    </w:rPr>
                    <w:t>污染物</w:t>
                  </w:r>
                </w:p>
              </w:tc>
              <w:tc>
                <w:tcPr>
                  <w:tcW w:w="1173" w:type="pct"/>
                  <w:vAlign w:val="center"/>
                </w:tcPr>
                <w:p w14:paraId="4B6DBA69">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lang w:val="en-US" w:eastAsia="zh-CN" w:bidi="ar-SA"/>
                    </w:rPr>
                    <w:t>收集措施</w:t>
                  </w:r>
                </w:p>
              </w:tc>
              <w:tc>
                <w:tcPr>
                  <w:tcW w:w="560" w:type="pct"/>
                  <w:vAlign w:val="center"/>
                </w:tcPr>
                <w:p w14:paraId="281A38CD">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lang w:val="en-US" w:eastAsia="zh-CN" w:bidi="ar-SA"/>
                    </w:rPr>
                    <w:t>收集效率</w:t>
                  </w:r>
                  <w:r>
                    <w:rPr>
                      <w:rFonts w:ascii="Times New Roman" w:hAnsi="Times New Roman" w:eastAsia="宋体" w:cs="Times New Roman"/>
                      <w:b w:val="0"/>
                      <w:bCs w:val="0"/>
                      <w:color w:val="auto"/>
                      <w:kern w:val="0"/>
                      <w:sz w:val="21"/>
                      <w:szCs w:val="21"/>
                      <w:lang w:val="en-US" w:eastAsia="zh-CN" w:bidi="ar-SA"/>
                    </w:rPr>
                    <w:t>%</w:t>
                  </w:r>
                </w:p>
              </w:tc>
              <w:tc>
                <w:tcPr>
                  <w:tcW w:w="603" w:type="pct"/>
                  <w:shd w:val="clear" w:color="auto" w:fill="auto"/>
                  <w:vAlign w:val="center"/>
                </w:tcPr>
                <w:p w14:paraId="6896F599">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bidi="ar-SA"/>
                    </w:rPr>
                    <w:t>治理措施</w:t>
                  </w:r>
                </w:p>
              </w:tc>
              <w:tc>
                <w:tcPr>
                  <w:tcW w:w="362" w:type="pct"/>
                  <w:shd w:val="clear" w:color="auto" w:fill="auto"/>
                  <w:vAlign w:val="center"/>
                </w:tcPr>
                <w:p w14:paraId="16F99239">
                  <w:pPr>
                    <w:widowControl w:val="0"/>
                    <w:bidi w:val="0"/>
                    <w:adjustRightInd w:val="0"/>
                    <w:snapToGrid w:val="0"/>
                    <w:spacing w:before="10" w:beforeLines="10" w:after="10" w:afterLines="10" w:line="240" w:lineRule="auto"/>
                    <w:jc w:val="center"/>
                    <w:rPr>
                      <w:rFonts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bidi="ar-SA"/>
                    </w:rPr>
                    <w:t>处理效率</w:t>
                  </w:r>
                </w:p>
                <w:p w14:paraId="7586A34F">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b w:val="0"/>
                      <w:bCs w:val="0"/>
                      <w:color w:val="auto"/>
                      <w:kern w:val="0"/>
                      <w:sz w:val="21"/>
                      <w:szCs w:val="21"/>
                      <w:lang w:val="en-US" w:eastAsia="zh-CN" w:bidi="ar-SA"/>
                    </w:rPr>
                  </w:pPr>
                  <w:r>
                    <w:rPr>
                      <w:rFonts w:ascii="Times New Roman" w:hAnsi="Times New Roman" w:eastAsia="宋体" w:cs="Times New Roman"/>
                      <w:b w:val="0"/>
                      <w:bCs w:val="0"/>
                      <w:color w:val="auto"/>
                      <w:kern w:val="0"/>
                      <w:sz w:val="21"/>
                      <w:szCs w:val="21"/>
                      <w:lang w:val="en-US" w:eastAsia="zh-CN" w:bidi="ar-SA"/>
                    </w:rPr>
                    <w:t>%</w:t>
                  </w:r>
                </w:p>
              </w:tc>
              <w:tc>
                <w:tcPr>
                  <w:tcW w:w="429" w:type="pct"/>
                  <w:shd w:val="clear" w:color="auto" w:fill="auto"/>
                  <w:vAlign w:val="center"/>
                </w:tcPr>
                <w:p w14:paraId="730798F9">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bidi="ar-SA"/>
                    </w:rPr>
                    <w:t>措施技术是否可行</w:t>
                  </w:r>
                </w:p>
              </w:tc>
              <w:tc>
                <w:tcPr>
                  <w:tcW w:w="625" w:type="pct"/>
                  <w:vAlign w:val="center"/>
                </w:tcPr>
                <w:p w14:paraId="517A363F">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color w:val="auto"/>
                      <w:kern w:val="0"/>
                      <w:sz w:val="21"/>
                      <w:szCs w:val="20"/>
                      <w:lang w:val="en-US" w:eastAsia="zh-CN" w:bidi="ar-SA"/>
                    </w:rPr>
                    <w:t>年排放时间</w:t>
                  </w:r>
                  <w:r>
                    <w:rPr>
                      <w:rFonts w:ascii="Times New Roman" w:hAnsi="Times New Roman" w:eastAsia="宋体" w:cs="Times New Roman"/>
                      <w:color w:val="auto"/>
                      <w:kern w:val="0"/>
                      <w:sz w:val="21"/>
                      <w:szCs w:val="20"/>
                      <w:lang w:val="en-US" w:eastAsia="zh-CN" w:bidi="ar-SA"/>
                    </w:rPr>
                    <w:t>h/a</w:t>
                  </w:r>
                </w:p>
              </w:tc>
            </w:tr>
            <w:tr w14:paraId="1B985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7" w:type="pct"/>
                  <w:vAlign w:val="center"/>
                </w:tcPr>
                <w:p w14:paraId="48DB5967">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b w:val="0"/>
                      <w:bCs w:val="0"/>
                      <w:color w:val="auto"/>
                      <w:sz w:val="21"/>
                      <w:szCs w:val="21"/>
                      <w:lang w:val="en-US" w:eastAsia="zh-CN"/>
                    </w:rPr>
                    <w:t>清洗废气、检测废气</w:t>
                  </w:r>
                </w:p>
              </w:tc>
              <w:tc>
                <w:tcPr>
                  <w:tcW w:w="588" w:type="pct"/>
                  <w:vAlign w:val="center"/>
                </w:tcPr>
                <w:p w14:paraId="1C8D6302">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lang w:val="en-US" w:eastAsia="zh-CN" w:bidi="ar-SA"/>
                    </w:rPr>
                    <w:t>VOCs（非甲烷总烃）</w:t>
                  </w:r>
                </w:p>
              </w:tc>
              <w:tc>
                <w:tcPr>
                  <w:tcW w:w="1173" w:type="pct"/>
                  <w:vAlign w:val="center"/>
                </w:tcPr>
                <w:p w14:paraId="5E387E31">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宋体"/>
                      <w:b w:val="0"/>
                      <w:bCs w:val="0"/>
                      <w:color w:val="auto"/>
                      <w:kern w:val="2"/>
                      <w:sz w:val="21"/>
                      <w:szCs w:val="21"/>
                      <w:lang w:val="en-US" w:eastAsia="zh-CN" w:bidi="ar-SA"/>
                    </w:rPr>
                    <w:t>密闭负压车间废气</w:t>
                  </w:r>
                </w:p>
              </w:tc>
              <w:tc>
                <w:tcPr>
                  <w:tcW w:w="560" w:type="pct"/>
                  <w:vAlign w:val="center"/>
                </w:tcPr>
                <w:p w14:paraId="7DE6F928">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90</w:t>
                  </w:r>
                </w:p>
              </w:tc>
              <w:tc>
                <w:tcPr>
                  <w:tcW w:w="603" w:type="pct"/>
                  <w:vAlign w:val="center"/>
                </w:tcPr>
                <w:p w14:paraId="387E96DC">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lang w:val="en-US" w:eastAsia="zh-CN" w:bidi="ar-SA"/>
                    </w:rPr>
                    <w:t>二级活性炭吸附装置</w:t>
                  </w:r>
                </w:p>
              </w:tc>
              <w:tc>
                <w:tcPr>
                  <w:tcW w:w="362" w:type="pct"/>
                  <w:vAlign w:val="center"/>
                </w:tcPr>
                <w:p w14:paraId="2ECC4A6D">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75</w:t>
                  </w:r>
                </w:p>
              </w:tc>
              <w:tc>
                <w:tcPr>
                  <w:tcW w:w="429" w:type="pct"/>
                  <w:vAlign w:val="center"/>
                </w:tcPr>
                <w:p w14:paraId="09724DE0">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是</w:t>
                  </w:r>
                </w:p>
              </w:tc>
              <w:tc>
                <w:tcPr>
                  <w:tcW w:w="625" w:type="pct"/>
                  <w:vAlign w:val="center"/>
                </w:tcPr>
                <w:p w14:paraId="26AF4640">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1992</w:t>
                  </w:r>
                </w:p>
              </w:tc>
            </w:tr>
            <w:tr w14:paraId="03DC9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7" w:type="pct"/>
                  <w:vAlign w:val="center"/>
                </w:tcPr>
                <w:p w14:paraId="00B41553">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宋体"/>
                      <w:b w:val="0"/>
                      <w:bCs w:val="0"/>
                      <w:color w:val="auto"/>
                      <w:sz w:val="21"/>
                      <w:szCs w:val="21"/>
                      <w:lang w:val="en-US" w:eastAsia="zh-CN" w:bidi="ar-SA"/>
                    </w:rPr>
                    <w:t>上盘废气</w:t>
                  </w:r>
                </w:p>
              </w:tc>
              <w:tc>
                <w:tcPr>
                  <w:tcW w:w="588" w:type="pct"/>
                  <w:vAlign w:val="center"/>
                </w:tcPr>
                <w:p w14:paraId="61B3CA55">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lang w:val="en-US" w:eastAsia="zh-CN" w:bidi="ar-SA"/>
                    </w:rPr>
                    <w:t>VOCs（非甲烷总烃）</w:t>
                  </w:r>
                </w:p>
              </w:tc>
              <w:tc>
                <w:tcPr>
                  <w:tcW w:w="1173" w:type="pct"/>
                  <w:shd w:val="clear" w:color="auto" w:fill="auto"/>
                  <w:vAlign w:val="center"/>
                </w:tcPr>
                <w:p w14:paraId="33AE0609">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宋体"/>
                      <w:b w:val="0"/>
                      <w:bCs w:val="0"/>
                      <w:color w:val="auto"/>
                      <w:kern w:val="2"/>
                      <w:sz w:val="21"/>
                      <w:szCs w:val="21"/>
                      <w:lang w:val="en-US" w:eastAsia="zh-CN" w:bidi="ar-SA"/>
                    </w:rPr>
                    <w:t>密闭负压车间废气</w:t>
                  </w:r>
                </w:p>
              </w:tc>
              <w:tc>
                <w:tcPr>
                  <w:tcW w:w="560" w:type="pct"/>
                  <w:shd w:val="clear" w:color="auto" w:fill="auto"/>
                  <w:vAlign w:val="center"/>
                </w:tcPr>
                <w:p w14:paraId="395C74BB">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90</w:t>
                  </w:r>
                </w:p>
              </w:tc>
              <w:tc>
                <w:tcPr>
                  <w:tcW w:w="603" w:type="pct"/>
                  <w:shd w:val="clear" w:color="auto" w:fill="auto"/>
                  <w:vAlign w:val="center"/>
                </w:tcPr>
                <w:p w14:paraId="5F736E65">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lang w:val="en-US" w:eastAsia="zh-CN" w:bidi="ar-SA"/>
                    </w:rPr>
                    <w:t>二级活性炭吸附装置</w:t>
                  </w:r>
                </w:p>
              </w:tc>
              <w:tc>
                <w:tcPr>
                  <w:tcW w:w="362" w:type="pct"/>
                  <w:shd w:val="clear" w:color="auto" w:fill="auto"/>
                  <w:vAlign w:val="center"/>
                </w:tcPr>
                <w:p w14:paraId="6C7F35AF">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75</w:t>
                  </w:r>
                </w:p>
              </w:tc>
              <w:tc>
                <w:tcPr>
                  <w:tcW w:w="429" w:type="pct"/>
                  <w:shd w:val="clear" w:color="auto" w:fill="auto"/>
                  <w:vAlign w:val="center"/>
                </w:tcPr>
                <w:p w14:paraId="54B9BB7D">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是</w:t>
                  </w:r>
                </w:p>
              </w:tc>
              <w:tc>
                <w:tcPr>
                  <w:tcW w:w="625" w:type="pct"/>
                  <w:vAlign w:val="center"/>
                </w:tcPr>
                <w:p w14:paraId="68EB7778">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1992</w:t>
                  </w:r>
                </w:p>
              </w:tc>
            </w:tr>
          </w:tbl>
          <w:p w14:paraId="441D9570">
            <w:pPr>
              <w:keepNext/>
              <w:keepLines/>
              <w:pageBreakBefore w:val="0"/>
              <w:widowControl w:val="0"/>
              <w:kinsoku/>
              <w:wordWrap/>
              <w:overflowPunct/>
              <w:topLinePunct w:val="0"/>
              <w:autoSpaceDE/>
              <w:autoSpaceDN/>
              <w:bidi w:val="0"/>
              <w:adjustRightInd/>
              <w:snapToGrid/>
              <w:spacing w:beforeLines="0" w:beforeAutospacing="0" w:afterLines="0" w:afterAutospacing="0" w:line="360" w:lineRule="auto"/>
              <w:ind w:firstLine="420" w:firstLineChars="200"/>
              <w:jc w:val="center"/>
              <w:textAlignment w:val="auto"/>
              <w:outlineLvl w:val="2"/>
              <w:rPr>
                <w:rFonts w:hint="eastAsia"/>
                <w:color w:val="auto"/>
                <w:lang w:val="en-US" w:eastAsia="zh-CN"/>
              </w:rPr>
            </w:pPr>
            <w:r>
              <w:rPr>
                <w:rFonts w:hint="eastAsia"/>
                <w:color w:val="auto"/>
                <w:lang w:val="en-US" w:eastAsia="zh-CN"/>
              </w:rPr>
              <w:t>表4.2-2本项目废气产排情况一览表</w:t>
            </w:r>
          </w:p>
          <w:tbl>
            <w:tblPr>
              <w:tblStyle w:val="3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767"/>
              <w:gridCol w:w="1039"/>
              <w:gridCol w:w="1152"/>
              <w:gridCol w:w="851"/>
              <w:gridCol w:w="1542"/>
              <w:gridCol w:w="1256"/>
              <w:gridCol w:w="1140"/>
            </w:tblGrid>
            <w:tr w14:paraId="3A65D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trPr>
              <w:tc>
                <w:tcPr>
                  <w:tcW w:w="390" w:type="pct"/>
                  <w:vMerge w:val="restart"/>
                  <w:vAlign w:val="center"/>
                </w:tcPr>
                <w:p w14:paraId="7844F7D0">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lang w:val="en-US" w:eastAsia="zh-CN" w:bidi="ar-SA"/>
                    </w:rPr>
                    <w:t>产污环节</w:t>
                  </w:r>
                </w:p>
              </w:tc>
              <w:tc>
                <w:tcPr>
                  <w:tcW w:w="456" w:type="pct"/>
                  <w:vMerge w:val="restart"/>
                  <w:vAlign w:val="center"/>
                </w:tcPr>
                <w:p w14:paraId="18417256">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lang w:val="en-US" w:eastAsia="zh-CN" w:bidi="ar-SA"/>
                    </w:rPr>
                    <w:t>污染物</w:t>
                  </w:r>
                </w:p>
              </w:tc>
              <w:tc>
                <w:tcPr>
                  <w:tcW w:w="1303" w:type="pct"/>
                  <w:gridSpan w:val="2"/>
                  <w:vAlign w:val="center"/>
                </w:tcPr>
                <w:p w14:paraId="099C87F8">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color w:val="auto"/>
                      <w:kern w:val="0"/>
                      <w:sz w:val="21"/>
                      <w:szCs w:val="21"/>
                      <w:lang w:val="en-US" w:eastAsia="zh-CN" w:bidi="ar-SA"/>
                    </w:rPr>
                    <w:t>产生源强</w:t>
                  </w:r>
                </w:p>
              </w:tc>
              <w:tc>
                <w:tcPr>
                  <w:tcW w:w="2848" w:type="pct"/>
                  <w:gridSpan w:val="4"/>
                  <w:shd w:val="clear" w:color="auto" w:fill="auto"/>
                  <w:vAlign w:val="center"/>
                </w:tcPr>
                <w:p w14:paraId="4B2F1519">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排放源强</w:t>
                  </w:r>
                </w:p>
              </w:tc>
            </w:tr>
            <w:tr w14:paraId="4FAEE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trPr>
              <w:tc>
                <w:tcPr>
                  <w:tcW w:w="390" w:type="pct"/>
                  <w:vMerge w:val="continue"/>
                  <w:vAlign w:val="center"/>
                </w:tcPr>
                <w:p w14:paraId="661E5F35">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color w:val="auto"/>
                      <w:sz w:val="21"/>
                      <w:szCs w:val="21"/>
                    </w:rPr>
                  </w:pPr>
                </w:p>
              </w:tc>
              <w:tc>
                <w:tcPr>
                  <w:tcW w:w="456" w:type="pct"/>
                  <w:vMerge w:val="continue"/>
                  <w:vAlign w:val="center"/>
                </w:tcPr>
                <w:p w14:paraId="593BABEA">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color w:val="auto"/>
                      <w:sz w:val="21"/>
                      <w:szCs w:val="21"/>
                    </w:rPr>
                  </w:pPr>
                </w:p>
              </w:tc>
              <w:tc>
                <w:tcPr>
                  <w:tcW w:w="618" w:type="pct"/>
                  <w:shd w:val="clear" w:color="auto" w:fill="auto"/>
                  <w:vAlign w:val="center"/>
                </w:tcPr>
                <w:p w14:paraId="594D34E3">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主要污染物产生量</w:t>
                  </w:r>
                  <w:r>
                    <w:rPr>
                      <w:rFonts w:ascii="Times New Roman" w:hAnsi="Times New Roman" w:eastAsia="宋体" w:cs="Times New Roman"/>
                      <w:color w:val="auto"/>
                      <w:kern w:val="0"/>
                      <w:sz w:val="21"/>
                      <w:szCs w:val="21"/>
                      <w:lang w:val="en-US" w:eastAsia="zh-CN" w:bidi="ar-SA"/>
                    </w:rPr>
                    <w:t>t/a</w:t>
                  </w:r>
                </w:p>
              </w:tc>
              <w:tc>
                <w:tcPr>
                  <w:tcW w:w="685" w:type="pct"/>
                  <w:shd w:val="clear" w:color="auto" w:fill="auto"/>
                  <w:vAlign w:val="center"/>
                </w:tcPr>
                <w:p w14:paraId="557757DB">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主要污染物产生速率</w:t>
                  </w:r>
                  <w:r>
                    <w:rPr>
                      <w:rFonts w:ascii="Times New Roman" w:hAnsi="Times New Roman" w:eastAsia="宋体" w:cs="Times New Roman"/>
                      <w:color w:val="auto"/>
                      <w:kern w:val="0"/>
                      <w:sz w:val="21"/>
                      <w:szCs w:val="21"/>
                      <w:lang w:val="en-US" w:eastAsia="zh-CN" w:bidi="ar-SA"/>
                    </w:rPr>
                    <w:t>kg/h</w:t>
                  </w:r>
                </w:p>
              </w:tc>
              <w:tc>
                <w:tcPr>
                  <w:tcW w:w="506" w:type="pct"/>
                  <w:shd w:val="clear" w:color="auto" w:fill="auto"/>
                  <w:vAlign w:val="center"/>
                </w:tcPr>
                <w:p w14:paraId="7A2D264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排放形式</w:t>
                  </w:r>
                </w:p>
              </w:tc>
              <w:tc>
                <w:tcPr>
                  <w:tcW w:w="917" w:type="pct"/>
                  <w:shd w:val="clear" w:color="auto" w:fill="auto"/>
                  <w:vAlign w:val="center"/>
                </w:tcPr>
                <w:p w14:paraId="1882C099">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主要污染物产生量</w:t>
                  </w:r>
                  <w:r>
                    <w:rPr>
                      <w:rFonts w:ascii="Times New Roman" w:hAnsi="Times New Roman" w:eastAsia="宋体" w:cs="Times New Roman"/>
                      <w:color w:val="auto"/>
                      <w:kern w:val="0"/>
                      <w:sz w:val="21"/>
                      <w:szCs w:val="21"/>
                      <w:lang w:val="en-US" w:eastAsia="zh-CN" w:bidi="ar-SA"/>
                    </w:rPr>
                    <w:t>t/a</w:t>
                  </w:r>
                </w:p>
              </w:tc>
              <w:tc>
                <w:tcPr>
                  <w:tcW w:w="747" w:type="pct"/>
                  <w:shd w:val="clear" w:color="auto" w:fill="auto"/>
                  <w:vAlign w:val="center"/>
                </w:tcPr>
                <w:p w14:paraId="614236B5">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主要污染物产生速率</w:t>
                  </w:r>
                  <w:r>
                    <w:rPr>
                      <w:rFonts w:ascii="Times New Roman" w:hAnsi="Times New Roman" w:eastAsia="宋体" w:cs="Times New Roman"/>
                      <w:color w:val="auto"/>
                      <w:kern w:val="0"/>
                      <w:sz w:val="21"/>
                      <w:szCs w:val="21"/>
                      <w:lang w:val="en-US" w:eastAsia="zh-CN" w:bidi="ar-SA"/>
                    </w:rPr>
                    <w:t>kg/h</w:t>
                  </w:r>
                </w:p>
              </w:tc>
              <w:tc>
                <w:tcPr>
                  <w:tcW w:w="677" w:type="pct"/>
                  <w:vAlign w:val="center"/>
                </w:tcPr>
                <w:p w14:paraId="0C793B91">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排放浓度</w:t>
                  </w:r>
                  <w:r>
                    <w:rPr>
                      <w:rFonts w:hint="eastAsia" w:ascii="Times New Roman" w:hAnsi="Times New Roman" w:eastAsia="宋体" w:cs="宋体"/>
                      <w:color w:val="auto"/>
                      <w:kern w:val="2"/>
                      <w:sz w:val="21"/>
                      <w:szCs w:val="21"/>
                      <w:lang w:val="en-US" w:eastAsia="zh-CN" w:bidi="ar-SA"/>
                    </w:rPr>
                    <w:t>mg/m</w:t>
                  </w:r>
                  <w:r>
                    <w:rPr>
                      <w:rFonts w:hint="eastAsia" w:ascii="Times New Roman" w:hAnsi="Times New Roman" w:eastAsia="宋体" w:cs="宋体"/>
                      <w:color w:val="auto"/>
                      <w:kern w:val="2"/>
                      <w:sz w:val="21"/>
                      <w:szCs w:val="21"/>
                      <w:vertAlign w:val="superscript"/>
                      <w:lang w:val="en-US" w:eastAsia="zh-CN" w:bidi="ar-SA"/>
                    </w:rPr>
                    <w:t>3</w:t>
                  </w:r>
                </w:p>
              </w:tc>
            </w:tr>
            <w:tr w14:paraId="21932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6" w:hRule="atLeast"/>
              </w:trPr>
              <w:tc>
                <w:tcPr>
                  <w:tcW w:w="390" w:type="pct"/>
                  <w:vMerge w:val="restart"/>
                  <w:vAlign w:val="center"/>
                </w:tcPr>
                <w:p w14:paraId="794575D8">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b w:val="0"/>
                      <w:bCs w:val="0"/>
                      <w:color w:val="auto"/>
                      <w:sz w:val="21"/>
                      <w:szCs w:val="21"/>
                      <w:lang w:val="en-US" w:eastAsia="zh-CN"/>
                    </w:rPr>
                    <w:t>清洗废气、检测废气</w:t>
                  </w:r>
                </w:p>
              </w:tc>
              <w:tc>
                <w:tcPr>
                  <w:tcW w:w="456" w:type="pct"/>
                  <w:vMerge w:val="restart"/>
                  <w:vAlign w:val="center"/>
                </w:tcPr>
                <w:p w14:paraId="1D23E3C3">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lang w:val="en-US" w:eastAsia="zh-CN" w:bidi="ar-SA"/>
                    </w:rPr>
                    <w:t>VOCs（非甲烷总烃）</w:t>
                  </w:r>
                </w:p>
              </w:tc>
              <w:tc>
                <w:tcPr>
                  <w:tcW w:w="618" w:type="pct"/>
                  <w:vMerge w:val="restart"/>
                  <w:vAlign w:val="center"/>
                </w:tcPr>
                <w:p w14:paraId="0BD1EA1A">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0.8</w:t>
                  </w:r>
                </w:p>
              </w:tc>
              <w:tc>
                <w:tcPr>
                  <w:tcW w:w="685" w:type="pct"/>
                  <w:vMerge w:val="restart"/>
                  <w:vAlign w:val="center"/>
                </w:tcPr>
                <w:p w14:paraId="6FAF298F">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0.4016</w:t>
                  </w:r>
                </w:p>
              </w:tc>
              <w:tc>
                <w:tcPr>
                  <w:tcW w:w="506" w:type="pct"/>
                  <w:shd w:val="clear" w:color="auto" w:fill="auto"/>
                  <w:vAlign w:val="center"/>
                </w:tcPr>
                <w:p w14:paraId="4AFC1075">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有组织</w:t>
                  </w:r>
                </w:p>
              </w:tc>
              <w:tc>
                <w:tcPr>
                  <w:tcW w:w="917" w:type="pct"/>
                  <w:shd w:val="clear" w:color="auto" w:fill="auto"/>
                  <w:vAlign w:val="center"/>
                </w:tcPr>
                <w:p w14:paraId="6982FF93">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宋体"/>
                      <w:color w:val="auto"/>
                      <w:kern w:val="2"/>
                      <w:sz w:val="21"/>
                      <w:szCs w:val="21"/>
                      <w:lang w:val="en-US" w:eastAsia="zh-CN" w:bidi="ar-SA"/>
                    </w:rPr>
                    <w:t>0.1</w:t>
                  </w:r>
                  <w:r>
                    <w:rPr>
                      <w:rFonts w:hint="eastAsia" w:cs="宋体"/>
                      <w:color w:val="auto"/>
                      <w:kern w:val="2"/>
                      <w:sz w:val="21"/>
                      <w:szCs w:val="21"/>
                      <w:lang w:val="en-US" w:eastAsia="zh-CN" w:bidi="ar-SA"/>
                    </w:rPr>
                    <w:t>8</w:t>
                  </w:r>
                </w:p>
              </w:tc>
              <w:tc>
                <w:tcPr>
                  <w:tcW w:w="747" w:type="pct"/>
                  <w:shd w:val="clear" w:color="auto" w:fill="auto"/>
                  <w:vAlign w:val="center"/>
                </w:tcPr>
                <w:p w14:paraId="1E0D4C88">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宋体"/>
                      <w:color w:val="auto"/>
                      <w:kern w:val="2"/>
                      <w:sz w:val="21"/>
                      <w:szCs w:val="21"/>
                      <w:lang w:val="en-US" w:eastAsia="zh-CN" w:bidi="ar-SA"/>
                    </w:rPr>
                    <w:t>0.0</w:t>
                  </w:r>
                  <w:r>
                    <w:rPr>
                      <w:rFonts w:hint="eastAsia" w:cs="宋体"/>
                      <w:color w:val="auto"/>
                      <w:kern w:val="2"/>
                      <w:sz w:val="21"/>
                      <w:szCs w:val="21"/>
                      <w:lang w:val="en-US" w:eastAsia="zh-CN" w:bidi="ar-SA"/>
                    </w:rPr>
                    <w:t>9036</w:t>
                  </w:r>
                </w:p>
              </w:tc>
              <w:tc>
                <w:tcPr>
                  <w:tcW w:w="677" w:type="pct"/>
                  <w:vAlign w:val="center"/>
                </w:tcPr>
                <w:p w14:paraId="576791D0">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cs="宋体"/>
                      <w:color w:val="auto"/>
                      <w:kern w:val="2"/>
                      <w:sz w:val="21"/>
                      <w:szCs w:val="21"/>
                      <w:lang w:val="en-US" w:eastAsia="zh-CN" w:bidi="ar-SA"/>
                    </w:rPr>
                    <w:t>7.5</w:t>
                  </w:r>
                </w:p>
              </w:tc>
            </w:tr>
            <w:tr w14:paraId="49E3D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6" w:hRule="atLeast"/>
              </w:trPr>
              <w:tc>
                <w:tcPr>
                  <w:tcW w:w="390" w:type="pct"/>
                  <w:vMerge w:val="continue"/>
                  <w:vAlign w:val="center"/>
                </w:tcPr>
                <w:p w14:paraId="7E1844AD">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color w:val="auto"/>
                      <w:sz w:val="21"/>
                      <w:szCs w:val="21"/>
                    </w:rPr>
                  </w:pPr>
                </w:p>
              </w:tc>
              <w:tc>
                <w:tcPr>
                  <w:tcW w:w="456" w:type="pct"/>
                  <w:vMerge w:val="continue"/>
                  <w:vAlign w:val="center"/>
                </w:tcPr>
                <w:p w14:paraId="0E93691C">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color w:val="auto"/>
                      <w:sz w:val="21"/>
                      <w:szCs w:val="21"/>
                    </w:rPr>
                  </w:pPr>
                </w:p>
              </w:tc>
              <w:tc>
                <w:tcPr>
                  <w:tcW w:w="618" w:type="pct"/>
                  <w:vMerge w:val="continue"/>
                  <w:vAlign w:val="center"/>
                </w:tcPr>
                <w:p w14:paraId="1629BF72">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color w:val="auto"/>
                      <w:sz w:val="21"/>
                      <w:szCs w:val="21"/>
                    </w:rPr>
                  </w:pPr>
                </w:p>
              </w:tc>
              <w:tc>
                <w:tcPr>
                  <w:tcW w:w="685" w:type="pct"/>
                  <w:vMerge w:val="continue"/>
                  <w:vAlign w:val="center"/>
                </w:tcPr>
                <w:p w14:paraId="1201848D">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color w:val="auto"/>
                      <w:sz w:val="21"/>
                      <w:szCs w:val="21"/>
                    </w:rPr>
                  </w:pPr>
                </w:p>
              </w:tc>
              <w:tc>
                <w:tcPr>
                  <w:tcW w:w="506" w:type="pct"/>
                  <w:shd w:val="clear" w:color="auto" w:fill="auto"/>
                  <w:vAlign w:val="center"/>
                </w:tcPr>
                <w:p w14:paraId="48B2E578">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无组织</w:t>
                  </w:r>
                </w:p>
              </w:tc>
              <w:tc>
                <w:tcPr>
                  <w:tcW w:w="917" w:type="pct"/>
                  <w:shd w:val="clear" w:color="auto" w:fill="auto"/>
                  <w:vAlign w:val="center"/>
                </w:tcPr>
                <w:p w14:paraId="0E9638BD">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cs="宋体"/>
                      <w:color w:val="auto"/>
                      <w:kern w:val="2"/>
                      <w:sz w:val="21"/>
                      <w:szCs w:val="21"/>
                      <w:lang w:val="en-US" w:eastAsia="zh-CN" w:bidi="ar-SA"/>
                    </w:rPr>
                    <w:t>0.08</w:t>
                  </w:r>
                </w:p>
              </w:tc>
              <w:tc>
                <w:tcPr>
                  <w:tcW w:w="747" w:type="pct"/>
                  <w:shd w:val="clear" w:color="auto" w:fill="auto"/>
                  <w:vAlign w:val="center"/>
                </w:tcPr>
                <w:p w14:paraId="0E3439C0">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宋体"/>
                      <w:color w:val="auto"/>
                      <w:kern w:val="2"/>
                      <w:sz w:val="21"/>
                      <w:szCs w:val="21"/>
                      <w:lang w:val="en-US" w:eastAsia="zh-CN" w:bidi="ar-SA"/>
                    </w:rPr>
                    <w:t>0.0</w:t>
                  </w:r>
                  <w:r>
                    <w:rPr>
                      <w:rFonts w:hint="eastAsia" w:cs="宋体"/>
                      <w:color w:val="auto"/>
                      <w:kern w:val="2"/>
                      <w:sz w:val="21"/>
                      <w:szCs w:val="21"/>
                      <w:lang w:val="en-US" w:eastAsia="zh-CN" w:bidi="ar-SA"/>
                    </w:rPr>
                    <w:t>4016</w:t>
                  </w:r>
                </w:p>
              </w:tc>
              <w:tc>
                <w:tcPr>
                  <w:tcW w:w="677" w:type="pct"/>
                  <w:vAlign w:val="center"/>
                </w:tcPr>
                <w:p w14:paraId="064842EB">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w:t>
                  </w:r>
                </w:p>
              </w:tc>
            </w:tr>
            <w:tr w14:paraId="53986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8" w:hRule="atLeast"/>
              </w:trPr>
              <w:tc>
                <w:tcPr>
                  <w:tcW w:w="390" w:type="pct"/>
                  <w:vMerge w:val="restart"/>
                  <w:vAlign w:val="center"/>
                </w:tcPr>
                <w:p w14:paraId="0386C31B">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宋体"/>
                      <w:b w:val="0"/>
                      <w:bCs w:val="0"/>
                      <w:color w:val="auto"/>
                      <w:sz w:val="21"/>
                      <w:szCs w:val="21"/>
                      <w:lang w:val="en-US" w:eastAsia="zh-CN" w:bidi="ar-SA"/>
                    </w:rPr>
                    <w:t>上盘废气</w:t>
                  </w:r>
                </w:p>
              </w:tc>
              <w:tc>
                <w:tcPr>
                  <w:tcW w:w="456" w:type="pct"/>
                  <w:vMerge w:val="restart"/>
                  <w:vAlign w:val="center"/>
                </w:tcPr>
                <w:p w14:paraId="106855AE">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0"/>
                      <w:sz w:val="21"/>
                      <w:szCs w:val="21"/>
                      <w:lang w:val="en-US" w:eastAsia="zh-CN" w:bidi="ar-SA"/>
                    </w:rPr>
                    <w:t>VOCs（非甲烷总烃）</w:t>
                  </w:r>
                </w:p>
              </w:tc>
              <w:tc>
                <w:tcPr>
                  <w:tcW w:w="618" w:type="pct"/>
                  <w:vMerge w:val="restart"/>
                  <w:shd w:val="clear" w:color="auto" w:fill="auto"/>
                  <w:vAlign w:val="center"/>
                </w:tcPr>
                <w:p w14:paraId="4E433EC6">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0.08</w:t>
                  </w:r>
                </w:p>
              </w:tc>
              <w:tc>
                <w:tcPr>
                  <w:tcW w:w="685" w:type="pct"/>
                  <w:vMerge w:val="restart"/>
                  <w:shd w:val="clear" w:color="auto" w:fill="auto"/>
                  <w:vAlign w:val="center"/>
                </w:tcPr>
                <w:p w14:paraId="4C403027">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0.4016</w:t>
                  </w:r>
                </w:p>
              </w:tc>
              <w:tc>
                <w:tcPr>
                  <w:tcW w:w="506" w:type="pct"/>
                  <w:shd w:val="clear" w:color="auto" w:fill="auto"/>
                  <w:vAlign w:val="center"/>
                </w:tcPr>
                <w:p w14:paraId="741A97E0">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有组织</w:t>
                  </w:r>
                </w:p>
              </w:tc>
              <w:tc>
                <w:tcPr>
                  <w:tcW w:w="917" w:type="pct"/>
                  <w:shd w:val="clear" w:color="auto" w:fill="auto"/>
                  <w:vAlign w:val="center"/>
                </w:tcPr>
                <w:p w14:paraId="65718122">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0.018</w:t>
                  </w:r>
                </w:p>
              </w:tc>
              <w:tc>
                <w:tcPr>
                  <w:tcW w:w="747" w:type="pct"/>
                  <w:shd w:val="clear" w:color="auto" w:fill="auto"/>
                  <w:vAlign w:val="center"/>
                </w:tcPr>
                <w:p w14:paraId="5E28AA7E">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0.009036</w:t>
                  </w:r>
                </w:p>
              </w:tc>
              <w:tc>
                <w:tcPr>
                  <w:tcW w:w="677" w:type="pct"/>
                  <w:shd w:val="clear" w:color="auto" w:fill="auto"/>
                  <w:vAlign w:val="center"/>
                </w:tcPr>
                <w:p w14:paraId="3FEE4C00">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0.75</w:t>
                  </w:r>
                </w:p>
              </w:tc>
            </w:tr>
            <w:tr w14:paraId="1B5D5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8" w:hRule="atLeast"/>
              </w:trPr>
              <w:tc>
                <w:tcPr>
                  <w:tcW w:w="390" w:type="pct"/>
                  <w:vMerge w:val="continue"/>
                  <w:vAlign w:val="center"/>
                </w:tcPr>
                <w:p w14:paraId="35F7E203">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color w:val="auto"/>
                      <w:sz w:val="21"/>
                      <w:szCs w:val="21"/>
                    </w:rPr>
                  </w:pPr>
                </w:p>
              </w:tc>
              <w:tc>
                <w:tcPr>
                  <w:tcW w:w="456" w:type="pct"/>
                  <w:vMerge w:val="continue"/>
                  <w:vAlign w:val="center"/>
                </w:tcPr>
                <w:p w14:paraId="0F0AB416">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color w:val="auto"/>
                      <w:sz w:val="21"/>
                      <w:szCs w:val="21"/>
                    </w:rPr>
                  </w:pPr>
                </w:p>
              </w:tc>
              <w:tc>
                <w:tcPr>
                  <w:tcW w:w="618" w:type="pct"/>
                  <w:vMerge w:val="continue"/>
                  <w:shd w:val="clear" w:color="auto" w:fill="auto"/>
                  <w:vAlign w:val="center"/>
                </w:tcPr>
                <w:p w14:paraId="652FA568">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color w:val="auto"/>
                      <w:sz w:val="21"/>
                      <w:szCs w:val="21"/>
                    </w:rPr>
                  </w:pPr>
                </w:p>
              </w:tc>
              <w:tc>
                <w:tcPr>
                  <w:tcW w:w="685" w:type="pct"/>
                  <w:vMerge w:val="continue"/>
                  <w:shd w:val="clear" w:color="auto" w:fill="auto"/>
                  <w:vAlign w:val="center"/>
                </w:tcPr>
                <w:p w14:paraId="0E774922">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color w:val="auto"/>
                      <w:sz w:val="21"/>
                      <w:szCs w:val="21"/>
                    </w:rPr>
                  </w:pPr>
                </w:p>
              </w:tc>
              <w:tc>
                <w:tcPr>
                  <w:tcW w:w="506" w:type="pct"/>
                  <w:shd w:val="clear" w:color="auto" w:fill="auto"/>
                  <w:vAlign w:val="center"/>
                </w:tcPr>
                <w:p w14:paraId="23885BC4">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无组织</w:t>
                  </w:r>
                </w:p>
              </w:tc>
              <w:tc>
                <w:tcPr>
                  <w:tcW w:w="917" w:type="pct"/>
                  <w:shd w:val="clear" w:color="auto" w:fill="auto"/>
                  <w:vAlign w:val="center"/>
                </w:tcPr>
                <w:p w14:paraId="2AF1F7F2">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0.008</w:t>
                  </w:r>
                </w:p>
              </w:tc>
              <w:tc>
                <w:tcPr>
                  <w:tcW w:w="747" w:type="pct"/>
                  <w:shd w:val="clear" w:color="auto" w:fill="auto"/>
                  <w:vAlign w:val="center"/>
                </w:tcPr>
                <w:p w14:paraId="51088780">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0.004016</w:t>
                  </w:r>
                </w:p>
              </w:tc>
              <w:tc>
                <w:tcPr>
                  <w:tcW w:w="677" w:type="pct"/>
                  <w:shd w:val="clear" w:color="auto" w:fill="auto"/>
                  <w:vAlign w:val="center"/>
                </w:tcPr>
                <w:p w14:paraId="52485C19">
                  <w:pPr>
                    <w:keepNext/>
                    <w:keepLines/>
                    <w:pageBreakBefore w:val="0"/>
                    <w:widowControl w:val="0"/>
                    <w:kinsoku/>
                    <w:wordWrap/>
                    <w:overflowPunct/>
                    <w:topLinePunct w:val="0"/>
                    <w:autoSpaceDE/>
                    <w:autoSpaceDN/>
                    <w:bidi w:val="0"/>
                    <w:adjustRightInd/>
                    <w:snapToGrid/>
                    <w:spacing w:beforeLines="0" w:beforeAutospacing="0" w:after="0" w:afterLines="0" w:afterAutospacing="0" w:line="360" w:lineRule="auto"/>
                    <w:jc w:val="center"/>
                    <w:textAlignment w:val="auto"/>
                    <w:outlineLvl w:val="2"/>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w:t>
                  </w:r>
                </w:p>
              </w:tc>
            </w:tr>
          </w:tbl>
          <w:p w14:paraId="717F33FB">
            <w:pPr>
              <w:keepNext/>
              <w:keepLines/>
              <w:pageBreakBefore w:val="0"/>
              <w:widowControl w:val="0"/>
              <w:kinsoku/>
              <w:wordWrap/>
              <w:overflowPunct/>
              <w:topLinePunct w:val="0"/>
              <w:autoSpaceDE/>
              <w:autoSpaceDN/>
              <w:bidi w:val="0"/>
              <w:adjustRightInd/>
              <w:snapToGrid/>
              <w:spacing w:beforeLines="0" w:beforeAutospacing="0" w:afterLines="0" w:afterAutospacing="0" w:line="360" w:lineRule="auto"/>
              <w:jc w:val="left"/>
              <w:textAlignment w:val="auto"/>
              <w:outlineLvl w:val="2"/>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Times New Roman"/>
                <w:b/>
                <w:bCs/>
                <w:color w:val="auto"/>
                <w:kern w:val="2"/>
                <w:sz w:val="28"/>
                <w:szCs w:val="28"/>
                <w:lang w:val="en-US" w:eastAsia="zh-CN" w:bidi="ar-SA"/>
              </w:rPr>
              <w:t>4.2.2运营期废气治理措施及达标分析</w:t>
            </w:r>
          </w:p>
          <w:p w14:paraId="5B8B4115">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（1）VOCs（以非甲烷总烃计）治理措施可行性分析</w:t>
            </w:r>
          </w:p>
          <w:p w14:paraId="0A28C5A3">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本项目采用车间密闭负压收集/设备密闭管道收集+</w:t>
            </w:r>
            <w:r>
              <w:rPr>
                <w:rFonts w:hint="eastAsia" w:ascii="Times New Roman" w:hAnsi="Times New Roman" w:cs="宋体"/>
                <w:color w:val="auto"/>
                <w:kern w:val="2"/>
                <w:sz w:val="24"/>
                <w:szCs w:val="24"/>
                <w:lang w:val="en-US" w:eastAsia="zh-CN" w:bidi="ar-SA"/>
              </w:rPr>
              <w:t>二级活性炭</w:t>
            </w:r>
            <w:r>
              <w:rPr>
                <w:rFonts w:hint="eastAsia" w:ascii="Times New Roman" w:hAnsi="Times New Roman" w:eastAsia="宋体" w:cs="宋体"/>
                <w:color w:val="auto"/>
                <w:kern w:val="2"/>
                <w:sz w:val="24"/>
                <w:szCs w:val="24"/>
                <w:lang w:val="en-US" w:eastAsia="zh-CN" w:bidi="ar-SA"/>
              </w:rPr>
              <w:t>吸附处理VOCs（以非甲烷总烃计）废气，有机废气经过收集，进入</w:t>
            </w:r>
            <w:r>
              <w:rPr>
                <w:rFonts w:hint="eastAsia" w:ascii="Times New Roman" w:hAnsi="Times New Roman" w:cs="宋体"/>
                <w:color w:val="auto"/>
                <w:kern w:val="2"/>
                <w:sz w:val="24"/>
                <w:szCs w:val="24"/>
                <w:lang w:val="en-US" w:eastAsia="zh-CN" w:bidi="ar-SA"/>
              </w:rPr>
              <w:t>二级活性炭</w:t>
            </w:r>
            <w:r>
              <w:rPr>
                <w:rFonts w:hint="eastAsia" w:ascii="Times New Roman" w:hAnsi="Times New Roman" w:eastAsia="宋体" w:cs="宋体"/>
                <w:color w:val="auto"/>
                <w:kern w:val="2"/>
                <w:sz w:val="24"/>
                <w:szCs w:val="24"/>
                <w:lang w:val="en-US" w:eastAsia="zh-CN" w:bidi="ar-SA"/>
              </w:rPr>
              <w:t>吸附装置，由</w:t>
            </w:r>
            <w:r>
              <w:rPr>
                <w:rFonts w:hint="eastAsia" w:ascii="Times New Roman" w:hAnsi="Times New Roman" w:cs="宋体"/>
                <w:color w:val="auto"/>
                <w:kern w:val="2"/>
                <w:sz w:val="24"/>
                <w:szCs w:val="24"/>
                <w:lang w:val="en-US" w:eastAsia="zh-CN" w:bidi="ar-SA"/>
              </w:rPr>
              <w:t>二级活性炭</w:t>
            </w:r>
            <w:r>
              <w:rPr>
                <w:rFonts w:hint="eastAsia" w:ascii="Times New Roman" w:hAnsi="Times New Roman" w:eastAsia="宋体" w:cs="宋体"/>
                <w:color w:val="auto"/>
                <w:kern w:val="2"/>
                <w:sz w:val="24"/>
                <w:szCs w:val="24"/>
                <w:lang w:val="en-US" w:eastAsia="zh-CN" w:bidi="ar-SA"/>
              </w:rPr>
              <w:t>吸附装置内的</w:t>
            </w:r>
            <w:r>
              <w:rPr>
                <w:rFonts w:hint="eastAsia" w:ascii="Times New Roman" w:hAnsi="Times New Roman" w:cs="宋体"/>
                <w:color w:val="auto"/>
                <w:kern w:val="2"/>
                <w:sz w:val="24"/>
                <w:szCs w:val="24"/>
                <w:lang w:val="en-US" w:eastAsia="zh-CN" w:bidi="ar-SA"/>
              </w:rPr>
              <w:t>活性炭</w:t>
            </w:r>
            <w:r>
              <w:rPr>
                <w:rFonts w:hint="eastAsia" w:ascii="Times New Roman" w:hAnsi="Times New Roman" w:eastAsia="宋体" w:cs="宋体"/>
                <w:color w:val="auto"/>
                <w:kern w:val="2"/>
                <w:sz w:val="24"/>
                <w:szCs w:val="24"/>
                <w:lang w:val="en-US" w:eastAsia="zh-CN" w:bidi="ar-SA"/>
              </w:rPr>
              <w:t>对废气进行进一步处理。</w:t>
            </w:r>
          </w:p>
          <w:p w14:paraId="7DBFA2C8">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cs="宋体"/>
                <w:color w:val="auto"/>
                <w:kern w:val="2"/>
                <w:sz w:val="24"/>
                <w:szCs w:val="24"/>
                <w:lang w:val="en-US" w:eastAsia="zh-CN" w:bidi="ar-SA"/>
              </w:rPr>
              <w:t>活性炭</w:t>
            </w:r>
            <w:r>
              <w:rPr>
                <w:rFonts w:hint="default" w:ascii="Times New Roman" w:hAnsi="Times New Roman" w:eastAsia="宋体" w:cs="宋体"/>
                <w:color w:val="auto"/>
                <w:kern w:val="2"/>
                <w:sz w:val="24"/>
                <w:szCs w:val="24"/>
                <w:lang w:val="en-US" w:eastAsia="zh-CN" w:bidi="ar-SA"/>
              </w:rPr>
              <w:t>，是一种具有多孔结构和大的内部比表面积的材料。由于其大的比表面积、微孔结构、高的吸附能力和很高的表面活性而成为独特的多功能吸附剂，且其价廉易得，可再生活化，同时它可有效去除废水、废气中的大部分有机物和某些无机物，所以它被世界各国广泛地应用于污水及废气的处理、空气净化、回收溶剂等环境保护和资源回收等领域。</w:t>
            </w:r>
            <w:r>
              <w:rPr>
                <w:rFonts w:hint="eastAsia" w:ascii="Times New Roman" w:hAnsi="Times New Roman" w:cs="宋体"/>
                <w:color w:val="auto"/>
                <w:kern w:val="2"/>
                <w:sz w:val="24"/>
                <w:szCs w:val="24"/>
                <w:lang w:val="en-US" w:eastAsia="zh-CN" w:bidi="ar-SA"/>
              </w:rPr>
              <w:t>活性炭</w:t>
            </w:r>
            <w:r>
              <w:rPr>
                <w:rFonts w:hint="default" w:ascii="Times New Roman" w:hAnsi="Times New Roman" w:eastAsia="宋体" w:cs="宋体"/>
                <w:color w:val="auto"/>
                <w:kern w:val="2"/>
                <w:sz w:val="24"/>
                <w:szCs w:val="24"/>
                <w:lang w:val="en-US" w:eastAsia="zh-CN" w:bidi="ar-SA"/>
              </w:rPr>
              <w:t>分为粉末</w:t>
            </w:r>
            <w:r>
              <w:rPr>
                <w:rFonts w:hint="eastAsia" w:ascii="Times New Roman" w:hAnsi="Times New Roman" w:cs="宋体"/>
                <w:color w:val="auto"/>
                <w:kern w:val="2"/>
                <w:sz w:val="24"/>
                <w:szCs w:val="24"/>
                <w:lang w:val="en-US" w:eastAsia="zh-CN" w:bidi="ar-SA"/>
              </w:rPr>
              <w:t>活性炭</w:t>
            </w:r>
            <w:r>
              <w:rPr>
                <w:rFonts w:hint="default" w:ascii="Times New Roman" w:hAnsi="Times New Roman" w:eastAsia="宋体" w:cs="宋体"/>
                <w:color w:val="auto"/>
                <w:kern w:val="2"/>
                <w:sz w:val="24"/>
                <w:szCs w:val="24"/>
                <w:lang w:val="en-US" w:eastAsia="zh-CN" w:bidi="ar-SA"/>
              </w:rPr>
              <w:t>、粒状</w:t>
            </w:r>
            <w:r>
              <w:rPr>
                <w:rFonts w:hint="eastAsia" w:ascii="Times New Roman" w:hAnsi="Times New Roman" w:cs="宋体"/>
                <w:color w:val="auto"/>
                <w:kern w:val="2"/>
                <w:sz w:val="24"/>
                <w:szCs w:val="24"/>
                <w:lang w:val="en-US" w:eastAsia="zh-CN" w:bidi="ar-SA"/>
              </w:rPr>
              <w:t>活性炭</w:t>
            </w:r>
            <w:r>
              <w:rPr>
                <w:rFonts w:hint="default" w:ascii="Times New Roman" w:hAnsi="Times New Roman" w:eastAsia="宋体" w:cs="宋体"/>
                <w:color w:val="auto"/>
                <w:kern w:val="2"/>
                <w:sz w:val="24"/>
                <w:szCs w:val="24"/>
                <w:lang w:val="en-US" w:eastAsia="zh-CN" w:bidi="ar-SA"/>
              </w:rPr>
              <w:t>及</w:t>
            </w:r>
            <w:r>
              <w:rPr>
                <w:rFonts w:hint="eastAsia" w:ascii="Times New Roman" w:hAnsi="Times New Roman" w:cs="宋体"/>
                <w:color w:val="auto"/>
                <w:kern w:val="2"/>
                <w:sz w:val="24"/>
                <w:szCs w:val="24"/>
                <w:lang w:val="en-US" w:eastAsia="zh-CN" w:bidi="ar-SA"/>
              </w:rPr>
              <w:t>活性炭</w:t>
            </w:r>
            <w:r>
              <w:rPr>
                <w:rFonts w:hint="default" w:ascii="Times New Roman" w:hAnsi="Times New Roman" w:eastAsia="宋体" w:cs="宋体"/>
                <w:color w:val="auto"/>
                <w:kern w:val="2"/>
                <w:sz w:val="24"/>
                <w:szCs w:val="24"/>
                <w:lang w:val="en-US" w:eastAsia="zh-CN" w:bidi="ar-SA"/>
              </w:rPr>
              <w:t>纤维，但是由于粉末</w:t>
            </w:r>
            <w:r>
              <w:rPr>
                <w:rFonts w:hint="eastAsia" w:ascii="Times New Roman" w:hAnsi="Times New Roman" w:cs="宋体"/>
                <w:color w:val="auto"/>
                <w:kern w:val="2"/>
                <w:sz w:val="24"/>
                <w:szCs w:val="24"/>
                <w:lang w:val="en-US" w:eastAsia="zh-CN" w:bidi="ar-SA"/>
              </w:rPr>
              <w:t>活性炭</w:t>
            </w:r>
            <w:r>
              <w:rPr>
                <w:rFonts w:hint="default" w:ascii="Times New Roman" w:hAnsi="Times New Roman" w:eastAsia="宋体" w:cs="宋体"/>
                <w:color w:val="auto"/>
                <w:kern w:val="2"/>
                <w:sz w:val="24"/>
                <w:szCs w:val="24"/>
                <w:lang w:val="en-US" w:eastAsia="zh-CN" w:bidi="ar-SA"/>
              </w:rPr>
              <w:t>产生二次污染且不能再生而被限制使用。</w:t>
            </w:r>
          </w:p>
          <w:p w14:paraId="3BE11CB3">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根据《吸附法工业有机废气治理工程技术规范》（HJ2026-2013）吸附剂的选择符合以下条件：当采用热气流吹扫方式再生时，煤质颗粒</w:t>
            </w:r>
            <w:r>
              <w:rPr>
                <w:rFonts w:hint="eastAsia" w:ascii="Times New Roman" w:hAnsi="Times New Roman" w:cs="宋体"/>
                <w:color w:val="auto"/>
                <w:kern w:val="2"/>
                <w:sz w:val="24"/>
                <w:szCs w:val="24"/>
                <w:lang w:val="en-US" w:eastAsia="zh-CN" w:bidi="ar-SA"/>
              </w:rPr>
              <w:t>活性炭</w:t>
            </w:r>
            <w:r>
              <w:rPr>
                <w:rFonts w:hint="eastAsia" w:ascii="Times New Roman" w:hAnsi="Times New Roman" w:eastAsia="宋体" w:cs="宋体"/>
                <w:color w:val="auto"/>
                <w:kern w:val="2"/>
                <w:sz w:val="24"/>
                <w:szCs w:val="24"/>
                <w:lang w:val="en-US" w:eastAsia="zh-CN" w:bidi="ar-SA"/>
              </w:rPr>
              <w:t>的性能应满足GB/T 7701.5的要求，采用非煤质</w:t>
            </w:r>
            <w:r>
              <w:rPr>
                <w:rFonts w:hint="eastAsia" w:ascii="Times New Roman" w:hAnsi="Times New Roman" w:cs="宋体"/>
                <w:color w:val="auto"/>
                <w:kern w:val="2"/>
                <w:sz w:val="24"/>
                <w:szCs w:val="24"/>
                <w:lang w:val="en-US" w:eastAsia="zh-CN" w:bidi="ar-SA"/>
              </w:rPr>
              <w:t>活性炭</w:t>
            </w:r>
            <w:r>
              <w:rPr>
                <w:rFonts w:hint="eastAsia" w:ascii="Times New Roman" w:hAnsi="Times New Roman" w:eastAsia="宋体" w:cs="宋体"/>
                <w:color w:val="auto"/>
                <w:kern w:val="2"/>
                <w:sz w:val="24"/>
                <w:szCs w:val="24"/>
                <w:lang w:val="en-US" w:eastAsia="zh-CN" w:bidi="ar-SA"/>
              </w:rPr>
              <w:t>作吸附剂时可参照执行。颗粒分子筛的BET比表面积应不低于350m</w:t>
            </w:r>
            <w:r>
              <w:rPr>
                <w:rFonts w:hint="eastAsia" w:ascii="Times New Roman" w:hAnsi="Times New Roman" w:eastAsia="宋体" w:cs="宋体"/>
                <w:color w:val="auto"/>
                <w:kern w:val="2"/>
                <w:sz w:val="24"/>
                <w:szCs w:val="24"/>
                <w:vertAlign w:val="superscript"/>
                <w:lang w:val="en-US" w:eastAsia="zh-CN" w:bidi="ar-SA"/>
              </w:rPr>
              <w:t>2</w:t>
            </w:r>
            <w:r>
              <w:rPr>
                <w:rFonts w:hint="eastAsia" w:ascii="Times New Roman" w:hAnsi="Times New Roman" w:eastAsia="宋体" w:cs="宋体"/>
                <w:color w:val="auto"/>
                <w:kern w:val="2"/>
                <w:sz w:val="24"/>
                <w:szCs w:val="24"/>
                <w:lang w:val="en-US" w:eastAsia="zh-CN" w:bidi="ar-SA"/>
              </w:rPr>
              <w:t>/g。固定床吸附装置吸附层的气体流速应根据吸附剂的形态确定。采用颗粒状吸附剂时，气体流速宜低于0.60m/s；采用纤维状吸附剂（</w:t>
            </w:r>
            <w:r>
              <w:rPr>
                <w:rFonts w:hint="eastAsia" w:ascii="Times New Roman" w:hAnsi="Times New Roman" w:cs="宋体"/>
                <w:color w:val="auto"/>
                <w:kern w:val="2"/>
                <w:sz w:val="24"/>
                <w:szCs w:val="24"/>
                <w:lang w:val="en-US" w:eastAsia="zh-CN" w:bidi="ar-SA"/>
              </w:rPr>
              <w:t>活性炭</w:t>
            </w:r>
            <w:r>
              <w:rPr>
                <w:rFonts w:hint="eastAsia" w:ascii="Times New Roman" w:hAnsi="Times New Roman" w:eastAsia="宋体" w:cs="宋体"/>
                <w:color w:val="auto"/>
                <w:kern w:val="2"/>
                <w:sz w:val="24"/>
                <w:szCs w:val="24"/>
                <w:lang w:val="en-US" w:eastAsia="zh-CN" w:bidi="ar-SA"/>
              </w:rPr>
              <w:t>纤维毡）时，气体流速宜低于0.15m/s；采用蜂窝状吸附剂时，气体流速宜低于1.20m/s。对于一次性吸附工艺，当排气浓度不能满足设计或排放要求时应更换吸附剂：对于可再生工艺应定期对吸附剂动态吸附量进行检测，当动态吸附量降低至设计值的80%时宜更换吸附剂。</w:t>
            </w:r>
          </w:p>
          <w:p w14:paraId="0CF5C82F">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本项目采用</w:t>
            </w:r>
            <w:r>
              <w:rPr>
                <w:rFonts w:hint="default" w:ascii="Times New Roman" w:hAnsi="Times New Roman" w:eastAsia="宋体" w:cs="宋体"/>
                <w:color w:val="auto"/>
                <w:kern w:val="2"/>
                <w:sz w:val="24"/>
                <w:szCs w:val="24"/>
                <w:lang w:val="en-US" w:eastAsia="zh-CN" w:bidi="ar-SA"/>
              </w:rPr>
              <w:t>颗粒</w:t>
            </w:r>
            <w:r>
              <w:rPr>
                <w:rFonts w:hint="eastAsia" w:ascii="Times New Roman" w:hAnsi="Times New Roman" w:cs="宋体"/>
                <w:color w:val="auto"/>
                <w:kern w:val="2"/>
                <w:sz w:val="24"/>
                <w:szCs w:val="24"/>
                <w:lang w:val="en-US" w:eastAsia="zh-CN" w:bidi="ar-SA"/>
              </w:rPr>
              <w:t>活性炭</w:t>
            </w:r>
            <w:r>
              <w:rPr>
                <w:rFonts w:hint="default" w:ascii="Times New Roman" w:hAnsi="Times New Roman" w:eastAsia="宋体" w:cs="宋体"/>
                <w:color w:val="auto"/>
                <w:kern w:val="2"/>
                <w:sz w:val="24"/>
                <w:szCs w:val="24"/>
                <w:lang w:val="en-US" w:eastAsia="zh-CN" w:bidi="ar-SA"/>
              </w:rPr>
              <w:t>作为吸附剂，其碘值不宜低于800mg/g</w:t>
            </w:r>
            <w:r>
              <w:rPr>
                <w:rFonts w:hint="eastAsia" w:ascii="Times New Roman" w:hAnsi="Times New Roman" w:eastAsia="宋体" w:cs="宋体"/>
                <w:color w:val="auto"/>
                <w:kern w:val="2"/>
                <w:sz w:val="24"/>
                <w:szCs w:val="24"/>
                <w:lang w:val="en-US" w:eastAsia="zh-CN" w:bidi="ar-SA"/>
              </w:rPr>
              <w:t>，最少一次填装量为1吨</w:t>
            </w:r>
            <w:r>
              <w:rPr>
                <w:rFonts w:hint="default" w:ascii="Times New Roman" w:hAnsi="Times New Roman" w:eastAsia="宋体" w:cs="宋体"/>
                <w:color w:val="auto"/>
                <w:kern w:val="2"/>
                <w:sz w:val="24"/>
                <w:szCs w:val="24"/>
                <w:lang w:val="en-US" w:eastAsia="zh-CN" w:bidi="ar-SA"/>
              </w:rPr>
              <w:t>。</w:t>
            </w:r>
            <w:r>
              <w:rPr>
                <w:rFonts w:hint="eastAsia" w:ascii="Times New Roman" w:hAnsi="Times New Roman" w:eastAsia="宋体" w:cs="宋体"/>
                <w:color w:val="auto"/>
                <w:kern w:val="2"/>
                <w:sz w:val="24"/>
                <w:szCs w:val="24"/>
                <w:lang w:val="en-US" w:eastAsia="zh-CN" w:bidi="ar-SA"/>
              </w:rPr>
              <w:t>按三个月充填量进行设置。</w:t>
            </w:r>
            <w:r>
              <w:rPr>
                <w:rFonts w:hint="default" w:ascii="Times New Roman" w:hAnsi="Times New Roman" w:eastAsia="宋体" w:cs="宋体"/>
                <w:color w:val="auto"/>
                <w:kern w:val="2"/>
                <w:sz w:val="24"/>
                <w:szCs w:val="24"/>
                <w:lang w:val="en-US" w:eastAsia="zh-CN" w:bidi="ar-SA"/>
              </w:rPr>
              <w:t>一次性</w:t>
            </w:r>
            <w:r>
              <w:rPr>
                <w:rFonts w:hint="eastAsia" w:ascii="Times New Roman" w:hAnsi="Times New Roman" w:cs="宋体"/>
                <w:color w:val="auto"/>
                <w:kern w:val="2"/>
                <w:sz w:val="24"/>
                <w:szCs w:val="24"/>
                <w:lang w:val="en-US" w:eastAsia="zh-CN" w:bidi="ar-SA"/>
              </w:rPr>
              <w:t>活性炭</w:t>
            </w:r>
            <w:r>
              <w:rPr>
                <w:rFonts w:hint="default" w:ascii="Times New Roman" w:hAnsi="Times New Roman" w:eastAsia="宋体" w:cs="宋体"/>
                <w:color w:val="auto"/>
                <w:kern w:val="2"/>
                <w:sz w:val="24"/>
                <w:szCs w:val="24"/>
                <w:lang w:val="en-US" w:eastAsia="zh-CN" w:bidi="ar-SA"/>
              </w:rPr>
              <w:t>吸附工艺宜采用颗粒</w:t>
            </w:r>
            <w:r>
              <w:rPr>
                <w:rFonts w:hint="eastAsia" w:ascii="Times New Roman" w:hAnsi="Times New Roman" w:cs="宋体"/>
                <w:color w:val="auto"/>
                <w:kern w:val="2"/>
                <w:sz w:val="24"/>
                <w:szCs w:val="24"/>
                <w:lang w:val="en-US" w:eastAsia="zh-CN" w:bidi="ar-SA"/>
              </w:rPr>
              <w:t>活性炭</w:t>
            </w:r>
            <w:r>
              <w:rPr>
                <w:rFonts w:hint="default" w:ascii="Times New Roman" w:hAnsi="Times New Roman" w:eastAsia="宋体" w:cs="宋体"/>
                <w:color w:val="auto"/>
                <w:kern w:val="2"/>
                <w:sz w:val="24"/>
                <w:szCs w:val="24"/>
                <w:lang w:val="en-US" w:eastAsia="zh-CN" w:bidi="ar-SA"/>
              </w:rPr>
              <w:t>作为吸附剂。</w:t>
            </w:r>
            <w:r>
              <w:rPr>
                <w:rFonts w:hint="eastAsia" w:ascii="Times New Roman" w:hAnsi="Times New Roman" w:cs="宋体"/>
                <w:color w:val="auto"/>
                <w:kern w:val="2"/>
                <w:sz w:val="24"/>
                <w:szCs w:val="24"/>
                <w:lang w:val="en-US" w:eastAsia="zh-CN" w:bidi="ar-SA"/>
              </w:rPr>
              <w:t>活性炭</w:t>
            </w:r>
            <w:r>
              <w:rPr>
                <w:rFonts w:hint="default" w:ascii="Times New Roman" w:hAnsi="Times New Roman" w:eastAsia="宋体" w:cs="宋体"/>
                <w:color w:val="auto"/>
                <w:kern w:val="2"/>
                <w:sz w:val="24"/>
                <w:szCs w:val="24"/>
                <w:lang w:val="en-US" w:eastAsia="zh-CN" w:bidi="ar-SA"/>
              </w:rPr>
              <w:t>、</w:t>
            </w:r>
            <w:r>
              <w:rPr>
                <w:rFonts w:hint="eastAsia" w:ascii="Times New Roman" w:hAnsi="Times New Roman" w:cs="宋体"/>
                <w:color w:val="auto"/>
                <w:kern w:val="2"/>
                <w:sz w:val="24"/>
                <w:szCs w:val="24"/>
                <w:lang w:val="en-US" w:eastAsia="zh-CN" w:bidi="ar-SA"/>
              </w:rPr>
              <w:t>活性炭</w:t>
            </w:r>
            <w:r>
              <w:rPr>
                <w:rFonts w:hint="default" w:ascii="Times New Roman" w:hAnsi="Times New Roman" w:eastAsia="宋体" w:cs="宋体"/>
                <w:color w:val="auto"/>
                <w:kern w:val="2"/>
                <w:sz w:val="24"/>
                <w:szCs w:val="24"/>
                <w:lang w:val="en-US" w:eastAsia="zh-CN" w:bidi="ar-SA"/>
              </w:rPr>
              <w:t>纤维产品销售时应提供产品质量证明材料，项目计划每</w:t>
            </w:r>
            <w:r>
              <w:rPr>
                <w:rFonts w:hint="eastAsia" w:cs="宋体"/>
                <w:color w:val="auto"/>
                <w:kern w:val="2"/>
                <w:sz w:val="24"/>
                <w:szCs w:val="24"/>
                <w:lang w:val="en-US" w:eastAsia="zh-CN" w:bidi="ar-SA"/>
              </w:rPr>
              <w:t>三</w:t>
            </w:r>
            <w:r>
              <w:rPr>
                <w:rFonts w:hint="default" w:ascii="Times New Roman" w:hAnsi="Times New Roman" w:eastAsia="宋体" w:cs="宋体"/>
                <w:color w:val="auto"/>
                <w:kern w:val="2"/>
                <w:sz w:val="24"/>
                <w:szCs w:val="24"/>
                <w:lang w:val="en-US" w:eastAsia="zh-CN" w:bidi="ar-SA"/>
              </w:rPr>
              <w:t>个月更换一次</w:t>
            </w:r>
            <w:r>
              <w:rPr>
                <w:rFonts w:hint="eastAsia" w:ascii="Times New Roman" w:hAnsi="Times New Roman" w:cs="宋体"/>
                <w:color w:val="auto"/>
                <w:kern w:val="2"/>
                <w:sz w:val="24"/>
                <w:szCs w:val="24"/>
                <w:lang w:val="en-US" w:eastAsia="zh-CN" w:bidi="ar-SA"/>
              </w:rPr>
              <w:t>活性炭</w:t>
            </w:r>
            <w:r>
              <w:rPr>
                <w:rFonts w:hint="eastAsia" w:ascii="Times New Roman" w:hAnsi="Times New Roman" w:eastAsia="宋体" w:cs="宋体"/>
                <w:color w:val="auto"/>
                <w:kern w:val="2"/>
                <w:sz w:val="24"/>
                <w:szCs w:val="24"/>
                <w:lang w:val="en-US" w:eastAsia="zh-CN" w:bidi="ar-SA"/>
              </w:rPr>
              <w:t>，能够保证动态吸附力降至设计值的80%之前更换</w:t>
            </w:r>
            <w:r>
              <w:rPr>
                <w:rFonts w:hint="default" w:ascii="Times New Roman" w:hAnsi="Times New Roman" w:eastAsia="宋体" w:cs="宋体"/>
                <w:color w:val="auto"/>
                <w:kern w:val="2"/>
                <w:sz w:val="24"/>
                <w:szCs w:val="24"/>
                <w:lang w:val="en-US" w:eastAsia="zh-CN" w:bidi="ar-SA"/>
              </w:rPr>
              <w:t>。</w:t>
            </w:r>
            <w:r>
              <w:rPr>
                <w:rFonts w:hint="eastAsia" w:ascii="Times New Roman" w:hAnsi="Times New Roman" w:cs="宋体"/>
                <w:color w:val="auto"/>
                <w:kern w:val="2"/>
                <w:sz w:val="24"/>
                <w:szCs w:val="24"/>
                <w:lang w:val="en-US" w:eastAsia="zh-CN" w:bidi="ar-SA"/>
              </w:rPr>
              <w:t>活性炭</w:t>
            </w:r>
            <w:r>
              <w:rPr>
                <w:rFonts w:hint="default" w:ascii="Times New Roman" w:hAnsi="Times New Roman" w:eastAsia="宋体" w:cs="宋体"/>
                <w:color w:val="auto"/>
                <w:kern w:val="2"/>
                <w:sz w:val="24"/>
                <w:szCs w:val="24"/>
                <w:lang w:val="en-US" w:eastAsia="zh-CN" w:bidi="ar-SA"/>
              </w:rPr>
              <w:t>对有机废气具有良好的吸附效果，可使得有机废气处理能力达到</w:t>
            </w:r>
            <w:r>
              <w:rPr>
                <w:rFonts w:hint="eastAsia" w:ascii="Times New Roman" w:hAnsi="Times New Roman" w:eastAsia="宋体" w:cs="宋体"/>
                <w:color w:val="auto"/>
                <w:kern w:val="2"/>
                <w:sz w:val="24"/>
                <w:szCs w:val="24"/>
                <w:lang w:val="en-US" w:eastAsia="zh-CN" w:bidi="ar-SA"/>
              </w:rPr>
              <w:t>75</w:t>
            </w:r>
            <w:r>
              <w:rPr>
                <w:rFonts w:hint="default" w:ascii="Times New Roman" w:hAnsi="Times New Roman" w:eastAsia="宋体" w:cs="宋体"/>
                <w:color w:val="auto"/>
                <w:kern w:val="2"/>
                <w:sz w:val="24"/>
                <w:szCs w:val="24"/>
                <w:lang w:val="en-US" w:eastAsia="zh-CN" w:bidi="ar-SA"/>
              </w:rPr>
              <w:t>%以上。</w:t>
            </w:r>
          </w:p>
          <w:p w14:paraId="00E5738A">
            <w:pPr>
              <w:pStyle w:val="5"/>
              <w:bidi w:val="0"/>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（2）</w:t>
            </w:r>
            <w:r>
              <w:rPr>
                <w:rFonts w:hint="default" w:ascii="Times New Roman" w:hAnsi="Times New Roman" w:eastAsia="宋体" w:cs="宋体"/>
                <w:color w:val="auto"/>
                <w:kern w:val="2"/>
                <w:sz w:val="24"/>
                <w:szCs w:val="24"/>
                <w:lang w:val="en-US" w:eastAsia="zh-CN" w:bidi="ar-SA"/>
              </w:rPr>
              <w:t>集气效率要求及可靠性分析</w:t>
            </w:r>
          </w:p>
          <w:p w14:paraId="6C75F914">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根据《福建省环保厅关于印发福建省重点行业挥发性有机物排放控制要求（试行）的通知》（闽环保大气〔2017〕9号）中提出的密闭式局部收集的逸散的VOCs废气收集率应达到80%以上。本项目挥发性有机物排放主要为有机废气。项目车间除出入外，其他均为密闭，收集效率按</w:t>
            </w:r>
            <w:r>
              <w:rPr>
                <w:rFonts w:hint="eastAsia" w:ascii="Times New Roman" w:hAnsi="Times New Roman" w:eastAsia="宋体" w:cs="宋体"/>
                <w:color w:val="auto"/>
                <w:kern w:val="2"/>
                <w:sz w:val="24"/>
                <w:szCs w:val="24"/>
                <w:lang w:val="en-US" w:eastAsia="zh-CN" w:bidi="ar-SA"/>
              </w:rPr>
              <w:t>90</w:t>
            </w:r>
            <w:r>
              <w:rPr>
                <w:rFonts w:hint="default" w:ascii="Times New Roman" w:hAnsi="Times New Roman" w:eastAsia="宋体" w:cs="宋体"/>
                <w:color w:val="auto"/>
                <w:kern w:val="2"/>
                <w:sz w:val="24"/>
                <w:szCs w:val="24"/>
                <w:lang w:val="en-US" w:eastAsia="zh-CN" w:bidi="ar-SA"/>
              </w:rPr>
              <w:t>%计，要求废气收集系统与生产设备自动同步启动，采取以上措施，正常情况，可确保收集效率可达</w:t>
            </w:r>
            <w:r>
              <w:rPr>
                <w:rFonts w:hint="eastAsia" w:ascii="Times New Roman" w:hAnsi="Times New Roman" w:eastAsia="宋体" w:cs="宋体"/>
                <w:color w:val="auto"/>
                <w:kern w:val="2"/>
                <w:sz w:val="24"/>
                <w:szCs w:val="24"/>
                <w:lang w:val="en-US" w:eastAsia="zh-CN" w:bidi="ar-SA"/>
              </w:rPr>
              <w:t>90%</w:t>
            </w:r>
            <w:r>
              <w:rPr>
                <w:rFonts w:hint="default" w:ascii="Times New Roman" w:hAnsi="Times New Roman" w:eastAsia="宋体" w:cs="宋体"/>
                <w:color w:val="auto"/>
                <w:kern w:val="2"/>
                <w:sz w:val="24"/>
                <w:szCs w:val="24"/>
                <w:lang w:val="en-US" w:eastAsia="zh-CN" w:bidi="ar-SA"/>
              </w:rPr>
              <w:t>，可符合闽环保大气〔2017〕9号提出VOCs废气收集率应达到80%以上，可符合要求。</w:t>
            </w:r>
          </w:p>
          <w:p w14:paraId="01E42CF6">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（3）无组织废气防治措施分析</w:t>
            </w:r>
          </w:p>
          <w:p w14:paraId="57907A55">
            <w:pPr>
              <w:pStyle w:val="5"/>
              <w:bidi w:val="0"/>
              <w:rPr>
                <w:rFonts w:hint="default" w:ascii="Times New Roman" w:hAnsi="Times New Roman"/>
                <w:color w:val="auto"/>
                <w:lang w:val="en-US" w:eastAsia="zh-CN"/>
              </w:rPr>
            </w:pPr>
            <w:r>
              <w:rPr>
                <w:rFonts w:hint="default" w:ascii="Times New Roman" w:hAnsi="Times New Roman"/>
                <w:color w:val="auto"/>
                <w:lang w:val="en-US" w:eastAsia="zh-CN"/>
              </w:rPr>
              <w:t>项目无组织废气主要为</w:t>
            </w:r>
            <w:r>
              <w:rPr>
                <w:rFonts w:hint="eastAsia" w:ascii="Times New Roman" w:hAnsi="Times New Roman"/>
                <w:color w:val="auto"/>
                <w:lang w:val="en-US" w:eastAsia="zh-CN"/>
              </w:rPr>
              <w:t>使用有机溶剂时</w:t>
            </w:r>
            <w:r>
              <w:rPr>
                <w:rFonts w:hint="default" w:ascii="Times New Roman" w:hAnsi="Times New Roman"/>
                <w:color w:val="auto"/>
                <w:lang w:val="en-US" w:eastAsia="zh-CN"/>
              </w:rPr>
              <w:t>产生的</w:t>
            </w:r>
            <w:r>
              <w:rPr>
                <w:rFonts w:hint="eastAsia" w:ascii="Times New Roman" w:hAnsi="Times New Roman"/>
                <w:color w:val="auto"/>
                <w:lang w:val="en-US" w:eastAsia="zh-CN"/>
              </w:rPr>
              <w:t>有机废气（以非甲烷总烃计）</w:t>
            </w:r>
            <w:r>
              <w:rPr>
                <w:rFonts w:hint="default" w:ascii="Times New Roman" w:hAnsi="Times New Roman"/>
                <w:color w:val="auto"/>
                <w:lang w:val="en-US" w:eastAsia="zh-CN"/>
              </w:rPr>
              <w:t>。采取的防止无组织气体排放的主要措施有：</w:t>
            </w:r>
          </w:p>
          <w:p w14:paraId="3E5E4143">
            <w:pPr>
              <w:pStyle w:val="5"/>
              <w:bidi w:val="0"/>
              <w:rPr>
                <w:rFonts w:hint="default" w:ascii="Times New Roman" w:hAnsi="Times New Roman"/>
                <w:color w:val="auto"/>
                <w:lang w:val="en-US" w:eastAsia="zh-CN"/>
              </w:rPr>
            </w:pPr>
            <w:r>
              <w:rPr>
                <w:rFonts w:hint="default" w:ascii="Times New Roman" w:hAnsi="Times New Roman"/>
                <w:color w:val="auto"/>
                <w:lang w:val="en-US" w:eastAsia="zh-CN"/>
              </w:rPr>
              <w:t>A、加强废气集中收集和处理，确保</w:t>
            </w:r>
            <w:r>
              <w:rPr>
                <w:rFonts w:hint="eastAsia" w:ascii="Times New Roman" w:hAnsi="Times New Roman"/>
                <w:color w:val="auto"/>
                <w:lang w:val="en-US" w:eastAsia="zh-CN"/>
              </w:rPr>
              <w:t>密闭负压车间的</w:t>
            </w:r>
            <w:r>
              <w:rPr>
                <w:rFonts w:hint="default" w:ascii="Times New Roman" w:hAnsi="Times New Roman"/>
                <w:color w:val="auto"/>
                <w:lang w:val="en-US" w:eastAsia="zh-CN"/>
              </w:rPr>
              <w:t>废气收集系统的密闭性，减少废气的无组织排放。</w:t>
            </w:r>
          </w:p>
          <w:p w14:paraId="7FAED61D">
            <w:pPr>
              <w:pStyle w:val="5"/>
              <w:bidi w:val="0"/>
              <w:rPr>
                <w:rFonts w:hint="default" w:ascii="Times New Roman" w:hAnsi="Times New Roman"/>
                <w:color w:val="auto"/>
                <w:lang w:val="en-US" w:eastAsia="zh-CN"/>
              </w:rPr>
            </w:pPr>
            <w:r>
              <w:rPr>
                <w:rFonts w:hint="default" w:ascii="Times New Roman" w:hAnsi="Times New Roman"/>
                <w:color w:val="auto"/>
                <w:lang w:val="en-US" w:eastAsia="zh-CN"/>
              </w:rPr>
              <w:t>B、</w:t>
            </w:r>
            <w:r>
              <w:rPr>
                <w:rFonts w:hint="eastAsia" w:ascii="Times New Roman" w:hAnsi="Times New Roman"/>
                <w:color w:val="auto"/>
                <w:lang w:val="en-US" w:eastAsia="zh-CN"/>
              </w:rPr>
              <w:t>定期检查密闭负压车间的密闭情况、负压情况，确保废气能被连续、稳定的收集。</w:t>
            </w:r>
          </w:p>
          <w:p w14:paraId="58C37DD6">
            <w:pPr>
              <w:pStyle w:val="5"/>
              <w:bidi w:val="0"/>
              <w:rPr>
                <w:rFonts w:hint="default" w:ascii="Times New Roman" w:hAnsi="Times New Roman"/>
                <w:color w:val="auto"/>
                <w:lang w:val="en-US" w:eastAsia="zh-CN"/>
              </w:rPr>
            </w:pPr>
            <w:r>
              <w:rPr>
                <w:rFonts w:hint="default" w:ascii="Times New Roman" w:hAnsi="Times New Roman"/>
                <w:color w:val="auto"/>
                <w:lang w:val="en-US" w:eastAsia="zh-CN"/>
              </w:rPr>
              <w:t>C、加强运行管理和环境管理，提高工人操作水平，通过宣传增强职工环保意识，积极推行清洁生产，节能降耗，多种措施并举，减少污染物排放。</w:t>
            </w:r>
          </w:p>
          <w:p w14:paraId="2E408B21">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综上，通过采取以上废气治理措施后，</w:t>
            </w:r>
            <w:r>
              <w:rPr>
                <w:rFonts w:hint="eastAsia" w:ascii="Times New Roman" w:hAnsi="Times New Roman" w:eastAsia="宋体" w:cs="宋体"/>
                <w:color w:val="auto"/>
                <w:kern w:val="2"/>
                <w:sz w:val="24"/>
                <w:szCs w:val="24"/>
                <w:lang w:val="en-US" w:eastAsia="zh-CN" w:bidi="ar-SA"/>
              </w:rPr>
              <w:t>有组织废气能够达到《工业企业挥发性有机物排放标准》（DB35/1782-2018）表1中其他行业标准。</w:t>
            </w:r>
            <w:r>
              <w:rPr>
                <w:rFonts w:hint="default" w:ascii="Times New Roman" w:hAnsi="Times New Roman" w:eastAsia="宋体" w:cs="宋体"/>
                <w:color w:val="auto"/>
                <w:kern w:val="2"/>
                <w:sz w:val="24"/>
                <w:szCs w:val="24"/>
                <w:lang w:val="en-US" w:eastAsia="zh-CN" w:bidi="ar-SA"/>
              </w:rPr>
              <w:t>对周边环境影响较小。</w:t>
            </w:r>
          </w:p>
          <w:p w14:paraId="1C27ED0E">
            <w:pPr>
              <w:keepNext/>
              <w:keepLines/>
              <w:widowControl w:val="0"/>
              <w:bidi w:val="0"/>
              <w:spacing w:beforeLines="0" w:beforeAutospacing="0" w:afterLines="0" w:afterAutospacing="0" w:line="360" w:lineRule="auto"/>
              <w:jc w:val="left"/>
              <w:outlineLvl w:val="2"/>
              <w:rPr>
                <w:rFonts w:hint="default" w:ascii="Times New Roman" w:hAnsi="Times New Roman" w:eastAsia="宋体" w:cs="Times New Roman"/>
                <w:b/>
                <w:color w:val="auto"/>
                <w:kern w:val="2"/>
                <w:sz w:val="24"/>
                <w:szCs w:val="24"/>
                <w:lang w:val="en-US" w:eastAsia="zh-CN" w:bidi="ar-SA"/>
              </w:rPr>
            </w:pPr>
            <w:r>
              <w:rPr>
                <w:rFonts w:hint="default" w:ascii="Times New Roman" w:hAnsi="Times New Roman" w:eastAsia="宋体" w:cs="Times New Roman"/>
                <w:b/>
                <w:color w:val="auto"/>
                <w:kern w:val="2"/>
                <w:sz w:val="24"/>
                <w:szCs w:val="24"/>
                <w:lang w:val="en-US" w:eastAsia="zh-CN" w:bidi="ar-SA"/>
              </w:rPr>
              <w:t>4.2.3非正常工况排放量核算</w:t>
            </w:r>
          </w:p>
          <w:p w14:paraId="762A15C8">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（1）非正常排放情形及排放源强</w:t>
            </w:r>
          </w:p>
          <w:p w14:paraId="3CBC130F">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非正常排放情况指设备检修、污染物排放控制措施达不到应有效率、工艺设备运转异常等情况下的排污。根据本项目的情况，结合同类企业运营情况，确定项目非正常排放情况为污染治理设施发生故障、运转异常（如风机故障、集气管道破裂等），或维护不到位导致废气处理设施效率降低等非正常工况，情形如下：</w:t>
            </w:r>
          </w:p>
          <w:p w14:paraId="0F39CBB2">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①有机废气处理设施故障，导致有机废气非正常排放。</w:t>
            </w:r>
          </w:p>
          <w:p w14:paraId="26AB5BBD">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本评价按最不利情况考虑，即废气处理效率降低为0%的情况下污染物排放对周边环境的影响。由于有机废气事故排放效果不显著，短时间内难以发现，非正常工况持续时间按1h计，发生频率按1次/年。非正常工况下废气排放源强核算结果见下表4.2-</w:t>
            </w:r>
            <w:r>
              <w:rPr>
                <w:rFonts w:hint="eastAsia" w:ascii="Times New Roman" w:hAnsi="Times New Roman" w:eastAsia="宋体" w:cs="宋体"/>
                <w:color w:val="auto"/>
                <w:kern w:val="2"/>
                <w:sz w:val="24"/>
                <w:szCs w:val="24"/>
                <w:lang w:val="en-US" w:eastAsia="zh-CN" w:bidi="ar-SA"/>
              </w:rPr>
              <w:t>2</w:t>
            </w:r>
            <w:r>
              <w:rPr>
                <w:rFonts w:hint="default" w:ascii="Times New Roman" w:hAnsi="Times New Roman" w:eastAsia="宋体" w:cs="宋体"/>
                <w:color w:val="auto"/>
                <w:kern w:val="2"/>
                <w:sz w:val="24"/>
                <w:szCs w:val="24"/>
                <w:lang w:val="en-US" w:eastAsia="zh-CN" w:bidi="ar-SA"/>
              </w:rPr>
              <w:t>。</w:t>
            </w:r>
          </w:p>
          <w:p w14:paraId="7F99DAFF">
            <w:pPr>
              <w:widowControl w:val="0"/>
              <w:bidi w:val="0"/>
              <w:adjustRightInd w:val="0"/>
              <w:snapToGrid w:val="0"/>
              <w:spacing w:before="10" w:beforeLines="10" w:after="10" w:afterLines="10"/>
              <w:jc w:val="center"/>
              <w:rPr>
                <w:rFonts w:hint="default" w:ascii="Times New Roman" w:hAnsi="Times New Roman" w:eastAsia="宋体" w:cs="Times New Roman"/>
                <w:b/>
                <w:color w:val="auto"/>
                <w:kern w:val="0"/>
                <w:sz w:val="24"/>
                <w:szCs w:val="20"/>
                <w:lang w:val="en-US" w:eastAsia="zh-CN" w:bidi="ar-SA"/>
              </w:rPr>
            </w:pPr>
            <w:r>
              <w:rPr>
                <w:rFonts w:hint="default" w:ascii="Times New Roman" w:hAnsi="Times New Roman" w:eastAsia="宋体" w:cs="Times New Roman"/>
                <w:b/>
                <w:color w:val="auto"/>
                <w:kern w:val="0"/>
                <w:sz w:val="24"/>
                <w:szCs w:val="20"/>
                <w:lang w:val="en-US" w:eastAsia="zh-CN" w:bidi="ar-SA"/>
              </w:rPr>
              <w:t>表4.2-</w:t>
            </w:r>
            <w:r>
              <w:rPr>
                <w:rFonts w:hint="eastAsia" w:ascii="Times New Roman" w:hAnsi="Times New Roman" w:eastAsia="宋体" w:cs="Times New Roman"/>
                <w:b/>
                <w:color w:val="auto"/>
                <w:kern w:val="0"/>
                <w:sz w:val="24"/>
                <w:szCs w:val="20"/>
                <w:lang w:val="en-US" w:eastAsia="zh-CN" w:bidi="ar-SA"/>
              </w:rPr>
              <w:t>2</w:t>
            </w:r>
            <w:r>
              <w:rPr>
                <w:rFonts w:hint="default" w:ascii="Times New Roman" w:hAnsi="Times New Roman" w:eastAsia="宋体" w:cs="Times New Roman"/>
                <w:b/>
                <w:color w:val="auto"/>
                <w:kern w:val="0"/>
                <w:sz w:val="24"/>
                <w:szCs w:val="20"/>
                <w:lang w:val="en-US" w:eastAsia="zh-CN" w:bidi="ar-SA"/>
              </w:rPr>
              <w:t>污染源非正常排放量核算</w:t>
            </w:r>
          </w:p>
          <w:tbl>
            <w:tblPr>
              <w:tblStyle w:val="39"/>
              <w:tblW w:w="77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28"/>
              <w:gridCol w:w="779"/>
              <w:gridCol w:w="960"/>
              <w:gridCol w:w="870"/>
              <w:gridCol w:w="1380"/>
              <w:gridCol w:w="1170"/>
              <w:gridCol w:w="705"/>
              <w:gridCol w:w="675"/>
              <w:gridCol w:w="825"/>
            </w:tblGrid>
            <w:tr w14:paraId="4CB9E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28" w:type="dxa"/>
                  <w:noWrap w:val="0"/>
                  <w:vAlign w:val="center"/>
                </w:tcPr>
                <w:p w14:paraId="6BF849A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序号</w:t>
                  </w:r>
                </w:p>
              </w:tc>
              <w:tc>
                <w:tcPr>
                  <w:tcW w:w="779" w:type="dxa"/>
                  <w:noWrap w:val="0"/>
                  <w:vAlign w:val="center"/>
                </w:tcPr>
                <w:p w14:paraId="1B87E68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排放源</w:t>
                  </w:r>
                </w:p>
              </w:tc>
              <w:tc>
                <w:tcPr>
                  <w:tcW w:w="960" w:type="dxa"/>
                  <w:noWrap w:val="0"/>
                  <w:vAlign w:val="center"/>
                </w:tcPr>
                <w:p w14:paraId="767BE2B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非正常排放原因</w:t>
                  </w:r>
                </w:p>
              </w:tc>
              <w:tc>
                <w:tcPr>
                  <w:tcW w:w="870" w:type="dxa"/>
                  <w:noWrap w:val="0"/>
                  <w:vAlign w:val="center"/>
                </w:tcPr>
                <w:p w14:paraId="680B4DC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污染源</w:t>
                  </w:r>
                </w:p>
              </w:tc>
              <w:tc>
                <w:tcPr>
                  <w:tcW w:w="1380" w:type="dxa"/>
                  <w:noWrap w:val="0"/>
                  <w:vAlign w:val="center"/>
                </w:tcPr>
                <w:p w14:paraId="2C66034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非正常排放浓 度</w:t>
                  </w:r>
                </w:p>
              </w:tc>
              <w:tc>
                <w:tcPr>
                  <w:tcW w:w="1170" w:type="dxa"/>
                  <w:noWrap w:val="0"/>
                  <w:vAlign w:val="center"/>
                </w:tcPr>
                <w:p w14:paraId="5DFEAC0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非正常排放速率</w:t>
                  </w:r>
                </w:p>
              </w:tc>
              <w:tc>
                <w:tcPr>
                  <w:tcW w:w="705" w:type="dxa"/>
                  <w:noWrap w:val="0"/>
                  <w:vAlign w:val="center"/>
                </w:tcPr>
                <w:p w14:paraId="13BEEF8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单次维持时间</w:t>
                  </w:r>
                </w:p>
              </w:tc>
              <w:tc>
                <w:tcPr>
                  <w:tcW w:w="675" w:type="dxa"/>
                  <w:noWrap w:val="0"/>
                  <w:vAlign w:val="center"/>
                </w:tcPr>
                <w:p w14:paraId="3E90333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年发生次数</w:t>
                  </w:r>
                </w:p>
              </w:tc>
              <w:tc>
                <w:tcPr>
                  <w:tcW w:w="825" w:type="dxa"/>
                  <w:noWrap w:val="0"/>
                  <w:vAlign w:val="center"/>
                </w:tcPr>
                <w:p w14:paraId="5F1DD14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应对措施</w:t>
                  </w:r>
                </w:p>
              </w:tc>
            </w:tr>
            <w:tr w14:paraId="4B8A6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28" w:type="dxa"/>
                  <w:noWrap w:val="0"/>
                  <w:vAlign w:val="center"/>
                </w:tcPr>
                <w:p w14:paraId="17B64CF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1</w:t>
                  </w:r>
                </w:p>
              </w:tc>
              <w:tc>
                <w:tcPr>
                  <w:tcW w:w="779" w:type="dxa"/>
                  <w:noWrap w:val="0"/>
                  <w:vAlign w:val="center"/>
                </w:tcPr>
                <w:p w14:paraId="04EF0C2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DA001</w:t>
                  </w:r>
                </w:p>
              </w:tc>
              <w:tc>
                <w:tcPr>
                  <w:tcW w:w="960" w:type="dxa"/>
                  <w:noWrap w:val="0"/>
                  <w:vAlign w:val="center"/>
                </w:tcPr>
                <w:p w14:paraId="016D4B0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废气治理设施故障</w:t>
                  </w:r>
                </w:p>
              </w:tc>
              <w:tc>
                <w:tcPr>
                  <w:tcW w:w="870" w:type="dxa"/>
                  <w:noWrap w:val="0"/>
                  <w:vAlign w:val="center"/>
                </w:tcPr>
                <w:p w14:paraId="4C9EF50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VOCs（以非甲烷总烃计）</w:t>
                  </w:r>
                </w:p>
              </w:tc>
              <w:tc>
                <w:tcPr>
                  <w:tcW w:w="1380" w:type="dxa"/>
                  <w:noWrap w:val="0"/>
                  <w:vAlign w:val="center"/>
                </w:tcPr>
                <w:p w14:paraId="2BCEF0BC">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cs="Times New Roman"/>
                      <w:color w:val="auto"/>
                      <w:kern w:val="0"/>
                      <w:sz w:val="21"/>
                      <w:szCs w:val="20"/>
                      <w:lang w:val="en-US" w:eastAsia="zh-CN" w:bidi="ar-SA"/>
                    </w:rPr>
                    <w:t>33</w:t>
                  </w:r>
                  <w:r>
                    <w:rPr>
                      <w:rFonts w:hint="eastAsia" w:ascii="Times New Roman" w:hAnsi="Times New Roman" w:eastAsia="宋体" w:cs="Times New Roman"/>
                      <w:color w:val="auto"/>
                      <w:kern w:val="0"/>
                      <w:sz w:val="21"/>
                      <w:szCs w:val="20"/>
                      <w:lang w:val="en-US" w:eastAsia="zh-CN" w:bidi="ar-SA"/>
                    </w:rPr>
                    <w:t>mg/m</w:t>
                  </w:r>
                  <w:r>
                    <w:rPr>
                      <w:rFonts w:hint="eastAsia" w:ascii="Times New Roman" w:hAnsi="Times New Roman" w:eastAsia="宋体" w:cs="Times New Roman"/>
                      <w:color w:val="auto"/>
                      <w:kern w:val="0"/>
                      <w:sz w:val="21"/>
                      <w:szCs w:val="20"/>
                      <w:vertAlign w:val="superscript"/>
                      <w:lang w:val="en-US" w:eastAsia="zh-CN" w:bidi="ar-SA"/>
                    </w:rPr>
                    <w:t>3</w:t>
                  </w:r>
                </w:p>
              </w:tc>
              <w:tc>
                <w:tcPr>
                  <w:tcW w:w="1170" w:type="dxa"/>
                  <w:noWrap w:val="0"/>
                  <w:vAlign w:val="center"/>
                </w:tcPr>
                <w:p w14:paraId="670D954A">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0.3916kg/h</w:t>
                  </w:r>
                </w:p>
              </w:tc>
              <w:tc>
                <w:tcPr>
                  <w:tcW w:w="705" w:type="dxa"/>
                  <w:noWrap w:val="0"/>
                  <w:vAlign w:val="center"/>
                </w:tcPr>
                <w:p w14:paraId="6AF1759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1h</w:t>
                  </w:r>
                </w:p>
              </w:tc>
              <w:tc>
                <w:tcPr>
                  <w:tcW w:w="675" w:type="dxa"/>
                  <w:noWrap w:val="0"/>
                  <w:vAlign w:val="center"/>
                </w:tcPr>
                <w:p w14:paraId="306ACA8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1次</w:t>
                  </w:r>
                </w:p>
              </w:tc>
              <w:tc>
                <w:tcPr>
                  <w:tcW w:w="825" w:type="dxa"/>
                  <w:noWrap w:val="0"/>
                  <w:vAlign w:val="center"/>
                </w:tcPr>
                <w:p w14:paraId="0D5B340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立即停产，修复后生产</w:t>
                  </w:r>
                </w:p>
              </w:tc>
            </w:tr>
          </w:tbl>
          <w:p w14:paraId="070B10D3">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（2）非正常排放防治措施</w:t>
            </w:r>
          </w:p>
          <w:p w14:paraId="29C5A4A1">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针对以上非正常排放情形，本评价建议建设单位在生产运营期间采取以下控制措施以避免或减少废气非正常排放。</w:t>
            </w:r>
          </w:p>
          <w:p w14:paraId="0BEAB8F0">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①规范车间生产操作，避免因员工操作不当导致工艺设备、环保设施故障引发废气事故排放。</w:t>
            </w:r>
          </w:p>
          <w:p w14:paraId="6A266C91">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②定期对生产设施及废气处理设施进行检查维护，杜绝非正常工况发生，避免非正常排放出现后才采取维护措施。</w:t>
            </w:r>
          </w:p>
          <w:p w14:paraId="74638637">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综上，项目在采取上述非正常排放防范措施后，非正常排放发生频率较低，非正常排放下污染物排放量较少，非正常工况可及时得到处理，因此本项目废气非正常排放对周边大气环境影响较小。</w:t>
            </w:r>
          </w:p>
          <w:p w14:paraId="634209C3">
            <w:pPr>
              <w:keepNext/>
              <w:keepLines/>
              <w:widowControl w:val="0"/>
              <w:bidi w:val="0"/>
              <w:spacing w:beforeLines="0" w:beforeAutospacing="0" w:afterLines="0" w:afterAutospacing="0" w:line="360" w:lineRule="auto"/>
              <w:jc w:val="left"/>
              <w:outlineLvl w:val="2"/>
              <w:rPr>
                <w:rFonts w:hint="eastAsia"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4.2.4运营期废气自行监测计划</w:t>
            </w:r>
          </w:p>
          <w:p w14:paraId="13363F0D">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本项目自行监测计划根据《排污单位自行监测技术指南 总则》（HJ819-2017）进行制定，本项目废气自行监测计划如下表。</w:t>
            </w:r>
          </w:p>
          <w:p w14:paraId="74D571F2">
            <w:pPr>
              <w:widowControl w:val="0"/>
              <w:bidi w:val="0"/>
              <w:adjustRightInd w:val="0"/>
              <w:snapToGrid w:val="0"/>
              <w:spacing w:before="10" w:beforeLines="10" w:after="10" w:afterLines="10"/>
              <w:jc w:val="center"/>
              <w:rPr>
                <w:rFonts w:hint="eastAsia" w:ascii="Times New Roman" w:hAnsi="Times New Roman" w:eastAsia="宋体" w:cs="Times New Roman"/>
                <w:b/>
                <w:color w:val="auto"/>
                <w:kern w:val="0"/>
                <w:sz w:val="24"/>
                <w:szCs w:val="20"/>
                <w:lang w:val="en-US" w:eastAsia="zh-CN" w:bidi="ar-SA"/>
              </w:rPr>
            </w:pPr>
            <w:r>
              <w:rPr>
                <w:rFonts w:hint="eastAsia" w:ascii="Times New Roman" w:hAnsi="Times New Roman" w:eastAsia="宋体" w:cs="Times New Roman"/>
                <w:b/>
                <w:color w:val="auto"/>
                <w:kern w:val="0"/>
                <w:sz w:val="24"/>
                <w:szCs w:val="20"/>
                <w:lang w:val="en-US" w:eastAsia="zh-CN" w:bidi="ar-SA"/>
              </w:rPr>
              <w:t>表4.2-3废气自行监测计划</w:t>
            </w:r>
          </w:p>
          <w:tbl>
            <w:tblPr>
              <w:tblStyle w:val="39"/>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9"/>
              <w:gridCol w:w="1680"/>
              <w:gridCol w:w="1680"/>
              <w:gridCol w:w="1680"/>
              <w:gridCol w:w="1681"/>
            </w:tblGrid>
            <w:tr w14:paraId="5AC3C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noWrap w:val="0"/>
                  <w:vAlign w:val="center"/>
                </w:tcPr>
                <w:p w14:paraId="00BC288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eastAsia="宋体" w:cs="Times New Roman"/>
                      <w:color w:val="auto"/>
                      <w:kern w:val="0"/>
                      <w:sz w:val="21"/>
                      <w:szCs w:val="20"/>
                      <w:vertAlign w:val="baseline"/>
                      <w:lang w:val="en-US" w:eastAsia="zh-CN" w:bidi="ar-SA"/>
                    </w:rPr>
                    <w:t>类别</w:t>
                  </w:r>
                </w:p>
              </w:tc>
              <w:tc>
                <w:tcPr>
                  <w:tcW w:w="999" w:type="pct"/>
                  <w:noWrap w:val="0"/>
                  <w:vAlign w:val="center"/>
                </w:tcPr>
                <w:p w14:paraId="3AFB071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eastAsia="宋体" w:cs="Times New Roman"/>
                      <w:color w:val="auto"/>
                      <w:kern w:val="0"/>
                      <w:sz w:val="21"/>
                      <w:szCs w:val="20"/>
                      <w:vertAlign w:val="baseline"/>
                      <w:lang w:val="en-US" w:eastAsia="zh-CN" w:bidi="ar-SA"/>
                    </w:rPr>
                    <w:t>污染源</w:t>
                  </w:r>
                </w:p>
              </w:tc>
              <w:tc>
                <w:tcPr>
                  <w:tcW w:w="999" w:type="pct"/>
                  <w:noWrap w:val="0"/>
                  <w:vAlign w:val="center"/>
                </w:tcPr>
                <w:p w14:paraId="712F2DE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eastAsia="宋体" w:cs="Times New Roman"/>
                      <w:color w:val="auto"/>
                      <w:kern w:val="0"/>
                      <w:sz w:val="21"/>
                      <w:szCs w:val="20"/>
                      <w:vertAlign w:val="baseline"/>
                      <w:lang w:val="en-US" w:eastAsia="zh-CN" w:bidi="ar-SA"/>
                    </w:rPr>
                    <w:t>监测点位</w:t>
                  </w:r>
                </w:p>
              </w:tc>
              <w:tc>
                <w:tcPr>
                  <w:tcW w:w="999" w:type="pct"/>
                  <w:noWrap w:val="0"/>
                  <w:vAlign w:val="center"/>
                </w:tcPr>
                <w:p w14:paraId="71D29D7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eastAsia="宋体" w:cs="Times New Roman"/>
                      <w:color w:val="auto"/>
                      <w:kern w:val="0"/>
                      <w:sz w:val="21"/>
                      <w:szCs w:val="20"/>
                      <w:vertAlign w:val="baseline"/>
                      <w:lang w:val="en-US" w:eastAsia="zh-CN" w:bidi="ar-SA"/>
                    </w:rPr>
                    <w:t>监测指标</w:t>
                  </w:r>
                </w:p>
              </w:tc>
              <w:tc>
                <w:tcPr>
                  <w:tcW w:w="1000" w:type="pct"/>
                  <w:noWrap w:val="0"/>
                  <w:vAlign w:val="center"/>
                </w:tcPr>
                <w:p w14:paraId="26862C1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eastAsia="宋体" w:cs="Times New Roman"/>
                      <w:color w:val="auto"/>
                      <w:kern w:val="0"/>
                      <w:sz w:val="21"/>
                      <w:szCs w:val="20"/>
                      <w:vertAlign w:val="baseline"/>
                      <w:lang w:val="en-US" w:eastAsia="zh-CN" w:bidi="ar-SA"/>
                    </w:rPr>
                    <w:t>监测频率</w:t>
                  </w:r>
                </w:p>
              </w:tc>
            </w:tr>
            <w:tr w14:paraId="185E4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Merge w:val="restart"/>
                  <w:noWrap w:val="0"/>
                  <w:vAlign w:val="center"/>
                </w:tcPr>
                <w:p w14:paraId="2D827CB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eastAsia="宋体" w:cs="Times New Roman"/>
                      <w:color w:val="auto"/>
                      <w:kern w:val="0"/>
                      <w:sz w:val="21"/>
                      <w:szCs w:val="20"/>
                      <w:vertAlign w:val="baseline"/>
                      <w:lang w:val="en-US" w:eastAsia="zh-CN" w:bidi="ar-SA"/>
                    </w:rPr>
                    <w:t>废气</w:t>
                  </w:r>
                </w:p>
              </w:tc>
              <w:tc>
                <w:tcPr>
                  <w:tcW w:w="999" w:type="pct"/>
                  <w:noWrap w:val="0"/>
                  <w:vAlign w:val="center"/>
                </w:tcPr>
                <w:p w14:paraId="3649B67E">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eastAsia="宋体" w:cs="Times New Roman"/>
                      <w:color w:val="auto"/>
                      <w:kern w:val="0"/>
                      <w:sz w:val="21"/>
                      <w:szCs w:val="20"/>
                      <w:vertAlign w:val="baseline"/>
                      <w:lang w:val="en-US" w:eastAsia="zh-CN" w:bidi="ar-SA"/>
                    </w:rPr>
                    <w:t>有组织</w:t>
                  </w:r>
                </w:p>
              </w:tc>
              <w:tc>
                <w:tcPr>
                  <w:tcW w:w="999" w:type="pct"/>
                  <w:noWrap w:val="0"/>
                  <w:vAlign w:val="center"/>
                </w:tcPr>
                <w:p w14:paraId="667D696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eastAsia="宋体" w:cs="Times New Roman"/>
                      <w:color w:val="auto"/>
                      <w:kern w:val="0"/>
                      <w:sz w:val="21"/>
                      <w:szCs w:val="20"/>
                      <w:vertAlign w:val="baseline"/>
                      <w:lang w:val="en-US" w:eastAsia="zh-CN" w:bidi="ar-SA"/>
                    </w:rPr>
                    <w:t>DA001排气筒</w:t>
                  </w:r>
                </w:p>
              </w:tc>
              <w:tc>
                <w:tcPr>
                  <w:tcW w:w="999" w:type="pct"/>
                  <w:noWrap w:val="0"/>
                  <w:vAlign w:val="center"/>
                </w:tcPr>
                <w:p w14:paraId="33EDFDFC">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eastAsia="宋体" w:cs="Times New Roman"/>
                      <w:color w:val="auto"/>
                      <w:kern w:val="0"/>
                      <w:sz w:val="21"/>
                      <w:szCs w:val="20"/>
                      <w:vertAlign w:val="baseline"/>
                      <w:lang w:val="en-US" w:eastAsia="zh-CN" w:bidi="ar-SA"/>
                    </w:rPr>
                    <w:t>非甲烷总烃</w:t>
                  </w:r>
                </w:p>
              </w:tc>
              <w:tc>
                <w:tcPr>
                  <w:tcW w:w="1000" w:type="pct"/>
                  <w:noWrap w:val="0"/>
                  <w:vAlign w:val="center"/>
                </w:tcPr>
                <w:p w14:paraId="222B97AD">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eastAsia="宋体" w:cs="Times New Roman"/>
                      <w:color w:val="auto"/>
                      <w:kern w:val="0"/>
                      <w:sz w:val="21"/>
                      <w:szCs w:val="20"/>
                      <w:vertAlign w:val="baseline"/>
                      <w:lang w:val="en-US" w:eastAsia="zh-CN" w:bidi="ar-SA"/>
                    </w:rPr>
                    <w:t>1次/</w:t>
                  </w:r>
                  <w:r>
                    <w:rPr>
                      <w:rFonts w:hint="eastAsia" w:cs="Times New Roman"/>
                      <w:color w:val="auto"/>
                      <w:kern w:val="0"/>
                      <w:sz w:val="21"/>
                      <w:szCs w:val="20"/>
                      <w:vertAlign w:val="baseline"/>
                      <w:lang w:val="en-US" w:eastAsia="zh-CN" w:bidi="ar-SA"/>
                    </w:rPr>
                    <w:t>年</w:t>
                  </w:r>
                </w:p>
              </w:tc>
            </w:tr>
            <w:tr w14:paraId="74D58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Merge w:val="continue"/>
                  <w:noWrap w:val="0"/>
                  <w:vAlign w:val="center"/>
                </w:tcPr>
                <w:p w14:paraId="1967EC3C">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vertAlign w:val="baseline"/>
                      <w:lang w:val="en-US" w:eastAsia="zh-CN" w:bidi="ar-SA"/>
                    </w:rPr>
                  </w:pPr>
                </w:p>
              </w:tc>
              <w:tc>
                <w:tcPr>
                  <w:tcW w:w="999" w:type="pct"/>
                  <w:noWrap w:val="0"/>
                  <w:vAlign w:val="center"/>
                </w:tcPr>
                <w:p w14:paraId="0187F99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eastAsia="宋体" w:cs="Times New Roman"/>
                      <w:color w:val="auto"/>
                      <w:kern w:val="0"/>
                      <w:sz w:val="21"/>
                      <w:szCs w:val="20"/>
                      <w:vertAlign w:val="baseline"/>
                      <w:lang w:val="en-US" w:eastAsia="zh-CN" w:bidi="ar-SA"/>
                    </w:rPr>
                    <w:t>无组织</w:t>
                  </w:r>
                </w:p>
              </w:tc>
              <w:tc>
                <w:tcPr>
                  <w:tcW w:w="999" w:type="pct"/>
                  <w:noWrap w:val="0"/>
                  <w:vAlign w:val="center"/>
                </w:tcPr>
                <w:p w14:paraId="451844A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eastAsia="宋体" w:cs="Times New Roman"/>
                      <w:color w:val="auto"/>
                      <w:kern w:val="0"/>
                      <w:sz w:val="21"/>
                      <w:szCs w:val="20"/>
                      <w:vertAlign w:val="baseline"/>
                      <w:lang w:val="en-US" w:eastAsia="zh-CN" w:bidi="ar-SA"/>
                    </w:rPr>
                    <w:t>厂界</w:t>
                  </w:r>
                </w:p>
              </w:tc>
              <w:tc>
                <w:tcPr>
                  <w:tcW w:w="999" w:type="pct"/>
                  <w:noWrap w:val="0"/>
                  <w:vAlign w:val="center"/>
                </w:tcPr>
                <w:p w14:paraId="26E9FF2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eastAsia="宋体" w:cs="Times New Roman"/>
                      <w:color w:val="auto"/>
                      <w:kern w:val="0"/>
                      <w:sz w:val="21"/>
                      <w:szCs w:val="20"/>
                      <w:vertAlign w:val="baseline"/>
                      <w:lang w:val="en-US" w:eastAsia="zh-CN" w:bidi="ar-SA"/>
                    </w:rPr>
                    <w:t>非甲烷总烃</w:t>
                  </w:r>
                </w:p>
              </w:tc>
              <w:tc>
                <w:tcPr>
                  <w:tcW w:w="1000" w:type="pct"/>
                  <w:noWrap w:val="0"/>
                  <w:vAlign w:val="center"/>
                </w:tcPr>
                <w:p w14:paraId="229597D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eastAsia="宋体" w:cs="Times New Roman"/>
                      <w:color w:val="auto"/>
                      <w:kern w:val="0"/>
                      <w:sz w:val="21"/>
                      <w:szCs w:val="20"/>
                      <w:vertAlign w:val="baseline"/>
                      <w:lang w:val="en-US" w:eastAsia="zh-CN" w:bidi="ar-SA"/>
                    </w:rPr>
                    <w:t>1次/</w:t>
                  </w:r>
                  <w:r>
                    <w:rPr>
                      <w:rFonts w:hint="eastAsia" w:cs="Times New Roman"/>
                      <w:color w:val="auto"/>
                      <w:kern w:val="0"/>
                      <w:sz w:val="21"/>
                      <w:szCs w:val="20"/>
                      <w:vertAlign w:val="baseline"/>
                      <w:lang w:val="en-US" w:eastAsia="zh-CN" w:bidi="ar-SA"/>
                    </w:rPr>
                    <w:t>年</w:t>
                  </w:r>
                </w:p>
              </w:tc>
            </w:tr>
            <w:tr w14:paraId="65DEF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Merge w:val="continue"/>
                  <w:noWrap w:val="0"/>
                  <w:vAlign w:val="center"/>
                </w:tcPr>
                <w:p w14:paraId="2FE22BF1">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vertAlign w:val="baseline"/>
                      <w:lang w:val="en-US" w:eastAsia="zh-CN" w:bidi="ar-SA"/>
                    </w:rPr>
                  </w:pPr>
                </w:p>
              </w:tc>
              <w:tc>
                <w:tcPr>
                  <w:tcW w:w="999" w:type="pct"/>
                  <w:noWrap w:val="0"/>
                  <w:vAlign w:val="center"/>
                </w:tcPr>
                <w:p w14:paraId="1D97939D">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eastAsia="宋体" w:cs="Times New Roman"/>
                      <w:color w:val="auto"/>
                      <w:kern w:val="0"/>
                      <w:sz w:val="21"/>
                      <w:szCs w:val="20"/>
                      <w:vertAlign w:val="baseline"/>
                      <w:lang w:val="en-US" w:eastAsia="zh-CN" w:bidi="ar-SA"/>
                    </w:rPr>
                    <w:t>无组织</w:t>
                  </w:r>
                </w:p>
              </w:tc>
              <w:tc>
                <w:tcPr>
                  <w:tcW w:w="999" w:type="pct"/>
                  <w:noWrap w:val="0"/>
                  <w:vAlign w:val="center"/>
                </w:tcPr>
                <w:p w14:paraId="10A9A63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vertAlign w:val="baseline"/>
                      <w:lang w:val="en-US" w:eastAsia="zh-CN" w:bidi="ar-SA"/>
                    </w:rPr>
                  </w:pPr>
                  <w:r>
                    <w:rPr>
                      <w:rFonts w:hint="eastAsia" w:cs="Times New Roman"/>
                      <w:color w:val="auto"/>
                      <w:kern w:val="0"/>
                      <w:sz w:val="21"/>
                      <w:szCs w:val="20"/>
                      <w:vertAlign w:val="baseline"/>
                      <w:lang w:val="en-US" w:eastAsia="zh-CN" w:bidi="ar-SA"/>
                    </w:rPr>
                    <w:t>厂区内</w:t>
                  </w:r>
                </w:p>
              </w:tc>
              <w:tc>
                <w:tcPr>
                  <w:tcW w:w="999" w:type="pct"/>
                  <w:noWrap w:val="0"/>
                  <w:vAlign w:val="center"/>
                </w:tcPr>
                <w:p w14:paraId="3AD11A80">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eastAsia="宋体" w:cs="Times New Roman"/>
                      <w:color w:val="auto"/>
                      <w:kern w:val="0"/>
                      <w:sz w:val="21"/>
                      <w:szCs w:val="20"/>
                      <w:vertAlign w:val="baseline"/>
                      <w:lang w:val="en-US" w:eastAsia="zh-CN" w:bidi="ar-SA"/>
                    </w:rPr>
                    <w:t>非甲烷总烃</w:t>
                  </w:r>
                </w:p>
              </w:tc>
              <w:tc>
                <w:tcPr>
                  <w:tcW w:w="1000" w:type="pct"/>
                  <w:noWrap w:val="0"/>
                  <w:vAlign w:val="center"/>
                </w:tcPr>
                <w:p w14:paraId="6BD373FE">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eastAsia="宋体" w:cs="Times New Roman"/>
                      <w:color w:val="auto"/>
                      <w:kern w:val="0"/>
                      <w:sz w:val="21"/>
                      <w:szCs w:val="20"/>
                      <w:vertAlign w:val="baseline"/>
                      <w:lang w:val="en-US" w:eastAsia="zh-CN" w:bidi="ar-SA"/>
                    </w:rPr>
                    <w:t>1次/</w:t>
                  </w:r>
                  <w:r>
                    <w:rPr>
                      <w:rFonts w:hint="eastAsia" w:cs="Times New Roman"/>
                      <w:color w:val="auto"/>
                      <w:kern w:val="0"/>
                      <w:sz w:val="21"/>
                      <w:szCs w:val="20"/>
                      <w:vertAlign w:val="baseline"/>
                      <w:lang w:val="en-US" w:eastAsia="zh-CN" w:bidi="ar-SA"/>
                    </w:rPr>
                    <w:t>年</w:t>
                  </w:r>
                </w:p>
              </w:tc>
            </w:tr>
          </w:tbl>
          <w:p w14:paraId="19B48287">
            <w:pPr>
              <w:keepNext/>
              <w:keepLines/>
              <w:widowControl w:val="0"/>
              <w:bidi w:val="0"/>
              <w:spacing w:beforeLines="0" w:beforeAutospacing="0" w:afterLines="0" w:afterAutospacing="0" w:line="360" w:lineRule="auto"/>
              <w:jc w:val="left"/>
              <w:outlineLvl w:val="1"/>
              <w:rPr>
                <w:rFonts w:hint="default" w:ascii="Times New Roman" w:hAnsi="Times New Roman" w:eastAsia="宋体" w:cs="Times New Roman"/>
                <w:b/>
                <w:color w:val="auto"/>
                <w:kern w:val="2"/>
                <w:sz w:val="28"/>
                <w:szCs w:val="24"/>
                <w:lang w:val="en-US" w:eastAsia="zh-CN" w:bidi="ar-SA"/>
              </w:rPr>
            </w:pPr>
            <w:r>
              <w:rPr>
                <w:rFonts w:hint="eastAsia" w:ascii="Times New Roman" w:hAnsi="Times New Roman" w:eastAsia="宋体" w:cs="Times New Roman"/>
                <w:b/>
                <w:color w:val="auto"/>
                <w:kern w:val="2"/>
                <w:sz w:val="28"/>
                <w:szCs w:val="24"/>
                <w:lang w:val="en-US" w:eastAsia="zh-CN" w:bidi="ar-SA"/>
              </w:rPr>
              <w:t>4.3运营期声环境影响分析和污染防控措施</w:t>
            </w:r>
          </w:p>
          <w:p w14:paraId="2AAB7618">
            <w:pPr>
              <w:keepNext/>
              <w:keepLines/>
              <w:widowControl w:val="0"/>
              <w:bidi w:val="0"/>
              <w:spacing w:beforeLines="0" w:beforeAutospacing="0" w:afterLines="0" w:afterAutospacing="0" w:line="360" w:lineRule="auto"/>
              <w:jc w:val="left"/>
              <w:outlineLvl w:val="2"/>
              <w:rPr>
                <w:rFonts w:hint="eastAsia"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4.3.1声环境污染源分析</w:t>
            </w:r>
          </w:p>
          <w:p w14:paraId="1EB0E0E0">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本项目主要生产设备噪声一览表见表4.3-1。</w:t>
            </w:r>
          </w:p>
          <w:p w14:paraId="245B625F">
            <w:pPr>
              <w:widowControl w:val="0"/>
              <w:bidi w:val="0"/>
              <w:adjustRightInd w:val="0"/>
              <w:snapToGrid w:val="0"/>
              <w:spacing w:before="10" w:beforeLines="10" w:after="10" w:afterLines="10"/>
              <w:jc w:val="center"/>
              <w:rPr>
                <w:rFonts w:hint="default" w:ascii="Times New Roman" w:hAnsi="Times New Roman" w:eastAsia="宋体" w:cs="Times New Roman"/>
                <w:b/>
                <w:color w:val="auto"/>
                <w:kern w:val="0"/>
                <w:sz w:val="24"/>
                <w:szCs w:val="20"/>
                <w:lang w:val="en-US" w:eastAsia="zh-CN" w:bidi="ar-SA"/>
              </w:rPr>
            </w:pPr>
            <w:r>
              <w:rPr>
                <w:rFonts w:hint="eastAsia" w:ascii="Times New Roman" w:hAnsi="Times New Roman" w:eastAsia="宋体" w:cs="Times New Roman"/>
                <w:b/>
                <w:color w:val="auto"/>
                <w:kern w:val="0"/>
                <w:sz w:val="24"/>
                <w:szCs w:val="20"/>
                <w:lang w:val="en-US" w:eastAsia="zh-CN" w:bidi="ar-SA"/>
              </w:rPr>
              <w:t>表4.3-1项目设备噪声一览表</w:t>
            </w:r>
          </w:p>
          <w:tbl>
            <w:tblPr>
              <w:tblStyle w:val="38"/>
              <w:tblW w:w="78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5"/>
              <w:gridCol w:w="799"/>
              <w:gridCol w:w="1355"/>
              <w:gridCol w:w="813"/>
              <w:gridCol w:w="1477"/>
              <w:gridCol w:w="1582"/>
              <w:gridCol w:w="1276"/>
            </w:tblGrid>
            <w:tr w14:paraId="70732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7" w:hRule="atLeast"/>
                <w:jc w:val="center"/>
              </w:trPr>
              <w:tc>
                <w:tcPr>
                  <w:tcW w:w="595" w:type="dxa"/>
                  <w:tcBorders>
                    <w:tl2br w:val="nil"/>
                    <w:tr2bl w:val="nil"/>
                  </w:tcBorders>
                  <w:noWrap w:val="0"/>
                  <w:vAlign w:val="center"/>
                </w:tcPr>
                <w:p w14:paraId="4F71D472">
                  <w:pPr>
                    <w:pStyle w:val="227"/>
                    <w:bidi w:val="0"/>
                    <w:jc w:val="center"/>
                    <w:rPr>
                      <w:rFonts w:ascii="Times New Roman" w:hAnsi="Times New Roman"/>
                      <w:color w:val="auto"/>
                      <w:sz w:val="21"/>
                      <w:szCs w:val="21"/>
                      <w:lang w:val="en-US" w:eastAsia="zh-CN"/>
                    </w:rPr>
                  </w:pPr>
                  <w:r>
                    <w:rPr>
                      <w:rFonts w:ascii="Times New Roman" w:hAnsi="Times New Roman"/>
                      <w:color w:val="auto"/>
                      <w:sz w:val="21"/>
                      <w:szCs w:val="21"/>
                      <w:lang w:val="en-US" w:eastAsia="zh-CN"/>
                    </w:rPr>
                    <w:t>编号</w:t>
                  </w:r>
                </w:p>
              </w:tc>
              <w:tc>
                <w:tcPr>
                  <w:tcW w:w="2154" w:type="dxa"/>
                  <w:gridSpan w:val="2"/>
                  <w:tcBorders>
                    <w:tl2br w:val="nil"/>
                    <w:tr2bl w:val="nil"/>
                  </w:tcBorders>
                  <w:noWrap w:val="0"/>
                  <w:vAlign w:val="center"/>
                </w:tcPr>
                <w:p w14:paraId="2C437397">
                  <w:pPr>
                    <w:pStyle w:val="227"/>
                    <w:bidi w:val="0"/>
                    <w:jc w:val="center"/>
                    <w:rPr>
                      <w:rFonts w:ascii="Times New Roman" w:hAnsi="Times New Roman"/>
                      <w:color w:val="auto"/>
                      <w:sz w:val="21"/>
                      <w:szCs w:val="21"/>
                      <w:lang w:val="en-US" w:eastAsia="zh-CN"/>
                    </w:rPr>
                  </w:pPr>
                  <w:r>
                    <w:rPr>
                      <w:rFonts w:ascii="Times New Roman" w:hAnsi="Times New Roman"/>
                      <w:color w:val="auto"/>
                      <w:sz w:val="21"/>
                      <w:szCs w:val="21"/>
                      <w:lang w:val="en-US" w:eastAsia="zh-CN"/>
                    </w:rPr>
                    <w:t>噪声源</w:t>
                  </w:r>
                </w:p>
              </w:tc>
              <w:tc>
                <w:tcPr>
                  <w:tcW w:w="813" w:type="dxa"/>
                  <w:tcBorders>
                    <w:tl2br w:val="nil"/>
                    <w:tr2bl w:val="nil"/>
                  </w:tcBorders>
                  <w:noWrap w:val="0"/>
                  <w:vAlign w:val="center"/>
                </w:tcPr>
                <w:p w14:paraId="1924B537">
                  <w:pPr>
                    <w:pStyle w:val="227"/>
                    <w:bidi w:val="0"/>
                    <w:jc w:val="center"/>
                    <w:rPr>
                      <w:rFonts w:ascii="Times New Roman" w:hAnsi="Times New Roman"/>
                      <w:color w:val="auto"/>
                      <w:sz w:val="21"/>
                      <w:szCs w:val="21"/>
                      <w:lang w:val="en-US" w:eastAsia="zh-CN"/>
                    </w:rPr>
                  </w:pPr>
                  <w:r>
                    <w:rPr>
                      <w:rFonts w:ascii="Times New Roman" w:hAnsi="Times New Roman"/>
                      <w:color w:val="auto"/>
                      <w:sz w:val="21"/>
                      <w:szCs w:val="21"/>
                      <w:lang w:val="en-US" w:eastAsia="zh-CN"/>
                    </w:rPr>
                    <w:t>数量</w:t>
                  </w:r>
                </w:p>
              </w:tc>
              <w:tc>
                <w:tcPr>
                  <w:tcW w:w="1477" w:type="dxa"/>
                  <w:tcBorders>
                    <w:tl2br w:val="nil"/>
                    <w:tr2bl w:val="nil"/>
                  </w:tcBorders>
                  <w:noWrap w:val="0"/>
                  <w:vAlign w:val="center"/>
                </w:tcPr>
                <w:p w14:paraId="486F6D3D">
                  <w:pPr>
                    <w:pStyle w:val="227"/>
                    <w:bidi w:val="0"/>
                    <w:jc w:val="center"/>
                    <w:rPr>
                      <w:rFonts w:ascii="Times New Roman" w:hAnsi="Times New Roman"/>
                      <w:color w:val="auto"/>
                      <w:sz w:val="21"/>
                      <w:szCs w:val="21"/>
                      <w:lang w:val="en-US" w:eastAsia="zh-CN"/>
                    </w:rPr>
                  </w:pPr>
                  <w:r>
                    <w:rPr>
                      <w:rFonts w:ascii="Times New Roman" w:hAnsi="Times New Roman"/>
                      <w:color w:val="auto"/>
                      <w:sz w:val="21"/>
                      <w:szCs w:val="21"/>
                      <w:lang w:val="en-US" w:eastAsia="zh-CN"/>
                    </w:rPr>
                    <w:t>产生噪声值</w:t>
                  </w:r>
                </w:p>
              </w:tc>
              <w:tc>
                <w:tcPr>
                  <w:tcW w:w="1582" w:type="dxa"/>
                  <w:tcBorders>
                    <w:tl2br w:val="nil"/>
                    <w:tr2bl w:val="nil"/>
                  </w:tcBorders>
                  <w:noWrap w:val="0"/>
                  <w:vAlign w:val="center"/>
                </w:tcPr>
                <w:p w14:paraId="79CF3570">
                  <w:pPr>
                    <w:pStyle w:val="227"/>
                    <w:bidi w:val="0"/>
                    <w:jc w:val="center"/>
                    <w:rPr>
                      <w:rFonts w:ascii="Times New Roman" w:hAnsi="Times New Roman"/>
                      <w:color w:val="auto"/>
                      <w:sz w:val="21"/>
                      <w:szCs w:val="21"/>
                      <w:lang w:val="en-US" w:eastAsia="zh-CN"/>
                    </w:rPr>
                  </w:pPr>
                  <w:r>
                    <w:rPr>
                      <w:rFonts w:ascii="Times New Roman" w:hAnsi="Times New Roman"/>
                      <w:color w:val="auto"/>
                      <w:sz w:val="21"/>
                      <w:szCs w:val="21"/>
                      <w:lang w:val="en-US" w:eastAsia="zh-CN"/>
                    </w:rPr>
                    <w:t>降噪措施</w:t>
                  </w:r>
                </w:p>
              </w:tc>
              <w:tc>
                <w:tcPr>
                  <w:tcW w:w="1276" w:type="dxa"/>
                  <w:tcBorders>
                    <w:tl2br w:val="nil"/>
                    <w:tr2bl w:val="nil"/>
                  </w:tcBorders>
                  <w:noWrap w:val="0"/>
                  <w:vAlign w:val="center"/>
                </w:tcPr>
                <w:p w14:paraId="4F9973FA">
                  <w:pPr>
                    <w:pStyle w:val="227"/>
                    <w:bidi w:val="0"/>
                    <w:jc w:val="center"/>
                    <w:rPr>
                      <w:rFonts w:ascii="Times New Roman" w:hAnsi="Times New Roman"/>
                      <w:color w:val="auto"/>
                      <w:sz w:val="21"/>
                      <w:szCs w:val="21"/>
                      <w:lang w:val="en-US" w:eastAsia="zh-CN"/>
                    </w:rPr>
                  </w:pPr>
                  <w:r>
                    <w:rPr>
                      <w:rFonts w:ascii="Times New Roman" w:hAnsi="Times New Roman"/>
                      <w:color w:val="auto"/>
                      <w:sz w:val="21"/>
                      <w:szCs w:val="21"/>
                      <w:lang w:val="en-US" w:eastAsia="zh-CN"/>
                    </w:rPr>
                    <w:t>持续时间</w:t>
                  </w:r>
                </w:p>
              </w:tc>
            </w:tr>
            <w:tr w14:paraId="2E092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595" w:type="dxa"/>
                  <w:tcBorders>
                    <w:tl2br w:val="nil"/>
                    <w:tr2bl w:val="nil"/>
                  </w:tcBorders>
                  <w:noWrap w:val="0"/>
                  <w:vAlign w:val="center"/>
                </w:tcPr>
                <w:p w14:paraId="6E9825A8">
                  <w:pPr>
                    <w:pStyle w:val="227"/>
                    <w:bidi w:val="0"/>
                    <w:jc w:val="center"/>
                    <w:rPr>
                      <w:rFonts w:ascii="Times New Roman" w:hAnsi="Times New Roman"/>
                      <w:color w:val="auto"/>
                      <w:sz w:val="21"/>
                      <w:szCs w:val="21"/>
                      <w:lang w:val="en-US" w:eastAsia="zh-CN"/>
                    </w:rPr>
                  </w:pPr>
                  <w:r>
                    <w:rPr>
                      <w:rFonts w:hint="eastAsia"/>
                      <w:color w:val="auto"/>
                      <w:sz w:val="21"/>
                      <w:szCs w:val="21"/>
                      <w:lang w:val="en-US" w:eastAsia="zh-CN"/>
                    </w:rPr>
                    <w:t>1</w:t>
                  </w:r>
                </w:p>
              </w:tc>
              <w:tc>
                <w:tcPr>
                  <w:tcW w:w="799" w:type="dxa"/>
                  <w:vMerge w:val="restart"/>
                  <w:tcBorders>
                    <w:tl2br w:val="nil"/>
                    <w:tr2bl w:val="nil"/>
                  </w:tcBorders>
                  <w:noWrap w:val="0"/>
                  <w:vAlign w:val="center"/>
                </w:tcPr>
                <w:p w14:paraId="79BCD18B">
                  <w:pPr>
                    <w:pStyle w:val="227"/>
                    <w:bidi w:val="0"/>
                    <w:jc w:val="center"/>
                    <w:rPr>
                      <w:rFonts w:hint="default" w:ascii="Times New Roman" w:hAnsi="Times New Roman"/>
                      <w:color w:val="auto"/>
                      <w:sz w:val="21"/>
                      <w:szCs w:val="21"/>
                      <w:lang w:val="en-US" w:eastAsia="zh-CN"/>
                    </w:rPr>
                  </w:pPr>
                  <w:r>
                    <w:rPr>
                      <w:rFonts w:hint="eastAsia"/>
                      <w:color w:val="auto"/>
                      <w:sz w:val="21"/>
                      <w:szCs w:val="21"/>
                      <w:lang w:val="en-US" w:eastAsia="zh-CN"/>
                    </w:rPr>
                    <w:t>生产车间</w:t>
                  </w:r>
                </w:p>
              </w:tc>
              <w:tc>
                <w:tcPr>
                  <w:tcW w:w="1355" w:type="dxa"/>
                  <w:tcBorders>
                    <w:tl2br w:val="nil"/>
                    <w:tr2bl w:val="nil"/>
                  </w:tcBorders>
                  <w:shd w:val="clear" w:color="auto" w:fill="auto"/>
                  <w:noWrap w:val="0"/>
                  <w:vAlign w:val="center"/>
                </w:tcPr>
                <w:p w14:paraId="57ED0D1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sz w:val="21"/>
                      <w:szCs w:val="21"/>
                      <w:lang w:val="en-US" w:eastAsia="zh-CN" w:bidi="ar-SA"/>
                    </w:rPr>
                  </w:pPr>
                  <w:r>
                    <w:rPr>
                      <w:rFonts w:hint="eastAsia" w:ascii="Times New Roman" w:hAnsi="Times New Roman" w:eastAsia="宋体" w:cs="Times New Roman"/>
                      <w:b w:val="0"/>
                      <w:bCs/>
                      <w:color w:val="auto"/>
                      <w:sz w:val="21"/>
                      <w:szCs w:val="21"/>
                      <w:lang w:val="en-US" w:eastAsia="zh-CN"/>
                    </w:rPr>
                    <w:t>单轴研磨机</w:t>
                  </w:r>
                </w:p>
              </w:tc>
              <w:tc>
                <w:tcPr>
                  <w:tcW w:w="813" w:type="dxa"/>
                  <w:tcBorders>
                    <w:tl2br w:val="nil"/>
                    <w:tr2bl w:val="nil"/>
                  </w:tcBorders>
                  <w:shd w:val="clear" w:color="auto" w:fill="auto"/>
                  <w:noWrap w:val="0"/>
                  <w:vAlign w:val="center"/>
                </w:tcPr>
                <w:p w14:paraId="37556DF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sz w:val="21"/>
                      <w:szCs w:val="21"/>
                      <w:lang w:val="en-US" w:eastAsia="zh-CN" w:bidi="ar-SA"/>
                    </w:rPr>
                  </w:pPr>
                  <w:r>
                    <w:rPr>
                      <w:rFonts w:hint="eastAsia" w:ascii="Times New Roman" w:hAnsi="Times New Roman" w:eastAsia="宋体" w:cs="Times New Roman"/>
                      <w:b w:val="0"/>
                      <w:bCs/>
                      <w:color w:val="auto"/>
                      <w:sz w:val="21"/>
                      <w:szCs w:val="21"/>
                      <w:lang w:val="en-US" w:eastAsia="zh-CN"/>
                    </w:rPr>
                    <w:t>2</w:t>
                  </w:r>
                </w:p>
              </w:tc>
              <w:tc>
                <w:tcPr>
                  <w:tcW w:w="1477" w:type="dxa"/>
                  <w:tcBorders>
                    <w:tl2br w:val="nil"/>
                    <w:tr2bl w:val="nil"/>
                  </w:tcBorders>
                  <w:noWrap w:val="0"/>
                  <w:vAlign w:val="center"/>
                </w:tcPr>
                <w:p w14:paraId="5DC7037C">
                  <w:pPr>
                    <w:pStyle w:val="227"/>
                    <w:bidi w:val="0"/>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75-80</w:t>
                  </w:r>
                </w:p>
              </w:tc>
              <w:tc>
                <w:tcPr>
                  <w:tcW w:w="1582" w:type="dxa"/>
                  <w:vMerge w:val="restart"/>
                  <w:tcBorders>
                    <w:tl2br w:val="nil"/>
                    <w:tr2bl w:val="nil"/>
                  </w:tcBorders>
                  <w:noWrap w:val="0"/>
                  <w:vAlign w:val="center"/>
                </w:tcPr>
                <w:p w14:paraId="3F2DDD2B">
                  <w:pPr>
                    <w:pStyle w:val="227"/>
                    <w:bidi w:val="0"/>
                    <w:jc w:val="center"/>
                    <w:rPr>
                      <w:rFonts w:ascii="Times New Roman" w:hAnsi="Times New Roman"/>
                      <w:color w:val="auto"/>
                      <w:sz w:val="21"/>
                      <w:szCs w:val="21"/>
                      <w:lang w:val="en-US" w:eastAsia="zh-CN"/>
                    </w:rPr>
                  </w:pPr>
                  <w:r>
                    <w:rPr>
                      <w:rFonts w:hint="eastAsia" w:ascii="Times New Roman" w:hAnsi="Times New Roman"/>
                      <w:color w:val="auto"/>
                    </w:rPr>
                    <w:t>基础减振</w:t>
                  </w:r>
                </w:p>
              </w:tc>
              <w:tc>
                <w:tcPr>
                  <w:tcW w:w="1276" w:type="dxa"/>
                  <w:tcBorders>
                    <w:tl2br w:val="nil"/>
                    <w:tr2bl w:val="nil"/>
                  </w:tcBorders>
                  <w:noWrap w:val="0"/>
                  <w:vAlign w:val="center"/>
                </w:tcPr>
                <w:p w14:paraId="6AEA8954">
                  <w:pPr>
                    <w:pStyle w:val="227"/>
                    <w:bidi w:val="0"/>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8h</w:t>
                  </w:r>
                </w:p>
              </w:tc>
            </w:tr>
            <w:tr w14:paraId="17246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595" w:type="dxa"/>
                  <w:tcBorders>
                    <w:tl2br w:val="nil"/>
                    <w:tr2bl w:val="nil"/>
                  </w:tcBorders>
                  <w:noWrap w:val="0"/>
                  <w:vAlign w:val="center"/>
                </w:tcPr>
                <w:p w14:paraId="619A720E">
                  <w:pPr>
                    <w:pStyle w:val="227"/>
                    <w:bidi w:val="0"/>
                    <w:jc w:val="center"/>
                    <w:rPr>
                      <w:rFonts w:ascii="Times New Roman" w:hAnsi="Times New Roman"/>
                      <w:color w:val="auto"/>
                      <w:sz w:val="21"/>
                      <w:szCs w:val="21"/>
                      <w:lang w:val="en-US" w:eastAsia="zh-CN"/>
                    </w:rPr>
                  </w:pPr>
                  <w:r>
                    <w:rPr>
                      <w:rFonts w:hint="eastAsia"/>
                      <w:color w:val="auto"/>
                      <w:sz w:val="21"/>
                      <w:szCs w:val="21"/>
                      <w:lang w:val="en-US" w:eastAsia="zh-CN"/>
                    </w:rPr>
                    <w:t>2</w:t>
                  </w:r>
                </w:p>
              </w:tc>
              <w:tc>
                <w:tcPr>
                  <w:tcW w:w="799" w:type="dxa"/>
                  <w:vMerge w:val="continue"/>
                  <w:tcBorders>
                    <w:tl2br w:val="nil"/>
                    <w:tr2bl w:val="nil"/>
                  </w:tcBorders>
                  <w:noWrap w:val="0"/>
                  <w:vAlign w:val="center"/>
                </w:tcPr>
                <w:p w14:paraId="3302FCF0">
                  <w:pPr>
                    <w:pStyle w:val="227"/>
                    <w:bidi w:val="0"/>
                    <w:jc w:val="center"/>
                    <w:rPr>
                      <w:rFonts w:ascii="Times New Roman" w:hAnsi="Times New Roman"/>
                      <w:color w:val="auto"/>
                      <w:sz w:val="21"/>
                      <w:szCs w:val="21"/>
                      <w:lang w:val="en-US" w:eastAsia="zh-CN"/>
                    </w:rPr>
                  </w:pPr>
                </w:p>
              </w:tc>
              <w:tc>
                <w:tcPr>
                  <w:tcW w:w="1355" w:type="dxa"/>
                  <w:tcBorders>
                    <w:tl2br w:val="nil"/>
                    <w:tr2bl w:val="nil"/>
                  </w:tcBorders>
                  <w:shd w:val="clear" w:color="auto" w:fill="auto"/>
                  <w:noWrap w:val="0"/>
                  <w:vAlign w:val="center"/>
                </w:tcPr>
                <w:p w14:paraId="05F8FBA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sz w:val="21"/>
                      <w:szCs w:val="21"/>
                      <w:lang w:val="en-US" w:eastAsia="zh-CN" w:bidi="ar-SA"/>
                    </w:rPr>
                  </w:pPr>
                  <w:r>
                    <w:rPr>
                      <w:rFonts w:hint="eastAsia" w:ascii="Times New Roman" w:hAnsi="Times New Roman" w:eastAsia="宋体" w:cs="Times New Roman"/>
                      <w:b w:val="0"/>
                      <w:bCs/>
                      <w:color w:val="auto"/>
                      <w:sz w:val="21"/>
                      <w:szCs w:val="21"/>
                      <w:lang w:val="en-US" w:eastAsia="zh-CN"/>
                    </w:rPr>
                    <w:t>双轴透镜研磨机</w:t>
                  </w:r>
                </w:p>
              </w:tc>
              <w:tc>
                <w:tcPr>
                  <w:tcW w:w="813" w:type="dxa"/>
                  <w:tcBorders>
                    <w:tl2br w:val="nil"/>
                    <w:tr2bl w:val="nil"/>
                  </w:tcBorders>
                  <w:shd w:val="clear" w:color="auto" w:fill="auto"/>
                  <w:noWrap w:val="0"/>
                  <w:vAlign w:val="center"/>
                </w:tcPr>
                <w:p w14:paraId="118974A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sz w:val="21"/>
                      <w:szCs w:val="21"/>
                      <w:lang w:val="en-US" w:eastAsia="zh-CN" w:bidi="ar-SA"/>
                    </w:rPr>
                  </w:pPr>
                  <w:r>
                    <w:rPr>
                      <w:rFonts w:hint="eastAsia" w:ascii="Times New Roman" w:hAnsi="Times New Roman" w:eastAsia="宋体" w:cs="Times New Roman"/>
                      <w:b w:val="0"/>
                      <w:bCs/>
                      <w:color w:val="auto"/>
                      <w:sz w:val="21"/>
                      <w:szCs w:val="21"/>
                      <w:lang w:val="en-US" w:eastAsia="zh-CN"/>
                    </w:rPr>
                    <w:t>5</w:t>
                  </w:r>
                </w:p>
              </w:tc>
              <w:tc>
                <w:tcPr>
                  <w:tcW w:w="1477" w:type="dxa"/>
                  <w:tcBorders>
                    <w:tl2br w:val="nil"/>
                    <w:tr2bl w:val="nil"/>
                  </w:tcBorders>
                  <w:noWrap w:val="0"/>
                  <w:vAlign w:val="center"/>
                </w:tcPr>
                <w:p w14:paraId="180A2353">
                  <w:pPr>
                    <w:pStyle w:val="227"/>
                    <w:bidi w:val="0"/>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75-80</w:t>
                  </w:r>
                </w:p>
              </w:tc>
              <w:tc>
                <w:tcPr>
                  <w:tcW w:w="1582" w:type="dxa"/>
                  <w:vMerge w:val="continue"/>
                  <w:tcBorders>
                    <w:tl2br w:val="nil"/>
                    <w:tr2bl w:val="nil"/>
                  </w:tcBorders>
                  <w:noWrap w:val="0"/>
                  <w:vAlign w:val="center"/>
                </w:tcPr>
                <w:p w14:paraId="2033FC69">
                  <w:pPr>
                    <w:pStyle w:val="227"/>
                    <w:bidi w:val="0"/>
                    <w:jc w:val="center"/>
                    <w:rPr>
                      <w:rFonts w:ascii="Times New Roman" w:hAnsi="Times New Roman"/>
                      <w:color w:val="auto"/>
                      <w:sz w:val="21"/>
                      <w:szCs w:val="21"/>
                      <w:lang w:val="en-US" w:eastAsia="zh-CN"/>
                    </w:rPr>
                  </w:pPr>
                </w:p>
              </w:tc>
              <w:tc>
                <w:tcPr>
                  <w:tcW w:w="1276" w:type="dxa"/>
                  <w:tcBorders>
                    <w:tl2br w:val="nil"/>
                    <w:tr2bl w:val="nil"/>
                  </w:tcBorders>
                  <w:noWrap w:val="0"/>
                  <w:vAlign w:val="center"/>
                </w:tcPr>
                <w:p w14:paraId="4DA92E18">
                  <w:pPr>
                    <w:pStyle w:val="227"/>
                    <w:bidi w:val="0"/>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8h</w:t>
                  </w:r>
                </w:p>
              </w:tc>
            </w:tr>
            <w:tr w14:paraId="2D03F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595" w:type="dxa"/>
                  <w:tcBorders>
                    <w:tl2br w:val="nil"/>
                    <w:tr2bl w:val="nil"/>
                  </w:tcBorders>
                  <w:noWrap w:val="0"/>
                  <w:vAlign w:val="center"/>
                </w:tcPr>
                <w:p w14:paraId="79BD4734">
                  <w:pPr>
                    <w:pStyle w:val="227"/>
                    <w:bidi w:val="0"/>
                    <w:jc w:val="center"/>
                    <w:rPr>
                      <w:rFonts w:hint="eastAsia" w:ascii="Times New Roman" w:hAnsi="Times New Roman"/>
                      <w:color w:val="auto"/>
                      <w:sz w:val="21"/>
                      <w:szCs w:val="21"/>
                      <w:lang w:val="en-US" w:eastAsia="zh-CN"/>
                    </w:rPr>
                  </w:pPr>
                  <w:r>
                    <w:rPr>
                      <w:rFonts w:hint="eastAsia"/>
                      <w:color w:val="auto"/>
                      <w:sz w:val="21"/>
                      <w:szCs w:val="21"/>
                      <w:lang w:val="en-US" w:eastAsia="zh-CN"/>
                    </w:rPr>
                    <w:t>3</w:t>
                  </w:r>
                </w:p>
              </w:tc>
              <w:tc>
                <w:tcPr>
                  <w:tcW w:w="799" w:type="dxa"/>
                  <w:vMerge w:val="continue"/>
                  <w:tcBorders>
                    <w:tl2br w:val="nil"/>
                    <w:tr2bl w:val="nil"/>
                  </w:tcBorders>
                  <w:noWrap w:val="0"/>
                  <w:vAlign w:val="center"/>
                </w:tcPr>
                <w:p w14:paraId="31E34FAE">
                  <w:pPr>
                    <w:pStyle w:val="227"/>
                    <w:bidi w:val="0"/>
                    <w:jc w:val="center"/>
                    <w:rPr>
                      <w:rFonts w:ascii="Times New Roman" w:hAnsi="Times New Roman"/>
                      <w:color w:val="auto"/>
                      <w:sz w:val="21"/>
                      <w:szCs w:val="21"/>
                      <w:lang w:val="en-US" w:eastAsia="zh-CN"/>
                    </w:rPr>
                  </w:pPr>
                </w:p>
              </w:tc>
              <w:tc>
                <w:tcPr>
                  <w:tcW w:w="1355" w:type="dxa"/>
                  <w:tcBorders>
                    <w:tl2br w:val="nil"/>
                    <w:tr2bl w:val="nil"/>
                  </w:tcBorders>
                  <w:shd w:val="clear" w:color="auto" w:fill="auto"/>
                  <w:noWrap w:val="0"/>
                  <w:vAlign w:val="center"/>
                </w:tcPr>
                <w:p w14:paraId="4562EA4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sz w:val="21"/>
                      <w:szCs w:val="21"/>
                      <w:lang w:val="en-US" w:eastAsia="zh-CN" w:bidi="ar-SA"/>
                    </w:rPr>
                  </w:pPr>
                  <w:r>
                    <w:rPr>
                      <w:rFonts w:hint="eastAsia" w:ascii="Times New Roman" w:hAnsi="Times New Roman" w:eastAsia="宋体" w:cs="Times New Roman"/>
                      <w:b w:val="0"/>
                      <w:bCs/>
                      <w:color w:val="auto"/>
                      <w:sz w:val="21"/>
                      <w:szCs w:val="21"/>
                      <w:lang w:val="en-US" w:eastAsia="zh-CN"/>
                    </w:rPr>
                    <w:t>六轴研磨抛光机</w:t>
                  </w:r>
                </w:p>
              </w:tc>
              <w:tc>
                <w:tcPr>
                  <w:tcW w:w="813" w:type="dxa"/>
                  <w:tcBorders>
                    <w:tl2br w:val="nil"/>
                    <w:tr2bl w:val="nil"/>
                  </w:tcBorders>
                  <w:shd w:val="clear" w:color="auto" w:fill="auto"/>
                  <w:noWrap w:val="0"/>
                  <w:vAlign w:val="center"/>
                </w:tcPr>
                <w:p w14:paraId="0732DD46">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sz w:val="21"/>
                      <w:szCs w:val="21"/>
                      <w:lang w:val="en-US" w:eastAsia="zh-CN" w:bidi="ar-SA"/>
                    </w:rPr>
                  </w:pPr>
                  <w:r>
                    <w:rPr>
                      <w:rFonts w:hint="eastAsia" w:ascii="Times New Roman" w:hAnsi="Times New Roman" w:eastAsia="宋体" w:cs="Times New Roman"/>
                      <w:b w:val="0"/>
                      <w:bCs/>
                      <w:color w:val="auto"/>
                      <w:sz w:val="21"/>
                      <w:szCs w:val="21"/>
                      <w:lang w:val="en-US" w:eastAsia="zh-CN"/>
                    </w:rPr>
                    <w:t>1</w:t>
                  </w:r>
                </w:p>
              </w:tc>
              <w:tc>
                <w:tcPr>
                  <w:tcW w:w="1477" w:type="dxa"/>
                  <w:tcBorders>
                    <w:tl2br w:val="nil"/>
                    <w:tr2bl w:val="nil"/>
                  </w:tcBorders>
                  <w:noWrap w:val="0"/>
                  <w:vAlign w:val="center"/>
                </w:tcPr>
                <w:p w14:paraId="2DE4070F">
                  <w:pPr>
                    <w:pStyle w:val="227"/>
                    <w:bidi w:val="0"/>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75-80</w:t>
                  </w:r>
                </w:p>
              </w:tc>
              <w:tc>
                <w:tcPr>
                  <w:tcW w:w="1582" w:type="dxa"/>
                  <w:vMerge w:val="continue"/>
                  <w:tcBorders>
                    <w:tl2br w:val="nil"/>
                    <w:tr2bl w:val="nil"/>
                  </w:tcBorders>
                  <w:noWrap w:val="0"/>
                  <w:vAlign w:val="center"/>
                </w:tcPr>
                <w:p w14:paraId="728419F8">
                  <w:pPr>
                    <w:pStyle w:val="227"/>
                    <w:bidi w:val="0"/>
                    <w:jc w:val="center"/>
                    <w:rPr>
                      <w:rFonts w:ascii="Times New Roman" w:hAnsi="Times New Roman"/>
                      <w:color w:val="auto"/>
                      <w:sz w:val="21"/>
                      <w:szCs w:val="21"/>
                      <w:lang w:val="en-US" w:eastAsia="zh-CN"/>
                    </w:rPr>
                  </w:pPr>
                </w:p>
              </w:tc>
              <w:tc>
                <w:tcPr>
                  <w:tcW w:w="1276" w:type="dxa"/>
                  <w:tcBorders>
                    <w:tl2br w:val="nil"/>
                    <w:tr2bl w:val="nil"/>
                  </w:tcBorders>
                  <w:noWrap w:val="0"/>
                  <w:vAlign w:val="center"/>
                </w:tcPr>
                <w:p w14:paraId="1F5C6D11">
                  <w:pPr>
                    <w:pStyle w:val="227"/>
                    <w:bidi w:val="0"/>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8h</w:t>
                  </w:r>
                </w:p>
              </w:tc>
            </w:tr>
            <w:tr w14:paraId="1BC1E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595" w:type="dxa"/>
                  <w:tcBorders>
                    <w:tl2br w:val="nil"/>
                    <w:tr2bl w:val="nil"/>
                  </w:tcBorders>
                  <w:noWrap w:val="0"/>
                  <w:vAlign w:val="center"/>
                </w:tcPr>
                <w:p w14:paraId="4866151D">
                  <w:pPr>
                    <w:pStyle w:val="227"/>
                    <w:bidi w:val="0"/>
                    <w:jc w:val="center"/>
                    <w:rPr>
                      <w:rFonts w:hint="eastAsia" w:ascii="Times New Roman" w:hAnsi="Times New Roman"/>
                      <w:color w:val="auto"/>
                      <w:sz w:val="21"/>
                      <w:szCs w:val="21"/>
                      <w:lang w:val="en-US" w:eastAsia="zh-CN"/>
                    </w:rPr>
                  </w:pPr>
                  <w:r>
                    <w:rPr>
                      <w:rFonts w:hint="eastAsia"/>
                      <w:color w:val="auto"/>
                      <w:sz w:val="21"/>
                      <w:szCs w:val="21"/>
                      <w:lang w:val="en-US" w:eastAsia="zh-CN"/>
                    </w:rPr>
                    <w:t>4</w:t>
                  </w:r>
                </w:p>
              </w:tc>
              <w:tc>
                <w:tcPr>
                  <w:tcW w:w="799" w:type="dxa"/>
                  <w:vMerge w:val="continue"/>
                  <w:tcBorders>
                    <w:tl2br w:val="nil"/>
                    <w:tr2bl w:val="nil"/>
                  </w:tcBorders>
                  <w:noWrap w:val="0"/>
                  <w:vAlign w:val="center"/>
                </w:tcPr>
                <w:p w14:paraId="4178FDBF">
                  <w:pPr>
                    <w:pStyle w:val="227"/>
                    <w:bidi w:val="0"/>
                    <w:jc w:val="center"/>
                    <w:rPr>
                      <w:rFonts w:ascii="Times New Roman" w:hAnsi="Times New Roman"/>
                      <w:color w:val="auto"/>
                      <w:sz w:val="21"/>
                      <w:szCs w:val="21"/>
                      <w:lang w:val="en-US" w:eastAsia="zh-CN"/>
                    </w:rPr>
                  </w:pPr>
                </w:p>
              </w:tc>
              <w:tc>
                <w:tcPr>
                  <w:tcW w:w="1355" w:type="dxa"/>
                  <w:tcBorders>
                    <w:tl2br w:val="nil"/>
                    <w:tr2bl w:val="nil"/>
                  </w:tcBorders>
                  <w:shd w:val="clear" w:color="auto" w:fill="auto"/>
                  <w:noWrap w:val="0"/>
                  <w:vAlign w:val="center"/>
                </w:tcPr>
                <w:p w14:paraId="37929935">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sz w:val="21"/>
                      <w:szCs w:val="21"/>
                      <w:lang w:val="en-US" w:eastAsia="zh-CN" w:bidi="ar-SA"/>
                    </w:rPr>
                  </w:pPr>
                  <w:r>
                    <w:rPr>
                      <w:rFonts w:hint="eastAsia" w:ascii="Times New Roman" w:hAnsi="Times New Roman" w:eastAsia="宋体" w:cs="Times New Roman"/>
                      <w:b w:val="0"/>
                      <w:bCs/>
                      <w:color w:val="auto"/>
                      <w:sz w:val="21"/>
                      <w:szCs w:val="21"/>
                      <w:lang w:val="en-US" w:eastAsia="zh-CN"/>
                    </w:rPr>
                    <w:t>主动式环抛机</w:t>
                  </w:r>
                </w:p>
              </w:tc>
              <w:tc>
                <w:tcPr>
                  <w:tcW w:w="813" w:type="dxa"/>
                  <w:tcBorders>
                    <w:tl2br w:val="nil"/>
                    <w:tr2bl w:val="nil"/>
                  </w:tcBorders>
                  <w:shd w:val="clear" w:color="auto" w:fill="auto"/>
                  <w:noWrap w:val="0"/>
                  <w:vAlign w:val="center"/>
                </w:tcPr>
                <w:p w14:paraId="1EC98B2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sz w:val="21"/>
                      <w:szCs w:val="21"/>
                      <w:lang w:val="en-US" w:eastAsia="zh-CN" w:bidi="ar-SA"/>
                    </w:rPr>
                  </w:pPr>
                  <w:r>
                    <w:rPr>
                      <w:rFonts w:hint="eastAsia" w:ascii="Times New Roman" w:hAnsi="Times New Roman" w:eastAsia="宋体" w:cs="Times New Roman"/>
                      <w:b w:val="0"/>
                      <w:bCs/>
                      <w:color w:val="auto"/>
                      <w:sz w:val="21"/>
                      <w:szCs w:val="21"/>
                      <w:lang w:val="en-US" w:eastAsia="zh-CN"/>
                    </w:rPr>
                    <w:t>1</w:t>
                  </w:r>
                </w:p>
              </w:tc>
              <w:tc>
                <w:tcPr>
                  <w:tcW w:w="1477" w:type="dxa"/>
                  <w:tcBorders>
                    <w:tl2br w:val="nil"/>
                    <w:tr2bl w:val="nil"/>
                  </w:tcBorders>
                  <w:noWrap w:val="0"/>
                  <w:vAlign w:val="center"/>
                </w:tcPr>
                <w:p w14:paraId="4F9FFC4F">
                  <w:pPr>
                    <w:pStyle w:val="227"/>
                    <w:bidi w:val="0"/>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85-90</w:t>
                  </w:r>
                </w:p>
              </w:tc>
              <w:tc>
                <w:tcPr>
                  <w:tcW w:w="1582" w:type="dxa"/>
                  <w:vMerge w:val="continue"/>
                  <w:tcBorders>
                    <w:tl2br w:val="nil"/>
                    <w:tr2bl w:val="nil"/>
                  </w:tcBorders>
                  <w:noWrap w:val="0"/>
                  <w:vAlign w:val="center"/>
                </w:tcPr>
                <w:p w14:paraId="24F6CF6E">
                  <w:pPr>
                    <w:pStyle w:val="227"/>
                    <w:bidi w:val="0"/>
                    <w:jc w:val="center"/>
                    <w:rPr>
                      <w:rFonts w:ascii="Times New Roman" w:hAnsi="Times New Roman"/>
                      <w:color w:val="auto"/>
                      <w:sz w:val="21"/>
                      <w:szCs w:val="21"/>
                      <w:lang w:val="en-US" w:eastAsia="zh-CN"/>
                    </w:rPr>
                  </w:pPr>
                </w:p>
              </w:tc>
              <w:tc>
                <w:tcPr>
                  <w:tcW w:w="1276" w:type="dxa"/>
                  <w:tcBorders>
                    <w:tl2br w:val="nil"/>
                    <w:tr2bl w:val="nil"/>
                  </w:tcBorders>
                  <w:noWrap w:val="0"/>
                  <w:vAlign w:val="center"/>
                </w:tcPr>
                <w:p w14:paraId="6F5F0C56">
                  <w:pPr>
                    <w:pStyle w:val="227"/>
                    <w:bidi w:val="0"/>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8h</w:t>
                  </w:r>
                </w:p>
              </w:tc>
            </w:tr>
            <w:tr w14:paraId="0EA1E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595" w:type="dxa"/>
                  <w:tcBorders>
                    <w:tl2br w:val="nil"/>
                    <w:tr2bl w:val="nil"/>
                  </w:tcBorders>
                  <w:noWrap w:val="0"/>
                  <w:vAlign w:val="center"/>
                </w:tcPr>
                <w:p w14:paraId="179D225E">
                  <w:pPr>
                    <w:pStyle w:val="227"/>
                    <w:bidi w:val="0"/>
                    <w:jc w:val="center"/>
                    <w:rPr>
                      <w:rFonts w:hint="default" w:ascii="Times New Roman" w:hAnsi="Times New Roman"/>
                      <w:color w:val="auto"/>
                      <w:sz w:val="21"/>
                      <w:szCs w:val="21"/>
                      <w:lang w:val="en-US" w:eastAsia="zh-CN"/>
                    </w:rPr>
                  </w:pPr>
                  <w:r>
                    <w:rPr>
                      <w:rFonts w:hint="eastAsia"/>
                      <w:color w:val="auto"/>
                      <w:sz w:val="21"/>
                      <w:szCs w:val="21"/>
                      <w:lang w:val="en-US" w:eastAsia="zh-CN"/>
                    </w:rPr>
                    <w:t>5</w:t>
                  </w:r>
                </w:p>
              </w:tc>
              <w:tc>
                <w:tcPr>
                  <w:tcW w:w="799" w:type="dxa"/>
                  <w:vMerge w:val="continue"/>
                  <w:tcBorders>
                    <w:tl2br w:val="nil"/>
                    <w:tr2bl w:val="nil"/>
                  </w:tcBorders>
                  <w:noWrap w:val="0"/>
                  <w:vAlign w:val="center"/>
                </w:tcPr>
                <w:p w14:paraId="0E189CE6">
                  <w:pPr>
                    <w:pStyle w:val="227"/>
                    <w:bidi w:val="0"/>
                    <w:jc w:val="center"/>
                    <w:rPr>
                      <w:rFonts w:ascii="Times New Roman" w:hAnsi="Times New Roman"/>
                      <w:color w:val="auto"/>
                      <w:sz w:val="21"/>
                      <w:szCs w:val="21"/>
                      <w:lang w:val="en-US" w:eastAsia="zh-CN"/>
                    </w:rPr>
                  </w:pPr>
                </w:p>
              </w:tc>
              <w:tc>
                <w:tcPr>
                  <w:tcW w:w="1355" w:type="dxa"/>
                  <w:tcBorders>
                    <w:tl2br w:val="nil"/>
                    <w:tr2bl w:val="nil"/>
                  </w:tcBorders>
                  <w:shd w:val="clear" w:color="auto" w:fill="auto"/>
                  <w:noWrap w:val="0"/>
                  <w:vAlign w:val="center"/>
                </w:tcPr>
                <w:p w14:paraId="52F6579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sz w:val="21"/>
                      <w:szCs w:val="21"/>
                      <w:lang w:val="en-US" w:eastAsia="zh-CN" w:bidi="ar-SA"/>
                    </w:rPr>
                  </w:pPr>
                  <w:r>
                    <w:rPr>
                      <w:rFonts w:hint="eastAsia" w:ascii="Times New Roman" w:hAnsi="Times New Roman" w:eastAsia="宋体" w:cs="Times New Roman"/>
                      <w:b w:val="0"/>
                      <w:bCs/>
                      <w:color w:val="auto"/>
                      <w:sz w:val="21"/>
                      <w:szCs w:val="21"/>
                      <w:lang w:val="en-US" w:eastAsia="zh-CN"/>
                    </w:rPr>
                    <w:t>精雕机</w:t>
                  </w:r>
                </w:p>
              </w:tc>
              <w:tc>
                <w:tcPr>
                  <w:tcW w:w="813" w:type="dxa"/>
                  <w:tcBorders>
                    <w:tl2br w:val="nil"/>
                    <w:tr2bl w:val="nil"/>
                  </w:tcBorders>
                  <w:shd w:val="clear" w:color="auto" w:fill="auto"/>
                  <w:noWrap w:val="0"/>
                  <w:vAlign w:val="center"/>
                </w:tcPr>
                <w:p w14:paraId="7C2C4B3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sz w:val="21"/>
                      <w:szCs w:val="21"/>
                      <w:lang w:val="en-US" w:eastAsia="zh-CN" w:bidi="ar-SA"/>
                    </w:rPr>
                  </w:pPr>
                  <w:r>
                    <w:rPr>
                      <w:rFonts w:hint="eastAsia" w:ascii="Times New Roman" w:hAnsi="Times New Roman" w:eastAsia="宋体" w:cs="Times New Roman"/>
                      <w:b w:val="0"/>
                      <w:bCs/>
                      <w:color w:val="auto"/>
                      <w:sz w:val="21"/>
                      <w:szCs w:val="21"/>
                      <w:lang w:val="en-US" w:eastAsia="zh-CN"/>
                    </w:rPr>
                    <w:t>1</w:t>
                  </w:r>
                </w:p>
              </w:tc>
              <w:tc>
                <w:tcPr>
                  <w:tcW w:w="1477" w:type="dxa"/>
                  <w:tcBorders>
                    <w:tl2br w:val="nil"/>
                    <w:tr2bl w:val="nil"/>
                  </w:tcBorders>
                  <w:noWrap w:val="0"/>
                  <w:vAlign w:val="center"/>
                </w:tcPr>
                <w:p w14:paraId="1ED5FFAC">
                  <w:pPr>
                    <w:pStyle w:val="227"/>
                    <w:bidi w:val="0"/>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75-80</w:t>
                  </w:r>
                </w:p>
              </w:tc>
              <w:tc>
                <w:tcPr>
                  <w:tcW w:w="1582" w:type="dxa"/>
                  <w:vMerge w:val="continue"/>
                  <w:tcBorders>
                    <w:tl2br w:val="nil"/>
                    <w:tr2bl w:val="nil"/>
                  </w:tcBorders>
                  <w:noWrap w:val="0"/>
                  <w:vAlign w:val="center"/>
                </w:tcPr>
                <w:p w14:paraId="19730D0E">
                  <w:pPr>
                    <w:pStyle w:val="227"/>
                    <w:bidi w:val="0"/>
                    <w:jc w:val="center"/>
                    <w:rPr>
                      <w:rFonts w:ascii="Times New Roman" w:hAnsi="Times New Roman"/>
                      <w:color w:val="auto"/>
                      <w:sz w:val="21"/>
                      <w:szCs w:val="21"/>
                      <w:lang w:val="en-US" w:eastAsia="zh-CN"/>
                    </w:rPr>
                  </w:pPr>
                </w:p>
              </w:tc>
              <w:tc>
                <w:tcPr>
                  <w:tcW w:w="1276" w:type="dxa"/>
                  <w:tcBorders>
                    <w:tl2br w:val="nil"/>
                    <w:tr2bl w:val="nil"/>
                  </w:tcBorders>
                  <w:noWrap w:val="0"/>
                  <w:vAlign w:val="center"/>
                </w:tcPr>
                <w:p w14:paraId="6ECA656F">
                  <w:pPr>
                    <w:pStyle w:val="227"/>
                    <w:bidi w:val="0"/>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8h</w:t>
                  </w:r>
                </w:p>
              </w:tc>
            </w:tr>
            <w:tr w14:paraId="0BA0B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595" w:type="dxa"/>
                  <w:tcBorders>
                    <w:tl2br w:val="nil"/>
                    <w:tr2bl w:val="nil"/>
                  </w:tcBorders>
                  <w:noWrap w:val="0"/>
                  <w:vAlign w:val="center"/>
                </w:tcPr>
                <w:p w14:paraId="2CB65731">
                  <w:pPr>
                    <w:pStyle w:val="227"/>
                    <w:bidi w:val="0"/>
                    <w:jc w:val="center"/>
                    <w:rPr>
                      <w:rFonts w:hint="default" w:ascii="Times New Roman" w:hAnsi="Times New Roman"/>
                      <w:color w:val="auto"/>
                      <w:sz w:val="21"/>
                      <w:szCs w:val="21"/>
                      <w:lang w:val="en-US" w:eastAsia="zh-CN"/>
                    </w:rPr>
                  </w:pPr>
                  <w:r>
                    <w:rPr>
                      <w:rFonts w:hint="eastAsia"/>
                      <w:color w:val="auto"/>
                      <w:sz w:val="21"/>
                      <w:szCs w:val="21"/>
                      <w:lang w:val="en-US" w:eastAsia="zh-CN"/>
                    </w:rPr>
                    <w:t>6</w:t>
                  </w:r>
                </w:p>
              </w:tc>
              <w:tc>
                <w:tcPr>
                  <w:tcW w:w="799" w:type="dxa"/>
                  <w:vMerge w:val="continue"/>
                  <w:tcBorders>
                    <w:tl2br w:val="nil"/>
                    <w:tr2bl w:val="nil"/>
                  </w:tcBorders>
                  <w:noWrap w:val="0"/>
                  <w:vAlign w:val="center"/>
                </w:tcPr>
                <w:p w14:paraId="79485A18">
                  <w:pPr>
                    <w:pStyle w:val="227"/>
                    <w:bidi w:val="0"/>
                    <w:jc w:val="center"/>
                    <w:rPr>
                      <w:rFonts w:ascii="Times New Roman" w:hAnsi="Times New Roman"/>
                      <w:color w:val="auto"/>
                      <w:sz w:val="21"/>
                      <w:szCs w:val="21"/>
                      <w:lang w:val="en-US" w:eastAsia="zh-CN"/>
                    </w:rPr>
                  </w:pPr>
                </w:p>
              </w:tc>
              <w:tc>
                <w:tcPr>
                  <w:tcW w:w="1355" w:type="dxa"/>
                  <w:tcBorders>
                    <w:tl2br w:val="nil"/>
                    <w:tr2bl w:val="nil"/>
                  </w:tcBorders>
                  <w:shd w:val="clear" w:color="auto" w:fill="auto"/>
                  <w:noWrap w:val="0"/>
                  <w:vAlign w:val="center"/>
                </w:tcPr>
                <w:p w14:paraId="685616B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sz w:val="21"/>
                      <w:szCs w:val="21"/>
                      <w:lang w:val="en-US" w:eastAsia="zh-CN" w:bidi="ar-SA"/>
                    </w:rPr>
                  </w:pPr>
                  <w:r>
                    <w:rPr>
                      <w:rFonts w:hint="eastAsia" w:ascii="Times New Roman" w:hAnsi="Times New Roman" w:eastAsia="宋体" w:cs="Times New Roman"/>
                      <w:b w:val="0"/>
                      <w:bCs/>
                      <w:color w:val="auto"/>
                      <w:sz w:val="21"/>
                      <w:szCs w:val="21"/>
                      <w:lang w:val="en-US" w:eastAsia="zh-CN"/>
                    </w:rPr>
                    <w:t>超声波清洗机</w:t>
                  </w:r>
                </w:p>
              </w:tc>
              <w:tc>
                <w:tcPr>
                  <w:tcW w:w="813" w:type="dxa"/>
                  <w:tcBorders>
                    <w:tl2br w:val="nil"/>
                    <w:tr2bl w:val="nil"/>
                  </w:tcBorders>
                  <w:shd w:val="clear" w:color="auto" w:fill="auto"/>
                  <w:noWrap w:val="0"/>
                  <w:vAlign w:val="center"/>
                </w:tcPr>
                <w:p w14:paraId="1D39F66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sz w:val="21"/>
                      <w:szCs w:val="21"/>
                      <w:lang w:val="en-US" w:eastAsia="zh-CN" w:bidi="ar-SA"/>
                    </w:rPr>
                  </w:pPr>
                  <w:r>
                    <w:rPr>
                      <w:rFonts w:hint="eastAsia" w:ascii="Times New Roman" w:hAnsi="Times New Roman" w:eastAsia="宋体" w:cs="Times New Roman"/>
                      <w:b w:val="0"/>
                      <w:bCs/>
                      <w:color w:val="auto"/>
                      <w:sz w:val="21"/>
                      <w:szCs w:val="21"/>
                      <w:lang w:val="en-US" w:eastAsia="zh-CN"/>
                    </w:rPr>
                    <w:t>1</w:t>
                  </w:r>
                </w:p>
              </w:tc>
              <w:tc>
                <w:tcPr>
                  <w:tcW w:w="1477" w:type="dxa"/>
                  <w:tcBorders>
                    <w:tl2br w:val="nil"/>
                    <w:tr2bl w:val="nil"/>
                  </w:tcBorders>
                  <w:noWrap w:val="0"/>
                  <w:vAlign w:val="center"/>
                </w:tcPr>
                <w:p w14:paraId="1D49D811">
                  <w:pPr>
                    <w:pStyle w:val="227"/>
                    <w:bidi w:val="0"/>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70-75</w:t>
                  </w:r>
                </w:p>
              </w:tc>
              <w:tc>
                <w:tcPr>
                  <w:tcW w:w="1582" w:type="dxa"/>
                  <w:vMerge w:val="continue"/>
                  <w:tcBorders>
                    <w:tl2br w:val="nil"/>
                    <w:tr2bl w:val="nil"/>
                  </w:tcBorders>
                  <w:noWrap w:val="0"/>
                  <w:vAlign w:val="center"/>
                </w:tcPr>
                <w:p w14:paraId="490E3269">
                  <w:pPr>
                    <w:pStyle w:val="227"/>
                    <w:bidi w:val="0"/>
                    <w:jc w:val="center"/>
                    <w:rPr>
                      <w:rFonts w:ascii="Times New Roman" w:hAnsi="Times New Roman"/>
                      <w:color w:val="auto"/>
                      <w:sz w:val="21"/>
                      <w:szCs w:val="21"/>
                      <w:lang w:val="en-US" w:eastAsia="zh-CN"/>
                    </w:rPr>
                  </w:pPr>
                </w:p>
              </w:tc>
              <w:tc>
                <w:tcPr>
                  <w:tcW w:w="1276" w:type="dxa"/>
                  <w:tcBorders>
                    <w:tl2br w:val="nil"/>
                    <w:tr2bl w:val="nil"/>
                  </w:tcBorders>
                  <w:noWrap w:val="0"/>
                  <w:vAlign w:val="center"/>
                </w:tcPr>
                <w:p w14:paraId="021FE294">
                  <w:pPr>
                    <w:pStyle w:val="227"/>
                    <w:bidi w:val="0"/>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8h</w:t>
                  </w:r>
                </w:p>
              </w:tc>
            </w:tr>
            <w:tr w14:paraId="04BAB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595" w:type="dxa"/>
                  <w:tcBorders>
                    <w:tl2br w:val="nil"/>
                    <w:tr2bl w:val="nil"/>
                  </w:tcBorders>
                  <w:noWrap w:val="0"/>
                  <w:vAlign w:val="center"/>
                </w:tcPr>
                <w:p w14:paraId="6DEB3262">
                  <w:pPr>
                    <w:pStyle w:val="227"/>
                    <w:bidi w:val="0"/>
                    <w:jc w:val="center"/>
                    <w:rPr>
                      <w:rFonts w:hint="default" w:ascii="Times New Roman" w:hAnsi="Times New Roman"/>
                      <w:color w:val="auto"/>
                      <w:sz w:val="21"/>
                      <w:szCs w:val="21"/>
                      <w:lang w:val="en-US" w:eastAsia="zh-CN"/>
                    </w:rPr>
                  </w:pPr>
                  <w:r>
                    <w:rPr>
                      <w:rFonts w:hint="eastAsia"/>
                      <w:color w:val="auto"/>
                      <w:sz w:val="21"/>
                      <w:szCs w:val="21"/>
                      <w:lang w:val="en-US" w:eastAsia="zh-CN"/>
                    </w:rPr>
                    <w:t>7</w:t>
                  </w:r>
                </w:p>
              </w:tc>
              <w:tc>
                <w:tcPr>
                  <w:tcW w:w="799" w:type="dxa"/>
                  <w:vMerge w:val="continue"/>
                  <w:tcBorders>
                    <w:tl2br w:val="nil"/>
                    <w:tr2bl w:val="nil"/>
                  </w:tcBorders>
                  <w:noWrap w:val="0"/>
                  <w:vAlign w:val="center"/>
                </w:tcPr>
                <w:p w14:paraId="3849517E">
                  <w:pPr>
                    <w:pStyle w:val="227"/>
                    <w:bidi w:val="0"/>
                    <w:jc w:val="center"/>
                    <w:rPr>
                      <w:rFonts w:ascii="Times New Roman" w:hAnsi="Times New Roman"/>
                      <w:color w:val="auto"/>
                      <w:sz w:val="21"/>
                      <w:szCs w:val="21"/>
                      <w:lang w:val="en-US" w:eastAsia="zh-CN"/>
                    </w:rPr>
                  </w:pPr>
                </w:p>
              </w:tc>
              <w:tc>
                <w:tcPr>
                  <w:tcW w:w="1355" w:type="dxa"/>
                  <w:tcBorders>
                    <w:tl2br w:val="nil"/>
                    <w:tr2bl w:val="nil"/>
                  </w:tcBorders>
                  <w:shd w:val="clear" w:color="auto" w:fill="auto"/>
                  <w:noWrap w:val="0"/>
                  <w:vAlign w:val="center"/>
                </w:tcPr>
                <w:p w14:paraId="2C90C83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sz w:val="21"/>
                      <w:szCs w:val="21"/>
                      <w:lang w:val="en-US" w:eastAsia="zh-CN" w:bidi="ar-SA"/>
                    </w:rPr>
                  </w:pPr>
                  <w:r>
                    <w:rPr>
                      <w:rFonts w:hint="eastAsia" w:ascii="Times New Roman" w:hAnsi="Times New Roman" w:eastAsia="宋体" w:cs="Times New Roman"/>
                      <w:b w:val="0"/>
                      <w:bCs/>
                      <w:color w:val="auto"/>
                      <w:sz w:val="21"/>
                      <w:szCs w:val="21"/>
                      <w:lang w:val="en-US" w:eastAsia="zh-CN"/>
                    </w:rPr>
                    <w:t>恒温加热台</w:t>
                  </w:r>
                </w:p>
              </w:tc>
              <w:tc>
                <w:tcPr>
                  <w:tcW w:w="813" w:type="dxa"/>
                  <w:tcBorders>
                    <w:tl2br w:val="nil"/>
                    <w:tr2bl w:val="nil"/>
                  </w:tcBorders>
                  <w:shd w:val="clear" w:color="auto" w:fill="auto"/>
                  <w:noWrap w:val="0"/>
                  <w:vAlign w:val="center"/>
                </w:tcPr>
                <w:p w14:paraId="5E1BCA5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sz w:val="21"/>
                      <w:szCs w:val="21"/>
                      <w:lang w:val="en-US" w:eastAsia="zh-CN" w:bidi="ar-SA"/>
                    </w:rPr>
                  </w:pPr>
                  <w:r>
                    <w:rPr>
                      <w:rFonts w:hint="eastAsia" w:ascii="Times New Roman" w:hAnsi="Times New Roman" w:eastAsia="宋体" w:cs="Times New Roman"/>
                      <w:b w:val="0"/>
                      <w:bCs/>
                      <w:color w:val="auto"/>
                      <w:sz w:val="21"/>
                      <w:szCs w:val="21"/>
                      <w:lang w:val="en-US" w:eastAsia="zh-CN"/>
                    </w:rPr>
                    <w:t>1</w:t>
                  </w:r>
                </w:p>
              </w:tc>
              <w:tc>
                <w:tcPr>
                  <w:tcW w:w="1477" w:type="dxa"/>
                  <w:tcBorders>
                    <w:tl2br w:val="nil"/>
                    <w:tr2bl w:val="nil"/>
                  </w:tcBorders>
                  <w:noWrap w:val="0"/>
                  <w:vAlign w:val="center"/>
                </w:tcPr>
                <w:p w14:paraId="3AACFA01">
                  <w:pPr>
                    <w:pStyle w:val="227"/>
                    <w:bidi w:val="0"/>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70-75</w:t>
                  </w:r>
                </w:p>
              </w:tc>
              <w:tc>
                <w:tcPr>
                  <w:tcW w:w="1582" w:type="dxa"/>
                  <w:vMerge w:val="continue"/>
                  <w:tcBorders>
                    <w:tl2br w:val="nil"/>
                    <w:tr2bl w:val="nil"/>
                  </w:tcBorders>
                  <w:noWrap w:val="0"/>
                  <w:vAlign w:val="center"/>
                </w:tcPr>
                <w:p w14:paraId="34CF53DE">
                  <w:pPr>
                    <w:pStyle w:val="227"/>
                    <w:bidi w:val="0"/>
                    <w:jc w:val="center"/>
                    <w:rPr>
                      <w:rFonts w:ascii="Times New Roman" w:hAnsi="Times New Roman"/>
                      <w:color w:val="auto"/>
                      <w:sz w:val="21"/>
                      <w:szCs w:val="21"/>
                      <w:lang w:val="en-US" w:eastAsia="zh-CN"/>
                    </w:rPr>
                  </w:pPr>
                </w:p>
              </w:tc>
              <w:tc>
                <w:tcPr>
                  <w:tcW w:w="1276" w:type="dxa"/>
                  <w:tcBorders>
                    <w:tl2br w:val="nil"/>
                    <w:tr2bl w:val="nil"/>
                  </w:tcBorders>
                  <w:noWrap w:val="0"/>
                  <w:vAlign w:val="center"/>
                </w:tcPr>
                <w:p w14:paraId="19CD8427">
                  <w:pPr>
                    <w:pStyle w:val="227"/>
                    <w:bidi w:val="0"/>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8h</w:t>
                  </w:r>
                </w:p>
              </w:tc>
            </w:tr>
            <w:tr w14:paraId="25EEF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595" w:type="dxa"/>
                  <w:tcBorders>
                    <w:tl2br w:val="nil"/>
                    <w:tr2bl w:val="nil"/>
                  </w:tcBorders>
                  <w:noWrap w:val="0"/>
                  <w:vAlign w:val="center"/>
                </w:tcPr>
                <w:p w14:paraId="2858F818">
                  <w:pPr>
                    <w:pStyle w:val="227"/>
                    <w:bidi w:val="0"/>
                    <w:jc w:val="center"/>
                    <w:rPr>
                      <w:rFonts w:hint="default" w:ascii="Times New Roman" w:hAnsi="Times New Roman"/>
                      <w:color w:val="auto"/>
                      <w:sz w:val="21"/>
                      <w:szCs w:val="21"/>
                      <w:lang w:val="en-US" w:eastAsia="zh-CN"/>
                    </w:rPr>
                  </w:pPr>
                  <w:r>
                    <w:rPr>
                      <w:rFonts w:hint="eastAsia"/>
                      <w:color w:val="auto"/>
                      <w:sz w:val="21"/>
                      <w:szCs w:val="21"/>
                      <w:lang w:val="en-US" w:eastAsia="zh-CN"/>
                    </w:rPr>
                    <w:t>8</w:t>
                  </w:r>
                </w:p>
              </w:tc>
              <w:tc>
                <w:tcPr>
                  <w:tcW w:w="799" w:type="dxa"/>
                  <w:vMerge w:val="continue"/>
                  <w:tcBorders>
                    <w:tl2br w:val="nil"/>
                    <w:tr2bl w:val="nil"/>
                  </w:tcBorders>
                  <w:noWrap w:val="0"/>
                  <w:vAlign w:val="center"/>
                </w:tcPr>
                <w:p w14:paraId="593460A4">
                  <w:pPr>
                    <w:pStyle w:val="227"/>
                    <w:bidi w:val="0"/>
                    <w:jc w:val="center"/>
                    <w:rPr>
                      <w:rFonts w:ascii="Times New Roman" w:hAnsi="Times New Roman"/>
                      <w:color w:val="auto"/>
                      <w:sz w:val="21"/>
                      <w:szCs w:val="21"/>
                      <w:lang w:val="en-US" w:eastAsia="zh-CN"/>
                    </w:rPr>
                  </w:pPr>
                </w:p>
              </w:tc>
              <w:tc>
                <w:tcPr>
                  <w:tcW w:w="1355" w:type="dxa"/>
                  <w:tcBorders>
                    <w:tl2br w:val="nil"/>
                    <w:tr2bl w:val="nil"/>
                  </w:tcBorders>
                  <w:shd w:val="clear" w:color="auto" w:fill="auto"/>
                  <w:noWrap w:val="0"/>
                  <w:vAlign w:val="center"/>
                </w:tcPr>
                <w:p w14:paraId="21FFC5CD">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sz w:val="21"/>
                      <w:szCs w:val="21"/>
                      <w:lang w:val="en-US" w:eastAsia="zh-CN" w:bidi="ar-SA"/>
                    </w:rPr>
                  </w:pPr>
                  <w:r>
                    <w:rPr>
                      <w:rFonts w:hint="eastAsia" w:ascii="Times New Roman" w:hAnsi="Times New Roman" w:eastAsia="宋体" w:cs="Times New Roman"/>
                      <w:b w:val="0"/>
                      <w:bCs/>
                      <w:color w:val="auto"/>
                      <w:sz w:val="21"/>
                      <w:szCs w:val="21"/>
                      <w:lang w:val="en-US" w:eastAsia="zh-CN"/>
                    </w:rPr>
                    <w:t>储气罐</w:t>
                  </w:r>
                </w:p>
              </w:tc>
              <w:tc>
                <w:tcPr>
                  <w:tcW w:w="813" w:type="dxa"/>
                  <w:tcBorders>
                    <w:tl2br w:val="nil"/>
                    <w:tr2bl w:val="nil"/>
                  </w:tcBorders>
                  <w:shd w:val="clear" w:color="auto" w:fill="auto"/>
                  <w:noWrap w:val="0"/>
                  <w:vAlign w:val="center"/>
                </w:tcPr>
                <w:p w14:paraId="0789CE2B">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sz w:val="21"/>
                      <w:szCs w:val="21"/>
                      <w:lang w:val="en-US" w:eastAsia="zh-CN" w:bidi="ar-SA"/>
                    </w:rPr>
                  </w:pPr>
                  <w:r>
                    <w:rPr>
                      <w:rFonts w:hint="eastAsia" w:ascii="Times New Roman" w:hAnsi="Times New Roman" w:eastAsia="宋体" w:cs="Times New Roman"/>
                      <w:b w:val="0"/>
                      <w:bCs/>
                      <w:color w:val="auto"/>
                      <w:sz w:val="21"/>
                      <w:szCs w:val="21"/>
                      <w:lang w:val="en-US" w:eastAsia="zh-CN"/>
                    </w:rPr>
                    <w:t>1</w:t>
                  </w:r>
                </w:p>
              </w:tc>
              <w:tc>
                <w:tcPr>
                  <w:tcW w:w="1477" w:type="dxa"/>
                  <w:tcBorders>
                    <w:tl2br w:val="nil"/>
                    <w:tr2bl w:val="nil"/>
                  </w:tcBorders>
                  <w:noWrap w:val="0"/>
                  <w:vAlign w:val="center"/>
                </w:tcPr>
                <w:p w14:paraId="3537B5CC">
                  <w:pPr>
                    <w:pStyle w:val="227"/>
                    <w:bidi w:val="0"/>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75-80</w:t>
                  </w:r>
                </w:p>
              </w:tc>
              <w:tc>
                <w:tcPr>
                  <w:tcW w:w="1582" w:type="dxa"/>
                  <w:vMerge w:val="continue"/>
                  <w:tcBorders>
                    <w:tl2br w:val="nil"/>
                    <w:tr2bl w:val="nil"/>
                  </w:tcBorders>
                  <w:noWrap w:val="0"/>
                  <w:vAlign w:val="center"/>
                </w:tcPr>
                <w:p w14:paraId="26E09030">
                  <w:pPr>
                    <w:pStyle w:val="227"/>
                    <w:bidi w:val="0"/>
                    <w:jc w:val="center"/>
                    <w:rPr>
                      <w:rFonts w:ascii="Times New Roman" w:hAnsi="Times New Roman"/>
                      <w:color w:val="auto"/>
                      <w:sz w:val="21"/>
                      <w:szCs w:val="21"/>
                      <w:lang w:val="en-US" w:eastAsia="zh-CN"/>
                    </w:rPr>
                  </w:pPr>
                </w:p>
              </w:tc>
              <w:tc>
                <w:tcPr>
                  <w:tcW w:w="1276" w:type="dxa"/>
                  <w:tcBorders>
                    <w:tl2br w:val="nil"/>
                    <w:tr2bl w:val="nil"/>
                  </w:tcBorders>
                  <w:noWrap w:val="0"/>
                  <w:vAlign w:val="center"/>
                </w:tcPr>
                <w:p w14:paraId="09D00BAF">
                  <w:pPr>
                    <w:pStyle w:val="227"/>
                    <w:bidi w:val="0"/>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8h</w:t>
                  </w:r>
                </w:p>
              </w:tc>
            </w:tr>
            <w:tr w14:paraId="2F504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595" w:type="dxa"/>
                  <w:tcBorders>
                    <w:tl2br w:val="nil"/>
                    <w:tr2bl w:val="nil"/>
                  </w:tcBorders>
                  <w:noWrap w:val="0"/>
                  <w:vAlign w:val="center"/>
                </w:tcPr>
                <w:p w14:paraId="2696090C">
                  <w:pPr>
                    <w:pStyle w:val="227"/>
                    <w:bidi w:val="0"/>
                    <w:jc w:val="center"/>
                    <w:rPr>
                      <w:rFonts w:hint="default" w:ascii="Times New Roman" w:hAnsi="Times New Roman"/>
                      <w:color w:val="auto"/>
                      <w:sz w:val="21"/>
                      <w:szCs w:val="21"/>
                      <w:lang w:val="en-US" w:eastAsia="zh-CN"/>
                    </w:rPr>
                  </w:pPr>
                  <w:r>
                    <w:rPr>
                      <w:rFonts w:hint="eastAsia"/>
                      <w:color w:val="auto"/>
                      <w:sz w:val="21"/>
                      <w:szCs w:val="21"/>
                      <w:lang w:val="en-US" w:eastAsia="zh-CN"/>
                    </w:rPr>
                    <w:t>9</w:t>
                  </w:r>
                </w:p>
              </w:tc>
              <w:tc>
                <w:tcPr>
                  <w:tcW w:w="799" w:type="dxa"/>
                  <w:vMerge w:val="continue"/>
                  <w:tcBorders>
                    <w:tl2br w:val="nil"/>
                    <w:tr2bl w:val="nil"/>
                  </w:tcBorders>
                  <w:noWrap w:val="0"/>
                  <w:vAlign w:val="center"/>
                </w:tcPr>
                <w:p w14:paraId="4EC219DA">
                  <w:pPr>
                    <w:pStyle w:val="227"/>
                    <w:bidi w:val="0"/>
                    <w:jc w:val="center"/>
                    <w:rPr>
                      <w:rFonts w:ascii="Times New Roman" w:hAnsi="Times New Roman"/>
                      <w:color w:val="auto"/>
                      <w:sz w:val="21"/>
                      <w:szCs w:val="21"/>
                      <w:lang w:val="en-US" w:eastAsia="zh-CN"/>
                    </w:rPr>
                  </w:pPr>
                </w:p>
              </w:tc>
              <w:tc>
                <w:tcPr>
                  <w:tcW w:w="1355" w:type="dxa"/>
                  <w:tcBorders>
                    <w:tl2br w:val="nil"/>
                    <w:tr2bl w:val="nil"/>
                  </w:tcBorders>
                  <w:shd w:val="clear" w:color="auto" w:fill="auto"/>
                  <w:noWrap w:val="0"/>
                  <w:vAlign w:val="center"/>
                </w:tcPr>
                <w:p w14:paraId="64A81FB8">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sz w:val="21"/>
                      <w:szCs w:val="21"/>
                      <w:lang w:val="en-US" w:eastAsia="zh-CN" w:bidi="ar-SA"/>
                    </w:rPr>
                  </w:pPr>
                  <w:r>
                    <w:rPr>
                      <w:rFonts w:hint="eastAsia" w:ascii="Times New Roman" w:hAnsi="Times New Roman" w:eastAsia="宋体" w:cs="Times New Roman"/>
                      <w:b w:val="0"/>
                      <w:bCs/>
                      <w:color w:val="auto"/>
                      <w:sz w:val="21"/>
                      <w:szCs w:val="21"/>
                      <w:lang w:val="en-US" w:eastAsia="zh-CN"/>
                    </w:rPr>
                    <w:t>干涉仪</w:t>
                  </w:r>
                </w:p>
              </w:tc>
              <w:tc>
                <w:tcPr>
                  <w:tcW w:w="813" w:type="dxa"/>
                  <w:tcBorders>
                    <w:tl2br w:val="nil"/>
                    <w:tr2bl w:val="nil"/>
                  </w:tcBorders>
                  <w:shd w:val="clear" w:color="auto" w:fill="auto"/>
                  <w:noWrap w:val="0"/>
                  <w:vAlign w:val="center"/>
                </w:tcPr>
                <w:p w14:paraId="36FE7CBC">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sz w:val="21"/>
                      <w:szCs w:val="21"/>
                      <w:lang w:val="en-US" w:eastAsia="zh-CN" w:bidi="ar-SA"/>
                    </w:rPr>
                  </w:pPr>
                  <w:r>
                    <w:rPr>
                      <w:rFonts w:hint="eastAsia" w:ascii="Times New Roman" w:hAnsi="Times New Roman" w:eastAsia="宋体" w:cs="Times New Roman"/>
                      <w:b w:val="0"/>
                      <w:bCs/>
                      <w:color w:val="auto"/>
                      <w:sz w:val="21"/>
                      <w:szCs w:val="21"/>
                      <w:lang w:val="en-US" w:eastAsia="zh-CN"/>
                    </w:rPr>
                    <w:t>1</w:t>
                  </w:r>
                </w:p>
              </w:tc>
              <w:tc>
                <w:tcPr>
                  <w:tcW w:w="1477" w:type="dxa"/>
                  <w:tcBorders>
                    <w:tl2br w:val="nil"/>
                    <w:tr2bl w:val="nil"/>
                  </w:tcBorders>
                  <w:noWrap w:val="0"/>
                  <w:vAlign w:val="center"/>
                </w:tcPr>
                <w:p w14:paraId="6367553B">
                  <w:pPr>
                    <w:pStyle w:val="227"/>
                    <w:bidi w:val="0"/>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70-75</w:t>
                  </w:r>
                </w:p>
              </w:tc>
              <w:tc>
                <w:tcPr>
                  <w:tcW w:w="1582" w:type="dxa"/>
                  <w:vMerge w:val="continue"/>
                  <w:tcBorders>
                    <w:tl2br w:val="nil"/>
                    <w:tr2bl w:val="nil"/>
                  </w:tcBorders>
                  <w:noWrap w:val="0"/>
                  <w:vAlign w:val="center"/>
                </w:tcPr>
                <w:p w14:paraId="27E44C2C">
                  <w:pPr>
                    <w:pStyle w:val="227"/>
                    <w:bidi w:val="0"/>
                    <w:jc w:val="center"/>
                    <w:rPr>
                      <w:rFonts w:ascii="Times New Roman" w:hAnsi="Times New Roman"/>
                      <w:color w:val="auto"/>
                      <w:sz w:val="21"/>
                      <w:szCs w:val="21"/>
                      <w:lang w:val="en-US" w:eastAsia="zh-CN"/>
                    </w:rPr>
                  </w:pPr>
                </w:p>
              </w:tc>
              <w:tc>
                <w:tcPr>
                  <w:tcW w:w="1276" w:type="dxa"/>
                  <w:tcBorders>
                    <w:tl2br w:val="nil"/>
                    <w:tr2bl w:val="nil"/>
                  </w:tcBorders>
                  <w:noWrap w:val="0"/>
                  <w:vAlign w:val="center"/>
                </w:tcPr>
                <w:p w14:paraId="5D6C6DB5">
                  <w:pPr>
                    <w:pStyle w:val="227"/>
                    <w:bidi w:val="0"/>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8h</w:t>
                  </w:r>
                </w:p>
              </w:tc>
            </w:tr>
            <w:tr w14:paraId="373CB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595" w:type="dxa"/>
                  <w:tcBorders>
                    <w:tl2br w:val="nil"/>
                    <w:tr2bl w:val="nil"/>
                  </w:tcBorders>
                  <w:noWrap w:val="0"/>
                  <w:vAlign w:val="center"/>
                </w:tcPr>
                <w:p w14:paraId="2E27626B">
                  <w:pPr>
                    <w:pStyle w:val="227"/>
                    <w:bidi w:val="0"/>
                    <w:jc w:val="center"/>
                    <w:rPr>
                      <w:rFonts w:hint="default" w:ascii="Times New Roman" w:hAnsi="Times New Roman"/>
                      <w:color w:val="auto"/>
                      <w:sz w:val="21"/>
                      <w:szCs w:val="21"/>
                      <w:lang w:val="en-US" w:eastAsia="zh-CN"/>
                    </w:rPr>
                  </w:pPr>
                  <w:r>
                    <w:rPr>
                      <w:rFonts w:hint="eastAsia"/>
                      <w:color w:val="auto"/>
                      <w:sz w:val="21"/>
                      <w:szCs w:val="21"/>
                      <w:lang w:val="en-US" w:eastAsia="zh-CN"/>
                    </w:rPr>
                    <w:t>10</w:t>
                  </w:r>
                </w:p>
              </w:tc>
              <w:tc>
                <w:tcPr>
                  <w:tcW w:w="799" w:type="dxa"/>
                  <w:vMerge w:val="continue"/>
                  <w:tcBorders>
                    <w:tl2br w:val="nil"/>
                    <w:tr2bl w:val="nil"/>
                  </w:tcBorders>
                  <w:noWrap w:val="0"/>
                  <w:vAlign w:val="center"/>
                </w:tcPr>
                <w:p w14:paraId="29C552A4">
                  <w:pPr>
                    <w:pStyle w:val="227"/>
                    <w:bidi w:val="0"/>
                    <w:jc w:val="center"/>
                    <w:rPr>
                      <w:rFonts w:ascii="Times New Roman" w:hAnsi="Times New Roman"/>
                      <w:color w:val="auto"/>
                      <w:sz w:val="21"/>
                      <w:szCs w:val="21"/>
                      <w:lang w:val="en-US" w:eastAsia="zh-CN"/>
                    </w:rPr>
                  </w:pPr>
                </w:p>
              </w:tc>
              <w:tc>
                <w:tcPr>
                  <w:tcW w:w="1355" w:type="dxa"/>
                  <w:tcBorders>
                    <w:tl2br w:val="nil"/>
                    <w:tr2bl w:val="nil"/>
                  </w:tcBorders>
                  <w:shd w:val="clear" w:color="auto" w:fill="auto"/>
                  <w:noWrap w:val="0"/>
                  <w:vAlign w:val="center"/>
                </w:tcPr>
                <w:p w14:paraId="56FA611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sz w:val="21"/>
                      <w:szCs w:val="21"/>
                      <w:lang w:val="en-US" w:eastAsia="zh-CN" w:bidi="ar-SA"/>
                    </w:rPr>
                  </w:pPr>
                  <w:r>
                    <w:rPr>
                      <w:rFonts w:hint="eastAsia" w:ascii="Times New Roman" w:hAnsi="Times New Roman" w:eastAsia="宋体" w:cs="Times New Roman"/>
                      <w:b w:val="0"/>
                      <w:bCs/>
                      <w:color w:val="auto"/>
                      <w:sz w:val="21"/>
                      <w:szCs w:val="21"/>
                      <w:lang w:val="en-US" w:eastAsia="zh-CN"/>
                    </w:rPr>
                    <w:t>空压机</w:t>
                  </w:r>
                </w:p>
              </w:tc>
              <w:tc>
                <w:tcPr>
                  <w:tcW w:w="813" w:type="dxa"/>
                  <w:tcBorders>
                    <w:tl2br w:val="nil"/>
                    <w:tr2bl w:val="nil"/>
                  </w:tcBorders>
                  <w:shd w:val="clear" w:color="auto" w:fill="auto"/>
                  <w:noWrap w:val="0"/>
                  <w:vAlign w:val="center"/>
                </w:tcPr>
                <w:p w14:paraId="0809132A">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val="0"/>
                      <w:bCs/>
                      <w:color w:val="auto"/>
                      <w:sz w:val="21"/>
                      <w:szCs w:val="21"/>
                      <w:lang w:val="en-US" w:eastAsia="zh-CN" w:bidi="ar-SA"/>
                    </w:rPr>
                  </w:pPr>
                  <w:r>
                    <w:rPr>
                      <w:rFonts w:hint="eastAsia" w:ascii="Times New Roman" w:hAnsi="Times New Roman" w:eastAsia="宋体" w:cs="Times New Roman"/>
                      <w:b w:val="0"/>
                      <w:bCs/>
                      <w:color w:val="auto"/>
                      <w:sz w:val="21"/>
                      <w:szCs w:val="21"/>
                      <w:lang w:val="en-US" w:eastAsia="zh-CN"/>
                    </w:rPr>
                    <w:t>1</w:t>
                  </w:r>
                </w:p>
              </w:tc>
              <w:tc>
                <w:tcPr>
                  <w:tcW w:w="1477" w:type="dxa"/>
                  <w:tcBorders>
                    <w:tl2br w:val="nil"/>
                    <w:tr2bl w:val="nil"/>
                  </w:tcBorders>
                  <w:noWrap w:val="0"/>
                  <w:vAlign w:val="center"/>
                </w:tcPr>
                <w:p w14:paraId="798EE9E0">
                  <w:pPr>
                    <w:pStyle w:val="227"/>
                    <w:bidi w:val="0"/>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75-80</w:t>
                  </w:r>
                </w:p>
              </w:tc>
              <w:tc>
                <w:tcPr>
                  <w:tcW w:w="1582" w:type="dxa"/>
                  <w:vMerge w:val="continue"/>
                  <w:tcBorders>
                    <w:tl2br w:val="nil"/>
                    <w:tr2bl w:val="nil"/>
                  </w:tcBorders>
                  <w:noWrap w:val="0"/>
                  <w:vAlign w:val="center"/>
                </w:tcPr>
                <w:p w14:paraId="334BF14B">
                  <w:pPr>
                    <w:pStyle w:val="227"/>
                    <w:bidi w:val="0"/>
                    <w:jc w:val="center"/>
                    <w:rPr>
                      <w:rFonts w:ascii="Times New Roman" w:hAnsi="Times New Roman"/>
                      <w:color w:val="auto"/>
                      <w:sz w:val="21"/>
                      <w:szCs w:val="21"/>
                      <w:lang w:val="en-US" w:eastAsia="zh-CN"/>
                    </w:rPr>
                  </w:pPr>
                </w:p>
              </w:tc>
              <w:tc>
                <w:tcPr>
                  <w:tcW w:w="1276" w:type="dxa"/>
                  <w:tcBorders>
                    <w:tl2br w:val="nil"/>
                    <w:tr2bl w:val="nil"/>
                  </w:tcBorders>
                  <w:noWrap w:val="0"/>
                  <w:vAlign w:val="center"/>
                </w:tcPr>
                <w:p w14:paraId="1A08BFA6">
                  <w:pPr>
                    <w:pStyle w:val="227"/>
                    <w:bidi w:val="0"/>
                    <w:jc w:val="center"/>
                    <w:rPr>
                      <w:rFonts w:hint="default" w:ascii="Times New Roman" w:hAnsi="Times New Roman"/>
                      <w:color w:val="auto"/>
                      <w:sz w:val="21"/>
                      <w:szCs w:val="21"/>
                      <w:lang w:val="en-US" w:eastAsia="zh-CN"/>
                    </w:rPr>
                  </w:pPr>
                  <w:r>
                    <w:rPr>
                      <w:rFonts w:hint="eastAsia" w:ascii="Times New Roman" w:hAnsi="Times New Roman"/>
                      <w:color w:val="auto"/>
                      <w:sz w:val="21"/>
                      <w:szCs w:val="21"/>
                      <w:lang w:val="en-US" w:eastAsia="zh-CN"/>
                    </w:rPr>
                    <w:t>8h</w:t>
                  </w:r>
                </w:p>
              </w:tc>
            </w:tr>
          </w:tbl>
          <w:p w14:paraId="3F043757">
            <w:pPr>
              <w:keepNext/>
              <w:keepLines/>
              <w:widowControl w:val="0"/>
              <w:bidi w:val="0"/>
              <w:spacing w:beforeLines="0" w:beforeAutospacing="0" w:afterLines="0" w:afterAutospacing="0" w:line="360" w:lineRule="auto"/>
              <w:jc w:val="left"/>
              <w:outlineLvl w:val="2"/>
              <w:rPr>
                <w:rFonts w:hint="eastAsia"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4.3.2声环境影响分析</w:t>
            </w:r>
          </w:p>
          <w:p w14:paraId="3BF536DC">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项目噪声预测模式采用《环境影响评价技术导则</w:t>
            </w:r>
            <w:r>
              <w:rPr>
                <w:rFonts w:hint="eastAsia" w:ascii="Times New Roman" w:hAnsi="Times New Roman" w:eastAsia="宋体" w:cs="宋体"/>
                <w:color w:val="auto"/>
                <w:kern w:val="2"/>
                <w:sz w:val="24"/>
                <w:szCs w:val="24"/>
                <w:lang w:val="en-US" w:eastAsia="zh-CN" w:bidi="ar-SA"/>
              </w:rPr>
              <w:t xml:space="preserve"> </w:t>
            </w:r>
            <w:r>
              <w:rPr>
                <w:rFonts w:hint="default" w:ascii="Times New Roman" w:hAnsi="Times New Roman" w:eastAsia="宋体" w:cs="宋体"/>
                <w:color w:val="auto"/>
                <w:kern w:val="2"/>
                <w:sz w:val="24"/>
                <w:szCs w:val="24"/>
                <w:lang w:val="en-US" w:eastAsia="zh-CN" w:bidi="ar-SA"/>
              </w:rPr>
              <w:t>声环境》</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HJ</w:t>
            </w:r>
            <w:r>
              <w:rPr>
                <w:rFonts w:hint="eastAsia" w:ascii="Times New Roman" w:hAnsi="Times New Roman" w:eastAsia="宋体" w:cs="宋体"/>
                <w:color w:val="auto"/>
                <w:kern w:val="2"/>
                <w:sz w:val="24"/>
                <w:szCs w:val="24"/>
                <w:lang w:val="en-US" w:eastAsia="zh-CN" w:bidi="ar-SA"/>
              </w:rPr>
              <w:t xml:space="preserve"> </w:t>
            </w:r>
            <w:r>
              <w:rPr>
                <w:rFonts w:hint="default" w:ascii="Times New Roman" w:hAnsi="Times New Roman" w:eastAsia="宋体" w:cs="宋体"/>
                <w:color w:val="auto"/>
                <w:kern w:val="2"/>
                <w:sz w:val="24"/>
                <w:szCs w:val="24"/>
                <w:lang w:val="en-US" w:eastAsia="zh-CN" w:bidi="ar-SA"/>
              </w:rPr>
              <w:t>2.4-20</w:t>
            </w:r>
            <w:r>
              <w:rPr>
                <w:rFonts w:hint="eastAsia" w:ascii="Times New Roman" w:hAnsi="Times New Roman" w:eastAsia="宋体" w:cs="宋体"/>
                <w:color w:val="auto"/>
                <w:kern w:val="2"/>
                <w:sz w:val="24"/>
                <w:szCs w:val="24"/>
                <w:lang w:val="en-US" w:eastAsia="zh-CN" w:bidi="ar-SA"/>
              </w:rPr>
              <w:t>21）</w:t>
            </w:r>
            <w:r>
              <w:rPr>
                <w:rFonts w:hint="default" w:ascii="Times New Roman" w:hAnsi="Times New Roman" w:eastAsia="宋体" w:cs="宋体"/>
                <w:color w:val="auto"/>
                <w:kern w:val="2"/>
                <w:sz w:val="24"/>
                <w:szCs w:val="24"/>
                <w:lang w:val="en-US" w:eastAsia="zh-CN" w:bidi="ar-SA"/>
              </w:rPr>
              <w:t>中推荐的模型。噪声在传播过程</w:t>
            </w:r>
            <w:r>
              <w:rPr>
                <w:rFonts w:hint="eastAsia" w:ascii="Times New Roman" w:hAnsi="Times New Roman" w:eastAsia="宋体" w:cs="宋体"/>
                <w:color w:val="auto"/>
                <w:kern w:val="2"/>
                <w:sz w:val="24"/>
                <w:szCs w:val="24"/>
                <w:lang w:val="en-US" w:eastAsia="zh-CN" w:bidi="ar-SA"/>
              </w:rPr>
              <w:t>中受到</w:t>
            </w:r>
            <w:r>
              <w:rPr>
                <w:rFonts w:hint="default" w:ascii="Times New Roman" w:hAnsi="Times New Roman" w:eastAsia="宋体" w:cs="宋体"/>
                <w:color w:val="auto"/>
                <w:kern w:val="2"/>
                <w:sz w:val="24"/>
                <w:szCs w:val="24"/>
                <w:lang w:val="en-US" w:eastAsia="zh-CN" w:bidi="ar-SA"/>
              </w:rPr>
              <w:t>多种因数的干扰，使其产生衰减，根据建设项目噪声源和环境特征，预测过程中考虑了车间等建筑物的屏障作用、空气吸收。预测模式采用</w:t>
            </w:r>
            <w:r>
              <w:rPr>
                <w:rFonts w:hint="eastAsia" w:ascii="Times New Roman" w:hAnsi="Times New Roman" w:eastAsia="宋体" w:cs="宋体"/>
                <w:color w:val="auto"/>
                <w:kern w:val="2"/>
                <w:sz w:val="24"/>
                <w:szCs w:val="24"/>
                <w:lang w:val="en-US" w:eastAsia="zh-CN" w:bidi="ar-SA"/>
              </w:rPr>
              <w:t>点</w:t>
            </w:r>
            <w:r>
              <w:rPr>
                <w:rFonts w:hint="default" w:ascii="Times New Roman" w:hAnsi="Times New Roman" w:eastAsia="宋体" w:cs="宋体"/>
                <w:color w:val="auto"/>
                <w:kern w:val="2"/>
                <w:sz w:val="24"/>
                <w:szCs w:val="24"/>
                <w:lang w:val="en-US" w:eastAsia="zh-CN" w:bidi="ar-SA"/>
              </w:rPr>
              <w:t>声源处于半自由空间的几何发散模式。</w:t>
            </w:r>
          </w:p>
          <w:p w14:paraId="407FF2B5">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（1）</w:t>
            </w:r>
            <w:r>
              <w:rPr>
                <w:rFonts w:hint="default" w:ascii="Times New Roman" w:hAnsi="Times New Roman" w:eastAsia="宋体" w:cs="宋体"/>
                <w:color w:val="auto"/>
                <w:kern w:val="2"/>
                <w:sz w:val="24"/>
                <w:szCs w:val="24"/>
                <w:lang w:val="en-US" w:eastAsia="zh-CN" w:bidi="ar-SA"/>
              </w:rPr>
              <w:t>声级的计算</w:t>
            </w:r>
          </w:p>
          <w:p w14:paraId="29BE7B53">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①建设项目声源在预测点产生的等效声级贡献值</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L</w:t>
            </w:r>
            <w:r>
              <w:rPr>
                <w:rFonts w:hint="default" w:ascii="Times New Roman" w:hAnsi="Times New Roman" w:eastAsia="宋体" w:cs="宋体"/>
                <w:color w:val="auto"/>
                <w:kern w:val="2"/>
                <w:sz w:val="24"/>
                <w:szCs w:val="24"/>
                <w:vertAlign w:val="subscript"/>
                <w:lang w:val="en-US" w:eastAsia="zh-CN" w:bidi="ar-SA"/>
              </w:rPr>
              <w:t>eqg</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计算公式：</w:t>
            </w:r>
          </w:p>
          <w:p w14:paraId="6C9FAA8F">
            <w:pPr>
              <w:widowControl w:val="0"/>
              <w:bidi w:val="0"/>
              <w:spacing w:line="360" w:lineRule="auto"/>
              <w:ind w:firstLine="480" w:firstLineChars="200"/>
              <w:jc w:val="right"/>
              <w:rPr>
                <w:rFonts w:hint="eastAsia"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drawing>
                <wp:inline distT="0" distB="0" distL="114300" distR="114300">
                  <wp:extent cx="2138680" cy="531495"/>
                  <wp:effectExtent l="0" t="0" r="13970" b="1905"/>
                  <wp:docPr id="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pic:cNvPicPr>
                            <a:picLocks noChangeAspect="1"/>
                          </pic:cNvPicPr>
                        </pic:nvPicPr>
                        <pic:blipFill>
                          <a:blip r:embed="rId26"/>
                          <a:stretch>
                            <a:fillRect/>
                          </a:stretch>
                        </pic:blipFill>
                        <pic:spPr>
                          <a:xfrm>
                            <a:off x="0" y="0"/>
                            <a:ext cx="2138680" cy="531495"/>
                          </a:xfrm>
                          <a:prstGeom prst="rect">
                            <a:avLst/>
                          </a:prstGeom>
                          <a:noFill/>
                          <a:ln>
                            <a:noFill/>
                          </a:ln>
                        </pic:spPr>
                      </pic:pic>
                    </a:graphicData>
                  </a:graphic>
                </wp:inline>
              </w:drawing>
            </w:r>
            <w:r>
              <w:rPr>
                <w:rFonts w:hint="eastAsia" w:ascii="Times New Roman" w:hAnsi="Times New Roman" w:eastAsia="宋体" w:cs="宋体"/>
                <w:color w:val="auto"/>
                <w:kern w:val="2"/>
                <w:sz w:val="24"/>
                <w:szCs w:val="24"/>
                <w:lang w:val="en-US" w:eastAsia="zh-CN" w:bidi="ar-SA"/>
              </w:rPr>
              <w:t xml:space="preserve">                  （1）</w:t>
            </w:r>
          </w:p>
          <w:p w14:paraId="1807764B">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式中：L</w:t>
            </w:r>
            <w:r>
              <w:rPr>
                <w:rFonts w:hint="default" w:ascii="Times New Roman" w:hAnsi="Times New Roman" w:eastAsia="宋体" w:cs="宋体"/>
                <w:color w:val="auto"/>
                <w:kern w:val="2"/>
                <w:sz w:val="24"/>
                <w:szCs w:val="24"/>
                <w:vertAlign w:val="subscript"/>
                <w:lang w:val="en-US" w:eastAsia="zh-CN" w:bidi="ar-SA"/>
              </w:rPr>
              <w:t>eqg</w:t>
            </w:r>
            <w:r>
              <w:rPr>
                <w:rFonts w:hint="default" w:ascii="Times New Roman" w:hAnsi="Times New Roman" w:eastAsia="宋体" w:cs="宋体"/>
                <w:color w:val="auto"/>
                <w:kern w:val="2"/>
                <w:sz w:val="24"/>
                <w:szCs w:val="24"/>
                <w:lang w:val="en-US" w:eastAsia="zh-CN" w:bidi="ar-SA"/>
              </w:rPr>
              <w:t>—建设项目声源在预测点的等效声级贡献值，dB</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A</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w:t>
            </w:r>
          </w:p>
          <w:p w14:paraId="423F8451">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L</w:t>
            </w:r>
            <w:r>
              <w:rPr>
                <w:rFonts w:hint="default" w:ascii="Times New Roman" w:hAnsi="Times New Roman" w:eastAsia="宋体" w:cs="宋体"/>
                <w:color w:val="auto"/>
                <w:kern w:val="2"/>
                <w:sz w:val="24"/>
                <w:szCs w:val="24"/>
                <w:vertAlign w:val="subscript"/>
                <w:lang w:val="en-US" w:eastAsia="zh-CN" w:bidi="ar-SA"/>
              </w:rPr>
              <w:t>Ai</w:t>
            </w:r>
            <w:r>
              <w:rPr>
                <w:rFonts w:hint="default" w:ascii="Times New Roman" w:hAnsi="Times New Roman" w:eastAsia="宋体" w:cs="宋体"/>
                <w:color w:val="auto"/>
                <w:kern w:val="2"/>
                <w:sz w:val="24"/>
                <w:szCs w:val="24"/>
                <w:lang w:val="en-US" w:eastAsia="zh-CN" w:bidi="ar-SA"/>
              </w:rPr>
              <w:t>—i声源在预测点产生的A声级，dB</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A</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w:t>
            </w:r>
          </w:p>
          <w:p w14:paraId="231D523C">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T—预测计算的时间段，s；</w:t>
            </w:r>
          </w:p>
          <w:p w14:paraId="0007D551">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ti—i声源在T时段内的运行时间，s。</w:t>
            </w:r>
          </w:p>
          <w:p w14:paraId="1F1BED83">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②预测点的预测等效声级</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Leq</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计算公式：</w:t>
            </w:r>
          </w:p>
          <w:p w14:paraId="072327F9">
            <w:pPr>
              <w:widowControl w:val="0"/>
              <w:bidi w:val="0"/>
              <w:spacing w:line="360" w:lineRule="auto"/>
              <w:ind w:firstLine="480" w:firstLineChars="200"/>
              <w:jc w:val="right"/>
              <w:rPr>
                <w:rFonts w:hint="eastAsia"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drawing>
                <wp:inline distT="0" distB="0" distL="114300" distR="114300">
                  <wp:extent cx="1809750" cy="288925"/>
                  <wp:effectExtent l="0" t="0" r="0" b="15875"/>
                  <wp:docPr id="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
                          <pic:cNvPicPr>
                            <a:picLocks noChangeAspect="1"/>
                          </pic:cNvPicPr>
                        </pic:nvPicPr>
                        <pic:blipFill>
                          <a:blip r:embed="rId27"/>
                          <a:stretch>
                            <a:fillRect/>
                          </a:stretch>
                        </pic:blipFill>
                        <pic:spPr>
                          <a:xfrm>
                            <a:off x="0" y="0"/>
                            <a:ext cx="1809750" cy="288925"/>
                          </a:xfrm>
                          <a:prstGeom prst="rect">
                            <a:avLst/>
                          </a:prstGeom>
                          <a:noFill/>
                          <a:ln>
                            <a:noFill/>
                          </a:ln>
                        </pic:spPr>
                      </pic:pic>
                    </a:graphicData>
                  </a:graphic>
                </wp:inline>
              </w:drawing>
            </w:r>
            <w:r>
              <w:rPr>
                <w:rFonts w:hint="eastAsia" w:ascii="Times New Roman" w:hAnsi="Times New Roman" w:eastAsia="宋体" w:cs="宋体"/>
                <w:color w:val="auto"/>
                <w:kern w:val="2"/>
                <w:sz w:val="24"/>
                <w:szCs w:val="24"/>
                <w:lang w:val="en-US" w:eastAsia="zh-CN" w:bidi="ar-SA"/>
              </w:rPr>
              <w:t xml:space="preserve">                    （2）</w:t>
            </w:r>
          </w:p>
          <w:p w14:paraId="76917BA7">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式中：L</w:t>
            </w:r>
            <w:r>
              <w:rPr>
                <w:rFonts w:hint="default" w:ascii="Times New Roman" w:hAnsi="Times New Roman" w:eastAsia="宋体" w:cs="宋体"/>
                <w:color w:val="auto"/>
                <w:kern w:val="2"/>
                <w:sz w:val="24"/>
                <w:szCs w:val="24"/>
                <w:vertAlign w:val="subscript"/>
                <w:lang w:val="en-US" w:eastAsia="zh-CN" w:bidi="ar-SA"/>
              </w:rPr>
              <w:t>eqg</w:t>
            </w:r>
            <w:r>
              <w:rPr>
                <w:rFonts w:hint="default" w:ascii="Times New Roman" w:hAnsi="Times New Roman" w:eastAsia="宋体" w:cs="宋体"/>
                <w:color w:val="auto"/>
                <w:kern w:val="2"/>
                <w:sz w:val="24"/>
                <w:szCs w:val="24"/>
                <w:lang w:val="en-US" w:eastAsia="zh-CN" w:bidi="ar-SA"/>
              </w:rPr>
              <w:t>—建设项目声源在预测点的等效声级贡献值，dB</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A</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w:t>
            </w:r>
          </w:p>
          <w:p w14:paraId="019F6806">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L</w:t>
            </w:r>
            <w:r>
              <w:rPr>
                <w:rFonts w:hint="default" w:ascii="Times New Roman" w:hAnsi="Times New Roman" w:eastAsia="宋体" w:cs="宋体"/>
                <w:color w:val="auto"/>
                <w:kern w:val="2"/>
                <w:sz w:val="24"/>
                <w:szCs w:val="24"/>
                <w:vertAlign w:val="subscript"/>
                <w:lang w:val="en-US" w:eastAsia="zh-CN" w:bidi="ar-SA"/>
              </w:rPr>
              <w:t>eqg</w:t>
            </w:r>
            <w:r>
              <w:rPr>
                <w:rFonts w:hint="default" w:ascii="Times New Roman" w:hAnsi="Times New Roman" w:eastAsia="宋体" w:cs="宋体"/>
                <w:color w:val="auto"/>
                <w:kern w:val="2"/>
                <w:sz w:val="24"/>
                <w:szCs w:val="24"/>
                <w:lang w:val="en-US" w:eastAsia="zh-CN" w:bidi="ar-SA"/>
              </w:rPr>
              <w:t>—预测点的背景值，dB</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A</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w:t>
            </w:r>
          </w:p>
          <w:p w14:paraId="435DF315">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（2）</w:t>
            </w:r>
            <w:r>
              <w:rPr>
                <w:rFonts w:hint="default" w:ascii="Times New Roman" w:hAnsi="Times New Roman" w:eastAsia="宋体" w:cs="宋体"/>
                <w:color w:val="auto"/>
                <w:kern w:val="2"/>
                <w:sz w:val="24"/>
                <w:szCs w:val="24"/>
                <w:lang w:val="en-US" w:eastAsia="zh-CN" w:bidi="ar-SA"/>
              </w:rPr>
              <w:t>户外声传基本公式</w:t>
            </w:r>
          </w:p>
          <w:p w14:paraId="71A94278">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①基本公式</w:t>
            </w:r>
          </w:p>
          <w:p w14:paraId="4A3FB94C">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户外声传播衰减包括几何发散</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Adiv</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、大气吸收</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Aatm</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、地面效应</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Agr</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、屏障屏蔽</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Abar</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、其他多方面效应</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Amisc</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引起的衰减。</w:t>
            </w:r>
          </w:p>
          <w:p w14:paraId="3B8A008F">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A.在环境影响评价中，应根据声源声功率级或靠近声源某一参考位置处的已知声级</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如实测得到的</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、户外声传播衰减，计算距离声源较远处的预测点的声级。在已知距离无指向性点声源参考点r</w:t>
            </w:r>
            <w:r>
              <w:rPr>
                <w:rFonts w:hint="default" w:ascii="Times New Roman" w:hAnsi="Times New Roman" w:eastAsia="宋体" w:cs="宋体"/>
                <w:color w:val="auto"/>
                <w:kern w:val="2"/>
                <w:sz w:val="24"/>
                <w:szCs w:val="24"/>
                <w:vertAlign w:val="subscript"/>
                <w:lang w:val="en-US" w:eastAsia="zh-CN" w:bidi="ar-SA"/>
              </w:rPr>
              <w:t>0</w:t>
            </w:r>
            <w:r>
              <w:rPr>
                <w:rFonts w:hint="default" w:ascii="Times New Roman" w:hAnsi="Times New Roman" w:eastAsia="宋体" w:cs="宋体"/>
                <w:color w:val="auto"/>
                <w:kern w:val="2"/>
                <w:sz w:val="24"/>
                <w:szCs w:val="24"/>
                <w:lang w:val="en-US" w:eastAsia="zh-CN" w:bidi="ar-SA"/>
              </w:rPr>
              <w:t>处的倍频带</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用63Hz到8KHz的8个标称倍频带中心频率</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声压级Lp</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r</w:t>
            </w:r>
            <w:r>
              <w:rPr>
                <w:rFonts w:hint="default" w:ascii="Times New Roman" w:hAnsi="Times New Roman" w:eastAsia="宋体" w:cs="宋体"/>
                <w:color w:val="auto"/>
                <w:kern w:val="2"/>
                <w:sz w:val="24"/>
                <w:szCs w:val="24"/>
                <w:vertAlign w:val="subscript"/>
                <w:lang w:val="en-US" w:eastAsia="zh-CN" w:bidi="ar-SA"/>
              </w:rPr>
              <w:t>0</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和计算出参考点</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r</w:t>
            </w:r>
            <w:r>
              <w:rPr>
                <w:rFonts w:hint="default" w:ascii="Times New Roman" w:hAnsi="Times New Roman" w:eastAsia="宋体" w:cs="宋体"/>
                <w:color w:val="auto"/>
                <w:kern w:val="2"/>
                <w:sz w:val="24"/>
                <w:szCs w:val="24"/>
                <w:vertAlign w:val="subscript"/>
                <w:lang w:val="en-US" w:eastAsia="zh-CN" w:bidi="ar-SA"/>
              </w:rPr>
              <w:t>0</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和预测点</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r</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处之间的户外声传播衰减后，预测点8个倍频带声压级可分别用式</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3</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计算。</w:t>
            </w:r>
          </w:p>
          <w:p w14:paraId="701BAAE8">
            <w:pPr>
              <w:widowControl w:val="0"/>
              <w:bidi w:val="0"/>
              <w:spacing w:line="360" w:lineRule="auto"/>
              <w:ind w:firstLine="480" w:firstLineChars="200"/>
              <w:jc w:val="right"/>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drawing>
                <wp:inline distT="0" distB="0" distL="114300" distR="114300">
                  <wp:extent cx="2871470" cy="314325"/>
                  <wp:effectExtent l="0" t="0" r="5080" b="9525"/>
                  <wp:docPr id="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8"/>
                          <pic:cNvPicPr>
                            <a:picLocks noChangeAspect="1"/>
                          </pic:cNvPicPr>
                        </pic:nvPicPr>
                        <pic:blipFill>
                          <a:blip r:embed="rId28"/>
                          <a:stretch>
                            <a:fillRect/>
                          </a:stretch>
                        </pic:blipFill>
                        <pic:spPr>
                          <a:xfrm>
                            <a:off x="0" y="0"/>
                            <a:ext cx="2871470" cy="314325"/>
                          </a:xfrm>
                          <a:prstGeom prst="rect">
                            <a:avLst/>
                          </a:prstGeom>
                          <a:noFill/>
                          <a:ln>
                            <a:noFill/>
                          </a:ln>
                        </pic:spPr>
                      </pic:pic>
                    </a:graphicData>
                  </a:graphic>
                </wp:inline>
              </w:drawing>
            </w:r>
            <w:r>
              <w:rPr>
                <w:rFonts w:hint="eastAsia" w:ascii="Times New Roman" w:hAnsi="Times New Roman" w:eastAsia="宋体" w:cs="宋体"/>
                <w:color w:val="auto"/>
                <w:kern w:val="2"/>
                <w:sz w:val="24"/>
                <w:szCs w:val="24"/>
                <w:lang w:val="en-US" w:eastAsia="zh-CN" w:bidi="ar-SA"/>
              </w:rPr>
              <w:t xml:space="preserve">          </w:t>
            </w:r>
            <w:r>
              <w:rPr>
                <w:rFonts w:hint="default" w:ascii="Times New Roman" w:hAnsi="Times New Roman" w:eastAsia="宋体" w:cs="宋体"/>
                <w:color w:val="auto"/>
                <w:kern w:val="2"/>
                <w:sz w:val="24"/>
                <w:szCs w:val="24"/>
                <w:lang w:val="en-US" w:eastAsia="zh-CN" w:bidi="ar-SA"/>
              </w:rPr>
              <w:t>（3）</w:t>
            </w:r>
          </w:p>
          <w:p w14:paraId="06D1AC90">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B.预测点的A声级LA</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r</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可按公式</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6</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计算，即将8个倍频带声压级合成，计算出预测点的A声级</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LA</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r</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w:t>
            </w:r>
          </w:p>
          <w:p w14:paraId="2D43E47F">
            <w:pPr>
              <w:widowControl w:val="0"/>
              <w:bidi w:val="0"/>
              <w:spacing w:line="360" w:lineRule="auto"/>
              <w:ind w:firstLine="480" w:firstLineChars="200"/>
              <w:jc w:val="right"/>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drawing>
                <wp:inline distT="0" distB="0" distL="114300" distR="114300">
                  <wp:extent cx="1924050" cy="416560"/>
                  <wp:effectExtent l="0" t="0" r="0" b="2540"/>
                  <wp:docPr id="4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
                          <pic:cNvPicPr>
                            <a:picLocks noChangeAspect="1"/>
                          </pic:cNvPicPr>
                        </pic:nvPicPr>
                        <pic:blipFill>
                          <a:blip r:embed="rId29"/>
                          <a:stretch>
                            <a:fillRect/>
                          </a:stretch>
                        </pic:blipFill>
                        <pic:spPr>
                          <a:xfrm>
                            <a:off x="0" y="0"/>
                            <a:ext cx="1924050" cy="416560"/>
                          </a:xfrm>
                          <a:prstGeom prst="rect">
                            <a:avLst/>
                          </a:prstGeom>
                          <a:noFill/>
                          <a:ln>
                            <a:noFill/>
                          </a:ln>
                        </pic:spPr>
                      </pic:pic>
                    </a:graphicData>
                  </a:graphic>
                </wp:inline>
              </w:drawing>
            </w:r>
            <w:r>
              <w:rPr>
                <w:rFonts w:hint="eastAsia" w:ascii="Times New Roman" w:hAnsi="Times New Roman" w:eastAsia="宋体" w:cs="宋体"/>
                <w:color w:val="auto"/>
                <w:kern w:val="2"/>
                <w:sz w:val="24"/>
                <w:szCs w:val="24"/>
                <w:lang w:val="en-US" w:eastAsia="zh-CN" w:bidi="ar-SA"/>
              </w:rPr>
              <w:t xml:space="preserve">                   </w:t>
            </w:r>
            <w:r>
              <w:rPr>
                <w:rFonts w:hint="default" w:ascii="Times New Roman" w:hAnsi="Times New Roman" w:eastAsia="宋体" w:cs="宋体"/>
                <w:color w:val="auto"/>
                <w:kern w:val="2"/>
                <w:sz w:val="24"/>
                <w:szCs w:val="24"/>
                <w:lang w:val="en-US" w:eastAsia="zh-CN" w:bidi="ar-SA"/>
              </w:rPr>
              <w:t>（4）</w:t>
            </w:r>
          </w:p>
          <w:p w14:paraId="2F5B172B">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式中：L</w:t>
            </w:r>
            <w:r>
              <w:rPr>
                <w:rFonts w:hint="default" w:ascii="Times New Roman" w:hAnsi="Times New Roman" w:eastAsia="宋体" w:cs="宋体"/>
                <w:color w:val="auto"/>
                <w:kern w:val="2"/>
                <w:sz w:val="24"/>
                <w:szCs w:val="24"/>
                <w:vertAlign w:val="subscript"/>
                <w:lang w:val="en-US" w:eastAsia="zh-CN" w:bidi="ar-SA"/>
              </w:rPr>
              <w:t>Pi</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r</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—预测点</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r</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处，第i倍频带声压级，dB</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A</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w:t>
            </w:r>
          </w:p>
          <w:p w14:paraId="196DF182">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ΔL i—第i倍频带的A计权网络修正值，dB。</w:t>
            </w:r>
          </w:p>
          <w:p w14:paraId="3D2E54C7">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C.</w:t>
            </w:r>
            <w:r>
              <w:rPr>
                <w:rFonts w:hint="default" w:ascii="Times New Roman" w:hAnsi="Times New Roman" w:eastAsia="宋体" w:cs="宋体"/>
                <w:color w:val="auto"/>
                <w:kern w:val="2"/>
                <w:sz w:val="24"/>
                <w:szCs w:val="24"/>
                <w:lang w:val="en-US" w:eastAsia="zh-CN" w:bidi="ar-SA"/>
              </w:rPr>
              <w:t>在只考虑几何发散衰减时，可用公式</w:t>
            </w:r>
            <w:r>
              <w:rPr>
                <w:rFonts w:hint="eastAsia" w:ascii="Times New Roman" w:hAnsi="Times New Roman" w:eastAsia="宋体" w:cs="宋体"/>
                <w:color w:val="auto"/>
                <w:kern w:val="2"/>
                <w:sz w:val="24"/>
                <w:szCs w:val="24"/>
                <w:lang w:val="en-US" w:eastAsia="zh-CN" w:bidi="ar-SA"/>
              </w:rPr>
              <w:t>（5）</w:t>
            </w:r>
            <w:r>
              <w:rPr>
                <w:rFonts w:hint="default" w:ascii="Times New Roman" w:hAnsi="Times New Roman" w:eastAsia="宋体" w:cs="宋体"/>
                <w:color w:val="auto"/>
                <w:kern w:val="2"/>
                <w:sz w:val="24"/>
                <w:szCs w:val="24"/>
                <w:lang w:val="en-US" w:eastAsia="zh-CN" w:bidi="ar-SA"/>
              </w:rPr>
              <w:t>计算：</w:t>
            </w:r>
          </w:p>
          <w:p w14:paraId="020B9A1F">
            <w:pPr>
              <w:widowControl w:val="0"/>
              <w:bidi w:val="0"/>
              <w:spacing w:line="360" w:lineRule="auto"/>
              <w:ind w:firstLine="480" w:firstLineChars="200"/>
              <w:jc w:val="right"/>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drawing>
                <wp:inline distT="0" distB="0" distL="114300" distR="114300">
                  <wp:extent cx="1334135" cy="320675"/>
                  <wp:effectExtent l="0" t="0" r="18415" b="3175"/>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pic:cNvPicPr>
                        </pic:nvPicPr>
                        <pic:blipFill>
                          <a:blip r:embed="rId30"/>
                          <a:stretch>
                            <a:fillRect/>
                          </a:stretch>
                        </pic:blipFill>
                        <pic:spPr>
                          <a:xfrm>
                            <a:off x="0" y="0"/>
                            <a:ext cx="1334135" cy="320675"/>
                          </a:xfrm>
                          <a:prstGeom prst="rect">
                            <a:avLst/>
                          </a:prstGeom>
                          <a:noFill/>
                          <a:ln>
                            <a:noFill/>
                          </a:ln>
                        </pic:spPr>
                      </pic:pic>
                    </a:graphicData>
                  </a:graphic>
                </wp:inline>
              </w:drawing>
            </w:r>
            <w:r>
              <w:rPr>
                <w:rFonts w:hint="eastAsia" w:ascii="Times New Roman" w:hAnsi="Times New Roman" w:eastAsia="宋体" w:cs="宋体"/>
                <w:color w:val="auto"/>
                <w:kern w:val="2"/>
                <w:sz w:val="24"/>
                <w:szCs w:val="24"/>
                <w:lang w:val="en-US" w:eastAsia="zh-CN" w:bidi="ar-SA"/>
              </w:rPr>
              <w:t xml:space="preserve">                       </w:t>
            </w:r>
            <w:r>
              <w:rPr>
                <w:rFonts w:hint="default" w:ascii="Times New Roman" w:hAnsi="Times New Roman" w:eastAsia="宋体" w:cs="宋体"/>
                <w:color w:val="auto"/>
                <w:kern w:val="2"/>
                <w:sz w:val="24"/>
                <w:szCs w:val="24"/>
                <w:lang w:val="en-US" w:eastAsia="zh-CN" w:bidi="ar-SA"/>
              </w:rPr>
              <w:t>（5）</w:t>
            </w:r>
          </w:p>
          <w:p w14:paraId="09931A51">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②几何发散衰减</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Adiv</w:t>
            </w:r>
            <w:r>
              <w:rPr>
                <w:rFonts w:hint="eastAsia" w:ascii="Times New Roman" w:hAnsi="Times New Roman" w:eastAsia="宋体" w:cs="宋体"/>
                <w:color w:val="auto"/>
                <w:kern w:val="2"/>
                <w:sz w:val="24"/>
                <w:szCs w:val="24"/>
                <w:lang w:val="en-US" w:eastAsia="zh-CN" w:bidi="ar-SA"/>
              </w:rPr>
              <w:t>）</w:t>
            </w:r>
          </w:p>
          <w:p w14:paraId="1C3B9D0E">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A.点声源的几何发散衰减</w:t>
            </w:r>
          </w:p>
          <w:p w14:paraId="2B3873B7">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如果声源处于半自由声场，则等效为公式（6）或（7）</w:t>
            </w:r>
          </w:p>
          <w:p w14:paraId="1296980C">
            <w:pPr>
              <w:widowControl w:val="0"/>
              <w:bidi w:val="0"/>
              <w:spacing w:line="360" w:lineRule="auto"/>
              <w:ind w:firstLine="480" w:firstLineChars="200"/>
              <w:jc w:val="right"/>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drawing>
                <wp:inline distT="0" distB="0" distL="114300" distR="114300">
                  <wp:extent cx="2018030" cy="253365"/>
                  <wp:effectExtent l="0" t="0" r="1270" b="13335"/>
                  <wp:docPr id="4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1"/>
                          <pic:cNvPicPr>
                            <a:picLocks noChangeAspect="1"/>
                          </pic:cNvPicPr>
                        </pic:nvPicPr>
                        <pic:blipFill>
                          <a:blip r:embed="rId31"/>
                          <a:srcRect r="50000"/>
                          <a:stretch>
                            <a:fillRect/>
                          </a:stretch>
                        </pic:blipFill>
                        <pic:spPr>
                          <a:xfrm>
                            <a:off x="0" y="0"/>
                            <a:ext cx="2018030" cy="253365"/>
                          </a:xfrm>
                          <a:prstGeom prst="rect">
                            <a:avLst/>
                          </a:prstGeom>
                          <a:noFill/>
                          <a:ln>
                            <a:noFill/>
                          </a:ln>
                        </pic:spPr>
                      </pic:pic>
                    </a:graphicData>
                  </a:graphic>
                </wp:inline>
              </w:drawing>
            </w:r>
            <w:r>
              <w:rPr>
                <w:rFonts w:hint="eastAsia" w:ascii="Times New Roman" w:hAnsi="Times New Roman" w:eastAsia="宋体" w:cs="宋体"/>
                <w:color w:val="auto"/>
                <w:kern w:val="2"/>
                <w:sz w:val="24"/>
                <w:szCs w:val="24"/>
                <w:lang w:val="en-US" w:eastAsia="zh-CN" w:bidi="ar-SA"/>
              </w:rPr>
              <w:t xml:space="preserve">                 </w:t>
            </w:r>
            <w:r>
              <w:rPr>
                <w:rFonts w:hint="default" w:ascii="Times New Roman" w:hAnsi="Times New Roman" w:eastAsia="宋体" w:cs="宋体"/>
                <w:color w:val="auto"/>
                <w:kern w:val="2"/>
                <w:sz w:val="24"/>
                <w:szCs w:val="24"/>
                <w:lang w:val="en-US" w:eastAsia="zh-CN" w:bidi="ar-SA"/>
              </w:rPr>
              <w:t>（6）</w:t>
            </w:r>
          </w:p>
          <w:p w14:paraId="7FE4E609">
            <w:pPr>
              <w:widowControl w:val="0"/>
              <w:bidi w:val="0"/>
              <w:spacing w:line="360" w:lineRule="auto"/>
              <w:ind w:firstLine="480" w:firstLineChars="200"/>
              <w:jc w:val="right"/>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drawing>
                <wp:inline distT="0" distB="0" distL="114300" distR="114300">
                  <wp:extent cx="2019935" cy="228600"/>
                  <wp:effectExtent l="0" t="0" r="18415" b="0"/>
                  <wp:docPr id="4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2"/>
                          <pic:cNvPicPr>
                            <a:picLocks noChangeAspect="1"/>
                          </pic:cNvPicPr>
                        </pic:nvPicPr>
                        <pic:blipFill>
                          <a:blip r:embed="rId32"/>
                          <a:srcRect r="49283"/>
                          <a:stretch>
                            <a:fillRect/>
                          </a:stretch>
                        </pic:blipFill>
                        <pic:spPr>
                          <a:xfrm>
                            <a:off x="0" y="0"/>
                            <a:ext cx="2019935" cy="228600"/>
                          </a:xfrm>
                          <a:prstGeom prst="rect">
                            <a:avLst/>
                          </a:prstGeom>
                          <a:noFill/>
                          <a:ln>
                            <a:noFill/>
                          </a:ln>
                        </pic:spPr>
                      </pic:pic>
                    </a:graphicData>
                  </a:graphic>
                </wp:inline>
              </w:drawing>
            </w:r>
            <w:r>
              <w:rPr>
                <w:rFonts w:hint="eastAsia" w:ascii="Times New Roman" w:hAnsi="Times New Roman" w:eastAsia="宋体" w:cs="宋体"/>
                <w:color w:val="auto"/>
                <w:kern w:val="2"/>
                <w:sz w:val="24"/>
                <w:szCs w:val="24"/>
                <w:lang w:val="en-US" w:eastAsia="zh-CN" w:bidi="ar-SA"/>
              </w:rPr>
              <w:t xml:space="preserve">                 </w:t>
            </w:r>
            <w:r>
              <w:rPr>
                <w:rFonts w:hint="default" w:ascii="Times New Roman" w:hAnsi="Times New Roman" w:eastAsia="宋体" w:cs="宋体"/>
                <w:color w:val="auto"/>
                <w:kern w:val="2"/>
                <w:sz w:val="24"/>
                <w:szCs w:val="24"/>
                <w:lang w:val="en-US" w:eastAsia="zh-CN" w:bidi="ar-SA"/>
              </w:rPr>
              <w:t>（7）</w:t>
            </w:r>
          </w:p>
          <w:p w14:paraId="42A6D338">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B.反射体引起的修正ΔL</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r</w:t>
            </w:r>
            <w:r>
              <w:rPr>
                <w:rFonts w:hint="eastAsia" w:ascii="Times New Roman" w:hAnsi="Times New Roman" w:eastAsia="宋体" w:cs="宋体"/>
                <w:color w:val="auto"/>
                <w:kern w:val="2"/>
                <w:sz w:val="24"/>
                <w:szCs w:val="24"/>
                <w:lang w:val="en-US" w:eastAsia="zh-CN" w:bidi="ar-SA"/>
              </w:rPr>
              <w:t>）</w:t>
            </w:r>
          </w:p>
          <w:p w14:paraId="6898AFCB">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如图</w:t>
            </w:r>
            <w:r>
              <w:rPr>
                <w:rFonts w:hint="eastAsia" w:ascii="Times New Roman" w:hAnsi="Times New Roman" w:eastAsia="宋体" w:cs="宋体"/>
                <w:color w:val="auto"/>
                <w:kern w:val="2"/>
                <w:sz w:val="24"/>
                <w:szCs w:val="24"/>
                <w:lang w:val="en-US" w:eastAsia="zh-CN" w:bidi="ar-SA"/>
              </w:rPr>
              <w:t>4</w:t>
            </w:r>
            <w:r>
              <w:rPr>
                <w:rFonts w:hint="default" w:ascii="Times New Roman" w:hAnsi="Times New Roman" w:eastAsia="宋体" w:cs="宋体"/>
                <w:color w:val="auto"/>
                <w:kern w:val="2"/>
                <w:sz w:val="24"/>
                <w:szCs w:val="24"/>
                <w:lang w:val="en-US" w:eastAsia="zh-CN" w:bidi="ar-SA"/>
              </w:rPr>
              <w:t>.</w:t>
            </w:r>
            <w:r>
              <w:rPr>
                <w:rFonts w:hint="eastAsia" w:ascii="Times New Roman" w:hAnsi="Times New Roman" w:eastAsia="宋体" w:cs="宋体"/>
                <w:color w:val="auto"/>
                <w:kern w:val="2"/>
                <w:sz w:val="24"/>
                <w:szCs w:val="24"/>
                <w:lang w:val="en-US" w:eastAsia="zh-CN" w:bidi="ar-SA"/>
              </w:rPr>
              <w:t>3</w:t>
            </w:r>
            <w:r>
              <w:rPr>
                <w:rFonts w:hint="default" w:ascii="Times New Roman" w:hAnsi="Times New Roman" w:eastAsia="宋体" w:cs="宋体"/>
                <w:color w:val="auto"/>
                <w:kern w:val="2"/>
                <w:sz w:val="24"/>
                <w:szCs w:val="24"/>
                <w:lang w:val="en-US" w:eastAsia="zh-CN" w:bidi="ar-SA"/>
              </w:rPr>
              <w:t>-1所示，当点声源与预测点处在反射体同侧附近时，到达预测点的声级是直达声与反射声叠加的结果，从而使预测点声级增高。</w:t>
            </w:r>
          </w:p>
          <w:p w14:paraId="3DF4BC15">
            <w:pPr>
              <w:widowControl w:val="0"/>
              <w:bidi w:val="0"/>
              <w:spacing w:line="240" w:lineRule="auto"/>
              <w:ind w:firstLine="0" w:firstLineChars="0"/>
              <w:jc w:val="center"/>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drawing>
                <wp:inline distT="0" distB="0" distL="114300" distR="114300">
                  <wp:extent cx="2889250" cy="2061210"/>
                  <wp:effectExtent l="0" t="0" r="6350" b="15240"/>
                  <wp:docPr id="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3"/>
                          <pic:cNvPicPr>
                            <a:picLocks noChangeAspect="1"/>
                          </pic:cNvPicPr>
                        </pic:nvPicPr>
                        <pic:blipFill>
                          <a:blip r:embed="rId33"/>
                          <a:stretch>
                            <a:fillRect/>
                          </a:stretch>
                        </pic:blipFill>
                        <pic:spPr>
                          <a:xfrm>
                            <a:off x="0" y="0"/>
                            <a:ext cx="2889250" cy="2061210"/>
                          </a:xfrm>
                          <a:prstGeom prst="rect">
                            <a:avLst/>
                          </a:prstGeom>
                          <a:noFill/>
                          <a:ln>
                            <a:noFill/>
                          </a:ln>
                        </pic:spPr>
                      </pic:pic>
                    </a:graphicData>
                  </a:graphic>
                </wp:inline>
              </w:drawing>
            </w:r>
          </w:p>
          <w:p w14:paraId="36C62E8A">
            <w:pPr>
              <w:pStyle w:val="232"/>
              <w:bidi w:val="0"/>
              <w:rPr>
                <w:rFonts w:hint="default" w:ascii="Times New Roman" w:hAnsi="Times New Roman"/>
                <w:color w:val="auto"/>
                <w:lang w:val="en-US" w:eastAsia="zh-CN"/>
              </w:rPr>
            </w:pPr>
            <w:r>
              <w:rPr>
                <w:rFonts w:hint="default" w:ascii="Times New Roman" w:hAnsi="Times New Roman"/>
                <w:color w:val="auto"/>
                <w:lang w:val="en-US" w:eastAsia="zh-CN"/>
              </w:rPr>
              <w:t>图</w:t>
            </w:r>
            <w:r>
              <w:rPr>
                <w:rFonts w:hint="eastAsia" w:ascii="Times New Roman" w:hAnsi="Times New Roman"/>
                <w:color w:val="auto"/>
                <w:lang w:val="en-US" w:eastAsia="zh-CN"/>
              </w:rPr>
              <w:t>4.3-1</w:t>
            </w:r>
            <w:r>
              <w:rPr>
                <w:rFonts w:hint="default" w:ascii="Times New Roman" w:hAnsi="Times New Roman"/>
                <w:color w:val="auto"/>
                <w:lang w:val="en-US" w:eastAsia="zh-CN"/>
              </w:rPr>
              <w:t>反射体的影响</w:t>
            </w:r>
          </w:p>
          <w:p w14:paraId="02DE1354">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当满足下列条件时，需考虑反射体引起的声级增高：</w:t>
            </w:r>
          </w:p>
          <w:p w14:paraId="11769BC3">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1）反射体表面平整光滑，坚硬的。</w:t>
            </w:r>
          </w:p>
          <w:p w14:paraId="3E8347EA">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2）反射体尺寸远远大于所有声波波长λ。</w:t>
            </w:r>
          </w:p>
          <w:p w14:paraId="1C48E0A8">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3）入射角θ＜85º。</w:t>
            </w:r>
          </w:p>
          <w:p w14:paraId="747F4B53">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rr−rd&gt;&gt;λ反射引起的修正量ΔLr与rr/rd有关</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rr=IP、rd=SP</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，可按表</w:t>
            </w:r>
            <w:r>
              <w:rPr>
                <w:rFonts w:hint="eastAsia" w:ascii="Times New Roman" w:hAnsi="Times New Roman" w:eastAsia="宋体" w:cs="宋体"/>
                <w:color w:val="auto"/>
                <w:kern w:val="2"/>
                <w:sz w:val="24"/>
                <w:szCs w:val="24"/>
                <w:lang w:val="en-US" w:eastAsia="zh-CN" w:bidi="ar-SA"/>
              </w:rPr>
              <w:t>4.3-2</w:t>
            </w:r>
            <w:r>
              <w:rPr>
                <w:rFonts w:hint="default" w:ascii="Times New Roman" w:hAnsi="Times New Roman" w:eastAsia="宋体" w:cs="宋体"/>
                <w:color w:val="auto"/>
                <w:kern w:val="2"/>
                <w:sz w:val="24"/>
                <w:szCs w:val="24"/>
                <w:lang w:val="en-US" w:eastAsia="zh-CN" w:bidi="ar-SA"/>
              </w:rPr>
              <w:t>计算：</w:t>
            </w:r>
          </w:p>
          <w:p w14:paraId="398E6BAB">
            <w:pPr>
              <w:widowControl w:val="0"/>
              <w:bidi w:val="0"/>
              <w:adjustRightInd w:val="0"/>
              <w:snapToGrid w:val="0"/>
              <w:spacing w:before="10" w:beforeLines="10" w:after="10" w:afterLines="10"/>
              <w:jc w:val="center"/>
              <w:rPr>
                <w:rFonts w:hint="default" w:ascii="Times New Roman" w:hAnsi="Times New Roman" w:eastAsia="宋体" w:cs="Times New Roman"/>
                <w:b/>
                <w:color w:val="auto"/>
                <w:kern w:val="0"/>
                <w:sz w:val="24"/>
                <w:szCs w:val="20"/>
                <w:lang w:val="en-US" w:eastAsia="zh-CN" w:bidi="ar-SA"/>
              </w:rPr>
            </w:pPr>
            <w:r>
              <w:rPr>
                <w:rFonts w:hint="default" w:ascii="Times New Roman" w:hAnsi="Times New Roman" w:eastAsia="宋体" w:cs="Times New Roman"/>
                <w:b/>
                <w:color w:val="auto"/>
                <w:kern w:val="0"/>
                <w:sz w:val="24"/>
                <w:szCs w:val="20"/>
                <w:lang w:val="en-US" w:eastAsia="zh-CN" w:bidi="ar-SA"/>
              </w:rPr>
              <w:t>表</w:t>
            </w:r>
            <w:r>
              <w:rPr>
                <w:rFonts w:hint="eastAsia" w:ascii="Times New Roman" w:hAnsi="Times New Roman" w:eastAsia="宋体" w:cs="Times New Roman"/>
                <w:b/>
                <w:color w:val="auto"/>
                <w:kern w:val="0"/>
                <w:sz w:val="24"/>
                <w:szCs w:val="20"/>
                <w:lang w:val="en-US" w:eastAsia="zh-CN" w:bidi="ar-SA"/>
              </w:rPr>
              <w:t>4.3-2</w:t>
            </w:r>
            <w:r>
              <w:rPr>
                <w:rFonts w:hint="default" w:ascii="Times New Roman" w:hAnsi="Times New Roman" w:eastAsia="宋体" w:cs="Times New Roman"/>
                <w:b/>
                <w:color w:val="auto"/>
                <w:kern w:val="0"/>
                <w:sz w:val="24"/>
                <w:szCs w:val="20"/>
                <w:lang w:val="en-US" w:eastAsia="zh-CN" w:bidi="ar-SA"/>
              </w:rPr>
              <w:t>反射体引起的修正量</w:t>
            </w:r>
          </w:p>
          <w:tbl>
            <w:tblPr>
              <w:tblStyle w:val="38"/>
              <w:tblW w:w="79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99"/>
              <w:gridCol w:w="4000"/>
            </w:tblGrid>
            <w:tr w14:paraId="67979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9" w:hRule="atLeast"/>
                <w:jc w:val="center"/>
              </w:trPr>
              <w:tc>
                <w:tcPr>
                  <w:tcW w:w="3999" w:type="dxa"/>
                  <w:tcBorders>
                    <w:tl2br w:val="nil"/>
                    <w:tr2bl w:val="nil"/>
                  </w:tcBorders>
                  <w:noWrap w:val="0"/>
                  <w:vAlign w:val="center"/>
                </w:tcPr>
                <w:p w14:paraId="233C2DEC">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rr/rd</w:t>
                  </w:r>
                </w:p>
              </w:tc>
              <w:tc>
                <w:tcPr>
                  <w:tcW w:w="4000" w:type="dxa"/>
                  <w:tcBorders>
                    <w:tl2br w:val="nil"/>
                    <w:tr2bl w:val="nil"/>
                  </w:tcBorders>
                  <w:noWrap w:val="0"/>
                  <w:vAlign w:val="center"/>
                </w:tcPr>
                <w:p w14:paraId="52FC3C6C">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dB</w:t>
                  </w:r>
                  <w:r>
                    <w:rPr>
                      <w:rFonts w:hint="eastAsia" w:ascii="Times New Roman" w:hAnsi="Times New Roman" w:eastAsia="宋体" w:cs="Times New Roman"/>
                      <w:color w:val="auto"/>
                      <w:kern w:val="0"/>
                      <w:sz w:val="21"/>
                      <w:szCs w:val="20"/>
                      <w:lang w:val="en-US" w:eastAsia="zh-CN" w:bidi="ar-SA"/>
                    </w:rPr>
                    <w:t>（</w:t>
                  </w:r>
                  <w:r>
                    <w:rPr>
                      <w:rFonts w:hint="default" w:ascii="Times New Roman" w:hAnsi="Times New Roman" w:eastAsia="宋体" w:cs="Times New Roman"/>
                      <w:color w:val="auto"/>
                      <w:kern w:val="0"/>
                      <w:sz w:val="21"/>
                      <w:szCs w:val="20"/>
                      <w:lang w:val="en-US" w:eastAsia="zh-CN" w:bidi="ar-SA"/>
                    </w:rPr>
                    <w:t>A</w:t>
                  </w:r>
                  <w:r>
                    <w:rPr>
                      <w:rFonts w:hint="eastAsia" w:ascii="Times New Roman" w:hAnsi="Times New Roman" w:eastAsia="宋体" w:cs="Times New Roman"/>
                      <w:color w:val="auto"/>
                      <w:kern w:val="0"/>
                      <w:sz w:val="21"/>
                      <w:szCs w:val="20"/>
                      <w:lang w:val="en-US" w:eastAsia="zh-CN" w:bidi="ar-SA"/>
                    </w:rPr>
                    <w:t>）</w:t>
                  </w:r>
                </w:p>
              </w:tc>
            </w:tr>
            <w:tr w14:paraId="0EB72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5" w:hRule="atLeast"/>
                <w:jc w:val="center"/>
              </w:trPr>
              <w:tc>
                <w:tcPr>
                  <w:tcW w:w="3999" w:type="dxa"/>
                  <w:tcBorders>
                    <w:tl2br w:val="nil"/>
                    <w:tr2bl w:val="nil"/>
                  </w:tcBorders>
                  <w:noWrap w:val="0"/>
                  <w:vAlign w:val="center"/>
                </w:tcPr>
                <w:p w14:paraId="7048223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≈1</w:t>
                  </w:r>
                </w:p>
                <w:p w14:paraId="6A11BBCD">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≈1.4</w:t>
                  </w:r>
                </w:p>
                <w:p w14:paraId="3B0A5A4E">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≈2</w:t>
                  </w:r>
                </w:p>
                <w:p w14:paraId="6B96C56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＞2.5</w:t>
                  </w:r>
                </w:p>
              </w:tc>
              <w:tc>
                <w:tcPr>
                  <w:tcW w:w="4000" w:type="dxa"/>
                  <w:tcBorders>
                    <w:tl2br w:val="nil"/>
                    <w:tr2bl w:val="nil"/>
                  </w:tcBorders>
                  <w:noWrap w:val="0"/>
                  <w:vAlign w:val="center"/>
                </w:tcPr>
                <w:p w14:paraId="5045588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3</w:t>
                  </w:r>
                </w:p>
                <w:p w14:paraId="0F3E438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2</w:t>
                  </w:r>
                </w:p>
                <w:p w14:paraId="1C84CCF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1</w:t>
                  </w:r>
                </w:p>
                <w:p w14:paraId="51315A3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0</w:t>
                  </w:r>
                </w:p>
              </w:tc>
            </w:tr>
          </w:tbl>
          <w:p w14:paraId="0ED967DB">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③面声源的几何发散衰减</w:t>
            </w:r>
          </w:p>
          <w:p w14:paraId="0C0668ED">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一个大型机器设备的振动表面，车间透声的墙壁，均可以认为是面声源。如果已知面声源单位面积的声功率为W，各面积元噪声的位相是随机的，面声源可看作由无数点声源连续分布组合而成，其合成声级可按能量叠加法求出。</w:t>
            </w:r>
          </w:p>
          <w:p w14:paraId="75B635A4">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图</w:t>
            </w:r>
            <w:r>
              <w:rPr>
                <w:rFonts w:hint="eastAsia" w:ascii="Times New Roman" w:hAnsi="Times New Roman" w:eastAsia="宋体" w:cs="宋体"/>
                <w:color w:val="auto"/>
                <w:kern w:val="2"/>
                <w:sz w:val="24"/>
                <w:szCs w:val="24"/>
                <w:lang w:val="en-US" w:eastAsia="zh-CN" w:bidi="ar-SA"/>
              </w:rPr>
              <w:t>4.3-2</w:t>
            </w:r>
            <w:r>
              <w:rPr>
                <w:rFonts w:hint="default" w:ascii="Times New Roman" w:hAnsi="Times New Roman" w:eastAsia="宋体" w:cs="宋体"/>
                <w:color w:val="auto"/>
                <w:kern w:val="2"/>
                <w:sz w:val="24"/>
                <w:szCs w:val="24"/>
                <w:lang w:val="en-US" w:eastAsia="zh-CN" w:bidi="ar-SA"/>
              </w:rPr>
              <w:t>给出了长方形面声源中心轴线上的声衰减曲线。当预测点和面声源中心距离r处于以下条件时，可按下述方法近似计算：r&lt;a/π时，几乎不衰减</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Adiv≈0</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；当a/π&lt;r&lt;b/π，距离加倍衰减3dB</w:t>
            </w:r>
            <w:r>
              <w:rPr>
                <w:rFonts w:hint="eastAsia" w:ascii="Times New Roman" w:hAnsi="Times New Roman" w:eastAsia="宋体" w:cs="宋体"/>
                <w:color w:val="auto"/>
                <w:kern w:val="2"/>
                <w:sz w:val="24"/>
                <w:szCs w:val="24"/>
                <w:lang w:val="en-US" w:eastAsia="zh-CN" w:bidi="ar-SA"/>
              </w:rPr>
              <w:t>（A）</w:t>
            </w:r>
            <w:r>
              <w:rPr>
                <w:rFonts w:hint="default" w:ascii="Times New Roman" w:hAnsi="Times New Roman" w:eastAsia="宋体" w:cs="宋体"/>
                <w:color w:val="auto"/>
                <w:kern w:val="2"/>
                <w:sz w:val="24"/>
                <w:szCs w:val="24"/>
                <w:lang w:val="en-US" w:eastAsia="zh-CN" w:bidi="ar-SA"/>
              </w:rPr>
              <w:t>左右，类似线声源衰减特性</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Adiv≈10 lg</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r/r</w:t>
            </w:r>
            <w:r>
              <w:rPr>
                <w:rFonts w:hint="default" w:ascii="Times New Roman" w:hAnsi="Times New Roman" w:eastAsia="宋体" w:cs="宋体"/>
                <w:color w:val="auto"/>
                <w:kern w:val="2"/>
                <w:sz w:val="24"/>
                <w:szCs w:val="24"/>
                <w:vertAlign w:val="subscript"/>
                <w:lang w:val="en-US" w:eastAsia="zh-CN" w:bidi="ar-SA"/>
              </w:rPr>
              <w:t>0</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；当r&gt;b/π时，距离加倍衰减趋近于6dB</w:t>
            </w:r>
            <w:r>
              <w:rPr>
                <w:rFonts w:hint="eastAsia" w:ascii="Times New Roman" w:hAnsi="Times New Roman" w:eastAsia="宋体" w:cs="宋体"/>
                <w:color w:val="auto"/>
                <w:kern w:val="2"/>
                <w:sz w:val="24"/>
                <w:szCs w:val="24"/>
                <w:lang w:val="en-US" w:eastAsia="zh-CN" w:bidi="ar-SA"/>
              </w:rPr>
              <w:t>（A）</w:t>
            </w:r>
            <w:r>
              <w:rPr>
                <w:rFonts w:hint="default" w:ascii="Times New Roman" w:hAnsi="Times New Roman" w:eastAsia="宋体" w:cs="宋体"/>
                <w:color w:val="auto"/>
                <w:kern w:val="2"/>
                <w:sz w:val="24"/>
                <w:szCs w:val="24"/>
                <w:lang w:val="en-US" w:eastAsia="zh-CN" w:bidi="ar-SA"/>
              </w:rPr>
              <w:t>，类似点声源衰减特性</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Adiv≈20 lg</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r/r</w:t>
            </w:r>
            <w:r>
              <w:rPr>
                <w:rFonts w:hint="default" w:ascii="Times New Roman" w:hAnsi="Times New Roman" w:eastAsia="宋体" w:cs="宋体"/>
                <w:color w:val="auto"/>
                <w:kern w:val="2"/>
                <w:sz w:val="24"/>
                <w:szCs w:val="24"/>
                <w:vertAlign w:val="subscript"/>
                <w:lang w:val="en-US" w:eastAsia="zh-CN" w:bidi="ar-SA"/>
              </w:rPr>
              <w:t>0</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。其中面声源的b&gt;a。图中虚线为实际衰减量。</w:t>
            </w:r>
          </w:p>
          <w:p w14:paraId="67C0A2D1">
            <w:pPr>
              <w:widowControl w:val="0"/>
              <w:bidi w:val="0"/>
              <w:spacing w:line="240" w:lineRule="auto"/>
              <w:ind w:firstLine="0" w:firstLineChars="0"/>
              <w:jc w:val="center"/>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drawing>
                <wp:inline distT="0" distB="0" distL="114300" distR="114300">
                  <wp:extent cx="2850515" cy="2129790"/>
                  <wp:effectExtent l="0" t="0" r="6985" b="3810"/>
                  <wp:docPr id="4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4"/>
                          <pic:cNvPicPr>
                            <a:picLocks noChangeAspect="1"/>
                          </pic:cNvPicPr>
                        </pic:nvPicPr>
                        <pic:blipFill>
                          <a:blip r:embed="rId34"/>
                          <a:stretch>
                            <a:fillRect/>
                          </a:stretch>
                        </pic:blipFill>
                        <pic:spPr>
                          <a:xfrm>
                            <a:off x="0" y="0"/>
                            <a:ext cx="2850515" cy="2129790"/>
                          </a:xfrm>
                          <a:prstGeom prst="rect">
                            <a:avLst/>
                          </a:prstGeom>
                          <a:noFill/>
                          <a:ln>
                            <a:noFill/>
                          </a:ln>
                        </pic:spPr>
                      </pic:pic>
                    </a:graphicData>
                  </a:graphic>
                </wp:inline>
              </w:drawing>
            </w:r>
          </w:p>
          <w:p w14:paraId="532FED9A">
            <w:pPr>
              <w:widowControl w:val="0"/>
              <w:bidi w:val="0"/>
              <w:adjustRightInd w:val="0"/>
              <w:snapToGrid w:val="0"/>
              <w:spacing w:before="10" w:beforeLines="10" w:after="10" w:afterLines="10"/>
              <w:jc w:val="center"/>
              <w:rPr>
                <w:rFonts w:hint="default" w:ascii="Times New Roman" w:hAnsi="Times New Roman" w:eastAsia="宋体" w:cs="Times New Roman"/>
                <w:b/>
                <w:color w:val="auto"/>
                <w:kern w:val="0"/>
                <w:sz w:val="24"/>
                <w:szCs w:val="20"/>
                <w:lang w:val="en-US" w:eastAsia="zh-CN" w:bidi="ar-SA"/>
              </w:rPr>
            </w:pPr>
            <w:r>
              <w:rPr>
                <w:rFonts w:hint="default" w:ascii="Times New Roman" w:hAnsi="Times New Roman" w:eastAsia="宋体" w:cs="Times New Roman"/>
                <w:b/>
                <w:color w:val="auto"/>
                <w:kern w:val="0"/>
                <w:sz w:val="24"/>
                <w:szCs w:val="20"/>
                <w:lang w:val="en-US" w:eastAsia="zh-CN" w:bidi="ar-SA"/>
              </w:rPr>
              <w:t>图</w:t>
            </w:r>
            <w:r>
              <w:rPr>
                <w:rFonts w:hint="eastAsia" w:ascii="Times New Roman" w:hAnsi="Times New Roman" w:eastAsia="宋体" w:cs="Times New Roman"/>
                <w:b/>
                <w:color w:val="auto"/>
                <w:kern w:val="0"/>
                <w:sz w:val="24"/>
                <w:szCs w:val="20"/>
                <w:lang w:val="en-US" w:eastAsia="zh-CN" w:bidi="ar-SA"/>
              </w:rPr>
              <w:t>4.3</w:t>
            </w:r>
            <w:r>
              <w:rPr>
                <w:rFonts w:hint="default" w:ascii="Times New Roman" w:hAnsi="Times New Roman" w:eastAsia="宋体" w:cs="Times New Roman"/>
                <w:b/>
                <w:color w:val="auto"/>
                <w:kern w:val="0"/>
                <w:sz w:val="24"/>
                <w:szCs w:val="20"/>
                <w:lang w:val="en-US" w:eastAsia="zh-CN" w:bidi="ar-SA"/>
              </w:rPr>
              <w:t>-2长方形面声源中心轴线上的衰减特性</w:t>
            </w:r>
          </w:p>
          <w:p w14:paraId="777197EF">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④空气吸收引起的衰减（Aatm）</w:t>
            </w:r>
          </w:p>
          <w:p w14:paraId="0A76081F">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空气吸收引起的衰减按公式（8）计算：</w:t>
            </w:r>
          </w:p>
          <w:p w14:paraId="41FEC3D4">
            <w:pPr>
              <w:widowControl w:val="0"/>
              <w:bidi w:val="0"/>
              <w:spacing w:line="360" w:lineRule="auto"/>
              <w:ind w:firstLine="480" w:firstLineChars="200"/>
              <w:jc w:val="right"/>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drawing>
                <wp:inline distT="0" distB="0" distL="114300" distR="114300">
                  <wp:extent cx="1285240" cy="457835"/>
                  <wp:effectExtent l="0" t="0" r="10160" b="18415"/>
                  <wp:docPr id="4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5"/>
                          <pic:cNvPicPr>
                            <a:picLocks noChangeAspect="1"/>
                          </pic:cNvPicPr>
                        </pic:nvPicPr>
                        <pic:blipFill>
                          <a:blip r:embed="rId35"/>
                          <a:stretch>
                            <a:fillRect/>
                          </a:stretch>
                        </pic:blipFill>
                        <pic:spPr>
                          <a:xfrm>
                            <a:off x="0" y="0"/>
                            <a:ext cx="1285240" cy="457835"/>
                          </a:xfrm>
                          <a:prstGeom prst="rect">
                            <a:avLst/>
                          </a:prstGeom>
                          <a:noFill/>
                          <a:ln>
                            <a:noFill/>
                          </a:ln>
                        </pic:spPr>
                      </pic:pic>
                    </a:graphicData>
                  </a:graphic>
                </wp:inline>
              </w:drawing>
            </w:r>
            <w:r>
              <w:rPr>
                <w:rFonts w:hint="eastAsia" w:ascii="Times New Roman" w:hAnsi="Times New Roman" w:eastAsia="宋体" w:cs="宋体"/>
                <w:color w:val="auto"/>
                <w:kern w:val="2"/>
                <w:sz w:val="24"/>
                <w:szCs w:val="24"/>
                <w:lang w:val="en-US" w:eastAsia="zh-CN" w:bidi="ar-SA"/>
              </w:rPr>
              <w:t xml:space="preserve">                    </w:t>
            </w:r>
            <w:r>
              <w:rPr>
                <w:rFonts w:hint="default" w:ascii="Times New Roman" w:hAnsi="Times New Roman" w:eastAsia="宋体" w:cs="宋体"/>
                <w:color w:val="auto"/>
                <w:kern w:val="2"/>
                <w:sz w:val="24"/>
                <w:szCs w:val="24"/>
                <w:lang w:val="en-US" w:eastAsia="zh-CN" w:bidi="ar-SA"/>
              </w:rPr>
              <w:t>（8）</w:t>
            </w:r>
          </w:p>
          <w:p w14:paraId="3D38277B">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式中：a为温度、湿度和声波频率的函数，预测计算中一般根据建设项目所处区域常年平均气温和湿度选择相应的空气吸收系数，见表</w:t>
            </w:r>
            <w:r>
              <w:rPr>
                <w:rFonts w:hint="eastAsia" w:ascii="Times New Roman" w:hAnsi="Times New Roman" w:eastAsia="宋体" w:cs="宋体"/>
                <w:color w:val="auto"/>
                <w:kern w:val="2"/>
                <w:sz w:val="24"/>
                <w:szCs w:val="24"/>
                <w:lang w:val="en-US" w:eastAsia="zh-CN" w:bidi="ar-SA"/>
              </w:rPr>
              <w:t>4.3</w:t>
            </w:r>
            <w:r>
              <w:rPr>
                <w:rFonts w:hint="default" w:ascii="Times New Roman" w:hAnsi="Times New Roman" w:eastAsia="宋体" w:cs="宋体"/>
                <w:color w:val="auto"/>
                <w:kern w:val="2"/>
                <w:sz w:val="24"/>
                <w:szCs w:val="24"/>
                <w:lang w:val="en-US" w:eastAsia="zh-CN" w:bidi="ar-SA"/>
              </w:rPr>
              <w:t>-3。</w:t>
            </w:r>
          </w:p>
          <w:p w14:paraId="7B2AF9BD">
            <w:pPr>
              <w:widowControl w:val="0"/>
              <w:bidi w:val="0"/>
              <w:adjustRightInd w:val="0"/>
              <w:snapToGrid w:val="0"/>
              <w:spacing w:before="10" w:beforeLines="10" w:after="10" w:afterLines="10"/>
              <w:jc w:val="center"/>
              <w:rPr>
                <w:rFonts w:hint="default" w:ascii="Times New Roman" w:hAnsi="Times New Roman" w:eastAsia="宋体" w:cs="Times New Roman"/>
                <w:b/>
                <w:color w:val="auto"/>
                <w:kern w:val="0"/>
                <w:sz w:val="24"/>
                <w:szCs w:val="20"/>
                <w:lang w:val="en-US" w:eastAsia="zh-CN" w:bidi="ar-SA"/>
              </w:rPr>
            </w:pPr>
            <w:r>
              <w:rPr>
                <w:rFonts w:hint="default" w:ascii="Times New Roman" w:hAnsi="Times New Roman" w:eastAsia="宋体" w:cs="Times New Roman"/>
                <w:b/>
                <w:color w:val="auto"/>
                <w:kern w:val="0"/>
                <w:sz w:val="24"/>
                <w:szCs w:val="20"/>
                <w:lang w:val="en-US" w:eastAsia="zh-CN" w:bidi="ar-SA"/>
              </w:rPr>
              <w:t>表</w:t>
            </w:r>
            <w:r>
              <w:rPr>
                <w:rFonts w:hint="eastAsia" w:ascii="Times New Roman" w:hAnsi="Times New Roman" w:eastAsia="宋体" w:cs="Times New Roman"/>
                <w:b/>
                <w:color w:val="auto"/>
                <w:kern w:val="0"/>
                <w:sz w:val="24"/>
                <w:szCs w:val="20"/>
                <w:lang w:val="en-US" w:eastAsia="zh-CN" w:bidi="ar-SA"/>
              </w:rPr>
              <w:t>4.3</w:t>
            </w:r>
            <w:r>
              <w:rPr>
                <w:rFonts w:hint="default" w:ascii="Times New Roman" w:hAnsi="Times New Roman" w:eastAsia="宋体" w:cs="Times New Roman"/>
                <w:b/>
                <w:color w:val="auto"/>
                <w:kern w:val="0"/>
                <w:sz w:val="24"/>
                <w:szCs w:val="20"/>
                <w:lang w:val="en-US" w:eastAsia="zh-CN" w:bidi="ar-SA"/>
              </w:rPr>
              <w:t>-3倍频带噪声的大气吸收衰减系数</w:t>
            </w:r>
          </w:p>
          <w:tbl>
            <w:tblPr>
              <w:tblStyle w:val="3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8"/>
              <w:gridCol w:w="955"/>
              <w:gridCol w:w="797"/>
              <w:gridCol w:w="807"/>
              <w:gridCol w:w="807"/>
              <w:gridCol w:w="807"/>
              <w:gridCol w:w="832"/>
              <w:gridCol w:w="832"/>
              <w:gridCol w:w="832"/>
              <w:gridCol w:w="856"/>
            </w:tblGrid>
            <w:tr w14:paraId="33B10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3" w:type="pct"/>
                  <w:vMerge w:val="restart"/>
                  <w:tcBorders>
                    <w:tl2br w:val="nil"/>
                    <w:tr2bl w:val="nil"/>
                  </w:tcBorders>
                  <w:noWrap w:val="0"/>
                  <w:vAlign w:val="center"/>
                </w:tcPr>
                <w:p w14:paraId="1361F51F">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温度℃</w:t>
                  </w:r>
                </w:p>
              </w:tc>
              <w:tc>
                <w:tcPr>
                  <w:tcW w:w="568" w:type="pct"/>
                  <w:vMerge w:val="restart"/>
                  <w:tcBorders>
                    <w:tl2br w:val="nil"/>
                    <w:tr2bl w:val="nil"/>
                  </w:tcBorders>
                  <w:noWrap w:val="0"/>
                  <w:vAlign w:val="center"/>
                </w:tcPr>
                <w:p w14:paraId="43DBF9D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相对</w:t>
                  </w:r>
                </w:p>
                <w:p w14:paraId="41F9BE6F">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湿度</w:t>
                  </w:r>
                  <w:r>
                    <w:rPr>
                      <w:rFonts w:hint="eastAsia" w:ascii="Times New Roman" w:hAnsi="Times New Roman" w:eastAsia="宋体" w:cs="Times New Roman"/>
                      <w:color w:val="auto"/>
                      <w:kern w:val="0"/>
                      <w:sz w:val="21"/>
                      <w:szCs w:val="20"/>
                      <w:lang w:val="en-US" w:eastAsia="zh-CN" w:bidi="ar-SA"/>
                    </w:rPr>
                    <w:t>%</w:t>
                  </w:r>
                </w:p>
              </w:tc>
              <w:tc>
                <w:tcPr>
                  <w:tcW w:w="3908" w:type="pct"/>
                  <w:gridSpan w:val="8"/>
                  <w:tcBorders>
                    <w:tl2br w:val="nil"/>
                    <w:tr2bl w:val="nil"/>
                  </w:tcBorders>
                  <w:noWrap w:val="0"/>
                  <w:vAlign w:val="center"/>
                </w:tcPr>
                <w:p w14:paraId="00E65F3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大气吸收衰减系数a，dB/km</w:t>
                  </w:r>
                </w:p>
              </w:tc>
            </w:tr>
            <w:tr w14:paraId="7826B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3" w:type="pct"/>
                  <w:vMerge w:val="continue"/>
                  <w:tcBorders>
                    <w:tl2br w:val="nil"/>
                    <w:tr2bl w:val="nil"/>
                  </w:tcBorders>
                  <w:noWrap w:val="0"/>
                  <w:vAlign w:val="center"/>
                </w:tcPr>
                <w:p w14:paraId="122CB78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p>
              </w:tc>
              <w:tc>
                <w:tcPr>
                  <w:tcW w:w="568" w:type="pct"/>
                  <w:vMerge w:val="continue"/>
                  <w:tcBorders>
                    <w:tl2br w:val="nil"/>
                    <w:tr2bl w:val="nil"/>
                  </w:tcBorders>
                  <w:noWrap w:val="0"/>
                  <w:vAlign w:val="center"/>
                </w:tcPr>
                <w:p w14:paraId="6370D26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p>
              </w:tc>
              <w:tc>
                <w:tcPr>
                  <w:tcW w:w="3908" w:type="pct"/>
                  <w:gridSpan w:val="8"/>
                  <w:tcBorders>
                    <w:tl2br w:val="nil"/>
                    <w:tr2bl w:val="nil"/>
                  </w:tcBorders>
                  <w:noWrap w:val="0"/>
                  <w:vAlign w:val="center"/>
                </w:tcPr>
                <w:p w14:paraId="2C40870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倍频带中心频率Hz</w:t>
                  </w:r>
                </w:p>
              </w:tc>
            </w:tr>
            <w:tr w14:paraId="7DDB8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3" w:type="pct"/>
                  <w:vMerge w:val="continue"/>
                  <w:tcBorders>
                    <w:tl2br w:val="nil"/>
                    <w:tr2bl w:val="nil"/>
                  </w:tcBorders>
                  <w:noWrap w:val="0"/>
                  <w:vAlign w:val="center"/>
                </w:tcPr>
                <w:p w14:paraId="3554492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p>
              </w:tc>
              <w:tc>
                <w:tcPr>
                  <w:tcW w:w="568" w:type="pct"/>
                  <w:vMerge w:val="continue"/>
                  <w:tcBorders>
                    <w:tl2br w:val="nil"/>
                    <w:tr2bl w:val="nil"/>
                  </w:tcBorders>
                  <w:noWrap w:val="0"/>
                  <w:vAlign w:val="center"/>
                </w:tcPr>
                <w:p w14:paraId="706D41A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p>
              </w:tc>
              <w:tc>
                <w:tcPr>
                  <w:tcW w:w="474" w:type="pct"/>
                  <w:tcBorders>
                    <w:tl2br w:val="nil"/>
                    <w:tr2bl w:val="nil"/>
                  </w:tcBorders>
                  <w:noWrap w:val="0"/>
                  <w:vAlign w:val="center"/>
                </w:tcPr>
                <w:p w14:paraId="7305F0C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63</w:t>
                  </w:r>
                </w:p>
              </w:tc>
              <w:tc>
                <w:tcPr>
                  <w:tcW w:w="480" w:type="pct"/>
                  <w:tcBorders>
                    <w:tl2br w:val="nil"/>
                    <w:tr2bl w:val="nil"/>
                  </w:tcBorders>
                  <w:noWrap w:val="0"/>
                  <w:vAlign w:val="center"/>
                </w:tcPr>
                <w:p w14:paraId="303A15D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125</w:t>
                  </w:r>
                </w:p>
              </w:tc>
              <w:tc>
                <w:tcPr>
                  <w:tcW w:w="480" w:type="pct"/>
                  <w:tcBorders>
                    <w:tl2br w:val="nil"/>
                    <w:tr2bl w:val="nil"/>
                  </w:tcBorders>
                  <w:noWrap w:val="0"/>
                  <w:vAlign w:val="center"/>
                </w:tcPr>
                <w:p w14:paraId="207031E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250</w:t>
                  </w:r>
                </w:p>
              </w:tc>
              <w:tc>
                <w:tcPr>
                  <w:tcW w:w="480" w:type="pct"/>
                  <w:tcBorders>
                    <w:tl2br w:val="nil"/>
                    <w:tr2bl w:val="nil"/>
                  </w:tcBorders>
                  <w:noWrap w:val="0"/>
                  <w:vAlign w:val="center"/>
                </w:tcPr>
                <w:p w14:paraId="4E81FD8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500</w:t>
                  </w:r>
                </w:p>
              </w:tc>
              <w:tc>
                <w:tcPr>
                  <w:tcW w:w="495" w:type="pct"/>
                  <w:tcBorders>
                    <w:tl2br w:val="nil"/>
                    <w:tr2bl w:val="nil"/>
                  </w:tcBorders>
                  <w:noWrap w:val="0"/>
                  <w:vAlign w:val="center"/>
                </w:tcPr>
                <w:p w14:paraId="43E892E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1000</w:t>
                  </w:r>
                </w:p>
              </w:tc>
              <w:tc>
                <w:tcPr>
                  <w:tcW w:w="495" w:type="pct"/>
                  <w:tcBorders>
                    <w:tl2br w:val="nil"/>
                    <w:tr2bl w:val="nil"/>
                  </w:tcBorders>
                  <w:noWrap w:val="0"/>
                  <w:vAlign w:val="center"/>
                </w:tcPr>
                <w:p w14:paraId="4FE3BC2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2000</w:t>
                  </w:r>
                </w:p>
              </w:tc>
              <w:tc>
                <w:tcPr>
                  <w:tcW w:w="495" w:type="pct"/>
                  <w:tcBorders>
                    <w:tl2br w:val="nil"/>
                    <w:tr2bl w:val="nil"/>
                  </w:tcBorders>
                  <w:noWrap w:val="0"/>
                  <w:vAlign w:val="center"/>
                </w:tcPr>
                <w:p w14:paraId="5B2C8F1D">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4000</w:t>
                  </w:r>
                </w:p>
              </w:tc>
              <w:tc>
                <w:tcPr>
                  <w:tcW w:w="505" w:type="pct"/>
                  <w:tcBorders>
                    <w:tl2br w:val="nil"/>
                    <w:tr2bl w:val="nil"/>
                  </w:tcBorders>
                  <w:noWrap w:val="0"/>
                  <w:vAlign w:val="center"/>
                </w:tcPr>
                <w:p w14:paraId="7494CFDE">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8000</w:t>
                  </w:r>
                </w:p>
              </w:tc>
            </w:tr>
            <w:tr w14:paraId="5B2FF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3" w:type="pct"/>
                  <w:tcBorders>
                    <w:tl2br w:val="nil"/>
                    <w:tr2bl w:val="nil"/>
                  </w:tcBorders>
                  <w:noWrap w:val="0"/>
                  <w:vAlign w:val="center"/>
                </w:tcPr>
                <w:p w14:paraId="4ABBA0A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10</w:t>
                  </w:r>
                </w:p>
              </w:tc>
              <w:tc>
                <w:tcPr>
                  <w:tcW w:w="568" w:type="pct"/>
                  <w:tcBorders>
                    <w:tl2br w:val="nil"/>
                    <w:tr2bl w:val="nil"/>
                  </w:tcBorders>
                  <w:noWrap w:val="0"/>
                  <w:vAlign w:val="center"/>
                </w:tcPr>
                <w:p w14:paraId="0BD74F1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70</w:t>
                  </w:r>
                </w:p>
              </w:tc>
              <w:tc>
                <w:tcPr>
                  <w:tcW w:w="474" w:type="pct"/>
                  <w:tcBorders>
                    <w:tl2br w:val="nil"/>
                    <w:tr2bl w:val="nil"/>
                  </w:tcBorders>
                  <w:noWrap w:val="0"/>
                  <w:vAlign w:val="center"/>
                </w:tcPr>
                <w:p w14:paraId="54CB0EF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0.1</w:t>
                  </w:r>
                </w:p>
              </w:tc>
              <w:tc>
                <w:tcPr>
                  <w:tcW w:w="480" w:type="pct"/>
                  <w:tcBorders>
                    <w:tl2br w:val="nil"/>
                    <w:tr2bl w:val="nil"/>
                  </w:tcBorders>
                  <w:noWrap w:val="0"/>
                  <w:vAlign w:val="center"/>
                </w:tcPr>
                <w:p w14:paraId="4E849DE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0.4</w:t>
                  </w:r>
                </w:p>
              </w:tc>
              <w:tc>
                <w:tcPr>
                  <w:tcW w:w="480" w:type="pct"/>
                  <w:tcBorders>
                    <w:tl2br w:val="nil"/>
                    <w:tr2bl w:val="nil"/>
                  </w:tcBorders>
                  <w:noWrap w:val="0"/>
                  <w:vAlign w:val="center"/>
                </w:tcPr>
                <w:p w14:paraId="5A64E40C">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1.0</w:t>
                  </w:r>
                </w:p>
              </w:tc>
              <w:tc>
                <w:tcPr>
                  <w:tcW w:w="480" w:type="pct"/>
                  <w:tcBorders>
                    <w:tl2br w:val="nil"/>
                    <w:tr2bl w:val="nil"/>
                  </w:tcBorders>
                  <w:noWrap w:val="0"/>
                  <w:vAlign w:val="center"/>
                </w:tcPr>
                <w:p w14:paraId="1847DA2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1.9</w:t>
                  </w:r>
                </w:p>
              </w:tc>
              <w:tc>
                <w:tcPr>
                  <w:tcW w:w="495" w:type="pct"/>
                  <w:tcBorders>
                    <w:tl2br w:val="nil"/>
                    <w:tr2bl w:val="nil"/>
                  </w:tcBorders>
                  <w:noWrap w:val="0"/>
                  <w:vAlign w:val="center"/>
                </w:tcPr>
                <w:p w14:paraId="1F1AB34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3.7</w:t>
                  </w:r>
                </w:p>
              </w:tc>
              <w:tc>
                <w:tcPr>
                  <w:tcW w:w="495" w:type="pct"/>
                  <w:tcBorders>
                    <w:tl2br w:val="nil"/>
                    <w:tr2bl w:val="nil"/>
                  </w:tcBorders>
                  <w:noWrap w:val="0"/>
                  <w:vAlign w:val="center"/>
                </w:tcPr>
                <w:p w14:paraId="77745D3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9.7</w:t>
                  </w:r>
                </w:p>
              </w:tc>
              <w:tc>
                <w:tcPr>
                  <w:tcW w:w="495" w:type="pct"/>
                  <w:tcBorders>
                    <w:tl2br w:val="nil"/>
                    <w:tr2bl w:val="nil"/>
                  </w:tcBorders>
                  <w:noWrap w:val="0"/>
                  <w:vAlign w:val="center"/>
                </w:tcPr>
                <w:p w14:paraId="25206C2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32.8</w:t>
                  </w:r>
                </w:p>
              </w:tc>
              <w:tc>
                <w:tcPr>
                  <w:tcW w:w="505" w:type="pct"/>
                  <w:tcBorders>
                    <w:tl2br w:val="nil"/>
                    <w:tr2bl w:val="nil"/>
                  </w:tcBorders>
                  <w:noWrap w:val="0"/>
                  <w:vAlign w:val="center"/>
                </w:tcPr>
                <w:p w14:paraId="50A671A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117.0</w:t>
                  </w:r>
                </w:p>
              </w:tc>
            </w:tr>
            <w:tr w14:paraId="6671F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3" w:type="pct"/>
                  <w:tcBorders>
                    <w:tl2br w:val="nil"/>
                    <w:tr2bl w:val="nil"/>
                  </w:tcBorders>
                  <w:noWrap w:val="0"/>
                  <w:vAlign w:val="center"/>
                </w:tcPr>
                <w:p w14:paraId="1B084B3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20</w:t>
                  </w:r>
                </w:p>
              </w:tc>
              <w:tc>
                <w:tcPr>
                  <w:tcW w:w="568" w:type="pct"/>
                  <w:tcBorders>
                    <w:tl2br w:val="nil"/>
                    <w:tr2bl w:val="nil"/>
                  </w:tcBorders>
                  <w:noWrap w:val="0"/>
                  <w:vAlign w:val="center"/>
                </w:tcPr>
                <w:p w14:paraId="1F37BA1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70</w:t>
                  </w:r>
                </w:p>
              </w:tc>
              <w:tc>
                <w:tcPr>
                  <w:tcW w:w="474" w:type="pct"/>
                  <w:tcBorders>
                    <w:tl2br w:val="nil"/>
                    <w:tr2bl w:val="nil"/>
                  </w:tcBorders>
                  <w:noWrap w:val="0"/>
                  <w:vAlign w:val="center"/>
                </w:tcPr>
                <w:p w14:paraId="06A64D3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0.1</w:t>
                  </w:r>
                </w:p>
              </w:tc>
              <w:tc>
                <w:tcPr>
                  <w:tcW w:w="480" w:type="pct"/>
                  <w:tcBorders>
                    <w:tl2br w:val="nil"/>
                    <w:tr2bl w:val="nil"/>
                  </w:tcBorders>
                  <w:noWrap w:val="0"/>
                  <w:vAlign w:val="center"/>
                </w:tcPr>
                <w:p w14:paraId="299907CA">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0.3</w:t>
                  </w:r>
                </w:p>
              </w:tc>
              <w:tc>
                <w:tcPr>
                  <w:tcW w:w="480" w:type="pct"/>
                  <w:tcBorders>
                    <w:tl2br w:val="nil"/>
                    <w:tr2bl w:val="nil"/>
                  </w:tcBorders>
                  <w:noWrap w:val="0"/>
                  <w:vAlign w:val="center"/>
                </w:tcPr>
                <w:p w14:paraId="176D9C9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1.1</w:t>
                  </w:r>
                </w:p>
              </w:tc>
              <w:tc>
                <w:tcPr>
                  <w:tcW w:w="480" w:type="pct"/>
                  <w:tcBorders>
                    <w:tl2br w:val="nil"/>
                    <w:tr2bl w:val="nil"/>
                  </w:tcBorders>
                  <w:noWrap w:val="0"/>
                  <w:vAlign w:val="center"/>
                </w:tcPr>
                <w:p w14:paraId="128AE1C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2.8</w:t>
                  </w:r>
                </w:p>
              </w:tc>
              <w:tc>
                <w:tcPr>
                  <w:tcW w:w="495" w:type="pct"/>
                  <w:tcBorders>
                    <w:tl2br w:val="nil"/>
                    <w:tr2bl w:val="nil"/>
                  </w:tcBorders>
                  <w:noWrap w:val="0"/>
                  <w:vAlign w:val="center"/>
                </w:tcPr>
                <w:p w14:paraId="30F7376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5.0</w:t>
                  </w:r>
                </w:p>
              </w:tc>
              <w:tc>
                <w:tcPr>
                  <w:tcW w:w="495" w:type="pct"/>
                  <w:tcBorders>
                    <w:tl2br w:val="nil"/>
                    <w:tr2bl w:val="nil"/>
                  </w:tcBorders>
                  <w:noWrap w:val="0"/>
                  <w:vAlign w:val="center"/>
                </w:tcPr>
                <w:p w14:paraId="7E36756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9.0</w:t>
                  </w:r>
                </w:p>
              </w:tc>
              <w:tc>
                <w:tcPr>
                  <w:tcW w:w="495" w:type="pct"/>
                  <w:tcBorders>
                    <w:tl2br w:val="nil"/>
                    <w:tr2bl w:val="nil"/>
                  </w:tcBorders>
                  <w:noWrap w:val="0"/>
                  <w:vAlign w:val="center"/>
                </w:tcPr>
                <w:p w14:paraId="5DA97E5F">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22.9</w:t>
                  </w:r>
                </w:p>
              </w:tc>
              <w:tc>
                <w:tcPr>
                  <w:tcW w:w="505" w:type="pct"/>
                  <w:tcBorders>
                    <w:tl2br w:val="nil"/>
                    <w:tr2bl w:val="nil"/>
                  </w:tcBorders>
                  <w:noWrap w:val="0"/>
                  <w:vAlign w:val="center"/>
                </w:tcPr>
                <w:p w14:paraId="163E617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76.6</w:t>
                  </w:r>
                </w:p>
              </w:tc>
            </w:tr>
            <w:tr w14:paraId="00BCE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3" w:type="pct"/>
                  <w:tcBorders>
                    <w:tl2br w:val="nil"/>
                    <w:tr2bl w:val="nil"/>
                  </w:tcBorders>
                  <w:noWrap w:val="0"/>
                  <w:vAlign w:val="center"/>
                </w:tcPr>
                <w:p w14:paraId="08D27B2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30</w:t>
                  </w:r>
                </w:p>
              </w:tc>
              <w:tc>
                <w:tcPr>
                  <w:tcW w:w="568" w:type="pct"/>
                  <w:tcBorders>
                    <w:tl2br w:val="nil"/>
                    <w:tr2bl w:val="nil"/>
                  </w:tcBorders>
                  <w:noWrap w:val="0"/>
                  <w:vAlign w:val="center"/>
                </w:tcPr>
                <w:p w14:paraId="513DB31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70</w:t>
                  </w:r>
                </w:p>
              </w:tc>
              <w:tc>
                <w:tcPr>
                  <w:tcW w:w="474" w:type="pct"/>
                  <w:tcBorders>
                    <w:tl2br w:val="nil"/>
                    <w:tr2bl w:val="nil"/>
                  </w:tcBorders>
                  <w:noWrap w:val="0"/>
                  <w:vAlign w:val="center"/>
                </w:tcPr>
                <w:p w14:paraId="458A8CB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0.1</w:t>
                  </w:r>
                </w:p>
              </w:tc>
              <w:tc>
                <w:tcPr>
                  <w:tcW w:w="480" w:type="pct"/>
                  <w:tcBorders>
                    <w:tl2br w:val="nil"/>
                    <w:tr2bl w:val="nil"/>
                  </w:tcBorders>
                  <w:noWrap w:val="0"/>
                  <w:vAlign w:val="center"/>
                </w:tcPr>
                <w:p w14:paraId="36C8E87C">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0.3</w:t>
                  </w:r>
                </w:p>
              </w:tc>
              <w:tc>
                <w:tcPr>
                  <w:tcW w:w="480" w:type="pct"/>
                  <w:tcBorders>
                    <w:tl2br w:val="nil"/>
                    <w:tr2bl w:val="nil"/>
                  </w:tcBorders>
                  <w:noWrap w:val="0"/>
                  <w:vAlign w:val="center"/>
                </w:tcPr>
                <w:p w14:paraId="413DE58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1.0</w:t>
                  </w:r>
                </w:p>
              </w:tc>
              <w:tc>
                <w:tcPr>
                  <w:tcW w:w="480" w:type="pct"/>
                  <w:tcBorders>
                    <w:tl2br w:val="nil"/>
                    <w:tr2bl w:val="nil"/>
                  </w:tcBorders>
                  <w:noWrap w:val="0"/>
                  <w:vAlign w:val="center"/>
                </w:tcPr>
                <w:p w14:paraId="34FD3F7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3.1</w:t>
                  </w:r>
                </w:p>
              </w:tc>
              <w:tc>
                <w:tcPr>
                  <w:tcW w:w="495" w:type="pct"/>
                  <w:tcBorders>
                    <w:tl2br w:val="nil"/>
                    <w:tr2bl w:val="nil"/>
                  </w:tcBorders>
                  <w:noWrap w:val="0"/>
                  <w:vAlign w:val="center"/>
                </w:tcPr>
                <w:p w14:paraId="77FD136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7.4</w:t>
                  </w:r>
                </w:p>
              </w:tc>
              <w:tc>
                <w:tcPr>
                  <w:tcW w:w="495" w:type="pct"/>
                  <w:tcBorders>
                    <w:tl2br w:val="nil"/>
                    <w:tr2bl w:val="nil"/>
                  </w:tcBorders>
                  <w:noWrap w:val="0"/>
                  <w:vAlign w:val="center"/>
                </w:tcPr>
                <w:p w14:paraId="02E1F78C">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12.7</w:t>
                  </w:r>
                </w:p>
              </w:tc>
              <w:tc>
                <w:tcPr>
                  <w:tcW w:w="495" w:type="pct"/>
                  <w:tcBorders>
                    <w:tl2br w:val="nil"/>
                    <w:tr2bl w:val="nil"/>
                  </w:tcBorders>
                  <w:noWrap w:val="0"/>
                  <w:vAlign w:val="center"/>
                </w:tcPr>
                <w:p w14:paraId="49A216E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23.1</w:t>
                  </w:r>
                </w:p>
              </w:tc>
              <w:tc>
                <w:tcPr>
                  <w:tcW w:w="505" w:type="pct"/>
                  <w:tcBorders>
                    <w:tl2br w:val="nil"/>
                    <w:tr2bl w:val="nil"/>
                  </w:tcBorders>
                  <w:noWrap w:val="0"/>
                  <w:vAlign w:val="center"/>
                </w:tcPr>
                <w:p w14:paraId="34574B2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59.3</w:t>
                  </w:r>
                </w:p>
              </w:tc>
            </w:tr>
            <w:tr w14:paraId="7ECC2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3" w:type="pct"/>
                  <w:tcBorders>
                    <w:tl2br w:val="nil"/>
                    <w:tr2bl w:val="nil"/>
                  </w:tcBorders>
                  <w:noWrap w:val="0"/>
                  <w:vAlign w:val="center"/>
                </w:tcPr>
                <w:p w14:paraId="522838F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15</w:t>
                  </w:r>
                </w:p>
              </w:tc>
              <w:tc>
                <w:tcPr>
                  <w:tcW w:w="568" w:type="pct"/>
                  <w:tcBorders>
                    <w:tl2br w:val="nil"/>
                    <w:tr2bl w:val="nil"/>
                  </w:tcBorders>
                  <w:noWrap w:val="0"/>
                  <w:vAlign w:val="center"/>
                </w:tcPr>
                <w:p w14:paraId="00A7917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20</w:t>
                  </w:r>
                </w:p>
              </w:tc>
              <w:tc>
                <w:tcPr>
                  <w:tcW w:w="474" w:type="pct"/>
                  <w:tcBorders>
                    <w:tl2br w:val="nil"/>
                    <w:tr2bl w:val="nil"/>
                  </w:tcBorders>
                  <w:noWrap w:val="0"/>
                  <w:vAlign w:val="center"/>
                </w:tcPr>
                <w:p w14:paraId="5B26DE8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0.3</w:t>
                  </w:r>
                </w:p>
              </w:tc>
              <w:tc>
                <w:tcPr>
                  <w:tcW w:w="480" w:type="pct"/>
                  <w:tcBorders>
                    <w:tl2br w:val="nil"/>
                    <w:tr2bl w:val="nil"/>
                  </w:tcBorders>
                  <w:noWrap w:val="0"/>
                  <w:vAlign w:val="center"/>
                </w:tcPr>
                <w:p w14:paraId="55317AF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0.6</w:t>
                  </w:r>
                </w:p>
              </w:tc>
              <w:tc>
                <w:tcPr>
                  <w:tcW w:w="480" w:type="pct"/>
                  <w:tcBorders>
                    <w:tl2br w:val="nil"/>
                    <w:tr2bl w:val="nil"/>
                  </w:tcBorders>
                  <w:noWrap w:val="0"/>
                  <w:vAlign w:val="center"/>
                </w:tcPr>
                <w:p w14:paraId="07A5A07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1.2</w:t>
                  </w:r>
                </w:p>
              </w:tc>
              <w:tc>
                <w:tcPr>
                  <w:tcW w:w="480" w:type="pct"/>
                  <w:tcBorders>
                    <w:tl2br w:val="nil"/>
                    <w:tr2bl w:val="nil"/>
                  </w:tcBorders>
                  <w:noWrap w:val="0"/>
                  <w:vAlign w:val="center"/>
                </w:tcPr>
                <w:p w14:paraId="39140B3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2.7</w:t>
                  </w:r>
                </w:p>
              </w:tc>
              <w:tc>
                <w:tcPr>
                  <w:tcW w:w="495" w:type="pct"/>
                  <w:tcBorders>
                    <w:tl2br w:val="nil"/>
                    <w:tr2bl w:val="nil"/>
                  </w:tcBorders>
                  <w:noWrap w:val="0"/>
                  <w:vAlign w:val="center"/>
                </w:tcPr>
                <w:p w14:paraId="2E682CDF">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8.2</w:t>
                  </w:r>
                </w:p>
              </w:tc>
              <w:tc>
                <w:tcPr>
                  <w:tcW w:w="495" w:type="pct"/>
                  <w:tcBorders>
                    <w:tl2br w:val="nil"/>
                    <w:tr2bl w:val="nil"/>
                  </w:tcBorders>
                  <w:noWrap w:val="0"/>
                  <w:vAlign w:val="center"/>
                </w:tcPr>
                <w:p w14:paraId="442ABC2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28.2</w:t>
                  </w:r>
                </w:p>
              </w:tc>
              <w:tc>
                <w:tcPr>
                  <w:tcW w:w="495" w:type="pct"/>
                  <w:tcBorders>
                    <w:tl2br w:val="nil"/>
                    <w:tr2bl w:val="nil"/>
                  </w:tcBorders>
                  <w:noWrap w:val="0"/>
                  <w:vAlign w:val="center"/>
                </w:tcPr>
                <w:p w14:paraId="73C0EEBD">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28.8</w:t>
                  </w:r>
                </w:p>
              </w:tc>
              <w:tc>
                <w:tcPr>
                  <w:tcW w:w="505" w:type="pct"/>
                  <w:tcBorders>
                    <w:tl2br w:val="nil"/>
                    <w:tr2bl w:val="nil"/>
                  </w:tcBorders>
                  <w:noWrap w:val="0"/>
                  <w:vAlign w:val="center"/>
                </w:tcPr>
                <w:p w14:paraId="1C6A5F6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202.0</w:t>
                  </w:r>
                </w:p>
              </w:tc>
            </w:tr>
            <w:tr w14:paraId="2432C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3" w:type="pct"/>
                  <w:tcBorders>
                    <w:tl2br w:val="nil"/>
                    <w:tr2bl w:val="nil"/>
                  </w:tcBorders>
                  <w:noWrap w:val="0"/>
                  <w:vAlign w:val="center"/>
                </w:tcPr>
                <w:p w14:paraId="6DC3433E">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15</w:t>
                  </w:r>
                </w:p>
              </w:tc>
              <w:tc>
                <w:tcPr>
                  <w:tcW w:w="568" w:type="pct"/>
                  <w:tcBorders>
                    <w:tl2br w:val="nil"/>
                    <w:tr2bl w:val="nil"/>
                  </w:tcBorders>
                  <w:noWrap w:val="0"/>
                  <w:vAlign w:val="center"/>
                </w:tcPr>
                <w:p w14:paraId="619F630A">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50</w:t>
                  </w:r>
                </w:p>
              </w:tc>
              <w:tc>
                <w:tcPr>
                  <w:tcW w:w="474" w:type="pct"/>
                  <w:tcBorders>
                    <w:tl2br w:val="nil"/>
                    <w:tr2bl w:val="nil"/>
                  </w:tcBorders>
                  <w:noWrap w:val="0"/>
                  <w:vAlign w:val="center"/>
                </w:tcPr>
                <w:p w14:paraId="18540EF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0.1</w:t>
                  </w:r>
                </w:p>
              </w:tc>
              <w:tc>
                <w:tcPr>
                  <w:tcW w:w="480" w:type="pct"/>
                  <w:tcBorders>
                    <w:tl2br w:val="nil"/>
                    <w:tr2bl w:val="nil"/>
                  </w:tcBorders>
                  <w:noWrap w:val="0"/>
                  <w:vAlign w:val="center"/>
                </w:tcPr>
                <w:p w14:paraId="6B4520ED">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0.5</w:t>
                  </w:r>
                </w:p>
              </w:tc>
              <w:tc>
                <w:tcPr>
                  <w:tcW w:w="480" w:type="pct"/>
                  <w:tcBorders>
                    <w:tl2br w:val="nil"/>
                    <w:tr2bl w:val="nil"/>
                  </w:tcBorders>
                  <w:noWrap w:val="0"/>
                  <w:vAlign w:val="center"/>
                </w:tcPr>
                <w:p w14:paraId="4A026AE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1.2</w:t>
                  </w:r>
                </w:p>
              </w:tc>
              <w:tc>
                <w:tcPr>
                  <w:tcW w:w="480" w:type="pct"/>
                  <w:tcBorders>
                    <w:tl2br w:val="nil"/>
                    <w:tr2bl w:val="nil"/>
                  </w:tcBorders>
                  <w:noWrap w:val="0"/>
                  <w:vAlign w:val="center"/>
                </w:tcPr>
                <w:p w14:paraId="7267682D">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2.2</w:t>
                  </w:r>
                </w:p>
              </w:tc>
              <w:tc>
                <w:tcPr>
                  <w:tcW w:w="495" w:type="pct"/>
                  <w:tcBorders>
                    <w:tl2br w:val="nil"/>
                    <w:tr2bl w:val="nil"/>
                  </w:tcBorders>
                  <w:noWrap w:val="0"/>
                  <w:vAlign w:val="center"/>
                </w:tcPr>
                <w:p w14:paraId="604F978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4.2</w:t>
                  </w:r>
                </w:p>
              </w:tc>
              <w:tc>
                <w:tcPr>
                  <w:tcW w:w="495" w:type="pct"/>
                  <w:tcBorders>
                    <w:tl2br w:val="nil"/>
                    <w:tr2bl w:val="nil"/>
                  </w:tcBorders>
                  <w:noWrap w:val="0"/>
                  <w:vAlign w:val="center"/>
                </w:tcPr>
                <w:p w14:paraId="460FD53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10.8</w:t>
                  </w:r>
                </w:p>
              </w:tc>
              <w:tc>
                <w:tcPr>
                  <w:tcW w:w="495" w:type="pct"/>
                  <w:tcBorders>
                    <w:tl2br w:val="nil"/>
                    <w:tr2bl w:val="nil"/>
                  </w:tcBorders>
                  <w:noWrap w:val="0"/>
                  <w:vAlign w:val="center"/>
                </w:tcPr>
                <w:p w14:paraId="3E38819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36.2</w:t>
                  </w:r>
                </w:p>
              </w:tc>
              <w:tc>
                <w:tcPr>
                  <w:tcW w:w="505" w:type="pct"/>
                  <w:tcBorders>
                    <w:tl2br w:val="nil"/>
                    <w:tr2bl w:val="nil"/>
                  </w:tcBorders>
                  <w:noWrap w:val="0"/>
                  <w:vAlign w:val="center"/>
                </w:tcPr>
                <w:p w14:paraId="25440DD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129.0</w:t>
                  </w:r>
                </w:p>
              </w:tc>
            </w:tr>
            <w:tr w14:paraId="07186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3" w:type="pct"/>
                  <w:tcBorders>
                    <w:tl2br w:val="nil"/>
                    <w:tr2bl w:val="nil"/>
                  </w:tcBorders>
                  <w:noWrap w:val="0"/>
                  <w:vAlign w:val="center"/>
                </w:tcPr>
                <w:p w14:paraId="544902F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15</w:t>
                  </w:r>
                </w:p>
              </w:tc>
              <w:tc>
                <w:tcPr>
                  <w:tcW w:w="568" w:type="pct"/>
                  <w:tcBorders>
                    <w:tl2br w:val="nil"/>
                    <w:tr2bl w:val="nil"/>
                  </w:tcBorders>
                  <w:noWrap w:val="0"/>
                  <w:vAlign w:val="center"/>
                </w:tcPr>
                <w:p w14:paraId="4304D02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80</w:t>
                  </w:r>
                </w:p>
              </w:tc>
              <w:tc>
                <w:tcPr>
                  <w:tcW w:w="474" w:type="pct"/>
                  <w:tcBorders>
                    <w:tl2br w:val="nil"/>
                    <w:tr2bl w:val="nil"/>
                  </w:tcBorders>
                  <w:noWrap w:val="0"/>
                  <w:vAlign w:val="center"/>
                </w:tcPr>
                <w:p w14:paraId="404ADE6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0.1</w:t>
                  </w:r>
                </w:p>
              </w:tc>
              <w:tc>
                <w:tcPr>
                  <w:tcW w:w="480" w:type="pct"/>
                  <w:tcBorders>
                    <w:tl2br w:val="nil"/>
                    <w:tr2bl w:val="nil"/>
                  </w:tcBorders>
                  <w:noWrap w:val="0"/>
                  <w:vAlign w:val="center"/>
                </w:tcPr>
                <w:p w14:paraId="14E45BA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0.3</w:t>
                  </w:r>
                </w:p>
              </w:tc>
              <w:tc>
                <w:tcPr>
                  <w:tcW w:w="480" w:type="pct"/>
                  <w:tcBorders>
                    <w:tl2br w:val="nil"/>
                    <w:tr2bl w:val="nil"/>
                  </w:tcBorders>
                  <w:noWrap w:val="0"/>
                  <w:vAlign w:val="center"/>
                </w:tcPr>
                <w:p w14:paraId="7E8B572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1.1</w:t>
                  </w:r>
                </w:p>
              </w:tc>
              <w:tc>
                <w:tcPr>
                  <w:tcW w:w="480" w:type="pct"/>
                  <w:tcBorders>
                    <w:tl2br w:val="nil"/>
                    <w:tr2bl w:val="nil"/>
                  </w:tcBorders>
                  <w:noWrap w:val="0"/>
                  <w:vAlign w:val="center"/>
                </w:tcPr>
                <w:p w14:paraId="62C1826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2.4</w:t>
                  </w:r>
                </w:p>
              </w:tc>
              <w:tc>
                <w:tcPr>
                  <w:tcW w:w="495" w:type="pct"/>
                  <w:tcBorders>
                    <w:tl2br w:val="nil"/>
                    <w:tr2bl w:val="nil"/>
                  </w:tcBorders>
                  <w:noWrap w:val="0"/>
                  <w:vAlign w:val="center"/>
                </w:tcPr>
                <w:p w14:paraId="486F4DA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4.1</w:t>
                  </w:r>
                </w:p>
              </w:tc>
              <w:tc>
                <w:tcPr>
                  <w:tcW w:w="495" w:type="pct"/>
                  <w:tcBorders>
                    <w:tl2br w:val="nil"/>
                    <w:tr2bl w:val="nil"/>
                  </w:tcBorders>
                  <w:noWrap w:val="0"/>
                  <w:vAlign w:val="center"/>
                </w:tcPr>
                <w:p w14:paraId="60C095AE">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8.3</w:t>
                  </w:r>
                </w:p>
              </w:tc>
              <w:tc>
                <w:tcPr>
                  <w:tcW w:w="495" w:type="pct"/>
                  <w:tcBorders>
                    <w:tl2br w:val="nil"/>
                    <w:tr2bl w:val="nil"/>
                  </w:tcBorders>
                  <w:noWrap w:val="0"/>
                  <w:vAlign w:val="center"/>
                </w:tcPr>
                <w:p w14:paraId="44A760E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23.7</w:t>
                  </w:r>
                </w:p>
              </w:tc>
              <w:tc>
                <w:tcPr>
                  <w:tcW w:w="505" w:type="pct"/>
                  <w:tcBorders>
                    <w:tl2br w:val="nil"/>
                    <w:tr2bl w:val="nil"/>
                  </w:tcBorders>
                  <w:noWrap w:val="0"/>
                  <w:vAlign w:val="center"/>
                </w:tcPr>
                <w:p w14:paraId="60A1460C">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82.8</w:t>
                  </w:r>
                </w:p>
              </w:tc>
            </w:tr>
          </w:tbl>
          <w:p w14:paraId="17514470">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⑤屏障引起的衰减（Abar）</w:t>
            </w:r>
          </w:p>
          <w:p w14:paraId="5C201ECE">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位于声源和预测点之间的实体障碍物，如围墙、建筑物、土坡或地堑等起声屏障作用，从而引起声能量的较大衰减。在环境影响评价中，可将各种形式的屏障简化为具有一定高度的薄屏障。</w:t>
            </w:r>
          </w:p>
          <w:p w14:paraId="45AAA03D">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如图</w:t>
            </w:r>
            <w:r>
              <w:rPr>
                <w:rFonts w:hint="eastAsia" w:ascii="Times New Roman" w:hAnsi="Times New Roman" w:eastAsia="宋体" w:cs="宋体"/>
                <w:color w:val="auto"/>
                <w:kern w:val="2"/>
                <w:sz w:val="24"/>
                <w:szCs w:val="24"/>
                <w:lang w:val="en-US" w:eastAsia="zh-CN" w:bidi="ar-SA"/>
              </w:rPr>
              <w:t>4</w:t>
            </w:r>
            <w:r>
              <w:rPr>
                <w:rFonts w:hint="default" w:ascii="Times New Roman" w:hAnsi="Times New Roman" w:eastAsia="宋体" w:cs="宋体"/>
                <w:color w:val="auto"/>
                <w:kern w:val="2"/>
                <w:sz w:val="24"/>
                <w:szCs w:val="24"/>
                <w:lang w:val="en-US" w:eastAsia="zh-CN" w:bidi="ar-SA"/>
              </w:rPr>
              <w:t>.</w:t>
            </w:r>
            <w:r>
              <w:rPr>
                <w:rFonts w:hint="eastAsia" w:ascii="Times New Roman" w:hAnsi="Times New Roman" w:eastAsia="宋体" w:cs="宋体"/>
                <w:color w:val="auto"/>
                <w:kern w:val="2"/>
                <w:sz w:val="24"/>
                <w:szCs w:val="24"/>
                <w:lang w:val="en-US" w:eastAsia="zh-CN" w:bidi="ar-SA"/>
              </w:rPr>
              <w:t>3</w:t>
            </w:r>
            <w:r>
              <w:rPr>
                <w:rFonts w:hint="default" w:ascii="Times New Roman" w:hAnsi="Times New Roman" w:eastAsia="宋体" w:cs="宋体"/>
                <w:color w:val="auto"/>
                <w:kern w:val="2"/>
                <w:sz w:val="24"/>
                <w:szCs w:val="24"/>
                <w:lang w:val="en-US" w:eastAsia="zh-CN" w:bidi="ar-SA"/>
              </w:rPr>
              <w:t>-3所示，S、O、P三点在同一平面内且垂直于地面。</w:t>
            </w:r>
          </w:p>
          <w:p w14:paraId="2848E4B9">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定义δ=SO＋OP－SP为声程差，N=2δ/λ为菲涅尔数，其中λ为声波波长。</w:t>
            </w:r>
          </w:p>
          <w:p w14:paraId="548256DA">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在噪声预测中，声屏障插入损失的计算方法应需要根据实际情况作简化处理。</w:t>
            </w:r>
          </w:p>
          <w:p w14:paraId="435E6833">
            <w:pPr>
              <w:widowControl w:val="0"/>
              <w:bidi w:val="0"/>
              <w:spacing w:line="240" w:lineRule="auto"/>
              <w:ind w:firstLine="0" w:firstLineChars="0"/>
              <w:jc w:val="center"/>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drawing>
                <wp:inline distT="0" distB="0" distL="114300" distR="114300">
                  <wp:extent cx="3080385" cy="2041525"/>
                  <wp:effectExtent l="0" t="0" r="5715" b="15875"/>
                  <wp:docPr id="4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6"/>
                          <pic:cNvPicPr>
                            <a:picLocks noChangeAspect="1"/>
                          </pic:cNvPicPr>
                        </pic:nvPicPr>
                        <pic:blipFill>
                          <a:blip r:embed="rId36"/>
                          <a:stretch>
                            <a:fillRect/>
                          </a:stretch>
                        </pic:blipFill>
                        <pic:spPr>
                          <a:xfrm>
                            <a:off x="0" y="0"/>
                            <a:ext cx="3080385" cy="2041525"/>
                          </a:xfrm>
                          <a:prstGeom prst="rect">
                            <a:avLst/>
                          </a:prstGeom>
                          <a:noFill/>
                          <a:ln>
                            <a:noFill/>
                          </a:ln>
                        </pic:spPr>
                      </pic:pic>
                    </a:graphicData>
                  </a:graphic>
                </wp:inline>
              </w:drawing>
            </w:r>
          </w:p>
          <w:p w14:paraId="049D6510">
            <w:pPr>
              <w:widowControl w:val="0"/>
              <w:bidi w:val="0"/>
              <w:adjustRightInd w:val="0"/>
              <w:snapToGrid w:val="0"/>
              <w:spacing w:before="10" w:beforeLines="10" w:after="10" w:afterLines="10"/>
              <w:jc w:val="center"/>
              <w:rPr>
                <w:rFonts w:hint="default" w:ascii="Times New Roman" w:hAnsi="Times New Roman" w:eastAsia="宋体" w:cs="Times New Roman"/>
                <w:b/>
                <w:color w:val="auto"/>
                <w:kern w:val="0"/>
                <w:sz w:val="24"/>
                <w:szCs w:val="20"/>
                <w:lang w:val="en-US" w:eastAsia="zh-CN" w:bidi="ar-SA"/>
              </w:rPr>
            </w:pPr>
            <w:r>
              <w:rPr>
                <w:rFonts w:hint="default" w:ascii="Times New Roman" w:hAnsi="Times New Roman" w:eastAsia="宋体" w:cs="Times New Roman"/>
                <w:b/>
                <w:color w:val="auto"/>
                <w:kern w:val="0"/>
                <w:sz w:val="24"/>
                <w:szCs w:val="20"/>
                <w:lang w:val="en-US" w:eastAsia="zh-CN" w:bidi="ar-SA"/>
              </w:rPr>
              <mc:AlternateContent>
                <mc:Choice Requires="wps">
                  <w:drawing>
                    <wp:anchor distT="0" distB="0" distL="114300" distR="114300" simplePos="0" relativeHeight="251668480" behindDoc="0" locked="0" layoutInCell="1" allowOverlap="1">
                      <wp:simplePos x="0" y="0"/>
                      <wp:positionH relativeFrom="column">
                        <wp:posOffset>-3126740</wp:posOffset>
                      </wp:positionH>
                      <wp:positionV relativeFrom="paragraph">
                        <wp:posOffset>238760</wp:posOffset>
                      </wp:positionV>
                      <wp:extent cx="0" cy="635"/>
                      <wp:effectExtent l="0" t="635" r="0" b="0"/>
                      <wp:wrapNone/>
                      <wp:docPr id="70" name="文本框 70"/>
                      <wp:cNvGraphicFramePr/>
                      <a:graphic xmlns:a="http://schemas.openxmlformats.org/drawingml/2006/main">
                        <a:graphicData uri="http://schemas.microsoft.com/office/word/2010/wordprocessingShape">
                          <wps:wsp>
                            <wps:cNvSpPr txBox="1"/>
                            <wps:spPr>
                              <a:xfrm rot="-4020000">
                                <a:off x="0" y="0"/>
                                <a:ext cx="0" cy="635"/>
                              </a:xfrm>
                              <a:prstGeom prst="rect">
                                <a:avLst/>
                              </a:prstGeom>
                              <a:noFill/>
                              <a:ln>
                                <a:noFill/>
                              </a:ln>
                              <a:effectLst/>
                            </wps:spPr>
                            <wps:txbx>
                              <w:txbxContent>
                                <w:p w14:paraId="5A036A39">
                                  <w:pPr>
                                    <w:ind w:left="0" w:leftChars="0" w:firstLine="0" w:firstLineChars="0"/>
                                    <w:rPr>
                                      <w:rFonts w:hint="eastAsia" w:ascii="Times New Roman" w:hAnsi="Times New Roman" w:eastAsia="宋体" w:cs="Times New Roman"/>
                                      <w:b/>
                                      <w:bCs/>
                                      <w:color w:val="FFFFFF"/>
                                      <w:highlight w:val="none"/>
                                      <w:lang w:eastAsia="zh-CN"/>
                                    </w:rPr>
                                  </w:pPr>
                                  <w:r>
                                    <w:rPr>
                                      <w:rFonts w:hint="eastAsia" w:ascii="Times New Roman" w:hAnsi="Times New Roman" w:eastAsia="宋体" w:cs="Times New Roman"/>
                                      <w:b/>
                                      <w:bCs/>
                                      <w:color w:val="FFFFFF"/>
                                      <w:highlight w:val="none"/>
                                      <w:lang w:eastAsia="zh-CN"/>
                                    </w:rPr>
                                    <w:t>洪</w:t>
                                  </w:r>
                                  <w:r>
                                    <w:rPr>
                                      <w:rFonts w:hint="eastAsia" w:ascii="Times New Roman" w:hAnsi="Times New Roman" w:eastAsia="宋体" w:cs="Times New Roman"/>
                                      <w:b/>
                                      <w:bCs/>
                                      <w:color w:val="FFFFFF"/>
                                      <w:highlight w:val="none"/>
                                      <w:lang w:val="en-US" w:eastAsia="zh-CN"/>
                                    </w:rPr>
                                    <w:t xml:space="preserve"> </w:t>
                                  </w:r>
                                  <w:r>
                                    <w:rPr>
                                      <w:rFonts w:hint="eastAsia" w:ascii="Times New Roman" w:hAnsi="Times New Roman" w:eastAsia="宋体" w:cs="Times New Roman"/>
                                      <w:b/>
                                      <w:bCs/>
                                      <w:color w:val="FFFFFF"/>
                                      <w:highlight w:val="none"/>
                                      <w:lang w:eastAsia="zh-CN"/>
                                    </w:rPr>
                                    <w:t>铨</w:t>
                                  </w:r>
                                  <w:r>
                                    <w:rPr>
                                      <w:rFonts w:hint="eastAsia" w:ascii="Times New Roman" w:hAnsi="Times New Roman" w:eastAsia="宋体" w:cs="Times New Roman"/>
                                      <w:b/>
                                      <w:bCs/>
                                      <w:color w:val="FFFFFF"/>
                                      <w:highlight w:val="none"/>
                                      <w:lang w:val="en-US" w:eastAsia="zh-CN"/>
                                    </w:rPr>
                                    <w:t xml:space="preserve"> </w:t>
                                  </w:r>
                                  <w:r>
                                    <w:rPr>
                                      <w:rFonts w:hint="eastAsia" w:ascii="Times New Roman" w:hAnsi="Times New Roman" w:eastAsia="宋体" w:cs="Times New Roman"/>
                                      <w:b/>
                                      <w:bCs/>
                                      <w:color w:val="FFFFFF"/>
                                      <w:highlight w:val="none"/>
                                      <w:lang w:eastAsia="zh-CN"/>
                                    </w:rPr>
                                    <w:t>路</w:t>
                                  </w:r>
                                </w:p>
                              </w:txbxContent>
                            </wps:txbx>
                            <wps:bodyPr vert="horz" wrap="square" anchor="t" anchorCtr="0" upright="0"/>
                          </wps:wsp>
                        </a:graphicData>
                      </a:graphic>
                    </wp:anchor>
                  </w:drawing>
                </mc:Choice>
                <mc:Fallback>
                  <w:pict>
                    <v:shape id="_x0000_s1026" o:spid="_x0000_s1026" o:spt="202" type="#_x0000_t202" style="position:absolute;left:0pt;margin-left:-246.2pt;margin-top:18.8pt;height:0.05pt;width:0pt;rotation:-4390912f;z-index:251668480;mso-width-relative:page;mso-height-relative:page;" filled="f" stroked="f" coordsize="21600,21600" o:gfxdata="UEsDBAoAAAAAAIdO4kAAAAAAAAAAAAAAAAAEAAAAZHJzL1BLAwQUAAAACACHTuJAR3pO3tgAAAAL&#10;AQAADwAAAGRycy9kb3ducmV2LnhtbE2Py07DMBBF90j8gzVIbFBrt5SmpHG6qEAIZUXJB0zjaRI1&#10;HofYffH1uBISLOfO0Z0z2epsO3GkwbeONUzGCgRx5UzLtYby83W0AOEDssHOMWm4kIdVfnuTYWrc&#10;iT/ouAm1iCXsU9TQhNCnUvqqIYt+7HriuNu5wWKI41BLM+AplttOTpWaS4stxwsN9rRuqNpvDlbD&#10;Q71WpSmKpDRf+P22uDztipd3re/vJmoJItA5/MFw1Y/qkEenrTuw8aLTMJo9T2eR1fCYzEFE4jfZ&#10;XpMEZJ7J/z/kP1BLAwQUAAAACACHTuJAgDBHstABAACXAwAADgAAAGRycy9lMm9Eb2MueG1srVPB&#10;jtMwEL0j8Q+W79tkF1hQ1HQlqJYLAqSFD3Adp7EUe8yM26R8APwBJy7c+a5+B2MnrZblsgcu1vh5&#10;/DzvzXh5M7pe7A2SBV/Ly0UphfEaGuu3tfz86fbilRQUlW9UD97U8mBI3qyePlkOoTJX0EHfGBRM&#10;4qkaQi27GENVFKQ74xQtIBjPhy2gU5G3uC0aVAOzu764KsvrYgBsAoI2RIyup0M5M+JjCKFtrTZr&#10;0DtnfJxY0fQqsiTqbCC5ytW2rdHxQ9uSiaKvJSuNeeVHON6ktVgtVbVFFTqr5xLUY0p4oMkp6/nR&#10;M9VaRSV2aP+hclYjELRxocEVk5DsCKu4LB94c9epYLIWtprC2XT6f7T6/f4jCtvU8iVb4pXjjh9/&#10;fD/+/H389U0wxgYNgSrOuwucGcfXMPLYnHBiMOkeW3QCgf29eF5ym8sy28ECBacz9eHsthmj0BOo&#10;Gb1+9iKRFRNH4gpI8a0BJ1JQS+QmZjK1f0dxSj2lpHQPt7bvcyN7/xfAnBNi8iTMt5OcqewUxXEz&#10;zho30BxYIv8NfrUD/CrFwJNRS/qyU2ikUF4zXMt4Ct/EaZR2Ae2241vZryLxcr+yqHm20kDc33N8&#10;/z+t/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BHek7e2AAAAAsBAAAPAAAAAAAAAAEAIAAAACIA&#10;AABkcnMvZG93bnJldi54bWxQSwECFAAUAAAACACHTuJAgDBHstABAACXAwAADgAAAAAAAAABACAA&#10;AAAnAQAAZHJzL2Uyb0RvYy54bWxQSwUGAAAAAAYABgBZAQAAaQUAAAAA&#10;">
                      <v:fill on="f" focussize="0,0"/>
                      <v:stroke on="f"/>
                      <v:imagedata o:title=""/>
                      <o:lock v:ext="edit" aspectratio="f"/>
                      <v:textbox>
                        <w:txbxContent>
                          <w:p w14:paraId="5A036A39">
                            <w:pPr>
                              <w:ind w:left="0" w:leftChars="0" w:firstLine="0" w:firstLineChars="0"/>
                              <w:rPr>
                                <w:rFonts w:hint="eastAsia" w:ascii="Times New Roman" w:hAnsi="Times New Roman" w:eastAsia="宋体" w:cs="Times New Roman"/>
                                <w:b/>
                                <w:bCs/>
                                <w:color w:val="FFFFFF"/>
                                <w:highlight w:val="none"/>
                                <w:lang w:eastAsia="zh-CN"/>
                              </w:rPr>
                            </w:pPr>
                            <w:r>
                              <w:rPr>
                                <w:rFonts w:hint="eastAsia" w:ascii="Times New Roman" w:hAnsi="Times New Roman" w:eastAsia="宋体" w:cs="Times New Roman"/>
                                <w:b/>
                                <w:bCs/>
                                <w:color w:val="FFFFFF"/>
                                <w:highlight w:val="none"/>
                                <w:lang w:eastAsia="zh-CN"/>
                              </w:rPr>
                              <w:t>洪</w:t>
                            </w:r>
                            <w:r>
                              <w:rPr>
                                <w:rFonts w:hint="eastAsia" w:ascii="Times New Roman" w:hAnsi="Times New Roman" w:eastAsia="宋体" w:cs="Times New Roman"/>
                                <w:b/>
                                <w:bCs/>
                                <w:color w:val="FFFFFF"/>
                                <w:highlight w:val="none"/>
                                <w:lang w:val="en-US" w:eastAsia="zh-CN"/>
                              </w:rPr>
                              <w:t xml:space="preserve"> </w:t>
                            </w:r>
                            <w:r>
                              <w:rPr>
                                <w:rFonts w:hint="eastAsia" w:ascii="Times New Roman" w:hAnsi="Times New Roman" w:eastAsia="宋体" w:cs="Times New Roman"/>
                                <w:b/>
                                <w:bCs/>
                                <w:color w:val="FFFFFF"/>
                                <w:highlight w:val="none"/>
                                <w:lang w:eastAsia="zh-CN"/>
                              </w:rPr>
                              <w:t>铨</w:t>
                            </w:r>
                            <w:r>
                              <w:rPr>
                                <w:rFonts w:hint="eastAsia" w:ascii="Times New Roman" w:hAnsi="Times New Roman" w:eastAsia="宋体" w:cs="Times New Roman"/>
                                <w:b/>
                                <w:bCs/>
                                <w:color w:val="FFFFFF"/>
                                <w:highlight w:val="none"/>
                                <w:lang w:val="en-US" w:eastAsia="zh-CN"/>
                              </w:rPr>
                              <w:t xml:space="preserve"> </w:t>
                            </w:r>
                            <w:r>
                              <w:rPr>
                                <w:rFonts w:hint="eastAsia" w:ascii="Times New Roman" w:hAnsi="Times New Roman" w:eastAsia="宋体" w:cs="Times New Roman"/>
                                <w:b/>
                                <w:bCs/>
                                <w:color w:val="FFFFFF"/>
                                <w:highlight w:val="none"/>
                                <w:lang w:eastAsia="zh-CN"/>
                              </w:rPr>
                              <w:t>路</w:t>
                            </w:r>
                          </w:p>
                        </w:txbxContent>
                      </v:textbox>
                    </v:shape>
                  </w:pict>
                </mc:Fallback>
              </mc:AlternateContent>
            </w:r>
            <w:r>
              <w:rPr>
                <w:rFonts w:hint="default" w:ascii="Times New Roman" w:hAnsi="Times New Roman" w:eastAsia="宋体" w:cs="Times New Roman"/>
                <w:b/>
                <w:color w:val="auto"/>
                <w:kern w:val="0"/>
                <w:sz w:val="24"/>
                <w:szCs w:val="20"/>
                <w:lang w:val="en-US" w:eastAsia="zh-CN" w:bidi="ar-SA"/>
              </w:rPr>
              <mc:AlternateContent>
                <mc:Choice Requires="wps">
                  <w:drawing>
                    <wp:anchor distT="0" distB="0" distL="114300" distR="114300" simplePos="0" relativeHeight="251667456" behindDoc="0" locked="0" layoutInCell="1" allowOverlap="1">
                      <wp:simplePos x="0" y="0"/>
                      <wp:positionH relativeFrom="column">
                        <wp:posOffset>-3126740</wp:posOffset>
                      </wp:positionH>
                      <wp:positionV relativeFrom="paragraph">
                        <wp:posOffset>238760</wp:posOffset>
                      </wp:positionV>
                      <wp:extent cx="0" cy="635"/>
                      <wp:effectExtent l="0" t="635" r="0" b="0"/>
                      <wp:wrapNone/>
                      <wp:docPr id="71" name="文本框 71"/>
                      <wp:cNvGraphicFramePr/>
                      <a:graphic xmlns:a="http://schemas.openxmlformats.org/drawingml/2006/main">
                        <a:graphicData uri="http://schemas.microsoft.com/office/word/2010/wordprocessingShape">
                          <wps:wsp>
                            <wps:cNvSpPr txBox="1"/>
                            <wps:spPr>
                              <a:xfrm rot="-4080000">
                                <a:off x="0" y="0"/>
                                <a:ext cx="0" cy="635"/>
                              </a:xfrm>
                              <a:prstGeom prst="rect">
                                <a:avLst/>
                              </a:prstGeom>
                              <a:noFill/>
                              <a:ln>
                                <a:noFill/>
                              </a:ln>
                              <a:effectLst/>
                            </wps:spPr>
                            <wps:txbx>
                              <w:txbxContent>
                                <w:p w14:paraId="69AA5E89">
                                  <w:pPr>
                                    <w:ind w:left="0" w:leftChars="0" w:firstLine="0" w:firstLineChars="0"/>
                                    <w:rPr>
                                      <w:rFonts w:hint="eastAsia" w:ascii="Times New Roman" w:hAnsi="Times New Roman" w:eastAsia="宋体" w:cs="Times New Roman"/>
                                      <w:b/>
                                      <w:bCs/>
                                      <w:color w:val="000000"/>
                                      <w:highlight w:val="yellow"/>
                                      <w:lang w:eastAsia="zh-CN"/>
                                    </w:rPr>
                                  </w:pPr>
                                  <w:r>
                                    <w:rPr>
                                      <w:rFonts w:hint="eastAsia" w:ascii="Times New Roman" w:hAnsi="Times New Roman" w:eastAsia="宋体" w:cs="Times New Roman"/>
                                      <w:b/>
                                      <w:bCs/>
                                      <w:color w:val="000000"/>
                                      <w:highlight w:val="yellow"/>
                                      <w:lang w:eastAsia="zh-CN"/>
                                    </w:rPr>
                                    <w:t>佳宁化妆品有限公司</w:t>
                                  </w:r>
                                </w:p>
                              </w:txbxContent>
                            </wps:txbx>
                            <wps:bodyPr vert="horz" wrap="square" anchor="t" anchorCtr="0" upright="0"/>
                          </wps:wsp>
                        </a:graphicData>
                      </a:graphic>
                    </wp:anchor>
                  </w:drawing>
                </mc:Choice>
                <mc:Fallback>
                  <w:pict>
                    <v:shape id="_x0000_s1026" o:spid="_x0000_s1026" o:spt="202" type="#_x0000_t202" style="position:absolute;left:0pt;margin-left:-246.2pt;margin-top:18.8pt;height:0.05pt;width:0pt;rotation:-4456448f;z-index:251667456;mso-width-relative:page;mso-height-relative:page;" filled="f" stroked="f" coordsize="21600,21600" o:gfxdata="UEsDBAoAAAAAAIdO4kAAAAAAAAAAAAAAAAAEAAAAZHJzL1BLAwQUAAAACACHTuJAMGlaIdcAAAAL&#10;AQAADwAAAGRycy9kb3ducmV2LnhtbE2PwU7DMAyG70i8Q2Qkblu6MdZRmk4CxIETo3Dh5jWmrWic&#10;KsnalacnkybB0b8//f6cb4+mEwM531pWsJgnIIgrq1uuFXy8P882IHxA1thZJgUTedgWlxc5ZtqO&#10;/EZDGWoRS9hnqKAJoc+k9FVDBv3c9sRx92WdwRBHV0vtcIzlppPLJFlLgy3HCw329NhQ9V0ejIIn&#10;PyK5Ydq9/jxsPssd9y/pdKvU9dUiuQcR6Bj+YDjpR3UootPeHlh70SmYre6Wq8gquEnXICJxTvan&#10;JAVZ5PL/D8UvUEsDBBQAAAAIAIdO4kCU5BsJ0QEAAJcDAAAOAAAAZHJzL2Uyb0RvYy54bWytU8GO&#10;0zAQvSPxD5bv26QLLKuq6UpQLRcESAsf4DqTxlLsMWO3SfkA+ANOXLjzXf2OHTtptSyXPZCDNX4e&#10;P897M1neDLYTe6Bg0FVyPiulAKexNm5byS+fby+upQhRuVp16KCSBwjyZvX82bL3C7jEFrsaSDCJ&#10;C4veV7KN0S+KIugWrAoz9OD4sEGyKvKWtkVNqmd22xWXZXlV9Ei1J9QQAqPr8VBOjPQUQmwao2GN&#10;emfBxZGVoFORJYXW+CBXudqmAR0/Nk2AKLpKstKYV36E401ai9VSLbakfGv0VIJ6SgmPNFllHD96&#10;plqrqMSOzD9U1mjCgE2cabTFKCQ7wirm5SNv7lrlIWthq4M/mx7+H63+sP9EwtSVfD2XwinLHT/+&#10;/HH89ef4+7tgjA3qfVhw3p3nzDi8wYHH5oQHBpPuoSErCNnfi5fldclftoMFCk5ntw9nt2GIQo+g&#10;ZvTqxatEVowcictTiO8ArUhBJYmbmMnU/n2IY+opJaU7vDVdlxvZub8A5hwRyJMw3U5yxrJTFIfN&#10;MGncYH1gifxv8Kst0jcpep6MSoavO0UghXKa4UrGU/g2jqO082S2Ld/KA1UkXu5XFjXNVhqIh3uO&#10;H/5Pq3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AwaVoh1wAAAAsBAAAPAAAAAAAAAAEAIAAAACIA&#10;AABkcnMvZG93bnJldi54bWxQSwECFAAUAAAACACHTuJAlOQbCdEBAACXAwAADgAAAAAAAAABACAA&#10;AAAmAQAAZHJzL2Uyb0RvYy54bWxQSwUGAAAAAAYABgBZAQAAaQUAAAAA&#10;">
                      <v:fill on="f" focussize="0,0"/>
                      <v:stroke on="f"/>
                      <v:imagedata o:title=""/>
                      <o:lock v:ext="edit" aspectratio="f"/>
                      <v:textbox>
                        <w:txbxContent>
                          <w:p w14:paraId="69AA5E89">
                            <w:pPr>
                              <w:ind w:left="0" w:leftChars="0" w:firstLine="0" w:firstLineChars="0"/>
                              <w:rPr>
                                <w:rFonts w:hint="eastAsia" w:ascii="Times New Roman" w:hAnsi="Times New Roman" w:eastAsia="宋体" w:cs="Times New Roman"/>
                                <w:b/>
                                <w:bCs/>
                                <w:color w:val="000000"/>
                                <w:highlight w:val="yellow"/>
                                <w:lang w:eastAsia="zh-CN"/>
                              </w:rPr>
                            </w:pPr>
                            <w:r>
                              <w:rPr>
                                <w:rFonts w:hint="eastAsia" w:ascii="Times New Roman" w:hAnsi="Times New Roman" w:eastAsia="宋体" w:cs="Times New Roman"/>
                                <w:b/>
                                <w:bCs/>
                                <w:color w:val="000000"/>
                                <w:highlight w:val="yellow"/>
                                <w:lang w:eastAsia="zh-CN"/>
                              </w:rPr>
                              <w:t>佳宁化妆品有限公司</w:t>
                            </w:r>
                          </w:p>
                        </w:txbxContent>
                      </v:textbox>
                    </v:shape>
                  </w:pict>
                </mc:Fallback>
              </mc:AlternateContent>
            </w:r>
            <w:r>
              <w:rPr>
                <w:rFonts w:hint="default" w:ascii="Times New Roman" w:hAnsi="Times New Roman" w:eastAsia="宋体" w:cs="Times New Roman"/>
                <w:b/>
                <w:color w:val="auto"/>
                <w:kern w:val="0"/>
                <w:sz w:val="24"/>
                <w:szCs w:val="20"/>
                <w:lang w:val="en-US" w:eastAsia="zh-CN" w:bidi="ar-SA"/>
              </w:rPr>
              <mc:AlternateContent>
                <mc:Choice Requires="wps">
                  <w:drawing>
                    <wp:anchor distT="0" distB="0" distL="114300" distR="114300" simplePos="0" relativeHeight="251666432" behindDoc="0" locked="0" layoutInCell="1" allowOverlap="1">
                      <wp:simplePos x="0" y="0"/>
                      <wp:positionH relativeFrom="column">
                        <wp:posOffset>-3126740</wp:posOffset>
                      </wp:positionH>
                      <wp:positionV relativeFrom="paragraph">
                        <wp:posOffset>239395</wp:posOffset>
                      </wp:positionV>
                      <wp:extent cx="635" cy="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635" cy="0"/>
                              </a:xfrm>
                              <a:prstGeom prst="rect">
                                <a:avLst/>
                              </a:prstGeom>
                              <a:noFill/>
                              <a:ln>
                                <a:noFill/>
                              </a:ln>
                              <a:effectLst/>
                            </wps:spPr>
                            <wps:txbx>
                              <w:txbxContent>
                                <w:p w14:paraId="3B7682D3">
                                  <w:pPr>
                                    <w:ind w:left="0" w:leftChars="0" w:firstLine="0" w:firstLineChars="0"/>
                                    <w:rPr>
                                      <w:rFonts w:hint="eastAsia" w:ascii="Times New Roman" w:hAnsi="Times New Roman" w:eastAsia="宋体" w:cs="Times New Roman"/>
                                      <w:b/>
                                      <w:bCs/>
                                      <w:color w:val="00FAFA"/>
                                      <w:highlight w:val="none"/>
                                      <w:lang w:eastAsia="zh-CN"/>
                                    </w:rPr>
                                  </w:pPr>
                                  <w:r>
                                    <w:rPr>
                                      <w:rFonts w:hint="eastAsia" w:ascii="Times New Roman" w:hAnsi="Times New Roman" w:eastAsia="宋体" w:cs="Times New Roman"/>
                                      <w:b/>
                                      <w:bCs/>
                                      <w:color w:val="00FAFA"/>
                                      <w:highlight w:val="none"/>
                                      <w:lang w:eastAsia="zh-CN"/>
                                    </w:rPr>
                                    <w:t>大</w:t>
                                  </w:r>
                                </w:p>
                              </w:txbxContent>
                            </wps:txbx>
                            <wps:bodyPr vert="horz" wrap="square" anchor="t" anchorCtr="0" upright="1"/>
                          </wps:wsp>
                        </a:graphicData>
                      </a:graphic>
                    </wp:anchor>
                  </w:drawing>
                </mc:Choice>
                <mc:Fallback>
                  <w:pict>
                    <v:shape id="_x0000_s1026" o:spid="_x0000_s1026" o:spt="202" type="#_x0000_t202" style="position:absolute;left:0pt;margin-left:-246.2pt;margin-top:18.85pt;height:0pt;width:0.05pt;z-index:251666432;mso-width-relative:page;mso-height-relative:page;" filled="f" stroked="f" coordsize="21600,21600" o:gfxdata="UEsDBAoAAAAAAIdO4kAAAAAAAAAAAAAAAAAEAAAAZHJzL1BLAwQUAAAACACHTuJAafWBF9YAAAAL&#10;AQAADwAAAGRycy9kb3ducmV2LnhtbE2PwW7CMAyG75P2DpEn7QYJ0A0oTTls2nXTGCBxM41pqzVO&#10;1QTavf2CdmBH//70+3O2HmwjLtT52rGGyViBIC6cqbnUsP16Gy1A+IBssHFMGn7Iwzq/v8swNa7n&#10;T7psQiliCfsUNVQhtKmUvqjIoh+7ljjuTq6zGOLYldJ02Mdy28ipUs/SYs3xQoUtvVRUfG/OVsPu&#10;/XTYJ+qjfLVPbe8GJdkupdaPDxO1AhFoCDcYrvpRHfLodHRnNl40GkbJcppEVsNsPgcRiWsyA3H8&#10;S2Seyf8/5L9QSwMEFAAAAAgAh07iQP3W6GzIAQAAiAMAAA4AAABkcnMvZTJvRG9jLnhtbK1TS44T&#10;MRDdI3EHy3vSmSAG1EpnJIiGDQKkgQM47uq0pbbLVDnpDgeAG7Biw55z5RxT/UmYz2YWbLrLz+Xn&#10;eq/Ky6vON2oPxA5DoS9mc60gWCxd2Bb665frF2+04mRCaRoMUOgDsL5aPX+2bGMOC6yxKYGUkATO&#10;21joOqWYZxnbGrzhGUYIslkheZNkSdusJNMKu2+yxXx+mbVIZSS0wCzoetzUEyM9hRCryllYo915&#10;CGlkJWhMEklcu8h6NVRbVWDTp6piSKoptChNw1cukXjTf7PV0uRbMrF2dirBPKWEB5q8cUEuPVOt&#10;TTJqR+4RlXeWkLFKM4s+G4UMjoiKi/kDb25qE2HQIlZzPJvO/4/Wftx/JuXKQr9eaBWMl44ff/08&#10;/v57/PNDCSYGtZFzybuJkpm6t9jJ2JxwFrDX3VXk+78oUrIv9h7O9kKXlBXw8uUrrewJz/4disTp&#10;PaBXfVBokq4NZpr9B05SgKSeUvo7Al67phk614R7gCSOCAytn0739Y919lHqNt0kaoPlQTTJY5Bb&#10;a6TvWrUyCoXmbztDoJUJVuBCp1P4Lo2zs4vktrWcGozIel5p0FDpNEz9BNxdS3z3Aa1u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Gn1gRfWAAAACwEAAA8AAAAAAAAAAQAgAAAAIgAAAGRycy9kb3du&#10;cmV2LnhtbFBLAQIUABQAAAAIAIdO4kD91uhsyAEAAIgDAAAOAAAAAAAAAAEAIAAAACUBAABkcnMv&#10;ZTJvRG9jLnhtbFBLBQYAAAAABgAGAFkBAABfBQAAAAA=&#10;">
                      <v:fill on="f" focussize="0,0"/>
                      <v:stroke on="f"/>
                      <v:imagedata o:title=""/>
                      <o:lock v:ext="edit" aspectratio="f"/>
                      <v:textbox>
                        <w:txbxContent>
                          <w:p w14:paraId="3B7682D3">
                            <w:pPr>
                              <w:ind w:left="0" w:leftChars="0" w:firstLine="0" w:firstLineChars="0"/>
                              <w:rPr>
                                <w:rFonts w:hint="eastAsia" w:ascii="Times New Roman" w:hAnsi="Times New Roman" w:eastAsia="宋体" w:cs="Times New Roman"/>
                                <w:b/>
                                <w:bCs/>
                                <w:color w:val="00FAFA"/>
                                <w:highlight w:val="none"/>
                                <w:lang w:eastAsia="zh-CN"/>
                              </w:rPr>
                            </w:pPr>
                            <w:r>
                              <w:rPr>
                                <w:rFonts w:hint="eastAsia" w:ascii="Times New Roman" w:hAnsi="Times New Roman" w:eastAsia="宋体" w:cs="Times New Roman"/>
                                <w:b/>
                                <w:bCs/>
                                <w:color w:val="00FAFA"/>
                                <w:highlight w:val="none"/>
                                <w:lang w:eastAsia="zh-CN"/>
                              </w:rPr>
                              <w:t>大</w:t>
                            </w:r>
                          </w:p>
                        </w:txbxContent>
                      </v:textbox>
                    </v:shape>
                  </w:pict>
                </mc:Fallback>
              </mc:AlternateContent>
            </w:r>
            <w:r>
              <w:rPr>
                <w:rFonts w:hint="default" w:ascii="Times New Roman" w:hAnsi="Times New Roman" w:eastAsia="宋体" w:cs="Times New Roman"/>
                <w:b/>
                <w:color w:val="auto"/>
                <w:kern w:val="0"/>
                <w:sz w:val="24"/>
                <w:szCs w:val="20"/>
                <w:lang w:val="en-US" w:eastAsia="zh-CN" w:bidi="ar-SA"/>
              </w:rPr>
              <mc:AlternateContent>
                <mc:Choice Requires="wps">
                  <w:drawing>
                    <wp:anchor distT="0" distB="0" distL="114300" distR="114300" simplePos="0" relativeHeight="251665408" behindDoc="0" locked="0" layoutInCell="1" allowOverlap="1">
                      <wp:simplePos x="0" y="0"/>
                      <wp:positionH relativeFrom="column">
                        <wp:posOffset>-3126740</wp:posOffset>
                      </wp:positionH>
                      <wp:positionV relativeFrom="paragraph">
                        <wp:posOffset>239395</wp:posOffset>
                      </wp:positionV>
                      <wp:extent cx="635" cy="0"/>
                      <wp:effectExtent l="0" t="0" r="0" b="635"/>
                      <wp:wrapNone/>
                      <wp:docPr id="73" name="文本框 73"/>
                      <wp:cNvGraphicFramePr/>
                      <a:graphic xmlns:a="http://schemas.openxmlformats.org/drawingml/2006/main">
                        <a:graphicData uri="http://schemas.microsoft.com/office/word/2010/wordprocessingShape">
                          <wps:wsp>
                            <wps:cNvSpPr txBox="1"/>
                            <wps:spPr>
                              <a:xfrm rot="1740000">
                                <a:off x="0" y="0"/>
                                <a:ext cx="635" cy="0"/>
                              </a:xfrm>
                              <a:prstGeom prst="rect">
                                <a:avLst/>
                              </a:prstGeom>
                              <a:noFill/>
                              <a:ln>
                                <a:noFill/>
                              </a:ln>
                              <a:effectLst/>
                            </wps:spPr>
                            <wps:txbx>
                              <w:txbxContent>
                                <w:p w14:paraId="0DA73407">
                                  <w:pPr>
                                    <w:ind w:left="0" w:leftChars="0" w:firstLine="0" w:firstLineChars="0"/>
                                    <w:rPr>
                                      <w:rFonts w:hint="eastAsia" w:ascii="Times New Roman" w:hAnsi="Times New Roman" w:eastAsia="宋体" w:cs="Times New Roman"/>
                                      <w:b/>
                                      <w:bCs/>
                                      <w:color w:val="FFFFFF"/>
                                      <w:highlight w:val="none"/>
                                      <w:lang w:eastAsia="zh-CN"/>
                                    </w:rPr>
                                  </w:pPr>
                                  <w:r>
                                    <w:rPr>
                                      <w:rFonts w:hint="eastAsia" w:ascii="Times New Roman" w:hAnsi="Times New Roman" w:eastAsia="宋体" w:cs="Times New Roman"/>
                                      <w:b/>
                                      <w:bCs/>
                                      <w:color w:val="FFFFFF"/>
                                      <w:highlight w:val="none"/>
                                      <w:lang w:eastAsia="zh-CN"/>
                                    </w:rPr>
                                    <w:t>洪</w:t>
                                  </w:r>
                                  <w:r>
                                    <w:rPr>
                                      <w:rFonts w:hint="eastAsia" w:ascii="Times New Roman" w:hAnsi="Times New Roman" w:eastAsia="宋体" w:cs="Times New Roman"/>
                                      <w:b/>
                                      <w:bCs/>
                                      <w:color w:val="FFFFFF"/>
                                      <w:highlight w:val="none"/>
                                      <w:lang w:val="en-US" w:eastAsia="zh-CN"/>
                                    </w:rPr>
                                    <w:t xml:space="preserve"> </w:t>
                                  </w:r>
                                  <w:r>
                                    <w:rPr>
                                      <w:rFonts w:hint="eastAsia" w:ascii="Times New Roman" w:hAnsi="Times New Roman" w:eastAsia="宋体" w:cs="Times New Roman"/>
                                      <w:b/>
                                      <w:bCs/>
                                      <w:color w:val="FFFFFF"/>
                                      <w:highlight w:val="none"/>
                                      <w:lang w:eastAsia="zh-CN"/>
                                    </w:rPr>
                                    <w:t>宽</w:t>
                                  </w:r>
                                  <w:r>
                                    <w:rPr>
                                      <w:rFonts w:hint="eastAsia" w:ascii="Times New Roman" w:hAnsi="Times New Roman" w:eastAsia="宋体" w:cs="Times New Roman"/>
                                      <w:b/>
                                      <w:bCs/>
                                      <w:color w:val="FFFFFF"/>
                                      <w:highlight w:val="none"/>
                                      <w:lang w:val="en-US" w:eastAsia="zh-CN"/>
                                    </w:rPr>
                                    <w:t xml:space="preserve"> </w:t>
                                  </w:r>
                                  <w:r>
                                    <w:rPr>
                                      <w:rFonts w:hint="eastAsia" w:ascii="Times New Roman" w:hAnsi="Times New Roman" w:eastAsia="宋体" w:cs="Times New Roman"/>
                                      <w:b/>
                                      <w:bCs/>
                                      <w:color w:val="FFFFFF"/>
                                      <w:highlight w:val="none"/>
                                      <w:lang w:eastAsia="zh-CN"/>
                                    </w:rPr>
                                    <w:t>三</w:t>
                                  </w:r>
                                  <w:r>
                                    <w:rPr>
                                      <w:rFonts w:hint="eastAsia" w:ascii="Times New Roman" w:hAnsi="Times New Roman" w:eastAsia="宋体" w:cs="Times New Roman"/>
                                      <w:b/>
                                      <w:bCs/>
                                      <w:color w:val="FFFFFF"/>
                                      <w:highlight w:val="none"/>
                                      <w:lang w:val="en-US" w:eastAsia="zh-CN"/>
                                    </w:rPr>
                                    <w:t xml:space="preserve"> </w:t>
                                  </w:r>
                                  <w:r>
                                    <w:rPr>
                                      <w:rFonts w:hint="eastAsia" w:ascii="Times New Roman" w:hAnsi="Times New Roman" w:eastAsia="宋体" w:cs="Times New Roman"/>
                                      <w:b/>
                                      <w:bCs/>
                                      <w:color w:val="FFFFFF"/>
                                      <w:highlight w:val="none"/>
                                      <w:lang w:eastAsia="zh-CN"/>
                                    </w:rPr>
                                    <w:t>路</w:t>
                                  </w:r>
                                </w:p>
                              </w:txbxContent>
                            </wps:txbx>
                            <wps:bodyPr vert="horz" wrap="square" anchor="t" anchorCtr="0" upright="0"/>
                          </wps:wsp>
                        </a:graphicData>
                      </a:graphic>
                    </wp:anchor>
                  </w:drawing>
                </mc:Choice>
                <mc:Fallback>
                  <w:pict>
                    <v:shape id="_x0000_s1026" o:spid="_x0000_s1026" o:spt="202" type="#_x0000_t202" style="position:absolute;left:0pt;margin-left:-246.2pt;margin-top:18.85pt;height:0pt;width:0.05pt;rotation:1900544f;z-index:251665408;mso-width-relative:page;mso-height-relative:page;" filled="f" stroked="f" coordsize="21600,21600" o:gfxdata="UEsDBAoAAAAAAIdO4kAAAAAAAAAAAAAAAAAEAAAAZHJzL1BLAwQUAAAACACHTuJANigqktoAAAAL&#10;AQAADwAAAGRycy9kb3ducmV2LnhtbE2PTW/CMAyG75P2HyJP2mWCFKgodE05ILEddhkMCe1mGq+p&#10;1jhdE77+/YI4bEe/fvT6cbE421YcqfeNYwWjYQKCuHK64VrB9mM1mIHwAVlj65gUXMjDory/KzDX&#10;7sRrOm5CLWIJ+xwVmBC6XEpfGbLoh64jjrsv11sMcexrqXs8xXLbynGSTKXFhuMFgx0tDVXfm4NV&#10;kH2m2xcMr5fV23I3fefdunr6MUo9PoySZxCBzuEPhqt+VIcyOu3dgbUXrYJBOh+nkVUwyTIQkbgm&#10;ExD7WyLLQv7/ofwFUEsDBBQAAAAIAIdO4kB7VQCj0wEAAJYDAAAOAAAAZHJzL2Uyb0RvYy54bWyt&#10;U0Fu2zAQvBfIHwjeY8lJmhSC5QCtkV6KtkDaB9AUZREQucwubcl9QPuDnnrpve/yO7KiZCNNLzlU&#10;B2I5XA53ZleL2961YmeQLPhSzme5FMZrqKzflPLrl7vzN1JQVL5SLXhTyr0hebs8e7XoQmEuoIG2&#10;MiiYxFPRhVI2MYYiy0g3ximaQTCeD2tApyJvcZNVqDpmd212kefXWQdYBQRtiBhdjYdyYsSXEEJd&#10;W21WoLfO+DiyomlVZEnU2EBymaqta6Pjp7omE0VbSlYa08qPcLwe1my5UMUGVWisnkpQLynhmSan&#10;rOdHT1QrFZXYov2HylmNQFDHmQaXjUKSI6xinj/z5r5RwSQtbDWFk+n0/2j1x91nFLYq5c2lFF45&#10;7vjh54/Drz+H398FY2xQF6jgvPvAmbF/Cz2PzREnBgfdfY1OILC/85urnL/kBusTnM1m709mmz4K&#10;zeD15Wsp9BHPRoqBKiDF9wacGIJSIvcwkandB4pcDqceU4Z0D3e2bVMfW/8XwIkjYtIgTLcHNWPV&#10;QxT7dT9JXEO1Z4X8a/CrDeA3KToejFLSw1ahkUJ5zXAp4zF8F8dJ2ga0m4ZvpXnKBl5uV6p0Gq1h&#10;Hp7uOX76Oy0f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DYoKpLaAAAACwEAAA8AAAAAAAAAAQAg&#10;AAAAIgAAAGRycy9kb3ducmV2LnhtbFBLAQIUABQAAAAIAIdO4kB7VQCj0wEAAJYDAAAOAAAAAAAA&#10;AAEAIAAAACkBAABkcnMvZTJvRG9jLnhtbFBLBQYAAAAABgAGAFkBAABuBQAAAAA=&#10;">
                      <v:fill on="f" focussize="0,0"/>
                      <v:stroke on="f"/>
                      <v:imagedata o:title=""/>
                      <o:lock v:ext="edit" aspectratio="f"/>
                      <v:textbox>
                        <w:txbxContent>
                          <w:p w14:paraId="0DA73407">
                            <w:pPr>
                              <w:ind w:left="0" w:leftChars="0" w:firstLine="0" w:firstLineChars="0"/>
                              <w:rPr>
                                <w:rFonts w:hint="eastAsia" w:ascii="Times New Roman" w:hAnsi="Times New Roman" w:eastAsia="宋体" w:cs="Times New Roman"/>
                                <w:b/>
                                <w:bCs/>
                                <w:color w:val="FFFFFF"/>
                                <w:highlight w:val="none"/>
                                <w:lang w:eastAsia="zh-CN"/>
                              </w:rPr>
                            </w:pPr>
                            <w:r>
                              <w:rPr>
                                <w:rFonts w:hint="eastAsia" w:ascii="Times New Roman" w:hAnsi="Times New Roman" w:eastAsia="宋体" w:cs="Times New Roman"/>
                                <w:b/>
                                <w:bCs/>
                                <w:color w:val="FFFFFF"/>
                                <w:highlight w:val="none"/>
                                <w:lang w:eastAsia="zh-CN"/>
                              </w:rPr>
                              <w:t>洪</w:t>
                            </w:r>
                            <w:r>
                              <w:rPr>
                                <w:rFonts w:hint="eastAsia" w:ascii="Times New Roman" w:hAnsi="Times New Roman" w:eastAsia="宋体" w:cs="Times New Roman"/>
                                <w:b/>
                                <w:bCs/>
                                <w:color w:val="FFFFFF"/>
                                <w:highlight w:val="none"/>
                                <w:lang w:val="en-US" w:eastAsia="zh-CN"/>
                              </w:rPr>
                              <w:t xml:space="preserve"> </w:t>
                            </w:r>
                            <w:r>
                              <w:rPr>
                                <w:rFonts w:hint="eastAsia" w:ascii="Times New Roman" w:hAnsi="Times New Roman" w:eastAsia="宋体" w:cs="Times New Roman"/>
                                <w:b/>
                                <w:bCs/>
                                <w:color w:val="FFFFFF"/>
                                <w:highlight w:val="none"/>
                                <w:lang w:eastAsia="zh-CN"/>
                              </w:rPr>
                              <w:t>宽</w:t>
                            </w:r>
                            <w:r>
                              <w:rPr>
                                <w:rFonts w:hint="eastAsia" w:ascii="Times New Roman" w:hAnsi="Times New Roman" w:eastAsia="宋体" w:cs="Times New Roman"/>
                                <w:b/>
                                <w:bCs/>
                                <w:color w:val="FFFFFF"/>
                                <w:highlight w:val="none"/>
                                <w:lang w:val="en-US" w:eastAsia="zh-CN"/>
                              </w:rPr>
                              <w:t xml:space="preserve"> </w:t>
                            </w:r>
                            <w:r>
                              <w:rPr>
                                <w:rFonts w:hint="eastAsia" w:ascii="Times New Roman" w:hAnsi="Times New Roman" w:eastAsia="宋体" w:cs="Times New Roman"/>
                                <w:b/>
                                <w:bCs/>
                                <w:color w:val="FFFFFF"/>
                                <w:highlight w:val="none"/>
                                <w:lang w:eastAsia="zh-CN"/>
                              </w:rPr>
                              <w:t>三</w:t>
                            </w:r>
                            <w:r>
                              <w:rPr>
                                <w:rFonts w:hint="eastAsia" w:ascii="Times New Roman" w:hAnsi="Times New Roman" w:eastAsia="宋体" w:cs="Times New Roman"/>
                                <w:b/>
                                <w:bCs/>
                                <w:color w:val="FFFFFF"/>
                                <w:highlight w:val="none"/>
                                <w:lang w:val="en-US" w:eastAsia="zh-CN"/>
                              </w:rPr>
                              <w:t xml:space="preserve"> </w:t>
                            </w:r>
                            <w:r>
                              <w:rPr>
                                <w:rFonts w:hint="eastAsia" w:ascii="Times New Roman" w:hAnsi="Times New Roman" w:eastAsia="宋体" w:cs="Times New Roman"/>
                                <w:b/>
                                <w:bCs/>
                                <w:color w:val="FFFFFF"/>
                                <w:highlight w:val="none"/>
                                <w:lang w:eastAsia="zh-CN"/>
                              </w:rPr>
                              <w:t>路</w:t>
                            </w:r>
                          </w:p>
                        </w:txbxContent>
                      </v:textbox>
                    </v:shape>
                  </w:pict>
                </mc:Fallback>
              </mc:AlternateContent>
            </w:r>
            <w:r>
              <w:rPr>
                <w:rFonts w:hint="default" w:ascii="Times New Roman" w:hAnsi="Times New Roman" w:eastAsia="宋体" w:cs="Times New Roman"/>
                <w:b/>
                <w:color w:val="auto"/>
                <w:kern w:val="0"/>
                <w:sz w:val="24"/>
                <w:szCs w:val="20"/>
                <w:lang w:val="en-US" w:eastAsia="zh-CN" w:bidi="ar-SA"/>
              </w:rPr>
              <w:t>图</w:t>
            </w:r>
            <w:r>
              <w:rPr>
                <w:rFonts w:hint="eastAsia" w:ascii="Times New Roman" w:hAnsi="Times New Roman" w:eastAsia="宋体" w:cs="Times New Roman"/>
                <w:b/>
                <w:color w:val="auto"/>
                <w:kern w:val="0"/>
                <w:sz w:val="24"/>
                <w:szCs w:val="20"/>
                <w:lang w:val="en-US" w:eastAsia="zh-CN" w:bidi="ar-SA"/>
              </w:rPr>
              <w:t>4.3</w:t>
            </w:r>
            <w:r>
              <w:rPr>
                <w:rFonts w:hint="default" w:ascii="Times New Roman" w:hAnsi="Times New Roman" w:eastAsia="宋体" w:cs="Times New Roman"/>
                <w:b/>
                <w:color w:val="auto"/>
                <w:kern w:val="0"/>
                <w:sz w:val="24"/>
                <w:szCs w:val="20"/>
                <w:lang w:val="en-US" w:eastAsia="zh-CN" w:bidi="ar-SA"/>
              </w:rPr>
              <w:t>-3无限长声屏障示意图</w:t>
            </w:r>
          </w:p>
          <w:p w14:paraId="42504386">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◆参数的选择：参数选取项目所在区域的年平均温度为25℃，湿度为70%。计算过程考虑了建筑物的屏障作用和室内源向室外的传播。</w:t>
            </w:r>
          </w:p>
          <w:p w14:paraId="333E1E9D">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b/>
                <w:bCs/>
                <w:color w:val="auto"/>
                <w:sz w:val="28"/>
                <w:szCs w:val="28"/>
                <w:lang w:val="en-US" w:eastAsia="zh-CN"/>
              </w:rPr>
            </w:pPr>
            <w:r>
              <w:rPr>
                <w:rFonts w:hint="eastAsia" w:ascii="Times New Roman" w:hAnsi="Times New Roman" w:eastAsia="宋体"/>
                <w:b/>
                <w:bCs/>
                <w:color w:val="auto"/>
                <w:sz w:val="28"/>
                <w:szCs w:val="28"/>
                <w:lang w:val="en-US" w:eastAsia="zh-CN"/>
              </w:rPr>
              <w:t>4.3.3声环境预测结果分析</w:t>
            </w:r>
          </w:p>
          <w:p w14:paraId="5854E315">
            <w:pPr>
              <w:pStyle w:val="232"/>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color w:val="auto"/>
                <w:lang w:val="en-US" w:eastAsia="zh-CN"/>
              </w:rPr>
            </w:pPr>
            <w:r>
              <w:rPr>
                <w:rFonts w:hint="eastAsia" w:ascii="Times New Roman" w:hAnsi="Times New Roman"/>
                <w:color w:val="auto"/>
                <w:lang w:val="en-US" w:eastAsia="zh-CN"/>
              </w:rPr>
              <w:t>表4.3-4厂界噪声贡献值预测结果</w:t>
            </w:r>
          </w:p>
          <w:tbl>
            <w:tblPr>
              <w:tblStyle w:val="38"/>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68"/>
              <w:gridCol w:w="1341"/>
              <w:gridCol w:w="840"/>
              <w:gridCol w:w="1608"/>
              <w:gridCol w:w="1677"/>
              <w:gridCol w:w="2366"/>
            </w:tblGrid>
            <w:tr w14:paraId="58FA1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99" w:hRule="atLeast"/>
              </w:trPr>
              <w:tc>
                <w:tcPr>
                  <w:tcW w:w="338" w:type="pct"/>
                  <w:vMerge w:val="restart"/>
                  <w:tcBorders>
                    <w:tl2br w:val="nil"/>
                    <w:tr2bl w:val="nil"/>
                  </w:tcBorders>
                  <w:noWrap w:val="0"/>
                  <w:tcMar>
                    <w:left w:w="28" w:type="dxa"/>
                    <w:right w:w="28" w:type="dxa"/>
                  </w:tcMar>
                  <w:vAlign w:val="center"/>
                </w:tcPr>
                <w:p w14:paraId="50A81B3F">
                  <w:pPr>
                    <w:widowControl w:val="0"/>
                    <w:bidi w:val="0"/>
                    <w:adjustRightInd w:val="0"/>
                    <w:snapToGrid w:val="0"/>
                    <w:spacing w:before="10" w:beforeLines="10" w:after="10" w:afterLines="10" w:line="240" w:lineRule="auto"/>
                    <w:jc w:val="center"/>
                    <w:rPr>
                      <w:rFonts w:ascii="Times New Roman" w:hAnsi="Times New Roman" w:eastAsia="宋体" w:cs="Times New Roman"/>
                      <w:b/>
                      <w:bCs/>
                      <w:color w:val="auto"/>
                      <w:kern w:val="0"/>
                      <w:sz w:val="21"/>
                      <w:szCs w:val="21"/>
                      <w:lang w:val="en-US" w:eastAsia="zh-CN" w:bidi="ar-SA"/>
                    </w:rPr>
                  </w:pPr>
                  <w:r>
                    <w:rPr>
                      <w:rFonts w:ascii="Times New Roman" w:hAnsi="Times New Roman" w:eastAsia="宋体" w:cs="Times New Roman"/>
                      <w:b/>
                      <w:bCs/>
                      <w:color w:val="auto"/>
                      <w:kern w:val="0"/>
                      <w:sz w:val="21"/>
                      <w:szCs w:val="21"/>
                      <w:lang w:val="en-US" w:eastAsia="zh-CN" w:bidi="ar-SA"/>
                    </w:rPr>
                    <w:t>序号</w:t>
                  </w:r>
                </w:p>
              </w:tc>
              <w:tc>
                <w:tcPr>
                  <w:tcW w:w="798" w:type="pct"/>
                  <w:vMerge w:val="restart"/>
                  <w:tcBorders>
                    <w:tl2br w:val="nil"/>
                    <w:tr2bl w:val="nil"/>
                  </w:tcBorders>
                  <w:noWrap w:val="0"/>
                  <w:vAlign w:val="center"/>
                </w:tcPr>
                <w:p w14:paraId="00799A4F">
                  <w:pPr>
                    <w:widowControl w:val="0"/>
                    <w:bidi w:val="0"/>
                    <w:adjustRightInd w:val="0"/>
                    <w:snapToGrid w:val="0"/>
                    <w:spacing w:before="10" w:beforeLines="10" w:after="10" w:afterLines="10" w:line="240" w:lineRule="auto"/>
                    <w:jc w:val="center"/>
                    <w:rPr>
                      <w:rFonts w:ascii="Times New Roman" w:hAnsi="Times New Roman" w:eastAsia="宋体" w:cs="Times New Roman"/>
                      <w:b/>
                      <w:bCs/>
                      <w:color w:val="auto"/>
                      <w:kern w:val="0"/>
                      <w:sz w:val="21"/>
                      <w:szCs w:val="21"/>
                      <w:lang w:val="en-US" w:eastAsia="zh-CN" w:bidi="ar-SA"/>
                    </w:rPr>
                  </w:pPr>
                  <w:r>
                    <w:rPr>
                      <w:rFonts w:ascii="Times New Roman" w:hAnsi="Times New Roman" w:eastAsia="宋体" w:cs="Times New Roman"/>
                      <w:b/>
                      <w:bCs/>
                      <w:color w:val="auto"/>
                      <w:kern w:val="0"/>
                      <w:sz w:val="21"/>
                      <w:szCs w:val="21"/>
                      <w:lang w:val="en-US" w:eastAsia="zh-CN" w:bidi="ar-SA"/>
                    </w:rPr>
                    <w:t>监测点</w:t>
                  </w:r>
                </w:p>
              </w:tc>
              <w:tc>
                <w:tcPr>
                  <w:tcW w:w="500" w:type="pct"/>
                  <w:vMerge w:val="restart"/>
                  <w:tcBorders>
                    <w:tl2br w:val="nil"/>
                    <w:tr2bl w:val="nil"/>
                  </w:tcBorders>
                  <w:noWrap w:val="0"/>
                  <w:vAlign w:val="center"/>
                </w:tcPr>
                <w:p w14:paraId="3E178121">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b/>
                      <w:bCs/>
                      <w:color w:val="auto"/>
                      <w:kern w:val="0"/>
                      <w:sz w:val="21"/>
                      <w:szCs w:val="21"/>
                      <w:lang w:val="en-US" w:eastAsia="zh-CN" w:bidi="ar-SA"/>
                    </w:rPr>
                  </w:pPr>
                  <w:r>
                    <w:rPr>
                      <w:rFonts w:hint="eastAsia" w:ascii="Times New Roman" w:hAnsi="Times New Roman" w:eastAsia="宋体" w:cs="Times New Roman"/>
                      <w:b/>
                      <w:bCs/>
                      <w:color w:val="auto"/>
                      <w:kern w:val="0"/>
                      <w:sz w:val="21"/>
                      <w:szCs w:val="21"/>
                      <w:lang w:val="en-US" w:eastAsia="zh-CN" w:bidi="ar-SA"/>
                    </w:rPr>
                    <w:t>厂界</w:t>
                  </w:r>
                </w:p>
                <w:p w14:paraId="65A64AD2">
                  <w:pPr>
                    <w:widowControl w:val="0"/>
                    <w:bidi w:val="0"/>
                    <w:adjustRightInd w:val="0"/>
                    <w:snapToGrid w:val="0"/>
                    <w:spacing w:before="10" w:beforeLines="10" w:after="10" w:afterLines="10" w:line="240" w:lineRule="auto"/>
                    <w:jc w:val="center"/>
                    <w:rPr>
                      <w:rFonts w:ascii="Times New Roman" w:hAnsi="Times New Roman" w:eastAsia="宋体" w:cs="Times New Roman"/>
                      <w:b/>
                      <w:bCs/>
                      <w:color w:val="auto"/>
                      <w:kern w:val="0"/>
                      <w:sz w:val="21"/>
                      <w:szCs w:val="21"/>
                      <w:lang w:val="en-US" w:eastAsia="zh-CN" w:bidi="ar-SA"/>
                    </w:rPr>
                  </w:pPr>
                  <w:r>
                    <w:rPr>
                      <w:rFonts w:hint="eastAsia" w:ascii="Times New Roman" w:hAnsi="Times New Roman" w:eastAsia="宋体" w:cs="Times New Roman"/>
                      <w:b/>
                      <w:bCs/>
                      <w:color w:val="auto"/>
                      <w:kern w:val="0"/>
                      <w:sz w:val="21"/>
                      <w:szCs w:val="21"/>
                      <w:lang w:val="en-US" w:eastAsia="zh-CN" w:bidi="ar-SA"/>
                    </w:rPr>
                    <w:t>距离</w:t>
                  </w:r>
                </w:p>
              </w:tc>
              <w:tc>
                <w:tcPr>
                  <w:tcW w:w="957" w:type="pct"/>
                  <w:tcBorders>
                    <w:tl2br w:val="nil"/>
                    <w:tr2bl w:val="nil"/>
                  </w:tcBorders>
                  <w:noWrap w:val="0"/>
                  <w:vAlign w:val="center"/>
                </w:tcPr>
                <w:p w14:paraId="02535053">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b/>
                      <w:bCs/>
                      <w:color w:val="auto"/>
                      <w:kern w:val="0"/>
                      <w:sz w:val="21"/>
                      <w:szCs w:val="21"/>
                      <w:lang w:val="en-US" w:eastAsia="zh-CN" w:bidi="ar-SA"/>
                    </w:rPr>
                  </w:pPr>
                  <w:r>
                    <w:rPr>
                      <w:rFonts w:ascii="Times New Roman" w:hAnsi="Times New Roman" w:eastAsia="宋体" w:cs="Times New Roman"/>
                      <w:b/>
                      <w:bCs/>
                      <w:color w:val="auto"/>
                      <w:kern w:val="0"/>
                      <w:sz w:val="21"/>
                      <w:szCs w:val="21"/>
                      <w:lang w:val="en-US" w:eastAsia="zh-CN" w:bidi="ar-SA"/>
                    </w:rPr>
                    <w:t>标准限值</w:t>
                  </w:r>
                </w:p>
                <w:p w14:paraId="70687B21">
                  <w:pPr>
                    <w:widowControl w:val="0"/>
                    <w:bidi w:val="0"/>
                    <w:adjustRightInd w:val="0"/>
                    <w:snapToGrid w:val="0"/>
                    <w:spacing w:before="10" w:beforeLines="10" w:after="10" w:afterLines="10" w:line="240" w:lineRule="auto"/>
                    <w:jc w:val="center"/>
                    <w:rPr>
                      <w:rFonts w:ascii="Times New Roman" w:hAnsi="Times New Roman" w:eastAsia="宋体" w:cs="Times New Roman"/>
                      <w:b/>
                      <w:bCs/>
                      <w:color w:val="auto"/>
                      <w:kern w:val="0"/>
                      <w:sz w:val="21"/>
                      <w:szCs w:val="21"/>
                      <w:lang w:val="en-US" w:eastAsia="zh-CN" w:bidi="ar-SA"/>
                    </w:rPr>
                  </w:pPr>
                  <w:r>
                    <w:rPr>
                      <w:rFonts w:hint="eastAsia" w:ascii="Times New Roman" w:hAnsi="Times New Roman" w:eastAsia="宋体" w:cs="Times New Roman"/>
                      <w:b/>
                      <w:bCs/>
                      <w:color w:val="auto"/>
                      <w:kern w:val="0"/>
                      <w:sz w:val="21"/>
                      <w:szCs w:val="21"/>
                      <w:lang w:val="en-US" w:eastAsia="zh-CN" w:bidi="ar-SA"/>
                    </w:rPr>
                    <w:t>dB（A）</w:t>
                  </w:r>
                </w:p>
              </w:tc>
              <w:tc>
                <w:tcPr>
                  <w:tcW w:w="998" w:type="pct"/>
                  <w:tcBorders>
                    <w:tl2br w:val="nil"/>
                    <w:tr2bl w:val="nil"/>
                  </w:tcBorders>
                  <w:noWrap w:val="0"/>
                  <w:vAlign w:val="center"/>
                </w:tcPr>
                <w:p w14:paraId="77170E30">
                  <w:pPr>
                    <w:widowControl w:val="0"/>
                    <w:bidi w:val="0"/>
                    <w:adjustRightInd w:val="0"/>
                    <w:snapToGrid w:val="0"/>
                    <w:spacing w:before="10" w:beforeLines="10" w:after="10" w:afterLines="10" w:line="240" w:lineRule="auto"/>
                    <w:jc w:val="center"/>
                    <w:rPr>
                      <w:rFonts w:ascii="Times New Roman" w:hAnsi="Times New Roman" w:eastAsia="宋体" w:cs="Times New Roman"/>
                      <w:b/>
                      <w:bCs/>
                      <w:color w:val="auto"/>
                      <w:kern w:val="0"/>
                      <w:sz w:val="21"/>
                      <w:szCs w:val="21"/>
                      <w:lang w:val="en-US" w:eastAsia="zh-CN" w:bidi="ar-SA"/>
                    </w:rPr>
                  </w:pPr>
                  <w:r>
                    <w:rPr>
                      <w:rFonts w:ascii="Times New Roman" w:hAnsi="Times New Roman" w:eastAsia="宋体" w:cs="Times New Roman"/>
                      <w:b/>
                      <w:bCs/>
                      <w:color w:val="auto"/>
                      <w:kern w:val="0"/>
                      <w:sz w:val="21"/>
                      <w:szCs w:val="21"/>
                      <w:lang w:val="en-US" w:eastAsia="zh-CN" w:bidi="ar-SA"/>
                    </w:rPr>
                    <w:t>贡献值</w:t>
                  </w:r>
                  <w:r>
                    <w:rPr>
                      <w:rFonts w:hint="eastAsia" w:ascii="Times New Roman" w:hAnsi="Times New Roman" w:eastAsia="宋体" w:cs="Times New Roman"/>
                      <w:b/>
                      <w:bCs/>
                      <w:color w:val="auto"/>
                      <w:kern w:val="0"/>
                      <w:sz w:val="21"/>
                      <w:szCs w:val="21"/>
                      <w:lang w:val="en-US" w:eastAsia="zh-CN" w:bidi="ar-SA"/>
                    </w:rPr>
                    <w:t>dB（A）</w:t>
                  </w:r>
                </w:p>
              </w:tc>
              <w:tc>
                <w:tcPr>
                  <w:tcW w:w="1407" w:type="pct"/>
                  <w:tcBorders>
                    <w:tl2br w:val="nil"/>
                    <w:tr2bl w:val="nil"/>
                  </w:tcBorders>
                  <w:noWrap w:val="0"/>
                  <w:vAlign w:val="center"/>
                </w:tcPr>
                <w:p w14:paraId="2CD00445">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b/>
                      <w:bCs/>
                      <w:color w:val="auto"/>
                      <w:kern w:val="0"/>
                      <w:sz w:val="21"/>
                      <w:szCs w:val="21"/>
                      <w:lang w:val="en-US" w:eastAsia="zh-CN" w:bidi="ar-SA"/>
                    </w:rPr>
                  </w:pPr>
                  <w:r>
                    <w:rPr>
                      <w:rFonts w:ascii="Times New Roman" w:hAnsi="Times New Roman" w:eastAsia="宋体" w:cs="Times New Roman"/>
                      <w:b/>
                      <w:bCs/>
                      <w:color w:val="auto"/>
                      <w:kern w:val="0"/>
                      <w:sz w:val="21"/>
                      <w:szCs w:val="21"/>
                      <w:lang w:val="en-US" w:eastAsia="zh-CN" w:bidi="ar-SA"/>
                    </w:rPr>
                    <w:t>超标</w:t>
                  </w:r>
                  <w:r>
                    <w:rPr>
                      <w:rFonts w:hint="eastAsia" w:ascii="Times New Roman" w:hAnsi="Times New Roman" w:eastAsia="宋体" w:cs="Times New Roman"/>
                      <w:b/>
                      <w:bCs/>
                      <w:color w:val="auto"/>
                      <w:kern w:val="0"/>
                      <w:sz w:val="21"/>
                      <w:szCs w:val="21"/>
                      <w:lang w:val="en-US" w:eastAsia="zh-CN" w:bidi="ar-SA"/>
                    </w:rPr>
                    <w:t>/</w:t>
                  </w:r>
                  <w:r>
                    <w:rPr>
                      <w:rFonts w:ascii="Times New Roman" w:hAnsi="Times New Roman" w:eastAsia="宋体" w:cs="Times New Roman"/>
                      <w:b/>
                      <w:bCs/>
                      <w:color w:val="auto"/>
                      <w:kern w:val="0"/>
                      <w:sz w:val="21"/>
                      <w:szCs w:val="21"/>
                      <w:lang w:val="en-US" w:eastAsia="zh-CN" w:bidi="ar-SA"/>
                    </w:rPr>
                    <w:t>达标</w:t>
                  </w:r>
                </w:p>
                <w:p w14:paraId="12269131">
                  <w:pPr>
                    <w:widowControl w:val="0"/>
                    <w:bidi w:val="0"/>
                    <w:adjustRightInd w:val="0"/>
                    <w:snapToGrid w:val="0"/>
                    <w:spacing w:before="10" w:beforeLines="10" w:after="10" w:afterLines="10" w:line="240" w:lineRule="auto"/>
                    <w:jc w:val="center"/>
                    <w:rPr>
                      <w:rFonts w:ascii="Times New Roman" w:hAnsi="Times New Roman" w:eastAsia="宋体" w:cs="Times New Roman"/>
                      <w:b/>
                      <w:bCs/>
                      <w:color w:val="auto"/>
                      <w:kern w:val="0"/>
                      <w:sz w:val="21"/>
                      <w:szCs w:val="21"/>
                      <w:lang w:val="en-US" w:eastAsia="zh-CN" w:bidi="ar-SA"/>
                    </w:rPr>
                  </w:pPr>
                  <w:r>
                    <w:rPr>
                      <w:rFonts w:ascii="Times New Roman" w:hAnsi="Times New Roman" w:eastAsia="宋体" w:cs="Times New Roman"/>
                      <w:b/>
                      <w:bCs/>
                      <w:color w:val="auto"/>
                      <w:kern w:val="0"/>
                      <w:sz w:val="21"/>
                      <w:szCs w:val="21"/>
                      <w:lang w:val="en-US" w:eastAsia="zh-CN" w:bidi="ar-SA"/>
                    </w:rPr>
                    <w:t>情况</w:t>
                  </w:r>
                </w:p>
              </w:tc>
            </w:tr>
            <w:tr w14:paraId="6E7D1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3" w:hRule="atLeast"/>
              </w:trPr>
              <w:tc>
                <w:tcPr>
                  <w:tcW w:w="338" w:type="pct"/>
                  <w:vMerge w:val="continue"/>
                  <w:tcBorders>
                    <w:tl2br w:val="nil"/>
                    <w:tr2bl w:val="nil"/>
                  </w:tcBorders>
                  <w:noWrap w:val="0"/>
                  <w:tcMar>
                    <w:left w:w="28" w:type="dxa"/>
                    <w:right w:w="28" w:type="dxa"/>
                  </w:tcMar>
                  <w:vAlign w:val="center"/>
                </w:tcPr>
                <w:p w14:paraId="1791A3BA">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1"/>
                      <w:lang w:val="en-US" w:eastAsia="zh-CN" w:bidi="ar-SA"/>
                    </w:rPr>
                  </w:pPr>
                </w:p>
              </w:tc>
              <w:tc>
                <w:tcPr>
                  <w:tcW w:w="798" w:type="pct"/>
                  <w:vMerge w:val="continue"/>
                  <w:tcBorders>
                    <w:tl2br w:val="nil"/>
                    <w:tr2bl w:val="nil"/>
                  </w:tcBorders>
                  <w:noWrap w:val="0"/>
                  <w:vAlign w:val="center"/>
                </w:tcPr>
                <w:p w14:paraId="30E99DD4">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1"/>
                      <w:lang w:val="en-US" w:eastAsia="zh-CN" w:bidi="ar-SA"/>
                    </w:rPr>
                  </w:pPr>
                </w:p>
              </w:tc>
              <w:tc>
                <w:tcPr>
                  <w:tcW w:w="500" w:type="pct"/>
                  <w:vMerge w:val="continue"/>
                  <w:tcBorders>
                    <w:tl2br w:val="nil"/>
                    <w:tr2bl w:val="nil"/>
                  </w:tcBorders>
                  <w:noWrap w:val="0"/>
                  <w:vAlign w:val="center"/>
                </w:tcPr>
                <w:p w14:paraId="56CF5354">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1"/>
                      <w:lang w:val="en-US" w:eastAsia="zh-CN" w:bidi="ar-SA"/>
                    </w:rPr>
                  </w:pPr>
                </w:p>
              </w:tc>
              <w:tc>
                <w:tcPr>
                  <w:tcW w:w="957" w:type="pct"/>
                  <w:tcBorders>
                    <w:tl2br w:val="nil"/>
                    <w:tr2bl w:val="nil"/>
                  </w:tcBorders>
                  <w:noWrap w:val="0"/>
                  <w:vAlign w:val="center"/>
                </w:tcPr>
                <w:p w14:paraId="0440E210">
                  <w:pPr>
                    <w:widowControl w:val="0"/>
                    <w:bidi w:val="0"/>
                    <w:adjustRightInd w:val="0"/>
                    <w:snapToGrid w:val="0"/>
                    <w:spacing w:before="10" w:beforeLines="10" w:after="10" w:afterLines="10" w:line="240" w:lineRule="auto"/>
                    <w:jc w:val="center"/>
                    <w:rPr>
                      <w:rFonts w:ascii="Times New Roman" w:hAnsi="Times New Roman" w:eastAsia="宋体" w:cs="Times New Roman"/>
                      <w:b/>
                      <w:bCs/>
                      <w:color w:val="auto"/>
                      <w:kern w:val="0"/>
                      <w:sz w:val="21"/>
                      <w:szCs w:val="21"/>
                      <w:lang w:val="en-US" w:eastAsia="zh-CN" w:bidi="ar-SA"/>
                    </w:rPr>
                  </w:pPr>
                  <w:r>
                    <w:rPr>
                      <w:rFonts w:ascii="Times New Roman" w:hAnsi="Times New Roman" w:eastAsia="宋体" w:cs="Times New Roman"/>
                      <w:b/>
                      <w:bCs/>
                      <w:color w:val="auto"/>
                      <w:kern w:val="0"/>
                      <w:sz w:val="21"/>
                      <w:szCs w:val="21"/>
                      <w:lang w:val="en-US" w:eastAsia="zh-CN" w:bidi="ar-SA"/>
                    </w:rPr>
                    <w:t>昼间</w:t>
                  </w:r>
                </w:p>
              </w:tc>
              <w:tc>
                <w:tcPr>
                  <w:tcW w:w="998" w:type="pct"/>
                  <w:tcBorders>
                    <w:tl2br w:val="nil"/>
                    <w:tr2bl w:val="nil"/>
                  </w:tcBorders>
                  <w:noWrap w:val="0"/>
                  <w:vAlign w:val="center"/>
                </w:tcPr>
                <w:p w14:paraId="4E4D09AC">
                  <w:pPr>
                    <w:widowControl w:val="0"/>
                    <w:bidi w:val="0"/>
                    <w:adjustRightInd w:val="0"/>
                    <w:snapToGrid w:val="0"/>
                    <w:spacing w:before="10" w:beforeLines="10" w:after="10" w:afterLines="10" w:line="240" w:lineRule="auto"/>
                    <w:jc w:val="center"/>
                    <w:rPr>
                      <w:rFonts w:ascii="Times New Roman" w:hAnsi="Times New Roman" w:eastAsia="宋体" w:cs="Times New Roman"/>
                      <w:b/>
                      <w:bCs/>
                      <w:color w:val="auto"/>
                      <w:kern w:val="0"/>
                      <w:sz w:val="21"/>
                      <w:szCs w:val="21"/>
                      <w:lang w:val="en-US" w:eastAsia="zh-CN" w:bidi="ar-SA"/>
                    </w:rPr>
                  </w:pPr>
                  <w:r>
                    <w:rPr>
                      <w:rFonts w:ascii="Times New Roman" w:hAnsi="Times New Roman" w:eastAsia="宋体" w:cs="Times New Roman"/>
                      <w:b/>
                      <w:bCs/>
                      <w:color w:val="auto"/>
                      <w:kern w:val="0"/>
                      <w:sz w:val="21"/>
                      <w:szCs w:val="21"/>
                      <w:lang w:val="en-US" w:eastAsia="zh-CN" w:bidi="ar-SA"/>
                    </w:rPr>
                    <w:t>昼间</w:t>
                  </w:r>
                </w:p>
              </w:tc>
              <w:tc>
                <w:tcPr>
                  <w:tcW w:w="1407" w:type="pct"/>
                  <w:tcBorders>
                    <w:tl2br w:val="nil"/>
                    <w:tr2bl w:val="nil"/>
                  </w:tcBorders>
                  <w:noWrap w:val="0"/>
                  <w:vAlign w:val="center"/>
                </w:tcPr>
                <w:p w14:paraId="4915D7AA">
                  <w:pPr>
                    <w:widowControl w:val="0"/>
                    <w:bidi w:val="0"/>
                    <w:adjustRightInd w:val="0"/>
                    <w:snapToGrid w:val="0"/>
                    <w:spacing w:before="10" w:beforeLines="10" w:after="10" w:afterLines="10" w:line="240" w:lineRule="auto"/>
                    <w:jc w:val="center"/>
                    <w:rPr>
                      <w:rFonts w:hint="default" w:ascii="Times New Roman" w:hAnsi="Times New Roman" w:eastAsia="宋体" w:cs="Times New Roman"/>
                      <w:b/>
                      <w:bCs/>
                      <w:color w:val="auto"/>
                      <w:kern w:val="0"/>
                      <w:sz w:val="21"/>
                      <w:szCs w:val="21"/>
                      <w:lang w:val="en-US" w:eastAsia="zh-CN" w:bidi="ar-SA"/>
                    </w:rPr>
                  </w:pPr>
                  <w:r>
                    <w:rPr>
                      <w:rFonts w:ascii="Times New Roman" w:hAnsi="Times New Roman" w:eastAsia="宋体" w:cs="Times New Roman"/>
                      <w:b/>
                      <w:bCs/>
                      <w:color w:val="auto"/>
                      <w:kern w:val="0"/>
                      <w:sz w:val="21"/>
                      <w:szCs w:val="21"/>
                      <w:lang w:val="en-US" w:eastAsia="zh-CN" w:bidi="ar-SA"/>
                    </w:rPr>
                    <w:t>昼间</w:t>
                  </w:r>
                </w:p>
              </w:tc>
            </w:tr>
            <w:tr w14:paraId="5395E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7" w:hRule="atLeast"/>
              </w:trPr>
              <w:tc>
                <w:tcPr>
                  <w:tcW w:w="338" w:type="pct"/>
                  <w:tcBorders>
                    <w:tl2br w:val="nil"/>
                    <w:tr2bl w:val="nil"/>
                  </w:tcBorders>
                  <w:noWrap w:val="0"/>
                  <w:tcMar>
                    <w:left w:w="28" w:type="dxa"/>
                    <w:right w:w="28" w:type="dxa"/>
                  </w:tcMar>
                  <w:vAlign w:val="center"/>
                </w:tcPr>
                <w:p w14:paraId="64DBA5EF">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1"/>
                      <w:lang w:val="en-US" w:eastAsia="zh-CN" w:bidi="ar-SA"/>
                    </w:rPr>
                  </w:pPr>
                  <w:r>
                    <w:rPr>
                      <w:rFonts w:ascii="Times New Roman" w:hAnsi="Times New Roman" w:eastAsia="宋体" w:cs="Times New Roman"/>
                      <w:color w:val="auto"/>
                      <w:kern w:val="0"/>
                      <w:sz w:val="21"/>
                      <w:szCs w:val="21"/>
                      <w:lang w:val="en-US" w:eastAsia="zh-CN" w:bidi="ar-SA"/>
                    </w:rPr>
                    <w:t>1</w:t>
                  </w:r>
                </w:p>
              </w:tc>
              <w:tc>
                <w:tcPr>
                  <w:tcW w:w="798" w:type="pct"/>
                  <w:tcBorders>
                    <w:tl2br w:val="nil"/>
                    <w:tr2bl w:val="nil"/>
                  </w:tcBorders>
                  <w:noWrap w:val="0"/>
                  <w:vAlign w:val="center"/>
                </w:tcPr>
                <w:p w14:paraId="518FDFD4">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1"/>
                      <w:lang w:val="en-US" w:eastAsia="zh-CN" w:bidi="ar-SA"/>
                    </w:rPr>
                  </w:pPr>
                  <w:r>
                    <w:rPr>
                      <w:rFonts w:ascii="Times New Roman" w:hAnsi="Times New Roman" w:eastAsia="宋体" w:cs="Times New Roman"/>
                      <w:color w:val="auto"/>
                      <w:kern w:val="0"/>
                      <w:sz w:val="21"/>
                      <w:szCs w:val="21"/>
                      <w:lang w:val="en-US" w:eastAsia="zh-CN" w:bidi="ar-SA"/>
                    </w:rPr>
                    <w:t>北侧厂界</w:t>
                  </w:r>
                </w:p>
              </w:tc>
              <w:tc>
                <w:tcPr>
                  <w:tcW w:w="500" w:type="pct"/>
                  <w:tcBorders>
                    <w:tl2br w:val="nil"/>
                    <w:tr2bl w:val="nil"/>
                  </w:tcBorders>
                  <w:noWrap w:val="0"/>
                  <w:vAlign w:val="center"/>
                </w:tcPr>
                <w:p w14:paraId="226CF601">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1m</w:t>
                  </w:r>
                </w:p>
              </w:tc>
              <w:tc>
                <w:tcPr>
                  <w:tcW w:w="957" w:type="pct"/>
                  <w:tcBorders>
                    <w:tl2br w:val="nil"/>
                    <w:tr2bl w:val="nil"/>
                  </w:tcBorders>
                  <w:noWrap w:val="0"/>
                  <w:vAlign w:val="center"/>
                </w:tcPr>
                <w:p w14:paraId="6636244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65</w:t>
                  </w:r>
                </w:p>
              </w:tc>
              <w:tc>
                <w:tcPr>
                  <w:tcW w:w="998" w:type="pct"/>
                  <w:tcBorders>
                    <w:tl2br w:val="nil"/>
                    <w:tr2bl w:val="nil"/>
                  </w:tcBorders>
                  <w:noWrap w:val="0"/>
                  <w:vAlign w:val="center"/>
                </w:tcPr>
                <w:p w14:paraId="04DAABE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53.96</w:t>
                  </w:r>
                </w:p>
              </w:tc>
              <w:tc>
                <w:tcPr>
                  <w:tcW w:w="1407" w:type="pct"/>
                  <w:tcBorders>
                    <w:tl2br w:val="nil"/>
                    <w:tr2bl w:val="nil"/>
                  </w:tcBorders>
                  <w:noWrap w:val="0"/>
                  <w:vAlign w:val="center"/>
                </w:tcPr>
                <w:p w14:paraId="0D3B57D1">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1"/>
                      <w:lang w:val="en-US" w:eastAsia="zh-CN" w:bidi="ar-SA"/>
                    </w:rPr>
                  </w:pPr>
                  <w:r>
                    <w:rPr>
                      <w:rFonts w:ascii="Times New Roman" w:hAnsi="Times New Roman" w:eastAsia="宋体" w:cs="Times New Roman"/>
                      <w:color w:val="auto"/>
                      <w:kern w:val="0"/>
                      <w:sz w:val="21"/>
                      <w:szCs w:val="21"/>
                      <w:lang w:val="en-US" w:eastAsia="zh-CN" w:bidi="ar-SA"/>
                    </w:rPr>
                    <w:t>达标</w:t>
                  </w:r>
                </w:p>
              </w:tc>
            </w:tr>
            <w:tr w14:paraId="3B7E4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7" w:hRule="atLeast"/>
              </w:trPr>
              <w:tc>
                <w:tcPr>
                  <w:tcW w:w="338" w:type="pct"/>
                  <w:tcBorders>
                    <w:tl2br w:val="nil"/>
                    <w:tr2bl w:val="nil"/>
                  </w:tcBorders>
                  <w:noWrap w:val="0"/>
                  <w:tcMar>
                    <w:left w:w="28" w:type="dxa"/>
                    <w:right w:w="28" w:type="dxa"/>
                  </w:tcMar>
                  <w:vAlign w:val="center"/>
                </w:tcPr>
                <w:p w14:paraId="5EB22FB8">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1"/>
                      <w:lang w:val="en-US" w:eastAsia="zh-CN" w:bidi="ar-SA"/>
                    </w:rPr>
                  </w:pPr>
                  <w:r>
                    <w:rPr>
                      <w:rFonts w:ascii="Times New Roman" w:hAnsi="Times New Roman" w:eastAsia="宋体" w:cs="Times New Roman"/>
                      <w:color w:val="auto"/>
                      <w:kern w:val="0"/>
                      <w:sz w:val="21"/>
                      <w:szCs w:val="21"/>
                      <w:lang w:val="en-US" w:eastAsia="zh-CN" w:bidi="ar-SA"/>
                    </w:rPr>
                    <w:t>2</w:t>
                  </w:r>
                </w:p>
              </w:tc>
              <w:tc>
                <w:tcPr>
                  <w:tcW w:w="798" w:type="pct"/>
                  <w:tcBorders>
                    <w:tl2br w:val="nil"/>
                    <w:tr2bl w:val="nil"/>
                  </w:tcBorders>
                  <w:noWrap w:val="0"/>
                  <w:vAlign w:val="center"/>
                </w:tcPr>
                <w:p w14:paraId="28D03FE2">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1"/>
                      <w:lang w:val="en-US" w:eastAsia="zh-CN" w:bidi="ar-SA"/>
                    </w:rPr>
                  </w:pPr>
                  <w:r>
                    <w:rPr>
                      <w:rFonts w:ascii="Times New Roman" w:hAnsi="Times New Roman" w:eastAsia="宋体" w:cs="Times New Roman"/>
                      <w:color w:val="auto"/>
                      <w:kern w:val="0"/>
                      <w:sz w:val="21"/>
                      <w:szCs w:val="21"/>
                      <w:lang w:val="en-US" w:eastAsia="zh-CN" w:bidi="ar-SA"/>
                    </w:rPr>
                    <w:t>东侧厂界</w:t>
                  </w:r>
                </w:p>
              </w:tc>
              <w:tc>
                <w:tcPr>
                  <w:tcW w:w="500" w:type="pct"/>
                  <w:tcBorders>
                    <w:tl2br w:val="nil"/>
                    <w:tr2bl w:val="nil"/>
                  </w:tcBorders>
                  <w:noWrap w:val="0"/>
                  <w:vAlign w:val="center"/>
                </w:tcPr>
                <w:p w14:paraId="16897A4C">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1m</w:t>
                  </w:r>
                </w:p>
              </w:tc>
              <w:tc>
                <w:tcPr>
                  <w:tcW w:w="957" w:type="pct"/>
                  <w:tcBorders>
                    <w:tl2br w:val="nil"/>
                    <w:tr2bl w:val="nil"/>
                  </w:tcBorders>
                  <w:noWrap w:val="0"/>
                  <w:vAlign w:val="center"/>
                </w:tcPr>
                <w:p w14:paraId="7111AC7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65</w:t>
                  </w:r>
                </w:p>
              </w:tc>
              <w:tc>
                <w:tcPr>
                  <w:tcW w:w="998" w:type="pct"/>
                  <w:tcBorders>
                    <w:tl2br w:val="nil"/>
                    <w:tr2bl w:val="nil"/>
                  </w:tcBorders>
                  <w:noWrap w:val="0"/>
                  <w:vAlign w:val="center"/>
                </w:tcPr>
                <w:p w14:paraId="482AEC1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51.73</w:t>
                  </w:r>
                </w:p>
              </w:tc>
              <w:tc>
                <w:tcPr>
                  <w:tcW w:w="1407" w:type="pct"/>
                  <w:tcBorders>
                    <w:tl2br w:val="nil"/>
                    <w:tr2bl w:val="nil"/>
                  </w:tcBorders>
                  <w:noWrap w:val="0"/>
                  <w:vAlign w:val="center"/>
                </w:tcPr>
                <w:p w14:paraId="61680F6E">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1"/>
                      <w:lang w:val="en-US" w:eastAsia="zh-CN" w:bidi="ar-SA"/>
                    </w:rPr>
                  </w:pPr>
                  <w:r>
                    <w:rPr>
                      <w:rFonts w:ascii="Times New Roman" w:hAnsi="Times New Roman" w:eastAsia="宋体" w:cs="Times New Roman"/>
                      <w:color w:val="auto"/>
                      <w:kern w:val="0"/>
                      <w:sz w:val="21"/>
                      <w:szCs w:val="21"/>
                      <w:lang w:val="en-US" w:eastAsia="zh-CN" w:bidi="ar-SA"/>
                    </w:rPr>
                    <w:t>达标</w:t>
                  </w:r>
                </w:p>
              </w:tc>
            </w:tr>
            <w:tr w14:paraId="7CFA9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7" w:hRule="atLeast"/>
              </w:trPr>
              <w:tc>
                <w:tcPr>
                  <w:tcW w:w="338" w:type="pct"/>
                  <w:tcBorders>
                    <w:tl2br w:val="nil"/>
                    <w:tr2bl w:val="nil"/>
                  </w:tcBorders>
                  <w:noWrap w:val="0"/>
                  <w:tcMar>
                    <w:left w:w="28" w:type="dxa"/>
                    <w:right w:w="28" w:type="dxa"/>
                  </w:tcMar>
                  <w:vAlign w:val="center"/>
                </w:tcPr>
                <w:p w14:paraId="2A16F8B7">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1"/>
                      <w:lang w:val="en-US" w:eastAsia="zh-CN" w:bidi="ar-SA"/>
                    </w:rPr>
                  </w:pPr>
                  <w:r>
                    <w:rPr>
                      <w:rFonts w:ascii="Times New Roman" w:hAnsi="Times New Roman" w:eastAsia="宋体" w:cs="Times New Roman"/>
                      <w:color w:val="auto"/>
                      <w:kern w:val="0"/>
                      <w:sz w:val="21"/>
                      <w:szCs w:val="21"/>
                      <w:lang w:val="en-US" w:eastAsia="zh-CN" w:bidi="ar-SA"/>
                    </w:rPr>
                    <w:t>3</w:t>
                  </w:r>
                </w:p>
              </w:tc>
              <w:tc>
                <w:tcPr>
                  <w:tcW w:w="798" w:type="pct"/>
                  <w:tcBorders>
                    <w:tl2br w:val="nil"/>
                    <w:tr2bl w:val="nil"/>
                  </w:tcBorders>
                  <w:noWrap w:val="0"/>
                  <w:vAlign w:val="center"/>
                </w:tcPr>
                <w:p w14:paraId="7D62DEE8">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1"/>
                      <w:lang w:val="en-US" w:eastAsia="zh-CN" w:bidi="ar-SA"/>
                    </w:rPr>
                  </w:pPr>
                  <w:r>
                    <w:rPr>
                      <w:rFonts w:ascii="Times New Roman" w:hAnsi="Times New Roman" w:eastAsia="宋体" w:cs="Times New Roman"/>
                      <w:color w:val="auto"/>
                      <w:kern w:val="0"/>
                      <w:sz w:val="21"/>
                      <w:szCs w:val="21"/>
                      <w:lang w:val="en-US" w:eastAsia="zh-CN" w:bidi="ar-SA"/>
                    </w:rPr>
                    <w:t>南侧厂界</w:t>
                  </w:r>
                </w:p>
              </w:tc>
              <w:tc>
                <w:tcPr>
                  <w:tcW w:w="500" w:type="pct"/>
                  <w:tcBorders>
                    <w:tl2br w:val="nil"/>
                    <w:tr2bl w:val="nil"/>
                  </w:tcBorders>
                  <w:noWrap w:val="0"/>
                  <w:vAlign w:val="center"/>
                </w:tcPr>
                <w:p w14:paraId="163DB4CE">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1m</w:t>
                  </w:r>
                </w:p>
              </w:tc>
              <w:tc>
                <w:tcPr>
                  <w:tcW w:w="957" w:type="pct"/>
                  <w:tcBorders>
                    <w:tl2br w:val="nil"/>
                    <w:tr2bl w:val="nil"/>
                  </w:tcBorders>
                  <w:noWrap w:val="0"/>
                  <w:vAlign w:val="center"/>
                </w:tcPr>
                <w:p w14:paraId="3AB945D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65</w:t>
                  </w:r>
                </w:p>
              </w:tc>
              <w:tc>
                <w:tcPr>
                  <w:tcW w:w="998" w:type="pct"/>
                  <w:tcBorders>
                    <w:tl2br w:val="nil"/>
                    <w:tr2bl w:val="nil"/>
                  </w:tcBorders>
                  <w:noWrap w:val="0"/>
                  <w:vAlign w:val="center"/>
                </w:tcPr>
                <w:p w14:paraId="67DF506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53.25</w:t>
                  </w:r>
                </w:p>
              </w:tc>
              <w:tc>
                <w:tcPr>
                  <w:tcW w:w="1407" w:type="pct"/>
                  <w:tcBorders>
                    <w:tl2br w:val="nil"/>
                    <w:tr2bl w:val="nil"/>
                  </w:tcBorders>
                  <w:noWrap w:val="0"/>
                  <w:vAlign w:val="center"/>
                </w:tcPr>
                <w:p w14:paraId="141E219B">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1"/>
                      <w:lang w:val="en-US" w:eastAsia="zh-CN" w:bidi="ar-SA"/>
                    </w:rPr>
                  </w:pPr>
                  <w:r>
                    <w:rPr>
                      <w:rFonts w:ascii="Times New Roman" w:hAnsi="Times New Roman" w:eastAsia="宋体" w:cs="Times New Roman"/>
                      <w:color w:val="auto"/>
                      <w:kern w:val="0"/>
                      <w:sz w:val="21"/>
                      <w:szCs w:val="21"/>
                      <w:lang w:val="en-US" w:eastAsia="zh-CN" w:bidi="ar-SA"/>
                    </w:rPr>
                    <w:t>达标</w:t>
                  </w:r>
                </w:p>
              </w:tc>
            </w:tr>
            <w:tr w14:paraId="2A52C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64" w:hRule="atLeast"/>
              </w:trPr>
              <w:tc>
                <w:tcPr>
                  <w:tcW w:w="338" w:type="pct"/>
                  <w:tcBorders>
                    <w:tl2br w:val="nil"/>
                    <w:tr2bl w:val="nil"/>
                  </w:tcBorders>
                  <w:noWrap w:val="0"/>
                  <w:tcMar>
                    <w:left w:w="28" w:type="dxa"/>
                    <w:right w:w="28" w:type="dxa"/>
                  </w:tcMar>
                  <w:vAlign w:val="center"/>
                </w:tcPr>
                <w:p w14:paraId="0ED27FD5">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1"/>
                      <w:lang w:val="en-US" w:eastAsia="zh-CN" w:bidi="ar-SA"/>
                    </w:rPr>
                  </w:pPr>
                  <w:r>
                    <w:rPr>
                      <w:rFonts w:ascii="Times New Roman" w:hAnsi="Times New Roman" w:eastAsia="宋体" w:cs="Times New Roman"/>
                      <w:color w:val="auto"/>
                      <w:kern w:val="0"/>
                      <w:sz w:val="21"/>
                      <w:szCs w:val="21"/>
                      <w:lang w:val="en-US" w:eastAsia="zh-CN" w:bidi="ar-SA"/>
                    </w:rPr>
                    <w:t>4</w:t>
                  </w:r>
                </w:p>
              </w:tc>
              <w:tc>
                <w:tcPr>
                  <w:tcW w:w="798" w:type="pct"/>
                  <w:tcBorders>
                    <w:tl2br w:val="nil"/>
                    <w:tr2bl w:val="nil"/>
                  </w:tcBorders>
                  <w:noWrap w:val="0"/>
                  <w:vAlign w:val="center"/>
                </w:tcPr>
                <w:p w14:paraId="34F62F1F">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1"/>
                      <w:lang w:val="en-US" w:eastAsia="zh-CN" w:bidi="ar-SA"/>
                    </w:rPr>
                  </w:pPr>
                  <w:r>
                    <w:rPr>
                      <w:rFonts w:ascii="Times New Roman" w:hAnsi="Times New Roman" w:eastAsia="宋体" w:cs="Times New Roman"/>
                      <w:color w:val="auto"/>
                      <w:kern w:val="0"/>
                      <w:sz w:val="21"/>
                      <w:szCs w:val="21"/>
                      <w:lang w:val="en-US" w:eastAsia="zh-CN" w:bidi="ar-SA"/>
                    </w:rPr>
                    <w:t>西侧厂界</w:t>
                  </w:r>
                </w:p>
              </w:tc>
              <w:tc>
                <w:tcPr>
                  <w:tcW w:w="500" w:type="pct"/>
                  <w:tcBorders>
                    <w:tl2br w:val="nil"/>
                    <w:tr2bl w:val="nil"/>
                  </w:tcBorders>
                  <w:noWrap w:val="0"/>
                  <w:vAlign w:val="center"/>
                </w:tcPr>
                <w:p w14:paraId="5C8123F7">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1m</w:t>
                  </w:r>
                </w:p>
              </w:tc>
              <w:tc>
                <w:tcPr>
                  <w:tcW w:w="957" w:type="pct"/>
                  <w:tcBorders>
                    <w:tl2br w:val="nil"/>
                    <w:tr2bl w:val="nil"/>
                  </w:tcBorders>
                  <w:noWrap w:val="0"/>
                  <w:vAlign w:val="center"/>
                </w:tcPr>
                <w:p w14:paraId="5B9AA1F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65</w:t>
                  </w:r>
                </w:p>
              </w:tc>
              <w:tc>
                <w:tcPr>
                  <w:tcW w:w="998" w:type="pct"/>
                  <w:tcBorders>
                    <w:tl2br w:val="nil"/>
                    <w:tr2bl w:val="nil"/>
                  </w:tcBorders>
                  <w:noWrap w:val="0"/>
                  <w:vAlign w:val="center"/>
                </w:tcPr>
                <w:p w14:paraId="60708C1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52.04</w:t>
                  </w:r>
                </w:p>
              </w:tc>
              <w:tc>
                <w:tcPr>
                  <w:tcW w:w="1407" w:type="pct"/>
                  <w:tcBorders>
                    <w:tl2br w:val="nil"/>
                    <w:tr2bl w:val="nil"/>
                  </w:tcBorders>
                  <w:noWrap w:val="0"/>
                  <w:vAlign w:val="center"/>
                </w:tcPr>
                <w:p w14:paraId="1C7BB930">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1"/>
                      <w:lang w:val="en-US" w:eastAsia="zh-CN" w:bidi="ar-SA"/>
                    </w:rPr>
                  </w:pPr>
                  <w:r>
                    <w:rPr>
                      <w:rFonts w:ascii="Times New Roman" w:hAnsi="Times New Roman" w:eastAsia="宋体" w:cs="Times New Roman"/>
                      <w:color w:val="auto"/>
                      <w:kern w:val="0"/>
                      <w:sz w:val="21"/>
                      <w:szCs w:val="21"/>
                      <w:lang w:val="en-US" w:eastAsia="zh-CN" w:bidi="ar-SA"/>
                    </w:rPr>
                    <w:t>达标</w:t>
                  </w:r>
                </w:p>
              </w:tc>
            </w:tr>
          </w:tbl>
          <w:p w14:paraId="09673F2C">
            <w:pPr>
              <w:pStyle w:val="5"/>
              <w:bidi w:val="0"/>
              <w:rPr>
                <w:rFonts w:hint="eastAsia" w:ascii="Times New Roman" w:hAnsi="Times New Roman"/>
                <w:color w:val="auto"/>
                <w:lang w:val="en-US" w:eastAsia="zh-CN"/>
              </w:rPr>
            </w:pPr>
            <w:r>
              <w:rPr>
                <w:rFonts w:hint="eastAsia" w:ascii="Times New Roman" w:hAnsi="Times New Roman"/>
                <w:color w:val="auto"/>
                <w:lang w:val="en-US" w:eastAsia="zh-CN"/>
              </w:rPr>
              <w:t>厂界达标分析：根据表4.3-4预测结果表明，项目主要噪声源在采取有效的降噪措施前提下，厂界四周噪声均满足</w:t>
            </w:r>
            <w:r>
              <w:rPr>
                <w:rFonts w:hint="default" w:ascii="Times New Roman" w:hAnsi="Times New Roman"/>
                <w:color w:val="auto"/>
                <w:lang w:val="en-US" w:eastAsia="zh-CN"/>
              </w:rPr>
              <w:t>《工业企业厂界环境噪声排放标准》</w:t>
            </w:r>
            <w:r>
              <w:rPr>
                <w:rFonts w:hint="eastAsia" w:ascii="Times New Roman" w:hAnsi="Times New Roman"/>
                <w:color w:val="auto"/>
                <w:lang w:val="en-US" w:eastAsia="zh-CN"/>
              </w:rPr>
              <w:t>（</w:t>
            </w:r>
            <w:r>
              <w:rPr>
                <w:rFonts w:hint="default" w:ascii="Times New Roman" w:hAnsi="Times New Roman"/>
                <w:color w:val="auto"/>
                <w:lang w:val="en-US" w:eastAsia="zh-CN"/>
              </w:rPr>
              <w:t>GB 12348-2008</w:t>
            </w:r>
            <w:r>
              <w:rPr>
                <w:rFonts w:hint="eastAsia" w:ascii="Times New Roman" w:hAnsi="Times New Roman"/>
                <w:color w:val="auto"/>
                <w:lang w:val="en-US" w:eastAsia="zh-CN"/>
              </w:rPr>
              <w:t>）中3类标准（昼间≤65dB）。</w:t>
            </w:r>
          </w:p>
          <w:p w14:paraId="6AB5E71E">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b/>
                <w:bCs/>
                <w:color w:val="auto"/>
                <w:sz w:val="30"/>
                <w:lang w:val="en-US" w:eastAsia="zh-CN"/>
              </w:rPr>
            </w:pPr>
            <w:r>
              <w:rPr>
                <w:rFonts w:hint="eastAsia" w:ascii="Times New Roman" w:hAnsi="Times New Roman" w:eastAsia="宋体"/>
                <w:b/>
                <w:bCs/>
                <w:color w:val="auto"/>
                <w:sz w:val="30"/>
                <w:lang w:val="en-US" w:eastAsia="zh-CN"/>
              </w:rPr>
              <w:t>4.3.4声环境防治措施</w:t>
            </w:r>
          </w:p>
          <w:p w14:paraId="22E49E91">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为了确保厂界噪声达到《工业企业厂界环境噪声排放标准》</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GB 12348-2008</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中</w:t>
            </w:r>
            <w:r>
              <w:rPr>
                <w:rFonts w:hint="eastAsia" w:ascii="Times New Roman" w:hAnsi="Times New Roman" w:eastAsia="宋体" w:cs="宋体"/>
                <w:color w:val="auto"/>
                <w:kern w:val="2"/>
                <w:sz w:val="24"/>
                <w:szCs w:val="24"/>
                <w:lang w:val="en-US" w:eastAsia="zh-CN" w:bidi="ar-SA"/>
              </w:rPr>
              <w:t>3</w:t>
            </w:r>
            <w:r>
              <w:rPr>
                <w:rFonts w:hint="default" w:ascii="Times New Roman" w:hAnsi="Times New Roman" w:eastAsia="宋体" w:cs="宋体"/>
                <w:color w:val="auto"/>
                <w:kern w:val="2"/>
                <w:sz w:val="24"/>
                <w:szCs w:val="24"/>
                <w:lang w:val="en-US" w:eastAsia="zh-CN" w:bidi="ar-SA"/>
              </w:rPr>
              <w:t>类标准，本报告建议采用以下降噪措施：</w:t>
            </w:r>
          </w:p>
          <w:p w14:paraId="5C875252">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（1）项目选用低噪声生产设备，从源头上降低噪声源强。</w:t>
            </w:r>
          </w:p>
          <w:p w14:paraId="765AEE58">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（2）加强车间内的噪声治理，对</w:t>
            </w:r>
            <w:r>
              <w:rPr>
                <w:rFonts w:hint="eastAsia" w:ascii="Times New Roman" w:hAnsi="Times New Roman" w:eastAsia="宋体" w:cs="宋体"/>
                <w:color w:val="auto"/>
                <w:kern w:val="2"/>
                <w:sz w:val="24"/>
                <w:szCs w:val="24"/>
                <w:lang w:val="en-US" w:eastAsia="zh-CN" w:bidi="ar-SA"/>
              </w:rPr>
              <w:t>项目</w:t>
            </w:r>
            <w:r>
              <w:rPr>
                <w:rFonts w:hint="default" w:ascii="Times New Roman" w:hAnsi="Times New Roman" w:eastAsia="宋体" w:cs="宋体"/>
                <w:color w:val="auto"/>
                <w:kern w:val="2"/>
                <w:sz w:val="24"/>
                <w:szCs w:val="24"/>
                <w:lang w:val="en-US" w:eastAsia="zh-CN" w:bidi="ar-SA"/>
              </w:rPr>
              <w:t>建</w:t>
            </w:r>
            <w:r>
              <w:rPr>
                <w:rFonts w:hint="eastAsia" w:ascii="Times New Roman" w:hAnsi="Times New Roman" w:eastAsia="宋体" w:cs="宋体"/>
                <w:color w:val="auto"/>
                <w:kern w:val="2"/>
                <w:sz w:val="24"/>
                <w:szCs w:val="24"/>
                <w:lang w:val="en-US" w:eastAsia="zh-CN" w:bidi="ar-SA"/>
              </w:rPr>
              <w:t>成</w:t>
            </w:r>
            <w:r>
              <w:rPr>
                <w:rFonts w:hint="default" w:ascii="Times New Roman" w:hAnsi="Times New Roman" w:eastAsia="宋体" w:cs="宋体"/>
                <w:color w:val="auto"/>
                <w:kern w:val="2"/>
                <w:sz w:val="24"/>
                <w:szCs w:val="24"/>
                <w:lang w:val="en-US" w:eastAsia="zh-CN" w:bidi="ar-SA"/>
              </w:rPr>
              <w:t>后厂区高噪声设备采用隔声、消声、吸声、减振等有效措施，以有效降低车间噪声。</w:t>
            </w:r>
          </w:p>
          <w:p w14:paraId="09269D17">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（3）加强对设备的管理和维护，在有关环保人员的统一管理下，定期检查、监测，发现噪声超标要及时治理并增加相关操作岗位工人的个体防护</w:t>
            </w:r>
            <w:r>
              <w:rPr>
                <w:rFonts w:hint="eastAsia" w:ascii="Times New Roman" w:hAnsi="Times New Roman" w:eastAsia="宋体" w:cs="宋体"/>
                <w:color w:val="auto"/>
                <w:kern w:val="2"/>
                <w:sz w:val="24"/>
                <w:szCs w:val="24"/>
                <w:lang w:val="en-US" w:eastAsia="zh-CN" w:bidi="ar-SA"/>
              </w:rPr>
              <w:t>。</w:t>
            </w:r>
          </w:p>
          <w:p w14:paraId="08F790E9">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（4）车辆运输物料时，在靠近居民点等对声环境质量要求较高的地方，应减小车速，禁止或尽量少鸣喇叭。</w:t>
            </w:r>
          </w:p>
          <w:p w14:paraId="50B12573">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（5）高噪声空压机、冷却塔设备放于专用设备房内，并加装避震基础和隔音设施。</w:t>
            </w:r>
          </w:p>
          <w:p w14:paraId="7F2E4594">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通过以上降噪措施，有效降低设备噪声对厂界的影响程度，确保厂界噪声符合《工业企业厂界环境噪声排放标准》</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GB 12348-2008</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中</w:t>
            </w:r>
            <w:r>
              <w:rPr>
                <w:rFonts w:hint="eastAsia" w:ascii="Times New Roman" w:hAnsi="Times New Roman" w:eastAsia="宋体" w:cs="宋体"/>
                <w:color w:val="auto"/>
                <w:kern w:val="2"/>
                <w:sz w:val="24"/>
                <w:szCs w:val="24"/>
                <w:lang w:val="en-US" w:eastAsia="zh-CN" w:bidi="ar-SA"/>
              </w:rPr>
              <w:t>3</w:t>
            </w:r>
            <w:r>
              <w:rPr>
                <w:rFonts w:hint="default" w:ascii="Times New Roman" w:hAnsi="Times New Roman" w:eastAsia="宋体" w:cs="宋体"/>
                <w:color w:val="auto"/>
                <w:kern w:val="2"/>
                <w:sz w:val="24"/>
                <w:szCs w:val="24"/>
                <w:lang w:val="en-US" w:eastAsia="zh-CN" w:bidi="ar-SA"/>
              </w:rPr>
              <w:t>类标准要求，措施可行。</w:t>
            </w:r>
          </w:p>
          <w:p w14:paraId="022165F3">
            <w:pPr>
              <w:keepNext/>
              <w:keepLines/>
              <w:widowControl w:val="0"/>
              <w:bidi w:val="0"/>
              <w:spacing w:beforeLines="0" w:beforeAutospacing="0" w:afterLines="0" w:afterAutospacing="0" w:line="360" w:lineRule="auto"/>
              <w:jc w:val="left"/>
              <w:outlineLvl w:val="2"/>
              <w:rPr>
                <w:rFonts w:hint="eastAsia"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4.3.5噪声自行监测计划</w:t>
            </w:r>
          </w:p>
          <w:p w14:paraId="1FB6A1AA">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本项目自行监测计划根据《排污单位自行监测技术指南 总则》（HJ819-2017）进行制定，本项目噪声自行监测计划如下表。</w:t>
            </w:r>
          </w:p>
          <w:p w14:paraId="2FB6DCAA">
            <w:pPr>
              <w:widowControl w:val="0"/>
              <w:bidi w:val="0"/>
              <w:adjustRightInd w:val="0"/>
              <w:snapToGrid w:val="0"/>
              <w:spacing w:before="10" w:beforeLines="10" w:after="10" w:afterLines="10"/>
              <w:jc w:val="center"/>
              <w:rPr>
                <w:rFonts w:hint="eastAsia" w:ascii="Times New Roman" w:hAnsi="Times New Roman" w:eastAsia="宋体" w:cs="Times New Roman"/>
                <w:b/>
                <w:color w:val="auto"/>
                <w:kern w:val="0"/>
                <w:sz w:val="24"/>
                <w:szCs w:val="20"/>
                <w:lang w:val="en-US" w:eastAsia="zh-CN" w:bidi="ar-SA"/>
              </w:rPr>
            </w:pPr>
            <w:r>
              <w:rPr>
                <w:rFonts w:hint="eastAsia" w:ascii="Times New Roman" w:hAnsi="Times New Roman" w:eastAsia="宋体" w:cs="Times New Roman"/>
                <w:b/>
                <w:color w:val="auto"/>
                <w:kern w:val="0"/>
                <w:sz w:val="24"/>
                <w:szCs w:val="20"/>
                <w:lang w:val="en-US" w:eastAsia="zh-CN" w:bidi="ar-SA"/>
              </w:rPr>
              <w:t>表4.3-5噪声自行监测计划</w:t>
            </w:r>
          </w:p>
          <w:tbl>
            <w:tblPr>
              <w:tblStyle w:val="39"/>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9"/>
              <w:gridCol w:w="1680"/>
              <w:gridCol w:w="1680"/>
              <w:gridCol w:w="1680"/>
              <w:gridCol w:w="1681"/>
            </w:tblGrid>
            <w:tr w14:paraId="5D711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noWrap w:val="0"/>
                  <w:vAlign w:val="center"/>
                </w:tcPr>
                <w:p w14:paraId="293AF747">
                  <w:pPr>
                    <w:pStyle w:val="227"/>
                    <w:bidi w:val="0"/>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color w:val="auto"/>
                      <w:lang w:val="en-US" w:eastAsia="zh-CN"/>
                    </w:rPr>
                    <w:t>类别</w:t>
                  </w:r>
                </w:p>
              </w:tc>
              <w:tc>
                <w:tcPr>
                  <w:tcW w:w="999" w:type="pct"/>
                  <w:noWrap w:val="0"/>
                  <w:vAlign w:val="center"/>
                </w:tcPr>
                <w:p w14:paraId="19EBD8DA">
                  <w:pPr>
                    <w:pStyle w:val="227"/>
                    <w:bidi w:val="0"/>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color w:val="auto"/>
                      <w:lang w:val="en-US" w:eastAsia="zh-CN"/>
                    </w:rPr>
                    <w:t>污染源</w:t>
                  </w:r>
                </w:p>
              </w:tc>
              <w:tc>
                <w:tcPr>
                  <w:tcW w:w="999" w:type="pct"/>
                  <w:noWrap w:val="0"/>
                  <w:vAlign w:val="center"/>
                </w:tcPr>
                <w:p w14:paraId="2DCB4DFD">
                  <w:pPr>
                    <w:pStyle w:val="227"/>
                    <w:bidi w:val="0"/>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color w:val="auto"/>
                      <w:lang w:val="en-US" w:eastAsia="zh-CN"/>
                    </w:rPr>
                    <w:t>监测点位</w:t>
                  </w:r>
                </w:p>
              </w:tc>
              <w:tc>
                <w:tcPr>
                  <w:tcW w:w="999" w:type="pct"/>
                  <w:noWrap w:val="0"/>
                  <w:vAlign w:val="center"/>
                </w:tcPr>
                <w:p w14:paraId="394055D8">
                  <w:pPr>
                    <w:pStyle w:val="227"/>
                    <w:bidi w:val="0"/>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color w:val="auto"/>
                      <w:lang w:val="en-US" w:eastAsia="zh-CN"/>
                    </w:rPr>
                    <w:t>监测指标</w:t>
                  </w:r>
                </w:p>
              </w:tc>
              <w:tc>
                <w:tcPr>
                  <w:tcW w:w="1000" w:type="pct"/>
                  <w:noWrap w:val="0"/>
                  <w:vAlign w:val="center"/>
                </w:tcPr>
                <w:p w14:paraId="425CBF49">
                  <w:pPr>
                    <w:pStyle w:val="227"/>
                    <w:bidi w:val="0"/>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color w:val="auto"/>
                      <w:lang w:val="en-US" w:eastAsia="zh-CN"/>
                    </w:rPr>
                    <w:t>监测频率</w:t>
                  </w:r>
                </w:p>
              </w:tc>
            </w:tr>
            <w:tr w14:paraId="29D32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noWrap w:val="0"/>
                  <w:vAlign w:val="center"/>
                </w:tcPr>
                <w:p w14:paraId="4DFC822E">
                  <w:pPr>
                    <w:pStyle w:val="227"/>
                    <w:bidi w:val="0"/>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color w:val="auto"/>
                      <w:lang w:val="en-US" w:eastAsia="zh-CN"/>
                    </w:rPr>
                    <w:t>噪声</w:t>
                  </w:r>
                </w:p>
              </w:tc>
              <w:tc>
                <w:tcPr>
                  <w:tcW w:w="999" w:type="pct"/>
                  <w:noWrap w:val="0"/>
                  <w:vAlign w:val="center"/>
                </w:tcPr>
                <w:p w14:paraId="772B46BE">
                  <w:pPr>
                    <w:pStyle w:val="227"/>
                    <w:bidi w:val="0"/>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color w:val="auto"/>
                      <w:lang w:val="en-US" w:eastAsia="zh-CN"/>
                    </w:rPr>
                    <w:t>生产设备</w:t>
                  </w:r>
                </w:p>
              </w:tc>
              <w:tc>
                <w:tcPr>
                  <w:tcW w:w="999" w:type="pct"/>
                  <w:noWrap w:val="0"/>
                  <w:vAlign w:val="center"/>
                </w:tcPr>
                <w:p w14:paraId="2468F47D">
                  <w:pPr>
                    <w:pStyle w:val="227"/>
                    <w:bidi w:val="0"/>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color w:val="auto"/>
                      <w:lang w:val="en-US" w:eastAsia="zh-CN"/>
                    </w:rPr>
                    <w:t>厂界四周</w:t>
                  </w:r>
                </w:p>
              </w:tc>
              <w:tc>
                <w:tcPr>
                  <w:tcW w:w="999" w:type="pct"/>
                  <w:noWrap w:val="0"/>
                  <w:vAlign w:val="center"/>
                </w:tcPr>
                <w:p w14:paraId="50DA3E93">
                  <w:pPr>
                    <w:pStyle w:val="227"/>
                    <w:bidi w:val="0"/>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color w:val="auto"/>
                      <w:lang w:val="en-US" w:eastAsia="zh-CN"/>
                    </w:rPr>
                    <w:t>等效A声级</w:t>
                  </w:r>
                </w:p>
              </w:tc>
              <w:tc>
                <w:tcPr>
                  <w:tcW w:w="1000" w:type="pct"/>
                  <w:noWrap w:val="0"/>
                  <w:vAlign w:val="center"/>
                </w:tcPr>
                <w:p w14:paraId="1FC3B1CC">
                  <w:pPr>
                    <w:pStyle w:val="227"/>
                    <w:bidi w:val="0"/>
                    <w:rPr>
                      <w:rFonts w:hint="default" w:ascii="Times New Roman" w:hAnsi="Times New Roman" w:eastAsia="宋体" w:cs="Times New Roman"/>
                      <w:color w:val="auto"/>
                      <w:kern w:val="0"/>
                      <w:sz w:val="21"/>
                      <w:szCs w:val="20"/>
                      <w:vertAlign w:val="baseline"/>
                      <w:lang w:val="en-US" w:eastAsia="zh-CN" w:bidi="ar-SA"/>
                    </w:rPr>
                  </w:pPr>
                  <w:r>
                    <w:rPr>
                      <w:rFonts w:hint="eastAsia" w:ascii="Times New Roman" w:hAnsi="Times New Roman"/>
                      <w:color w:val="auto"/>
                      <w:lang w:val="en-US" w:eastAsia="zh-CN"/>
                    </w:rPr>
                    <w:t>1次/季度</w:t>
                  </w:r>
                </w:p>
              </w:tc>
            </w:tr>
          </w:tbl>
          <w:p w14:paraId="7F43F68F">
            <w:pPr>
              <w:keepNext/>
              <w:keepLines/>
              <w:widowControl w:val="0"/>
              <w:bidi w:val="0"/>
              <w:spacing w:beforeLines="0" w:beforeAutospacing="0" w:afterLines="0" w:afterAutospacing="0" w:line="360" w:lineRule="auto"/>
              <w:jc w:val="left"/>
              <w:outlineLvl w:val="1"/>
              <w:rPr>
                <w:rFonts w:hint="eastAsia" w:ascii="Times New Roman" w:hAnsi="Times New Roman" w:eastAsia="宋体" w:cs="Times New Roman"/>
                <w:b/>
                <w:color w:val="auto"/>
                <w:kern w:val="2"/>
                <w:sz w:val="28"/>
                <w:szCs w:val="24"/>
                <w:lang w:val="en-US" w:eastAsia="zh-CN" w:bidi="ar-SA"/>
              </w:rPr>
            </w:pPr>
            <w:r>
              <w:rPr>
                <w:rFonts w:hint="eastAsia" w:ascii="Times New Roman" w:hAnsi="Times New Roman" w:eastAsia="宋体" w:cs="Times New Roman"/>
                <w:b/>
                <w:color w:val="auto"/>
                <w:kern w:val="2"/>
                <w:sz w:val="28"/>
                <w:szCs w:val="24"/>
                <w:lang w:val="en-US" w:eastAsia="zh-CN" w:bidi="ar-SA"/>
              </w:rPr>
              <w:t>4.4运营期固体废物影响分析和污染防治措施</w:t>
            </w:r>
          </w:p>
          <w:p w14:paraId="73EF70C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olor w:val="auto"/>
              </w:rPr>
            </w:pPr>
            <w:r>
              <w:rPr>
                <w:rFonts w:hint="eastAsia" w:ascii="Times New Roman" w:hAnsi="Times New Roman" w:eastAsia="宋体" w:cs="宋体"/>
                <w:color w:val="auto"/>
                <w:kern w:val="0"/>
                <w:sz w:val="24"/>
                <w:szCs w:val="24"/>
                <w:lang w:val="en-US" w:eastAsia="zh-CN" w:bidi="ar"/>
              </w:rPr>
              <w:t>工程运行期间产生的固体废物主要为切割工序产生的边角料、检验过程中产生的不合格品、沉淀池渣、废</w:t>
            </w:r>
            <w:r>
              <w:rPr>
                <w:rFonts w:hint="eastAsia" w:ascii="Times New Roman" w:hAnsi="Times New Roman" w:cs="宋体"/>
                <w:color w:val="auto"/>
                <w:kern w:val="0"/>
                <w:sz w:val="24"/>
                <w:szCs w:val="24"/>
                <w:lang w:val="en-US" w:eastAsia="zh-CN" w:bidi="ar"/>
              </w:rPr>
              <w:t>活性炭</w:t>
            </w:r>
            <w:r>
              <w:rPr>
                <w:rFonts w:hint="eastAsia" w:ascii="Times New Roman" w:hAnsi="Times New Roman" w:eastAsia="宋体" w:cs="宋体"/>
                <w:color w:val="auto"/>
                <w:kern w:val="0"/>
                <w:sz w:val="24"/>
                <w:szCs w:val="24"/>
                <w:lang w:val="en-US" w:eastAsia="zh-CN" w:bidi="ar"/>
              </w:rPr>
              <w:t>、废切削液</w:t>
            </w:r>
            <w:r>
              <w:rPr>
                <w:rFonts w:hint="eastAsia" w:cs="宋体"/>
                <w:color w:val="auto"/>
                <w:kern w:val="0"/>
                <w:sz w:val="24"/>
                <w:szCs w:val="24"/>
                <w:lang w:val="en-US" w:eastAsia="zh-CN" w:bidi="ar"/>
              </w:rPr>
              <w:t>含切削液污泥</w:t>
            </w:r>
            <w:r>
              <w:rPr>
                <w:rFonts w:hint="eastAsia" w:ascii="Times New Roman" w:hAnsi="Times New Roman" w:eastAsia="宋体" w:cs="宋体"/>
                <w:color w:val="auto"/>
                <w:kern w:val="0"/>
                <w:sz w:val="24"/>
                <w:szCs w:val="24"/>
                <w:lang w:val="en-US" w:eastAsia="zh-CN" w:bidi="ar"/>
              </w:rPr>
              <w:t>及员工生活垃圾。</w:t>
            </w:r>
          </w:p>
          <w:p w14:paraId="480401CC">
            <w:pPr>
              <w:keepNext/>
              <w:keepLines/>
              <w:widowControl w:val="0"/>
              <w:bidi w:val="0"/>
              <w:spacing w:beforeLines="0" w:beforeAutospacing="0" w:afterLines="0" w:afterAutospacing="0" w:line="360" w:lineRule="auto"/>
              <w:jc w:val="left"/>
              <w:outlineLvl w:val="2"/>
              <w:rPr>
                <w:rFonts w:hint="default"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4.4.</w:t>
            </w:r>
            <w:r>
              <w:rPr>
                <w:rFonts w:hint="eastAsia" w:ascii="Times New Roman" w:hAnsi="Times New Roman" w:cs="Times New Roman"/>
                <w:b/>
                <w:color w:val="auto"/>
                <w:kern w:val="2"/>
                <w:sz w:val="24"/>
                <w:szCs w:val="24"/>
                <w:lang w:val="en-US" w:eastAsia="zh-CN" w:bidi="ar-SA"/>
              </w:rPr>
              <w:t>1</w:t>
            </w:r>
            <w:r>
              <w:rPr>
                <w:rFonts w:hint="eastAsia" w:ascii="Times New Roman" w:hAnsi="Times New Roman" w:eastAsia="宋体" w:cs="Times New Roman"/>
                <w:b/>
                <w:color w:val="auto"/>
                <w:kern w:val="2"/>
                <w:sz w:val="24"/>
                <w:szCs w:val="24"/>
                <w:lang w:val="en-US" w:eastAsia="zh-CN" w:bidi="ar-SA"/>
              </w:rPr>
              <w:t>固体废物源强核算</w:t>
            </w:r>
          </w:p>
          <w:p w14:paraId="17509739">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（1）抛光残渣</w:t>
            </w:r>
          </w:p>
          <w:p w14:paraId="57DF1D8F">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本项目抛光过程中会产生抛光残渣，产生量为</w:t>
            </w:r>
            <w:r>
              <w:rPr>
                <w:rFonts w:hint="eastAsia" w:ascii="Times New Roman" w:hAnsi="Times New Roman" w:cs="宋体"/>
                <w:color w:val="auto"/>
                <w:kern w:val="2"/>
                <w:sz w:val="24"/>
                <w:szCs w:val="24"/>
                <w:lang w:val="en-US" w:eastAsia="zh-CN" w:bidi="ar-SA"/>
              </w:rPr>
              <w:t>0.1</w:t>
            </w:r>
            <w:r>
              <w:rPr>
                <w:rFonts w:hint="default" w:ascii="Times New Roman" w:hAnsi="Times New Roman" w:eastAsia="宋体" w:cs="宋体"/>
                <w:color w:val="auto"/>
                <w:kern w:val="2"/>
                <w:sz w:val="24"/>
                <w:szCs w:val="24"/>
                <w:lang w:val="en-US" w:eastAsia="zh-CN" w:bidi="ar-SA"/>
              </w:rPr>
              <w:t>t/a，属于</w:t>
            </w:r>
            <w:r>
              <w:rPr>
                <w:rFonts w:hint="eastAsia" w:cs="宋体"/>
                <w:color w:val="auto"/>
                <w:kern w:val="2"/>
                <w:sz w:val="24"/>
                <w:szCs w:val="24"/>
                <w:lang w:val="en-US" w:eastAsia="zh-CN" w:bidi="ar-SA"/>
              </w:rPr>
              <w:t>一般工业固体废物</w:t>
            </w:r>
            <w:r>
              <w:rPr>
                <w:rFonts w:hint="default" w:ascii="Times New Roman" w:hAnsi="Times New Roman" w:eastAsia="宋体" w:cs="宋体"/>
                <w:color w:val="auto"/>
                <w:kern w:val="2"/>
                <w:sz w:val="24"/>
                <w:szCs w:val="24"/>
                <w:lang w:val="en-US" w:eastAsia="zh-CN" w:bidi="ar-SA"/>
              </w:rPr>
              <w:t>，</w:t>
            </w:r>
            <w:r>
              <w:rPr>
                <w:rFonts w:hint="eastAsia" w:ascii="Times New Roman" w:hAnsi="Times New Roman" w:eastAsia="宋体" w:cs="宋体"/>
                <w:color w:val="auto"/>
                <w:kern w:val="2"/>
                <w:sz w:val="24"/>
                <w:szCs w:val="24"/>
                <w:lang w:val="en-US" w:eastAsia="zh-CN" w:bidi="ar-SA"/>
              </w:rPr>
              <w:t>固体废物代码为404-001-99，</w:t>
            </w:r>
            <w:r>
              <w:rPr>
                <w:rFonts w:hint="default" w:ascii="Times New Roman" w:hAnsi="Times New Roman" w:eastAsia="宋体" w:cs="宋体"/>
                <w:color w:val="auto"/>
                <w:kern w:val="2"/>
                <w:sz w:val="24"/>
                <w:szCs w:val="24"/>
                <w:lang w:val="en-US" w:eastAsia="zh-CN" w:bidi="ar-SA"/>
              </w:rPr>
              <w:t>且回收可利用价值高，经收集后出售给回收企业综合利用。</w:t>
            </w:r>
          </w:p>
          <w:p w14:paraId="1074ACD2">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（2）沉淀桶污泥</w:t>
            </w:r>
          </w:p>
          <w:p w14:paraId="4834070A">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根据《排放源统计调查产排污核算方法和系数手册》中《固体废物系数表》4040行业生产全过程产生的污泥产污系数为5.8×10</w:t>
            </w:r>
            <w:r>
              <w:rPr>
                <w:rFonts w:hint="eastAsia" w:ascii="Times New Roman" w:hAnsi="Times New Roman" w:eastAsia="宋体" w:cs="宋体"/>
                <w:color w:val="auto"/>
                <w:kern w:val="2"/>
                <w:sz w:val="24"/>
                <w:szCs w:val="24"/>
                <w:vertAlign w:val="superscript"/>
                <w:lang w:val="en-US" w:eastAsia="zh-CN" w:bidi="ar-SA"/>
              </w:rPr>
              <w:t>4</w:t>
            </w:r>
            <w:r>
              <w:rPr>
                <w:rFonts w:hint="eastAsia" w:ascii="Times New Roman" w:hAnsi="Times New Roman" w:eastAsia="宋体" w:cs="宋体"/>
                <w:color w:val="auto"/>
                <w:kern w:val="2"/>
                <w:sz w:val="24"/>
                <w:szCs w:val="24"/>
                <w:lang w:val="en-US" w:eastAsia="zh-CN" w:bidi="ar-SA"/>
              </w:rPr>
              <w:t>克/千件-产品，产品产能为2</w:t>
            </w:r>
            <w:r>
              <w:rPr>
                <w:rFonts w:hint="eastAsia" w:ascii="Times New Roman" w:hAnsi="Times New Roman" w:cs="宋体"/>
                <w:color w:val="auto"/>
                <w:kern w:val="2"/>
                <w:sz w:val="24"/>
                <w:szCs w:val="24"/>
                <w:lang w:val="en-US" w:eastAsia="zh-CN" w:bidi="ar-SA"/>
              </w:rPr>
              <w:t>0</w:t>
            </w:r>
            <w:r>
              <w:rPr>
                <w:rFonts w:hint="eastAsia" w:ascii="Times New Roman" w:hAnsi="Times New Roman" w:eastAsia="宋体" w:cs="宋体"/>
                <w:color w:val="auto"/>
                <w:kern w:val="2"/>
                <w:sz w:val="24"/>
                <w:szCs w:val="24"/>
                <w:lang w:val="en-US" w:eastAsia="zh-CN" w:bidi="ar-SA"/>
              </w:rPr>
              <w:t>万片光学镜片，</w:t>
            </w:r>
            <w:r>
              <w:rPr>
                <w:rFonts w:hint="eastAsia" w:ascii="Times New Roman" w:hAnsi="Times New Roman" w:cs="宋体"/>
                <w:color w:val="auto"/>
                <w:kern w:val="2"/>
                <w:sz w:val="24"/>
                <w:szCs w:val="24"/>
                <w:lang w:val="en-US" w:eastAsia="zh-CN" w:bidi="ar-SA"/>
              </w:rPr>
              <w:t>10万片光学镜头，</w:t>
            </w:r>
            <w:r>
              <w:rPr>
                <w:rFonts w:hint="eastAsia" w:ascii="Times New Roman" w:hAnsi="Times New Roman" w:eastAsia="宋体" w:cs="宋体"/>
                <w:color w:val="auto"/>
                <w:kern w:val="2"/>
                <w:sz w:val="24"/>
                <w:szCs w:val="24"/>
                <w:lang w:val="en-US" w:eastAsia="zh-CN" w:bidi="ar-SA"/>
              </w:rPr>
              <w:t>则污泥产生量为17.4t/a，固体废物代码为404-001-62，沉淀桶污泥定期进行清掏，并由当地环卫部门统一清运处理</w:t>
            </w:r>
            <w:r>
              <w:rPr>
                <w:rFonts w:hint="default" w:ascii="Times New Roman" w:hAnsi="Times New Roman" w:eastAsia="宋体" w:cs="宋体"/>
                <w:color w:val="auto"/>
                <w:kern w:val="2"/>
                <w:sz w:val="24"/>
                <w:szCs w:val="24"/>
                <w:lang w:val="en-US" w:eastAsia="zh-CN" w:bidi="ar-SA"/>
              </w:rPr>
              <w:t>。</w:t>
            </w:r>
          </w:p>
          <w:p w14:paraId="4781077D">
            <w:pPr>
              <w:widowControl w:val="0"/>
              <w:numPr>
                <w:ilvl w:val="0"/>
                <w:numId w:val="0"/>
              </w:numPr>
              <w:bidi w:val="0"/>
              <w:spacing w:line="360" w:lineRule="auto"/>
              <w:ind w:left="0" w:leftChars="0" w:firstLine="480" w:firstLineChars="200"/>
              <w:jc w:val="both"/>
              <w:rPr>
                <w:rFonts w:hint="eastAsia"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（3）</w:t>
            </w:r>
            <w:r>
              <w:rPr>
                <w:rFonts w:hint="eastAsia" w:cs="宋体"/>
                <w:color w:val="auto"/>
                <w:kern w:val="2"/>
                <w:sz w:val="24"/>
                <w:szCs w:val="24"/>
                <w:lang w:val="en-US" w:eastAsia="zh-CN" w:bidi="ar-SA"/>
              </w:rPr>
              <w:t>废包装</w:t>
            </w:r>
          </w:p>
          <w:p w14:paraId="38637929">
            <w:pPr>
              <w:pStyle w:val="5"/>
              <w:bidi w:val="0"/>
              <w:rPr>
                <w:rFonts w:hint="default" w:cs="宋体"/>
                <w:color w:val="auto"/>
                <w:kern w:val="2"/>
                <w:sz w:val="24"/>
                <w:szCs w:val="24"/>
                <w:lang w:val="en-US" w:eastAsia="zh-CN" w:bidi="ar-SA"/>
              </w:rPr>
            </w:pPr>
            <w:r>
              <w:rPr>
                <w:rFonts w:hint="default"/>
                <w:color w:val="auto"/>
                <w:lang w:val="en-US" w:eastAsia="zh-CN"/>
              </w:rPr>
              <w:t>主要为生产过程中</w:t>
            </w:r>
            <w:r>
              <w:rPr>
                <w:rFonts w:hint="eastAsia"/>
                <w:color w:val="auto"/>
                <w:lang w:val="en-US" w:eastAsia="zh-CN"/>
              </w:rPr>
              <w:t>原辅材料使用后</w:t>
            </w:r>
            <w:r>
              <w:rPr>
                <w:rFonts w:hint="default"/>
                <w:color w:val="auto"/>
                <w:lang w:val="en-US" w:eastAsia="zh-CN"/>
              </w:rPr>
              <w:t>产生的各种普通废包材。</w:t>
            </w:r>
            <w:r>
              <w:rPr>
                <w:rFonts w:hint="eastAsia"/>
                <w:color w:val="auto"/>
                <w:lang w:val="en-US" w:eastAsia="zh-CN"/>
              </w:rPr>
              <w:t>根据建设单位提供资料，废包装物产生量为0.035t/a，属于一般工业固体废物，废物类别为SW17可再生类废物，废物代码为900-003-S17、900-005-S17</w:t>
            </w:r>
            <w:r>
              <w:rPr>
                <w:rFonts w:hint="default" w:ascii="Times New Roman" w:hAnsi="Times New Roman" w:eastAsia="宋体" w:cs="宋体"/>
                <w:color w:val="auto"/>
                <w:kern w:val="2"/>
                <w:sz w:val="24"/>
                <w:szCs w:val="24"/>
                <w:lang w:val="en-US" w:eastAsia="zh-CN" w:bidi="ar-SA"/>
              </w:rPr>
              <w:t>经收集后出售给回收企业综合利用</w:t>
            </w:r>
            <w:r>
              <w:rPr>
                <w:rFonts w:hint="eastAsia"/>
                <w:color w:val="auto"/>
                <w:lang w:val="en-US" w:eastAsia="zh-CN"/>
              </w:rPr>
              <w:t>。</w:t>
            </w:r>
          </w:p>
          <w:p w14:paraId="58BAFB73">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w:t>
            </w:r>
            <w:r>
              <w:rPr>
                <w:rFonts w:hint="eastAsia" w:cs="宋体"/>
                <w:color w:val="auto"/>
                <w:kern w:val="2"/>
                <w:sz w:val="24"/>
                <w:szCs w:val="24"/>
                <w:lang w:val="en-US" w:eastAsia="zh-CN" w:bidi="ar-SA"/>
              </w:rPr>
              <w:t>4</w:t>
            </w:r>
            <w:r>
              <w:rPr>
                <w:rFonts w:hint="eastAsia" w:ascii="Times New Roman" w:hAnsi="Times New Roman" w:eastAsia="宋体" w:cs="宋体"/>
                <w:color w:val="auto"/>
                <w:kern w:val="2"/>
                <w:sz w:val="24"/>
                <w:szCs w:val="24"/>
                <w:lang w:val="en-US" w:eastAsia="zh-CN" w:bidi="ar-SA"/>
              </w:rPr>
              <w:t>）不合格产品</w:t>
            </w:r>
          </w:p>
          <w:p w14:paraId="42CAB096">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本项目在经过人工观察检测</w:t>
            </w:r>
            <w:r>
              <w:rPr>
                <w:rFonts w:hint="eastAsia" w:ascii="Times New Roman" w:hAnsi="Times New Roman" w:eastAsia="宋体" w:cs="宋体"/>
                <w:color w:val="auto"/>
                <w:kern w:val="2"/>
                <w:sz w:val="24"/>
                <w:szCs w:val="24"/>
                <w:lang w:val="en-US" w:eastAsia="zh-CN" w:bidi="ar-SA"/>
              </w:rPr>
              <w:t>后会</w:t>
            </w:r>
            <w:r>
              <w:rPr>
                <w:rFonts w:hint="default" w:ascii="Times New Roman" w:hAnsi="Times New Roman" w:eastAsia="宋体" w:cs="宋体"/>
                <w:color w:val="auto"/>
                <w:kern w:val="2"/>
                <w:sz w:val="24"/>
                <w:szCs w:val="24"/>
                <w:lang w:val="en-US" w:eastAsia="zh-CN" w:bidi="ar-SA"/>
              </w:rPr>
              <w:t>淘汰掉不符合预期的镜片，不合格产品产生量为</w:t>
            </w:r>
            <w:r>
              <w:rPr>
                <w:rFonts w:hint="eastAsia" w:ascii="Times New Roman" w:hAnsi="Times New Roman" w:cs="宋体"/>
                <w:color w:val="auto"/>
                <w:kern w:val="2"/>
                <w:sz w:val="24"/>
                <w:szCs w:val="24"/>
                <w:lang w:val="en-US" w:eastAsia="zh-CN" w:bidi="ar-SA"/>
              </w:rPr>
              <w:t>0.7</w:t>
            </w:r>
            <w:r>
              <w:rPr>
                <w:rFonts w:hint="default" w:ascii="Times New Roman" w:hAnsi="Times New Roman" w:eastAsia="宋体" w:cs="宋体"/>
                <w:color w:val="auto"/>
                <w:kern w:val="2"/>
                <w:sz w:val="24"/>
                <w:szCs w:val="24"/>
                <w:lang w:val="en-US" w:eastAsia="zh-CN" w:bidi="ar-SA"/>
              </w:rPr>
              <w:t>t/a，属于</w:t>
            </w:r>
            <w:r>
              <w:rPr>
                <w:rFonts w:hint="eastAsia" w:cs="宋体"/>
                <w:color w:val="auto"/>
                <w:kern w:val="2"/>
                <w:sz w:val="24"/>
                <w:szCs w:val="24"/>
                <w:lang w:val="en-US" w:eastAsia="zh-CN" w:bidi="ar-SA"/>
              </w:rPr>
              <w:t>一般工业固体废物</w:t>
            </w:r>
            <w:r>
              <w:rPr>
                <w:rFonts w:hint="default" w:ascii="Times New Roman" w:hAnsi="Times New Roman" w:eastAsia="宋体" w:cs="宋体"/>
                <w:color w:val="auto"/>
                <w:kern w:val="2"/>
                <w:sz w:val="24"/>
                <w:szCs w:val="24"/>
                <w:lang w:val="en-US" w:eastAsia="zh-CN" w:bidi="ar-SA"/>
              </w:rPr>
              <w:t>，固体废物代码为404-00</w:t>
            </w:r>
            <w:r>
              <w:rPr>
                <w:rFonts w:hint="eastAsia" w:ascii="Times New Roman" w:hAnsi="Times New Roman" w:eastAsia="宋体" w:cs="宋体"/>
                <w:color w:val="auto"/>
                <w:kern w:val="2"/>
                <w:sz w:val="24"/>
                <w:szCs w:val="24"/>
                <w:lang w:val="en-US" w:eastAsia="zh-CN" w:bidi="ar-SA"/>
              </w:rPr>
              <w:t>3</w:t>
            </w:r>
            <w:r>
              <w:rPr>
                <w:rFonts w:hint="default" w:ascii="Times New Roman" w:hAnsi="Times New Roman" w:eastAsia="宋体" w:cs="宋体"/>
                <w:color w:val="auto"/>
                <w:kern w:val="2"/>
                <w:sz w:val="24"/>
                <w:szCs w:val="24"/>
                <w:lang w:val="en-US" w:eastAsia="zh-CN" w:bidi="ar-SA"/>
              </w:rPr>
              <w:t>-99且回收可利用价值高，经收集后出售给回收企业综合利用。</w:t>
            </w:r>
          </w:p>
          <w:p w14:paraId="06C56EF7">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w:t>
            </w:r>
            <w:r>
              <w:rPr>
                <w:rFonts w:hint="eastAsia" w:cs="宋体"/>
                <w:color w:val="auto"/>
                <w:kern w:val="2"/>
                <w:sz w:val="24"/>
                <w:szCs w:val="24"/>
                <w:lang w:val="en-US" w:eastAsia="zh-CN" w:bidi="ar-SA"/>
              </w:rPr>
              <w:t>5</w:t>
            </w:r>
            <w:r>
              <w:rPr>
                <w:rFonts w:hint="eastAsia" w:ascii="Times New Roman" w:hAnsi="Times New Roman" w:eastAsia="宋体" w:cs="宋体"/>
                <w:color w:val="auto"/>
                <w:kern w:val="2"/>
                <w:sz w:val="24"/>
                <w:szCs w:val="24"/>
                <w:lang w:val="en-US" w:eastAsia="zh-CN" w:bidi="ar-SA"/>
              </w:rPr>
              <w:t>）废</w:t>
            </w:r>
            <w:r>
              <w:rPr>
                <w:rFonts w:hint="eastAsia" w:ascii="Times New Roman" w:hAnsi="Times New Roman" w:cs="宋体"/>
                <w:color w:val="auto"/>
                <w:kern w:val="2"/>
                <w:sz w:val="24"/>
                <w:szCs w:val="24"/>
                <w:lang w:val="en-US" w:eastAsia="zh-CN" w:bidi="ar-SA"/>
              </w:rPr>
              <w:t>活性炭</w:t>
            </w:r>
          </w:p>
          <w:p w14:paraId="5DF7A89B">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废</w:t>
            </w:r>
            <w:r>
              <w:rPr>
                <w:rFonts w:hint="eastAsia" w:ascii="Times New Roman" w:hAnsi="Times New Roman" w:cs="宋体"/>
                <w:color w:val="auto"/>
                <w:kern w:val="2"/>
                <w:sz w:val="24"/>
                <w:szCs w:val="24"/>
                <w:lang w:val="en-US" w:eastAsia="zh-CN" w:bidi="ar-SA"/>
              </w:rPr>
              <w:t>活性炭</w:t>
            </w:r>
            <w:r>
              <w:rPr>
                <w:rFonts w:hint="default" w:ascii="Times New Roman" w:hAnsi="Times New Roman" w:eastAsia="宋体" w:cs="宋体"/>
                <w:color w:val="auto"/>
                <w:kern w:val="2"/>
                <w:sz w:val="24"/>
                <w:szCs w:val="24"/>
                <w:lang w:val="en-US" w:eastAsia="zh-CN" w:bidi="ar-SA"/>
              </w:rPr>
              <w:t>：项目废气处理设施采用</w:t>
            </w:r>
            <w:r>
              <w:rPr>
                <w:rFonts w:hint="eastAsia" w:ascii="Times New Roman" w:hAnsi="Times New Roman" w:cs="宋体"/>
                <w:color w:val="auto"/>
                <w:kern w:val="2"/>
                <w:sz w:val="24"/>
                <w:szCs w:val="24"/>
                <w:lang w:val="en-US" w:eastAsia="zh-CN" w:bidi="ar-SA"/>
              </w:rPr>
              <w:t>二级活性炭</w:t>
            </w:r>
            <w:r>
              <w:rPr>
                <w:rFonts w:hint="default" w:ascii="Times New Roman" w:hAnsi="Times New Roman" w:eastAsia="宋体" w:cs="宋体"/>
                <w:color w:val="auto"/>
                <w:kern w:val="2"/>
                <w:sz w:val="24"/>
                <w:szCs w:val="24"/>
                <w:lang w:val="en-US" w:eastAsia="zh-CN" w:bidi="ar-SA"/>
              </w:rPr>
              <w:t>吸附装置，根据前文计算可知，吸收有机废气量约为</w:t>
            </w:r>
            <w:r>
              <w:rPr>
                <w:rFonts w:hint="eastAsia" w:ascii="Times New Roman" w:hAnsi="Times New Roman" w:eastAsia="宋体" w:cs="宋体"/>
                <w:color w:val="auto"/>
                <w:kern w:val="2"/>
                <w:sz w:val="24"/>
                <w:szCs w:val="24"/>
                <w:lang w:val="en-US" w:eastAsia="zh-CN" w:bidi="ar-SA"/>
              </w:rPr>
              <w:t>0.286</w:t>
            </w:r>
            <w:r>
              <w:rPr>
                <w:rFonts w:hint="default" w:ascii="Times New Roman" w:hAnsi="Times New Roman" w:eastAsia="宋体" w:cs="宋体"/>
                <w:color w:val="auto"/>
                <w:kern w:val="2"/>
                <w:sz w:val="24"/>
                <w:szCs w:val="24"/>
                <w:lang w:val="en-US" w:eastAsia="zh-CN" w:bidi="ar-SA"/>
              </w:rPr>
              <w:t>t/a，根据中国建筑出版社（1997）出版的《简明通风设计手册》第十章中关于活性吸附处理治理废气的方法中提供的数据：每1.0kg</w:t>
            </w:r>
            <w:r>
              <w:rPr>
                <w:rFonts w:hint="eastAsia" w:ascii="Times New Roman" w:hAnsi="Times New Roman" w:cs="宋体"/>
                <w:color w:val="auto"/>
                <w:kern w:val="2"/>
                <w:sz w:val="24"/>
                <w:szCs w:val="24"/>
                <w:lang w:val="en-US" w:eastAsia="zh-CN" w:bidi="ar-SA"/>
              </w:rPr>
              <w:t>活性炭</w:t>
            </w:r>
            <w:r>
              <w:rPr>
                <w:rFonts w:hint="default" w:ascii="Times New Roman" w:hAnsi="Times New Roman" w:eastAsia="宋体" w:cs="宋体"/>
                <w:color w:val="auto"/>
                <w:kern w:val="2"/>
                <w:sz w:val="24"/>
                <w:szCs w:val="24"/>
                <w:lang w:val="en-US" w:eastAsia="zh-CN" w:bidi="ar-SA"/>
              </w:rPr>
              <w:t>吸附有机废气的平衡量为0.43～0.61kg，本项目按1t</w:t>
            </w:r>
            <w:r>
              <w:rPr>
                <w:rFonts w:hint="eastAsia" w:ascii="Times New Roman" w:hAnsi="Times New Roman" w:cs="宋体"/>
                <w:color w:val="auto"/>
                <w:kern w:val="2"/>
                <w:sz w:val="24"/>
                <w:szCs w:val="24"/>
                <w:lang w:val="en-US" w:eastAsia="zh-CN" w:bidi="ar-SA"/>
              </w:rPr>
              <w:t>活性炭</w:t>
            </w:r>
            <w:r>
              <w:rPr>
                <w:rFonts w:hint="default" w:ascii="Times New Roman" w:hAnsi="Times New Roman" w:eastAsia="宋体" w:cs="宋体"/>
                <w:color w:val="auto"/>
                <w:kern w:val="2"/>
                <w:sz w:val="24"/>
                <w:szCs w:val="24"/>
                <w:lang w:val="en-US" w:eastAsia="zh-CN" w:bidi="ar-SA"/>
              </w:rPr>
              <w:t>吸附0.</w:t>
            </w:r>
            <w:r>
              <w:rPr>
                <w:rFonts w:hint="eastAsia" w:ascii="Times New Roman" w:hAnsi="Times New Roman" w:eastAsia="宋体" w:cs="宋体"/>
                <w:color w:val="auto"/>
                <w:kern w:val="2"/>
                <w:sz w:val="24"/>
                <w:szCs w:val="24"/>
                <w:lang w:val="en-US" w:eastAsia="zh-CN" w:bidi="ar-SA"/>
              </w:rPr>
              <w:t>3</w:t>
            </w:r>
            <w:r>
              <w:rPr>
                <w:rFonts w:hint="default" w:ascii="Times New Roman" w:hAnsi="Times New Roman" w:eastAsia="宋体" w:cs="宋体"/>
                <w:color w:val="auto"/>
                <w:kern w:val="2"/>
                <w:sz w:val="24"/>
                <w:szCs w:val="24"/>
                <w:lang w:val="en-US" w:eastAsia="zh-CN" w:bidi="ar-SA"/>
              </w:rPr>
              <w:t>t有机废气计算，根据前文产排污分析可知，项目有组织有机废气排净化量</w:t>
            </w:r>
            <w:r>
              <w:rPr>
                <w:rFonts w:hint="eastAsia" w:ascii="Times New Roman" w:hAnsi="Times New Roman" w:eastAsia="宋体" w:cs="宋体"/>
                <w:color w:val="auto"/>
                <w:kern w:val="2"/>
                <w:sz w:val="24"/>
                <w:szCs w:val="24"/>
                <w:lang w:val="en-US" w:eastAsia="zh-CN" w:bidi="ar-SA"/>
              </w:rPr>
              <w:t>0.286</w:t>
            </w:r>
            <w:r>
              <w:rPr>
                <w:rFonts w:hint="default" w:ascii="Times New Roman" w:hAnsi="Times New Roman" w:eastAsia="宋体" w:cs="宋体"/>
                <w:color w:val="auto"/>
                <w:kern w:val="2"/>
                <w:sz w:val="24"/>
                <w:szCs w:val="24"/>
                <w:lang w:val="en-US" w:eastAsia="zh-CN" w:bidi="ar-SA"/>
              </w:rPr>
              <w:t>t/a，则预计项目年消耗</w:t>
            </w:r>
            <w:r>
              <w:rPr>
                <w:rFonts w:hint="eastAsia" w:ascii="Times New Roman" w:hAnsi="Times New Roman" w:cs="宋体"/>
                <w:color w:val="auto"/>
                <w:kern w:val="2"/>
                <w:sz w:val="24"/>
                <w:szCs w:val="24"/>
                <w:lang w:val="en-US" w:eastAsia="zh-CN" w:bidi="ar-SA"/>
              </w:rPr>
              <w:t>活性炭</w:t>
            </w:r>
            <w:r>
              <w:rPr>
                <w:rFonts w:hint="default" w:ascii="Times New Roman" w:hAnsi="Times New Roman" w:eastAsia="宋体" w:cs="宋体"/>
                <w:color w:val="auto"/>
                <w:kern w:val="2"/>
                <w:sz w:val="24"/>
                <w:szCs w:val="24"/>
                <w:lang w:val="en-US" w:eastAsia="zh-CN" w:bidi="ar-SA"/>
              </w:rPr>
              <w:t>量为</w:t>
            </w:r>
            <w:r>
              <w:rPr>
                <w:rFonts w:hint="eastAsia" w:ascii="Times New Roman" w:hAnsi="Times New Roman" w:eastAsia="宋体" w:cs="宋体"/>
                <w:color w:val="auto"/>
                <w:kern w:val="2"/>
                <w:sz w:val="24"/>
                <w:szCs w:val="24"/>
                <w:lang w:val="en-US" w:eastAsia="zh-CN" w:bidi="ar-SA"/>
              </w:rPr>
              <w:t>0.953</w:t>
            </w:r>
            <w:r>
              <w:rPr>
                <w:rFonts w:hint="default" w:ascii="Times New Roman" w:hAnsi="Times New Roman" w:eastAsia="宋体" w:cs="宋体"/>
                <w:color w:val="auto"/>
                <w:kern w:val="2"/>
                <w:sz w:val="24"/>
                <w:szCs w:val="24"/>
                <w:lang w:val="en-US" w:eastAsia="zh-CN" w:bidi="ar-SA"/>
              </w:rPr>
              <w:t>t，则项目每年产生的废</w:t>
            </w:r>
            <w:r>
              <w:rPr>
                <w:rFonts w:hint="eastAsia" w:ascii="Times New Roman" w:hAnsi="Times New Roman" w:cs="宋体"/>
                <w:color w:val="auto"/>
                <w:kern w:val="2"/>
                <w:sz w:val="24"/>
                <w:szCs w:val="24"/>
                <w:lang w:val="en-US" w:eastAsia="zh-CN" w:bidi="ar-SA"/>
              </w:rPr>
              <w:t>活性炭</w:t>
            </w:r>
            <w:r>
              <w:rPr>
                <w:rFonts w:hint="default" w:ascii="Times New Roman" w:hAnsi="Times New Roman" w:eastAsia="宋体" w:cs="宋体"/>
                <w:color w:val="auto"/>
                <w:kern w:val="2"/>
                <w:sz w:val="24"/>
                <w:szCs w:val="24"/>
                <w:lang w:val="en-US" w:eastAsia="zh-CN" w:bidi="ar-SA"/>
              </w:rPr>
              <w:t>吸附饱和物量约为</w:t>
            </w:r>
            <w:r>
              <w:rPr>
                <w:rFonts w:hint="eastAsia" w:ascii="Times New Roman" w:hAnsi="Times New Roman" w:eastAsia="宋体" w:cs="宋体"/>
                <w:color w:val="auto"/>
                <w:kern w:val="2"/>
                <w:sz w:val="24"/>
                <w:szCs w:val="24"/>
                <w:lang w:val="en-US" w:eastAsia="zh-CN" w:bidi="ar-SA"/>
              </w:rPr>
              <w:t>1.239</w:t>
            </w:r>
            <w:r>
              <w:rPr>
                <w:rFonts w:hint="default" w:ascii="Times New Roman" w:hAnsi="Times New Roman" w:eastAsia="宋体" w:cs="宋体"/>
                <w:color w:val="auto"/>
                <w:kern w:val="2"/>
                <w:sz w:val="24"/>
                <w:szCs w:val="24"/>
                <w:lang w:val="en-US" w:eastAsia="zh-CN" w:bidi="ar-SA"/>
              </w:rPr>
              <w:t>t/a，项目计划每</w:t>
            </w:r>
            <w:r>
              <w:rPr>
                <w:rFonts w:hint="eastAsia" w:ascii="Times New Roman" w:hAnsi="Times New Roman" w:eastAsia="宋体" w:cs="宋体"/>
                <w:color w:val="auto"/>
                <w:kern w:val="2"/>
                <w:sz w:val="24"/>
                <w:szCs w:val="24"/>
                <w:lang w:val="en-US" w:eastAsia="zh-CN" w:bidi="ar-SA"/>
              </w:rPr>
              <w:t>季度</w:t>
            </w:r>
            <w:r>
              <w:rPr>
                <w:rFonts w:hint="default" w:ascii="Times New Roman" w:hAnsi="Times New Roman" w:eastAsia="宋体" w:cs="宋体"/>
                <w:color w:val="auto"/>
                <w:kern w:val="2"/>
                <w:sz w:val="24"/>
                <w:szCs w:val="24"/>
                <w:lang w:val="en-US" w:eastAsia="zh-CN" w:bidi="ar-SA"/>
              </w:rPr>
              <w:t>更换一次</w:t>
            </w:r>
            <w:r>
              <w:rPr>
                <w:rFonts w:hint="eastAsia" w:ascii="Times New Roman" w:hAnsi="Times New Roman" w:cs="宋体"/>
                <w:color w:val="auto"/>
                <w:kern w:val="2"/>
                <w:sz w:val="24"/>
                <w:szCs w:val="24"/>
                <w:lang w:val="en-US" w:eastAsia="zh-CN" w:bidi="ar-SA"/>
              </w:rPr>
              <w:t>活性炭</w:t>
            </w:r>
            <w:r>
              <w:rPr>
                <w:rFonts w:hint="default" w:ascii="Times New Roman" w:hAnsi="Times New Roman" w:eastAsia="宋体" w:cs="宋体"/>
                <w:color w:val="auto"/>
                <w:kern w:val="2"/>
                <w:sz w:val="24"/>
                <w:szCs w:val="24"/>
                <w:lang w:val="en-US" w:eastAsia="zh-CN" w:bidi="ar-SA"/>
              </w:rPr>
              <w:t>吸附填料，确保项目有机废气达标排放，则废弃</w:t>
            </w:r>
            <w:r>
              <w:rPr>
                <w:rFonts w:hint="eastAsia" w:ascii="Times New Roman" w:hAnsi="Times New Roman" w:cs="宋体"/>
                <w:color w:val="auto"/>
                <w:kern w:val="2"/>
                <w:sz w:val="24"/>
                <w:szCs w:val="24"/>
                <w:lang w:val="en-US" w:eastAsia="zh-CN" w:bidi="ar-SA"/>
              </w:rPr>
              <w:t>活性炭</w:t>
            </w:r>
            <w:r>
              <w:rPr>
                <w:rFonts w:hint="default" w:ascii="Times New Roman" w:hAnsi="Times New Roman" w:eastAsia="宋体" w:cs="宋体"/>
                <w:color w:val="auto"/>
                <w:kern w:val="2"/>
                <w:sz w:val="24"/>
                <w:szCs w:val="24"/>
                <w:lang w:val="en-US" w:eastAsia="zh-CN" w:bidi="ar-SA"/>
              </w:rPr>
              <w:t>吸附饱和物年生产量约为</w:t>
            </w:r>
            <w:r>
              <w:rPr>
                <w:rFonts w:hint="eastAsia" w:ascii="Times New Roman" w:hAnsi="Times New Roman" w:eastAsia="宋体" w:cs="宋体"/>
                <w:color w:val="auto"/>
                <w:kern w:val="2"/>
                <w:sz w:val="24"/>
                <w:szCs w:val="24"/>
                <w:lang w:val="en-US" w:eastAsia="zh-CN" w:bidi="ar-SA"/>
              </w:rPr>
              <w:t>1.239</w:t>
            </w:r>
            <w:r>
              <w:rPr>
                <w:rFonts w:hint="default" w:ascii="Times New Roman" w:hAnsi="Times New Roman" w:eastAsia="宋体" w:cs="宋体"/>
                <w:color w:val="auto"/>
                <w:kern w:val="2"/>
                <w:sz w:val="24"/>
                <w:szCs w:val="24"/>
                <w:lang w:val="en-US" w:eastAsia="zh-CN" w:bidi="ar-SA"/>
              </w:rPr>
              <w:t>t/a。根据《国家危险废物名录》（20</w:t>
            </w:r>
            <w:r>
              <w:rPr>
                <w:rFonts w:hint="eastAsia" w:cs="宋体"/>
                <w:color w:val="auto"/>
                <w:kern w:val="2"/>
                <w:sz w:val="24"/>
                <w:szCs w:val="24"/>
                <w:lang w:val="en-US" w:eastAsia="zh-CN" w:bidi="ar-SA"/>
              </w:rPr>
              <w:t>25</w:t>
            </w:r>
            <w:r>
              <w:rPr>
                <w:rFonts w:hint="default" w:ascii="Times New Roman" w:hAnsi="Times New Roman" w:eastAsia="宋体" w:cs="宋体"/>
                <w:color w:val="auto"/>
                <w:kern w:val="2"/>
                <w:sz w:val="24"/>
                <w:szCs w:val="24"/>
                <w:lang w:val="en-US" w:eastAsia="zh-CN" w:bidi="ar-SA"/>
              </w:rPr>
              <w:t>年版），废</w:t>
            </w:r>
            <w:r>
              <w:rPr>
                <w:rFonts w:hint="eastAsia" w:ascii="Times New Roman" w:hAnsi="Times New Roman" w:cs="宋体"/>
                <w:color w:val="auto"/>
                <w:kern w:val="2"/>
                <w:sz w:val="24"/>
                <w:szCs w:val="24"/>
                <w:lang w:val="en-US" w:eastAsia="zh-CN" w:bidi="ar-SA"/>
              </w:rPr>
              <w:t>活性炭</w:t>
            </w:r>
            <w:r>
              <w:rPr>
                <w:rFonts w:hint="default" w:ascii="Times New Roman" w:hAnsi="Times New Roman" w:eastAsia="宋体" w:cs="宋体"/>
                <w:color w:val="auto"/>
                <w:kern w:val="2"/>
                <w:sz w:val="24"/>
                <w:szCs w:val="24"/>
                <w:lang w:val="en-US" w:eastAsia="zh-CN" w:bidi="ar-SA"/>
              </w:rPr>
              <w:t>吸附饱和物属于危险废物，废物类别为HW49其他废物，废物代码900-039-49。妥善收集后暂存至</w:t>
            </w:r>
            <w:r>
              <w:rPr>
                <w:rFonts w:hint="eastAsia" w:ascii="Times New Roman" w:hAnsi="Times New Roman" w:eastAsia="宋体" w:cs="宋体"/>
                <w:color w:val="auto"/>
                <w:kern w:val="2"/>
                <w:sz w:val="24"/>
                <w:szCs w:val="24"/>
                <w:lang w:val="en-US" w:eastAsia="zh-CN" w:bidi="ar-SA"/>
              </w:rPr>
              <w:t>危废贮存库</w:t>
            </w:r>
            <w:r>
              <w:rPr>
                <w:rFonts w:hint="default" w:ascii="Times New Roman" w:hAnsi="Times New Roman" w:eastAsia="宋体" w:cs="宋体"/>
                <w:color w:val="auto"/>
                <w:kern w:val="2"/>
                <w:sz w:val="24"/>
                <w:szCs w:val="24"/>
                <w:lang w:val="en-US" w:eastAsia="zh-CN" w:bidi="ar-SA"/>
              </w:rPr>
              <w:t>中，定期委托有危废处置资质单位进行处理。</w:t>
            </w:r>
          </w:p>
          <w:p w14:paraId="720EF4B7">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w:t>
            </w:r>
            <w:r>
              <w:rPr>
                <w:rFonts w:hint="eastAsia" w:cs="宋体"/>
                <w:color w:val="auto"/>
                <w:kern w:val="2"/>
                <w:sz w:val="24"/>
                <w:szCs w:val="24"/>
                <w:lang w:val="en-US" w:eastAsia="zh-CN" w:bidi="ar-SA"/>
              </w:rPr>
              <w:t>6</w:t>
            </w:r>
            <w:r>
              <w:rPr>
                <w:rFonts w:hint="eastAsia" w:ascii="Times New Roman" w:hAnsi="Times New Roman" w:eastAsia="宋体" w:cs="宋体"/>
                <w:color w:val="auto"/>
                <w:kern w:val="2"/>
                <w:sz w:val="24"/>
                <w:szCs w:val="24"/>
                <w:lang w:val="en-US" w:eastAsia="zh-CN" w:bidi="ar-SA"/>
              </w:rPr>
              <w:t>）废无尘布</w:t>
            </w:r>
          </w:p>
          <w:p w14:paraId="41FD60E9">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检测工序中，</w:t>
            </w:r>
            <w:r>
              <w:rPr>
                <w:rFonts w:hint="default" w:ascii="Times New Roman" w:hAnsi="Times New Roman" w:eastAsia="宋体" w:cs="宋体"/>
                <w:color w:val="auto"/>
                <w:kern w:val="2"/>
                <w:sz w:val="24"/>
                <w:szCs w:val="24"/>
                <w:lang w:val="en-US" w:eastAsia="zh-CN" w:bidi="ar-SA"/>
              </w:rPr>
              <w:t>无尘布蘸有丙酮-乙醚混合液（体积比 1:1）在镜片上擦拭</w:t>
            </w:r>
            <w:r>
              <w:rPr>
                <w:rFonts w:hint="eastAsia" w:ascii="Times New Roman" w:hAnsi="Times New Roman" w:eastAsia="宋体" w:cs="宋体"/>
                <w:color w:val="auto"/>
                <w:kern w:val="2"/>
                <w:sz w:val="24"/>
                <w:szCs w:val="24"/>
                <w:lang w:val="en-US" w:eastAsia="zh-CN" w:bidi="ar-SA"/>
              </w:rPr>
              <w:t>去除污渍</w:t>
            </w:r>
            <w:r>
              <w:rPr>
                <w:rFonts w:hint="default" w:ascii="Times New Roman" w:hAnsi="Times New Roman" w:eastAsia="宋体" w:cs="宋体"/>
                <w:color w:val="auto"/>
                <w:kern w:val="2"/>
                <w:sz w:val="24"/>
                <w:szCs w:val="24"/>
                <w:lang w:val="en-US" w:eastAsia="zh-CN" w:bidi="ar-SA"/>
              </w:rPr>
              <w:t>，对照《国家危险废物名录》</w:t>
            </w:r>
            <w:r>
              <w:rPr>
                <w:rFonts w:hint="eastAsia" w:ascii="Times New Roman" w:hAnsi="Times New Roman" w:eastAsia="宋体" w:cs="宋体"/>
                <w:color w:val="auto"/>
                <w:kern w:val="2"/>
                <w:sz w:val="24"/>
                <w:szCs w:val="24"/>
                <w:lang w:val="en-US" w:eastAsia="zh-CN" w:bidi="ar-SA"/>
              </w:rPr>
              <w:t>（20</w:t>
            </w:r>
            <w:r>
              <w:rPr>
                <w:rFonts w:hint="eastAsia" w:cs="宋体"/>
                <w:color w:val="auto"/>
                <w:kern w:val="2"/>
                <w:sz w:val="24"/>
                <w:szCs w:val="24"/>
                <w:lang w:val="en-US" w:eastAsia="zh-CN" w:bidi="ar-SA"/>
              </w:rPr>
              <w:t>25</w:t>
            </w:r>
            <w:r>
              <w:rPr>
                <w:rFonts w:hint="eastAsia" w:ascii="Times New Roman" w:hAnsi="Times New Roman" w:eastAsia="宋体" w:cs="宋体"/>
                <w:color w:val="auto"/>
                <w:kern w:val="2"/>
                <w:sz w:val="24"/>
                <w:szCs w:val="24"/>
                <w:lang w:val="en-US" w:eastAsia="zh-CN" w:bidi="ar-SA"/>
              </w:rPr>
              <w:t>年版）</w:t>
            </w:r>
            <w:r>
              <w:rPr>
                <w:rFonts w:hint="default" w:ascii="Times New Roman" w:hAnsi="Times New Roman" w:eastAsia="宋体" w:cs="宋体"/>
                <w:color w:val="auto"/>
                <w:kern w:val="2"/>
                <w:sz w:val="24"/>
                <w:szCs w:val="24"/>
                <w:lang w:val="en-US" w:eastAsia="zh-CN" w:bidi="ar-SA"/>
              </w:rPr>
              <w:t>中所列的危险</w:t>
            </w:r>
            <w:r>
              <w:rPr>
                <w:rFonts w:hint="eastAsia" w:ascii="Times New Roman" w:hAnsi="Times New Roman" w:eastAsia="宋体" w:cs="宋体"/>
                <w:color w:val="auto"/>
                <w:kern w:val="2"/>
                <w:sz w:val="24"/>
                <w:szCs w:val="24"/>
                <w:lang w:val="en-US" w:eastAsia="zh-CN" w:bidi="ar-SA"/>
              </w:rPr>
              <w:t>废物</w:t>
            </w:r>
            <w:r>
              <w:rPr>
                <w:rFonts w:hint="default" w:ascii="Times New Roman" w:hAnsi="Times New Roman" w:eastAsia="宋体" w:cs="宋体"/>
                <w:color w:val="auto"/>
                <w:kern w:val="2"/>
                <w:sz w:val="24"/>
                <w:szCs w:val="24"/>
                <w:lang w:val="en-US" w:eastAsia="zh-CN" w:bidi="ar-SA"/>
              </w:rPr>
              <w:t>，</w:t>
            </w:r>
            <w:r>
              <w:rPr>
                <w:rFonts w:hint="eastAsia" w:ascii="Times New Roman" w:hAnsi="Times New Roman" w:eastAsia="宋体" w:cs="宋体"/>
                <w:color w:val="auto"/>
                <w:kern w:val="2"/>
                <w:sz w:val="24"/>
                <w:szCs w:val="24"/>
                <w:lang w:val="en-US" w:eastAsia="zh-CN" w:bidi="ar-SA"/>
              </w:rPr>
              <w:t>废无尘布废物类别为</w:t>
            </w:r>
            <w:r>
              <w:rPr>
                <w:rFonts w:hint="default" w:ascii="Times New Roman" w:hAnsi="Times New Roman" w:eastAsia="宋体" w:cs="宋体"/>
                <w:color w:val="auto"/>
                <w:kern w:val="2"/>
                <w:sz w:val="24"/>
                <w:szCs w:val="24"/>
                <w:lang w:val="en-US" w:eastAsia="zh-CN" w:bidi="ar-SA"/>
              </w:rPr>
              <w:t>HW49其他废物</w:t>
            </w:r>
            <w:r>
              <w:rPr>
                <w:rFonts w:hint="eastAsia" w:ascii="Times New Roman" w:hAnsi="Times New Roman" w:eastAsia="宋体" w:cs="宋体"/>
                <w:color w:val="auto"/>
                <w:kern w:val="2"/>
                <w:sz w:val="24"/>
                <w:szCs w:val="24"/>
                <w:lang w:val="en-US" w:eastAsia="zh-CN" w:bidi="ar-SA"/>
              </w:rPr>
              <w:t>，废物代码</w:t>
            </w:r>
            <w:r>
              <w:rPr>
                <w:rFonts w:hint="default" w:ascii="Times New Roman" w:hAnsi="Times New Roman" w:eastAsia="宋体" w:cs="宋体"/>
                <w:color w:val="auto"/>
                <w:kern w:val="2"/>
                <w:sz w:val="24"/>
                <w:szCs w:val="24"/>
                <w:lang w:val="en-US" w:eastAsia="zh-CN" w:bidi="ar-SA"/>
              </w:rPr>
              <w:t>900-041-49，</w:t>
            </w:r>
            <w:r>
              <w:rPr>
                <w:rFonts w:hint="eastAsia" w:ascii="Times New Roman" w:hAnsi="Times New Roman" w:eastAsia="宋体" w:cs="宋体"/>
                <w:color w:val="auto"/>
                <w:kern w:val="2"/>
                <w:sz w:val="24"/>
                <w:szCs w:val="24"/>
                <w:lang w:val="en-US" w:eastAsia="zh-CN" w:bidi="ar-SA"/>
              </w:rPr>
              <w:t>妥善</w:t>
            </w:r>
            <w:r>
              <w:rPr>
                <w:rFonts w:hint="default" w:ascii="Times New Roman" w:hAnsi="Times New Roman" w:eastAsia="宋体" w:cs="宋体"/>
                <w:color w:val="auto"/>
                <w:kern w:val="2"/>
                <w:sz w:val="24"/>
                <w:szCs w:val="24"/>
                <w:lang w:val="en-US" w:eastAsia="zh-CN" w:bidi="ar-SA"/>
              </w:rPr>
              <w:t>收集后临时储存于</w:t>
            </w:r>
            <w:r>
              <w:rPr>
                <w:rFonts w:hint="eastAsia" w:ascii="Times New Roman" w:hAnsi="Times New Roman" w:eastAsia="宋体" w:cs="宋体"/>
                <w:color w:val="auto"/>
                <w:kern w:val="2"/>
                <w:sz w:val="24"/>
                <w:szCs w:val="24"/>
                <w:lang w:val="en-US" w:eastAsia="zh-CN" w:bidi="ar-SA"/>
              </w:rPr>
              <w:t>危废贮存库</w:t>
            </w:r>
            <w:r>
              <w:rPr>
                <w:rFonts w:hint="default" w:ascii="Times New Roman" w:hAnsi="Times New Roman" w:eastAsia="宋体" w:cs="宋体"/>
                <w:color w:val="auto"/>
                <w:kern w:val="2"/>
                <w:sz w:val="24"/>
                <w:szCs w:val="24"/>
                <w:lang w:val="en-US" w:eastAsia="zh-CN" w:bidi="ar-SA"/>
              </w:rPr>
              <w:t>，</w:t>
            </w:r>
            <w:r>
              <w:rPr>
                <w:rFonts w:hint="eastAsia" w:ascii="Times New Roman" w:hAnsi="Times New Roman" w:eastAsia="宋体" w:cs="宋体"/>
                <w:color w:val="auto"/>
                <w:kern w:val="2"/>
                <w:sz w:val="24"/>
                <w:szCs w:val="24"/>
                <w:lang w:val="en-US" w:eastAsia="zh-CN" w:bidi="ar-SA"/>
              </w:rPr>
              <w:t>定期</w:t>
            </w:r>
            <w:r>
              <w:rPr>
                <w:rFonts w:hint="default" w:ascii="Times New Roman" w:hAnsi="Times New Roman" w:eastAsia="宋体" w:cs="宋体"/>
                <w:color w:val="auto"/>
                <w:kern w:val="2"/>
                <w:sz w:val="24"/>
                <w:szCs w:val="24"/>
                <w:lang w:val="en-US" w:eastAsia="zh-CN" w:bidi="ar-SA"/>
              </w:rPr>
              <w:t>委托有资质的</w:t>
            </w:r>
            <w:r>
              <w:rPr>
                <w:rFonts w:hint="eastAsia" w:ascii="Times New Roman" w:hAnsi="Times New Roman" w:eastAsia="宋体" w:cs="宋体"/>
                <w:color w:val="auto"/>
                <w:kern w:val="2"/>
                <w:sz w:val="24"/>
                <w:szCs w:val="24"/>
                <w:lang w:val="en-US" w:eastAsia="zh-CN" w:bidi="ar-SA"/>
              </w:rPr>
              <w:t>单位</w:t>
            </w:r>
            <w:r>
              <w:rPr>
                <w:rFonts w:hint="default" w:ascii="Times New Roman" w:hAnsi="Times New Roman" w:eastAsia="宋体" w:cs="宋体"/>
                <w:color w:val="auto"/>
                <w:kern w:val="2"/>
                <w:sz w:val="24"/>
                <w:szCs w:val="24"/>
                <w:lang w:val="en-US" w:eastAsia="zh-CN" w:bidi="ar-SA"/>
              </w:rPr>
              <w:t>处理处置。废</w:t>
            </w:r>
            <w:r>
              <w:rPr>
                <w:rFonts w:hint="eastAsia" w:ascii="Times New Roman" w:hAnsi="Times New Roman" w:eastAsia="宋体" w:cs="宋体"/>
                <w:color w:val="auto"/>
                <w:kern w:val="2"/>
                <w:sz w:val="24"/>
                <w:szCs w:val="24"/>
                <w:lang w:val="en-US" w:eastAsia="zh-CN" w:bidi="ar-SA"/>
              </w:rPr>
              <w:t>无尘布</w:t>
            </w:r>
            <w:r>
              <w:rPr>
                <w:rFonts w:hint="default" w:ascii="Times New Roman" w:hAnsi="Times New Roman" w:eastAsia="宋体" w:cs="宋体"/>
                <w:color w:val="auto"/>
                <w:kern w:val="2"/>
                <w:sz w:val="24"/>
                <w:szCs w:val="24"/>
                <w:lang w:val="en-US" w:eastAsia="zh-CN" w:bidi="ar-SA"/>
              </w:rPr>
              <w:t>产生量为0.</w:t>
            </w:r>
            <w:r>
              <w:rPr>
                <w:rFonts w:hint="eastAsia" w:ascii="Times New Roman" w:hAnsi="Times New Roman" w:eastAsia="宋体" w:cs="宋体"/>
                <w:color w:val="auto"/>
                <w:kern w:val="2"/>
                <w:sz w:val="24"/>
                <w:szCs w:val="24"/>
                <w:lang w:val="en-US" w:eastAsia="zh-CN" w:bidi="ar-SA"/>
              </w:rPr>
              <w:t>13</w:t>
            </w:r>
            <w:r>
              <w:rPr>
                <w:rFonts w:hint="default" w:ascii="Times New Roman" w:hAnsi="Times New Roman" w:eastAsia="宋体" w:cs="宋体"/>
                <w:color w:val="auto"/>
                <w:kern w:val="2"/>
                <w:sz w:val="24"/>
                <w:szCs w:val="24"/>
                <w:lang w:val="en-US" w:eastAsia="zh-CN" w:bidi="ar-SA"/>
              </w:rPr>
              <w:t>t/a。</w:t>
            </w:r>
          </w:p>
          <w:p w14:paraId="054835B2">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w:t>
            </w:r>
            <w:r>
              <w:rPr>
                <w:rFonts w:hint="eastAsia" w:cs="宋体"/>
                <w:color w:val="auto"/>
                <w:kern w:val="2"/>
                <w:sz w:val="24"/>
                <w:szCs w:val="24"/>
                <w:lang w:val="en-US" w:eastAsia="zh-CN" w:bidi="ar-SA"/>
              </w:rPr>
              <w:t>7</w:t>
            </w:r>
            <w:r>
              <w:rPr>
                <w:rFonts w:hint="eastAsia" w:ascii="Times New Roman" w:hAnsi="Times New Roman" w:eastAsia="宋体" w:cs="宋体"/>
                <w:color w:val="auto"/>
                <w:kern w:val="2"/>
                <w:sz w:val="24"/>
                <w:szCs w:val="24"/>
                <w:lang w:val="en-US" w:eastAsia="zh-CN" w:bidi="ar-SA"/>
              </w:rPr>
              <w:t>）废包装容器</w:t>
            </w:r>
          </w:p>
          <w:p w14:paraId="6A5DF1F7">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废空瓶</w:t>
            </w:r>
            <w:r>
              <w:rPr>
                <w:rFonts w:hint="default" w:ascii="Times New Roman" w:hAnsi="Times New Roman" w:eastAsia="宋体" w:cs="宋体"/>
                <w:color w:val="auto"/>
                <w:kern w:val="2"/>
                <w:sz w:val="24"/>
                <w:szCs w:val="24"/>
                <w:lang w:val="en-US" w:eastAsia="zh-CN" w:bidi="ar-SA"/>
              </w:rPr>
              <w:t>主要是使用完乙醇、乙醚、丙酮等有机溶剂的空玻璃瓶，本项目</w:t>
            </w:r>
            <w:r>
              <w:rPr>
                <w:rFonts w:hint="eastAsia" w:ascii="Times New Roman" w:hAnsi="Times New Roman" w:eastAsia="宋体" w:cs="宋体"/>
                <w:color w:val="auto"/>
                <w:kern w:val="2"/>
                <w:sz w:val="24"/>
                <w:szCs w:val="24"/>
                <w:lang w:val="en-US" w:eastAsia="zh-CN" w:bidi="ar-SA"/>
              </w:rPr>
              <w:t>废包装容器</w:t>
            </w:r>
            <w:r>
              <w:rPr>
                <w:rFonts w:hint="default" w:ascii="Times New Roman" w:hAnsi="Times New Roman" w:eastAsia="宋体" w:cs="宋体"/>
                <w:color w:val="auto"/>
                <w:kern w:val="2"/>
                <w:sz w:val="24"/>
                <w:szCs w:val="24"/>
                <w:lang w:val="en-US" w:eastAsia="zh-CN" w:bidi="ar-SA"/>
              </w:rPr>
              <w:t>产生量为0.</w:t>
            </w:r>
            <w:r>
              <w:rPr>
                <w:rFonts w:hint="eastAsia" w:ascii="Times New Roman" w:hAnsi="Times New Roman" w:eastAsia="宋体" w:cs="宋体"/>
                <w:color w:val="auto"/>
                <w:kern w:val="2"/>
                <w:sz w:val="24"/>
                <w:szCs w:val="24"/>
                <w:lang w:val="en-US" w:eastAsia="zh-CN" w:bidi="ar-SA"/>
              </w:rPr>
              <w:t>5</w:t>
            </w:r>
            <w:r>
              <w:rPr>
                <w:rFonts w:hint="default" w:ascii="Times New Roman" w:hAnsi="Times New Roman" w:eastAsia="宋体" w:cs="宋体"/>
                <w:color w:val="auto"/>
                <w:kern w:val="2"/>
                <w:sz w:val="24"/>
                <w:szCs w:val="24"/>
                <w:lang w:val="en-US" w:eastAsia="zh-CN" w:bidi="ar-SA"/>
              </w:rPr>
              <w:t>t/a，属于危险废物，对照《国家危险废物名录》（202</w:t>
            </w:r>
            <w:r>
              <w:rPr>
                <w:rFonts w:hint="eastAsia" w:cs="宋体"/>
                <w:color w:val="auto"/>
                <w:kern w:val="2"/>
                <w:sz w:val="24"/>
                <w:szCs w:val="24"/>
                <w:lang w:val="en-US" w:eastAsia="zh-CN" w:bidi="ar-SA"/>
              </w:rPr>
              <w:t>5</w:t>
            </w:r>
            <w:r>
              <w:rPr>
                <w:rFonts w:hint="default" w:ascii="Times New Roman" w:hAnsi="Times New Roman" w:eastAsia="宋体" w:cs="宋体"/>
                <w:color w:val="auto"/>
                <w:kern w:val="2"/>
                <w:sz w:val="24"/>
                <w:szCs w:val="24"/>
                <w:lang w:val="en-US" w:eastAsia="zh-CN" w:bidi="ar-SA"/>
              </w:rPr>
              <w:t>年版）中所列的危险</w:t>
            </w:r>
            <w:r>
              <w:rPr>
                <w:rFonts w:hint="eastAsia" w:ascii="Times New Roman" w:hAnsi="Times New Roman" w:eastAsia="宋体" w:cs="宋体"/>
                <w:color w:val="auto"/>
                <w:kern w:val="2"/>
                <w:sz w:val="24"/>
                <w:szCs w:val="24"/>
                <w:lang w:val="en-US" w:eastAsia="zh-CN" w:bidi="ar-SA"/>
              </w:rPr>
              <w:t>废物</w:t>
            </w:r>
            <w:r>
              <w:rPr>
                <w:rFonts w:hint="default" w:ascii="Times New Roman" w:hAnsi="Times New Roman" w:eastAsia="宋体" w:cs="宋体"/>
                <w:color w:val="auto"/>
                <w:kern w:val="2"/>
                <w:sz w:val="24"/>
                <w:szCs w:val="24"/>
                <w:lang w:val="en-US" w:eastAsia="zh-CN" w:bidi="ar-SA"/>
              </w:rPr>
              <w:t>，有机溶剂废玻璃瓶废物类别为HW49其他废物，废物代码900-041-49，妥善收集后临时储存于</w:t>
            </w:r>
            <w:r>
              <w:rPr>
                <w:rFonts w:hint="eastAsia" w:ascii="Times New Roman" w:hAnsi="Times New Roman" w:eastAsia="宋体" w:cs="宋体"/>
                <w:color w:val="auto"/>
                <w:kern w:val="2"/>
                <w:sz w:val="24"/>
                <w:szCs w:val="24"/>
                <w:lang w:val="en-US" w:eastAsia="zh-CN" w:bidi="ar-SA"/>
              </w:rPr>
              <w:t>危废贮存库</w:t>
            </w:r>
            <w:r>
              <w:rPr>
                <w:rFonts w:hint="default" w:ascii="Times New Roman" w:hAnsi="Times New Roman" w:eastAsia="宋体" w:cs="宋体"/>
                <w:color w:val="auto"/>
                <w:kern w:val="2"/>
                <w:sz w:val="24"/>
                <w:szCs w:val="24"/>
                <w:lang w:val="en-US" w:eastAsia="zh-CN" w:bidi="ar-SA"/>
              </w:rPr>
              <w:t>，定期委托有资质的单位处理处置</w:t>
            </w:r>
            <w:r>
              <w:rPr>
                <w:rFonts w:hint="eastAsia" w:ascii="Times New Roman" w:hAnsi="Times New Roman" w:eastAsia="宋体" w:cs="宋体"/>
                <w:color w:val="auto"/>
                <w:kern w:val="2"/>
                <w:sz w:val="24"/>
                <w:szCs w:val="24"/>
                <w:lang w:val="en-US" w:eastAsia="zh-CN" w:bidi="ar-SA"/>
              </w:rPr>
              <w:t>。</w:t>
            </w:r>
          </w:p>
          <w:p w14:paraId="2CCD7684">
            <w:pPr>
              <w:pStyle w:val="5"/>
              <w:bidi w:val="0"/>
              <w:rPr>
                <w:rFonts w:hint="default"/>
                <w:color w:val="auto"/>
                <w:lang w:val="en-US" w:eastAsia="zh-CN"/>
              </w:rPr>
            </w:pPr>
            <w:r>
              <w:rPr>
                <w:rFonts w:hint="eastAsia"/>
                <w:color w:val="auto"/>
                <w:lang w:val="en-US" w:eastAsia="zh-CN"/>
              </w:rPr>
              <w:t>（8）废切削液以及切削液污泥</w:t>
            </w:r>
          </w:p>
          <w:p w14:paraId="22EE2C76">
            <w:pPr>
              <w:pStyle w:val="5"/>
              <w:bidi w:val="0"/>
              <w:rPr>
                <w:rFonts w:hint="eastAsia"/>
                <w:color w:val="auto"/>
                <w:lang w:val="en-US" w:eastAsia="zh-CN"/>
              </w:rPr>
            </w:pPr>
            <w:r>
              <w:rPr>
                <w:rFonts w:hint="eastAsia"/>
                <w:color w:val="auto"/>
                <w:lang w:val="en-US" w:eastAsia="zh-CN"/>
              </w:rPr>
              <w:t>工序</w:t>
            </w:r>
            <w:r>
              <w:rPr>
                <w:rFonts w:hint="default"/>
                <w:color w:val="auto"/>
                <w:lang w:val="en-US" w:eastAsia="zh-CN"/>
              </w:rPr>
              <w:t>过程</w:t>
            </w:r>
            <w:r>
              <w:rPr>
                <w:rFonts w:hint="eastAsia"/>
                <w:color w:val="auto"/>
                <w:lang w:val="en-US" w:eastAsia="zh-CN"/>
              </w:rPr>
              <w:t>会</w:t>
            </w:r>
            <w:r>
              <w:rPr>
                <w:rFonts w:hint="default"/>
                <w:color w:val="auto"/>
                <w:lang w:val="en-US" w:eastAsia="zh-CN"/>
              </w:rPr>
              <w:t>产生的废切削</w:t>
            </w:r>
            <w:r>
              <w:rPr>
                <w:rFonts w:hint="eastAsia"/>
                <w:color w:val="auto"/>
                <w:lang w:val="en-US" w:eastAsia="zh-CN"/>
              </w:rPr>
              <w:t>液，产生量为0.11t/a，对照《国家危险废物名录》（2025年版）中所列的危险废物，废切削液废物类别为HW09油/水、烃/水混合物或者乳化液，废物代码为900-006-09，妥善收集后贮存于危废贮存库，定期委托有资质的单位处理处置，废切削液污泥产生量为0.8t/a，废物</w:t>
            </w:r>
            <w:r>
              <w:rPr>
                <w:rFonts w:hint="eastAsia" w:ascii="Times New Roman" w:hAnsi="Times New Roman" w:eastAsia="宋体" w:cs="宋体"/>
                <w:color w:val="auto"/>
                <w:lang w:val="en-US" w:eastAsia="zh-CN"/>
              </w:rPr>
              <w:t>类别为HW06</w:t>
            </w:r>
            <w:r>
              <w:rPr>
                <w:rFonts w:hint="default" w:ascii="Times New Roman" w:hAnsi="Times New Roman" w:eastAsia="宋体" w:cs="宋体"/>
                <w:color w:val="auto"/>
                <w:lang w:val="en-US" w:eastAsia="zh-CN"/>
              </w:rPr>
              <w:t>废有机溶剂与含有机溶剂废物</w:t>
            </w:r>
            <w:r>
              <w:rPr>
                <w:rFonts w:hint="eastAsia" w:ascii="Times New Roman" w:hAnsi="Times New Roman" w:eastAsia="宋体" w:cs="宋体"/>
                <w:color w:val="auto"/>
                <w:lang w:val="en-US" w:eastAsia="zh-CN"/>
              </w:rPr>
              <w:t>，废物代码为900-406-06，妥善收集后贮存于危</w:t>
            </w:r>
            <w:r>
              <w:rPr>
                <w:rFonts w:hint="eastAsia"/>
                <w:color w:val="auto"/>
                <w:lang w:val="en-US" w:eastAsia="zh-CN"/>
              </w:rPr>
              <w:t>废贮存库，定期委托有资质的单位处理处置。</w:t>
            </w:r>
          </w:p>
          <w:p w14:paraId="67FDB2A8">
            <w:pPr>
              <w:pStyle w:val="5"/>
              <w:numPr>
                <w:ilvl w:val="0"/>
                <w:numId w:val="0"/>
              </w:numPr>
              <w:bidi w:val="0"/>
              <w:ind w:firstLine="480" w:firstLineChars="200"/>
              <w:rPr>
                <w:rFonts w:hint="eastAsia"/>
                <w:color w:val="auto"/>
                <w:lang w:val="en-US" w:eastAsia="zh-CN"/>
              </w:rPr>
            </w:pPr>
            <w:r>
              <w:rPr>
                <w:rFonts w:hint="eastAsia" w:ascii="Times New Roman" w:hAnsi="Times New Roman" w:eastAsia="宋体" w:cs="宋体"/>
                <w:color w:val="auto"/>
                <w:sz w:val="24"/>
                <w:szCs w:val="24"/>
                <w:lang w:val="en-US" w:eastAsia="zh-CN" w:bidi="ar-SA"/>
              </w:rPr>
              <w:t>（</w:t>
            </w:r>
            <w:r>
              <w:rPr>
                <w:rFonts w:hint="eastAsia" w:cs="宋体"/>
                <w:color w:val="auto"/>
                <w:sz w:val="24"/>
                <w:szCs w:val="24"/>
                <w:lang w:val="en-US" w:eastAsia="zh-CN" w:bidi="ar-SA"/>
              </w:rPr>
              <w:t>9</w:t>
            </w:r>
            <w:r>
              <w:rPr>
                <w:rFonts w:hint="eastAsia" w:ascii="Times New Roman" w:hAnsi="Times New Roman" w:eastAsia="宋体" w:cs="宋体"/>
                <w:color w:val="auto"/>
                <w:sz w:val="24"/>
                <w:szCs w:val="24"/>
                <w:lang w:val="en-US" w:eastAsia="zh-CN" w:bidi="ar-SA"/>
              </w:rPr>
              <w:t>）</w:t>
            </w:r>
            <w:r>
              <w:rPr>
                <w:rFonts w:hint="eastAsia"/>
                <w:color w:val="auto"/>
                <w:lang w:val="en-US" w:eastAsia="zh-CN"/>
              </w:rPr>
              <w:t>废抛光垫</w:t>
            </w:r>
          </w:p>
          <w:p w14:paraId="150F7008">
            <w:pPr>
              <w:pStyle w:val="5"/>
              <w:bidi w:val="0"/>
              <w:rPr>
                <w:rFonts w:hint="default"/>
                <w:color w:val="auto"/>
                <w:lang w:val="en-US" w:eastAsia="zh-CN"/>
              </w:rPr>
            </w:pPr>
            <w:r>
              <w:rPr>
                <w:rFonts w:hint="eastAsia"/>
                <w:color w:val="auto"/>
                <w:lang w:val="en-US" w:eastAsia="zh-CN"/>
              </w:rPr>
              <w:t>废抛光垫来自金属制品加工等行业的研磨、抛光工序，一般属于HW08废矿物油与含矿物油废物，废物代码为900-214-08。妥善收集后贮存于危废贮存库，定期委托有资质的单位处理处置，废抛光垫产生量为0.2t/a。</w:t>
            </w:r>
          </w:p>
          <w:p w14:paraId="69278627">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w:t>
            </w:r>
            <w:r>
              <w:rPr>
                <w:rFonts w:hint="eastAsia" w:cs="宋体"/>
                <w:color w:val="auto"/>
                <w:kern w:val="2"/>
                <w:sz w:val="24"/>
                <w:szCs w:val="24"/>
                <w:lang w:val="en-US" w:eastAsia="zh-CN" w:bidi="ar-SA"/>
              </w:rPr>
              <w:t>10</w:t>
            </w:r>
            <w:r>
              <w:rPr>
                <w:rFonts w:hint="eastAsia" w:ascii="Times New Roman" w:hAnsi="Times New Roman" w:eastAsia="宋体" w:cs="宋体"/>
                <w:color w:val="auto"/>
                <w:kern w:val="2"/>
                <w:sz w:val="24"/>
                <w:szCs w:val="24"/>
                <w:lang w:val="en-US" w:eastAsia="zh-CN" w:bidi="ar-SA"/>
              </w:rPr>
              <w:t>）生活垃圾</w:t>
            </w:r>
          </w:p>
          <w:p w14:paraId="56E6984E">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职工生活垃圾</w:t>
            </w:r>
          </w:p>
          <w:p w14:paraId="0C53B3B0">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本项目员工共</w:t>
            </w:r>
            <w:r>
              <w:rPr>
                <w:rFonts w:hint="eastAsia" w:ascii="Times New Roman" w:hAnsi="Times New Roman" w:eastAsia="宋体" w:cs="宋体"/>
                <w:color w:val="auto"/>
                <w:kern w:val="2"/>
                <w:sz w:val="24"/>
                <w:szCs w:val="24"/>
                <w:lang w:val="en-US" w:eastAsia="zh-CN" w:bidi="ar-SA"/>
              </w:rPr>
              <w:t>8</w:t>
            </w:r>
            <w:r>
              <w:rPr>
                <w:rFonts w:hint="default" w:ascii="Times New Roman" w:hAnsi="Times New Roman" w:eastAsia="宋体" w:cs="宋体"/>
                <w:color w:val="auto"/>
                <w:kern w:val="2"/>
                <w:sz w:val="24"/>
                <w:szCs w:val="24"/>
                <w:lang w:val="en-US" w:eastAsia="zh-CN" w:bidi="ar-SA"/>
              </w:rPr>
              <w:t>人，均不住厂，不住厂员工生活垃圾产生系数按0.5kg/人·天计，年工作天数为</w:t>
            </w:r>
            <w:r>
              <w:rPr>
                <w:rFonts w:hint="eastAsia" w:ascii="Times New Roman" w:hAnsi="Times New Roman" w:eastAsia="宋体" w:cs="宋体"/>
                <w:color w:val="auto"/>
                <w:kern w:val="2"/>
                <w:sz w:val="24"/>
                <w:szCs w:val="24"/>
                <w:lang w:val="en-US" w:eastAsia="zh-CN" w:bidi="ar-SA"/>
              </w:rPr>
              <w:t>249</w:t>
            </w:r>
            <w:r>
              <w:rPr>
                <w:rFonts w:hint="default" w:ascii="Times New Roman" w:hAnsi="Times New Roman" w:eastAsia="宋体" w:cs="宋体"/>
                <w:color w:val="auto"/>
                <w:kern w:val="2"/>
                <w:sz w:val="24"/>
                <w:szCs w:val="24"/>
                <w:lang w:val="en-US" w:eastAsia="zh-CN" w:bidi="ar-SA"/>
              </w:rPr>
              <w:t>天，则员工生活垃圾产生量为</w:t>
            </w:r>
            <w:r>
              <w:rPr>
                <w:rFonts w:hint="eastAsia" w:ascii="Times New Roman" w:hAnsi="Times New Roman" w:eastAsia="宋体" w:cs="宋体"/>
                <w:color w:val="auto"/>
                <w:kern w:val="2"/>
                <w:sz w:val="24"/>
                <w:szCs w:val="24"/>
                <w:lang w:val="en-US" w:eastAsia="zh-CN" w:bidi="ar-SA"/>
              </w:rPr>
              <w:t>9.96</w:t>
            </w:r>
            <w:r>
              <w:rPr>
                <w:rFonts w:hint="default" w:ascii="Times New Roman" w:hAnsi="Times New Roman" w:eastAsia="宋体" w:cs="宋体"/>
                <w:color w:val="auto"/>
                <w:kern w:val="2"/>
                <w:sz w:val="24"/>
                <w:szCs w:val="24"/>
                <w:lang w:val="en-US" w:eastAsia="zh-CN" w:bidi="ar-SA"/>
              </w:rPr>
              <w:t>t/a。生活垃圾统一收集后委托当地环卫部门处置。</w:t>
            </w:r>
          </w:p>
          <w:p w14:paraId="3541C9F5">
            <w:pPr>
              <w:widowControl w:val="0"/>
              <w:bidi w:val="0"/>
              <w:adjustRightInd w:val="0"/>
              <w:snapToGrid w:val="0"/>
              <w:spacing w:before="10" w:beforeLines="10" w:after="10" w:afterLines="10"/>
              <w:jc w:val="center"/>
              <w:rPr>
                <w:rFonts w:hint="eastAsia" w:ascii="Times New Roman" w:hAnsi="Times New Roman" w:eastAsia="宋体" w:cs="Times New Roman"/>
                <w:b/>
                <w:color w:val="auto"/>
                <w:kern w:val="0"/>
                <w:sz w:val="24"/>
                <w:szCs w:val="20"/>
                <w:lang w:val="en-US" w:eastAsia="zh-CN" w:bidi="ar-SA"/>
              </w:rPr>
            </w:pPr>
            <w:r>
              <w:rPr>
                <w:rFonts w:hint="eastAsia" w:ascii="Times New Roman" w:hAnsi="Times New Roman" w:eastAsia="宋体" w:cs="Times New Roman"/>
                <w:b/>
                <w:color w:val="auto"/>
                <w:kern w:val="0"/>
                <w:sz w:val="24"/>
                <w:szCs w:val="20"/>
                <w:lang w:val="en-US" w:eastAsia="zh-CN" w:bidi="ar-SA"/>
              </w:rPr>
              <w:t>表4.4-1本项目一般工业固体废物和生活垃圾产生处置一览表</w:t>
            </w:r>
          </w:p>
          <w:tbl>
            <w:tblPr>
              <w:tblStyle w:val="3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3"/>
              <w:gridCol w:w="1195"/>
              <w:gridCol w:w="1184"/>
              <w:gridCol w:w="1456"/>
              <w:gridCol w:w="970"/>
              <w:gridCol w:w="2354"/>
            </w:tblGrid>
            <w:tr w14:paraId="18F04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pct"/>
                  <w:noWrap w:val="0"/>
                  <w:vAlign w:val="center"/>
                </w:tcPr>
                <w:p w14:paraId="74702D9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产生环节</w:t>
                  </w:r>
                </w:p>
              </w:tc>
              <w:tc>
                <w:tcPr>
                  <w:tcW w:w="711" w:type="pct"/>
                  <w:noWrap w:val="0"/>
                  <w:vAlign w:val="center"/>
                </w:tcPr>
                <w:p w14:paraId="2AF4814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固废名称</w:t>
                  </w:r>
                </w:p>
              </w:tc>
              <w:tc>
                <w:tcPr>
                  <w:tcW w:w="704" w:type="pct"/>
                  <w:noWrap w:val="0"/>
                  <w:vAlign w:val="center"/>
                </w:tcPr>
                <w:p w14:paraId="6E0C999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物理性状</w:t>
                  </w:r>
                </w:p>
              </w:tc>
              <w:tc>
                <w:tcPr>
                  <w:tcW w:w="866" w:type="pct"/>
                  <w:noWrap w:val="0"/>
                  <w:vAlign w:val="center"/>
                </w:tcPr>
                <w:p w14:paraId="4C97DB9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固废属性</w:t>
                  </w:r>
                </w:p>
              </w:tc>
              <w:tc>
                <w:tcPr>
                  <w:tcW w:w="577" w:type="pct"/>
                  <w:noWrap w:val="0"/>
                  <w:vAlign w:val="center"/>
                </w:tcPr>
                <w:p w14:paraId="2905208E">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产生量（t/a）</w:t>
                  </w:r>
                </w:p>
              </w:tc>
              <w:tc>
                <w:tcPr>
                  <w:tcW w:w="1400" w:type="pct"/>
                  <w:noWrap w:val="0"/>
                  <w:vAlign w:val="center"/>
                </w:tcPr>
                <w:p w14:paraId="5A31DCF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处置方式</w:t>
                  </w:r>
                </w:p>
              </w:tc>
            </w:tr>
            <w:tr w14:paraId="6FED6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pct"/>
                  <w:noWrap w:val="0"/>
                  <w:vAlign w:val="center"/>
                </w:tcPr>
                <w:p w14:paraId="28A81BD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抛光</w:t>
                  </w:r>
                </w:p>
              </w:tc>
              <w:tc>
                <w:tcPr>
                  <w:tcW w:w="711" w:type="pct"/>
                  <w:noWrap w:val="0"/>
                  <w:vAlign w:val="center"/>
                </w:tcPr>
                <w:p w14:paraId="5C08741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抛光残渣</w:t>
                  </w:r>
                </w:p>
              </w:tc>
              <w:tc>
                <w:tcPr>
                  <w:tcW w:w="704" w:type="pct"/>
                  <w:noWrap w:val="0"/>
                  <w:vAlign w:val="center"/>
                </w:tcPr>
                <w:p w14:paraId="20AB759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固态</w:t>
                  </w:r>
                </w:p>
              </w:tc>
              <w:tc>
                <w:tcPr>
                  <w:tcW w:w="866" w:type="pct"/>
                  <w:noWrap w:val="0"/>
                  <w:vAlign w:val="center"/>
                </w:tcPr>
                <w:p w14:paraId="0C396A3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一般工业固体废物</w:t>
                  </w:r>
                </w:p>
              </w:tc>
              <w:tc>
                <w:tcPr>
                  <w:tcW w:w="577" w:type="pct"/>
                  <w:noWrap w:val="0"/>
                  <w:vAlign w:val="center"/>
                </w:tcPr>
                <w:p w14:paraId="29487D8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0.1</w:t>
                  </w:r>
                </w:p>
              </w:tc>
              <w:tc>
                <w:tcPr>
                  <w:tcW w:w="1400" w:type="pct"/>
                  <w:noWrap w:val="0"/>
                  <w:vAlign w:val="center"/>
                </w:tcPr>
                <w:p w14:paraId="476139D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妥善收集后外售给其他企业回收综合利用</w:t>
                  </w:r>
                </w:p>
              </w:tc>
            </w:tr>
            <w:tr w14:paraId="7A6ED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pct"/>
                  <w:noWrap w:val="0"/>
                  <w:vAlign w:val="center"/>
                </w:tcPr>
                <w:p w14:paraId="72EA0D9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各个环节</w:t>
                  </w:r>
                </w:p>
              </w:tc>
              <w:tc>
                <w:tcPr>
                  <w:tcW w:w="711" w:type="pct"/>
                  <w:noWrap w:val="0"/>
                  <w:vAlign w:val="center"/>
                </w:tcPr>
                <w:p w14:paraId="57F0DC6E">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废包装</w:t>
                  </w:r>
                </w:p>
              </w:tc>
              <w:tc>
                <w:tcPr>
                  <w:tcW w:w="704" w:type="pct"/>
                  <w:noWrap w:val="0"/>
                  <w:vAlign w:val="center"/>
                </w:tcPr>
                <w:p w14:paraId="67DAE88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固态</w:t>
                  </w:r>
                </w:p>
              </w:tc>
              <w:tc>
                <w:tcPr>
                  <w:tcW w:w="866" w:type="pct"/>
                  <w:noWrap w:val="0"/>
                  <w:vAlign w:val="center"/>
                </w:tcPr>
                <w:p w14:paraId="679EA52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一般工业固体废物</w:t>
                  </w:r>
                </w:p>
              </w:tc>
              <w:tc>
                <w:tcPr>
                  <w:tcW w:w="577" w:type="pct"/>
                  <w:noWrap w:val="0"/>
                  <w:vAlign w:val="center"/>
                </w:tcPr>
                <w:p w14:paraId="34300DA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0.035</w:t>
                  </w:r>
                </w:p>
              </w:tc>
              <w:tc>
                <w:tcPr>
                  <w:tcW w:w="1400" w:type="pct"/>
                  <w:noWrap w:val="0"/>
                  <w:vAlign w:val="center"/>
                </w:tcPr>
                <w:p w14:paraId="1A28600E">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妥善收集后外售给其他企业回收综合利用</w:t>
                  </w:r>
                </w:p>
              </w:tc>
            </w:tr>
            <w:tr w14:paraId="38B00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pct"/>
                  <w:noWrap w:val="0"/>
                  <w:vAlign w:val="center"/>
                </w:tcPr>
                <w:p w14:paraId="4189CDB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沉淀</w:t>
                  </w:r>
                </w:p>
              </w:tc>
              <w:tc>
                <w:tcPr>
                  <w:tcW w:w="711" w:type="pct"/>
                  <w:noWrap w:val="0"/>
                  <w:vAlign w:val="center"/>
                </w:tcPr>
                <w:p w14:paraId="40894CA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沉淀</w:t>
                  </w:r>
                  <w:r>
                    <w:rPr>
                      <w:rFonts w:hint="eastAsia" w:cs="Times New Roman"/>
                      <w:color w:val="auto"/>
                      <w:kern w:val="0"/>
                      <w:sz w:val="21"/>
                      <w:szCs w:val="20"/>
                      <w:lang w:val="en-US" w:eastAsia="zh-CN" w:bidi="ar-SA"/>
                    </w:rPr>
                    <w:t>桶</w:t>
                  </w:r>
                  <w:r>
                    <w:rPr>
                      <w:rFonts w:hint="eastAsia" w:ascii="Times New Roman" w:hAnsi="Times New Roman" w:eastAsia="宋体" w:cs="Times New Roman"/>
                      <w:color w:val="auto"/>
                      <w:kern w:val="0"/>
                      <w:sz w:val="21"/>
                      <w:szCs w:val="20"/>
                      <w:lang w:val="en-US" w:eastAsia="zh-CN" w:bidi="ar-SA"/>
                    </w:rPr>
                    <w:t>污泥</w:t>
                  </w:r>
                </w:p>
              </w:tc>
              <w:tc>
                <w:tcPr>
                  <w:tcW w:w="704" w:type="pct"/>
                  <w:noWrap w:val="0"/>
                  <w:vAlign w:val="center"/>
                </w:tcPr>
                <w:p w14:paraId="17A4335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固态</w:t>
                  </w:r>
                </w:p>
              </w:tc>
              <w:tc>
                <w:tcPr>
                  <w:tcW w:w="866" w:type="pct"/>
                  <w:noWrap w:val="0"/>
                  <w:vAlign w:val="center"/>
                </w:tcPr>
                <w:p w14:paraId="0E51A7DF">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一般工业固体废物</w:t>
                  </w:r>
                </w:p>
              </w:tc>
              <w:tc>
                <w:tcPr>
                  <w:tcW w:w="577" w:type="pct"/>
                  <w:noWrap w:val="0"/>
                  <w:vAlign w:val="center"/>
                </w:tcPr>
                <w:p w14:paraId="08F3A91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17.4</w:t>
                  </w:r>
                </w:p>
              </w:tc>
              <w:tc>
                <w:tcPr>
                  <w:tcW w:w="1400" w:type="pct"/>
                  <w:noWrap w:val="0"/>
                  <w:vAlign w:val="center"/>
                </w:tcPr>
                <w:p w14:paraId="49C6D088">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定期进行清掏，并由当地环卫部门统一清运处理</w:t>
                  </w:r>
                </w:p>
              </w:tc>
            </w:tr>
            <w:tr w14:paraId="301B1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pct"/>
                  <w:noWrap w:val="0"/>
                  <w:vAlign w:val="center"/>
                </w:tcPr>
                <w:p w14:paraId="60C411A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检测</w:t>
                  </w:r>
                </w:p>
              </w:tc>
              <w:tc>
                <w:tcPr>
                  <w:tcW w:w="711" w:type="pct"/>
                  <w:noWrap w:val="0"/>
                  <w:vAlign w:val="center"/>
                </w:tcPr>
                <w:p w14:paraId="60A46D9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不合格产品</w:t>
                  </w:r>
                </w:p>
              </w:tc>
              <w:tc>
                <w:tcPr>
                  <w:tcW w:w="704" w:type="pct"/>
                  <w:noWrap w:val="0"/>
                  <w:vAlign w:val="center"/>
                </w:tcPr>
                <w:p w14:paraId="2625D24D">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固态</w:t>
                  </w:r>
                </w:p>
              </w:tc>
              <w:tc>
                <w:tcPr>
                  <w:tcW w:w="866" w:type="pct"/>
                  <w:noWrap w:val="0"/>
                  <w:vAlign w:val="center"/>
                </w:tcPr>
                <w:p w14:paraId="7507865C">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一般工业固体废物</w:t>
                  </w:r>
                </w:p>
              </w:tc>
              <w:tc>
                <w:tcPr>
                  <w:tcW w:w="577" w:type="pct"/>
                  <w:noWrap w:val="0"/>
                  <w:vAlign w:val="center"/>
                </w:tcPr>
                <w:p w14:paraId="38F7CE3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cs="Times New Roman"/>
                      <w:color w:val="auto"/>
                      <w:kern w:val="0"/>
                      <w:sz w:val="21"/>
                      <w:szCs w:val="20"/>
                      <w:lang w:val="en-US" w:eastAsia="zh-CN" w:bidi="ar-SA"/>
                    </w:rPr>
                    <w:t>0.7</w:t>
                  </w:r>
                </w:p>
              </w:tc>
              <w:tc>
                <w:tcPr>
                  <w:tcW w:w="1400" w:type="pct"/>
                  <w:noWrap w:val="0"/>
                  <w:vAlign w:val="center"/>
                </w:tcPr>
                <w:p w14:paraId="3A3CD251">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妥善收集后外售给其他企业回收综合利用</w:t>
                  </w:r>
                </w:p>
              </w:tc>
            </w:tr>
            <w:tr w14:paraId="7F141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9" w:type="pct"/>
                  <w:noWrap w:val="0"/>
                  <w:vAlign w:val="center"/>
                </w:tcPr>
                <w:p w14:paraId="103B069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职工生活</w:t>
                  </w:r>
                </w:p>
              </w:tc>
              <w:tc>
                <w:tcPr>
                  <w:tcW w:w="711" w:type="pct"/>
                  <w:noWrap w:val="0"/>
                  <w:vAlign w:val="center"/>
                </w:tcPr>
                <w:p w14:paraId="2550614A">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生活垃圾</w:t>
                  </w:r>
                </w:p>
              </w:tc>
              <w:tc>
                <w:tcPr>
                  <w:tcW w:w="704" w:type="pct"/>
                  <w:noWrap w:val="0"/>
                  <w:vAlign w:val="center"/>
                </w:tcPr>
                <w:p w14:paraId="7E0F10C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固态</w:t>
                  </w:r>
                </w:p>
              </w:tc>
              <w:tc>
                <w:tcPr>
                  <w:tcW w:w="866" w:type="pct"/>
                  <w:noWrap w:val="0"/>
                  <w:vAlign w:val="center"/>
                </w:tcPr>
                <w:p w14:paraId="59144B4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生活垃圾</w:t>
                  </w:r>
                </w:p>
              </w:tc>
              <w:tc>
                <w:tcPr>
                  <w:tcW w:w="577" w:type="pct"/>
                  <w:noWrap w:val="0"/>
                  <w:vAlign w:val="center"/>
                </w:tcPr>
                <w:p w14:paraId="1FD57DF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9.96</w:t>
                  </w:r>
                </w:p>
              </w:tc>
              <w:tc>
                <w:tcPr>
                  <w:tcW w:w="1400" w:type="pct"/>
                  <w:noWrap w:val="0"/>
                  <w:vAlign w:val="center"/>
                </w:tcPr>
                <w:p w14:paraId="5F0CCC9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委托环卫部门统一清运</w:t>
                  </w:r>
                </w:p>
              </w:tc>
            </w:tr>
          </w:tbl>
          <w:p w14:paraId="73CF2BBB">
            <w:pPr>
              <w:widowControl w:val="0"/>
              <w:bidi w:val="0"/>
              <w:adjustRightInd w:val="0"/>
              <w:snapToGrid w:val="0"/>
              <w:spacing w:before="10" w:beforeLines="10" w:after="10" w:afterLines="10"/>
              <w:jc w:val="center"/>
              <w:rPr>
                <w:rFonts w:hint="default" w:ascii="Times New Roman" w:hAnsi="Times New Roman" w:eastAsia="宋体" w:cs="Times New Roman"/>
                <w:b/>
                <w:color w:val="auto"/>
                <w:kern w:val="0"/>
                <w:sz w:val="24"/>
                <w:szCs w:val="20"/>
                <w:lang w:val="en-US" w:eastAsia="zh-CN" w:bidi="ar-SA"/>
              </w:rPr>
            </w:pPr>
            <w:r>
              <w:rPr>
                <w:rFonts w:hint="eastAsia" w:ascii="Times New Roman" w:hAnsi="Times New Roman" w:eastAsia="宋体" w:cs="Times New Roman"/>
                <w:b/>
                <w:color w:val="auto"/>
                <w:kern w:val="0"/>
                <w:sz w:val="24"/>
                <w:szCs w:val="20"/>
                <w:lang w:val="en-US" w:eastAsia="zh-CN" w:bidi="ar-SA"/>
              </w:rPr>
              <w:t>表4.4-2本项目危险废物产生处置一览表</w:t>
            </w:r>
          </w:p>
          <w:tbl>
            <w:tblPr>
              <w:tblStyle w:val="39"/>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05"/>
              <w:gridCol w:w="1195"/>
              <w:gridCol w:w="762"/>
              <w:gridCol w:w="1174"/>
              <w:gridCol w:w="789"/>
              <w:gridCol w:w="631"/>
              <w:gridCol w:w="661"/>
              <w:gridCol w:w="647"/>
              <w:gridCol w:w="1014"/>
              <w:gridCol w:w="1019"/>
            </w:tblGrid>
            <w:tr w14:paraId="7D9A6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77" w:hRule="atLeast"/>
                <w:jc w:val="center"/>
              </w:trPr>
              <w:tc>
                <w:tcPr>
                  <w:tcW w:w="301" w:type="pct"/>
                  <w:noWrap w:val="0"/>
                  <w:vAlign w:val="center"/>
                </w:tcPr>
                <w:p w14:paraId="41AF5E7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序号</w:t>
                  </w:r>
                </w:p>
              </w:tc>
              <w:tc>
                <w:tcPr>
                  <w:tcW w:w="711" w:type="pct"/>
                  <w:noWrap w:val="0"/>
                  <w:vAlign w:val="center"/>
                </w:tcPr>
                <w:p w14:paraId="04E2C0E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危废名称</w:t>
                  </w:r>
                </w:p>
              </w:tc>
              <w:tc>
                <w:tcPr>
                  <w:tcW w:w="453" w:type="pct"/>
                  <w:noWrap w:val="0"/>
                  <w:vAlign w:val="center"/>
                </w:tcPr>
                <w:p w14:paraId="4FC696CC">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危废类别</w:t>
                  </w:r>
                </w:p>
              </w:tc>
              <w:tc>
                <w:tcPr>
                  <w:tcW w:w="698" w:type="pct"/>
                  <w:noWrap w:val="0"/>
                  <w:vAlign w:val="center"/>
                </w:tcPr>
                <w:p w14:paraId="33CAC2EC">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危废代码</w:t>
                  </w:r>
                </w:p>
              </w:tc>
              <w:tc>
                <w:tcPr>
                  <w:tcW w:w="469" w:type="pct"/>
                  <w:noWrap w:val="0"/>
                  <w:vAlign w:val="center"/>
                </w:tcPr>
                <w:p w14:paraId="52BE292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产生环节</w:t>
                  </w:r>
                </w:p>
              </w:tc>
              <w:tc>
                <w:tcPr>
                  <w:tcW w:w="375" w:type="pct"/>
                  <w:noWrap w:val="0"/>
                  <w:vAlign w:val="center"/>
                </w:tcPr>
                <w:p w14:paraId="5AACF1F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状态</w:t>
                  </w:r>
                </w:p>
              </w:tc>
              <w:tc>
                <w:tcPr>
                  <w:tcW w:w="393" w:type="pct"/>
                  <w:noWrap w:val="0"/>
                  <w:vAlign w:val="center"/>
                </w:tcPr>
                <w:p w14:paraId="3F90F44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主要成分</w:t>
                  </w:r>
                </w:p>
              </w:tc>
              <w:tc>
                <w:tcPr>
                  <w:tcW w:w="385" w:type="pct"/>
                  <w:noWrap w:val="0"/>
                  <w:vAlign w:val="center"/>
                </w:tcPr>
                <w:p w14:paraId="0B9BB84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危险特性</w:t>
                  </w:r>
                </w:p>
              </w:tc>
              <w:tc>
                <w:tcPr>
                  <w:tcW w:w="603" w:type="pct"/>
                  <w:noWrap w:val="0"/>
                  <w:vAlign w:val="center"/>
                </w:tcPr>
                <w:p w14:paraId="521C53F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产生量</w:t>
                  </w:r>
                </w:p>
              </w:tc>
              <w:tc>
                <w:tcPr>
                  <w:tcW w:w="606" w:type="pct"/>
                  <w:noWrap w:val="0"/>
                  <w:vAlign w:val="center"/>
                </w:tcPr>
                <w:p w14:paraId="23F1CFB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处置措施</w:t>
                  </w:r>
                </w:p>
              </w:tc>
            </w:tr>
            <w:tr w14:paraId="5DA1A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78" w:hRule="atLeast"/>
                <w:jc w:val="center"/>
              </w:trPr>
              <w:tc>
                <w:tcPr>
                  <w:tcW w:w="301" w:type="pct"/>
                  <w:noWrap w:val="0"/>
                  <w:vAlign w:val="center"/>
                </w:tcPr>
                <w:p w14:paraId="4B42605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1</w:t>
                  </w:r>
                </w:p>
              </w:tc>
              <w:tc>
                <w:tcPr>
                  <w:tcW w:w="711" w:type="pct"/>
                  <w:noWrap w:val="0"/>
                  <w:vAlign w:val="center"/>
                </w:tcPr>
                <w:p w14:paraId="7FF172F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废活性炭</w:t>
                  </w:r>
                </w:p>
              </w:tc>
              <w:tc>
                <w:tcPr>
                  <w:tcW w:w="453" w:type="pct"/>
                  <w:noWrap w:val="0"/>
                  <w:vAlign w:val="center"/>
                </w:tcPr>
                <w:p w14:paraId="4CAF232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HW49</w:t>
                  </w:r>
                </w:p>
              </w:tc>
              <w:tc>
                <w:tcPr>
                  <w:tcW w:w="698" w:type="pct"/>
                  <w:noWrap w:val="0"/>
                  <w:vAlign w:val="center"/>
                </w:tcPr>
                <w:p w14:paraId="0CA4D6F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900-039-49</w:t>
                  </w:r>
                </w:p>
              </w:tc>
              <w:tc>
                <w:tcPr>
                  <w:tcW w:w="469" w:type="pct"/>
                  <w:noWrap w:val="0"/>
                  <w:vAlign w:val="center"/>
                </w:tcPr>
                <w:p w14:paraId="58F1175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废气治理</w:t>
                  </w:r>
                </w:p>
              </w:tc>
              <w:tc>
                <w:tcPr>
                  <w:tcW w:w="375" w:type="pct"/>
                  <w:noWrap w:val="0"/>
                  <w:vAlign w:val="center"/>
                </w:tcPr>
                <w:p w14:paraId="7B30AB3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固态</w:t>
                  </w:r>
                </w:p>
              </w:tc>
              <w:tc>
                <w:tcPr>
                  <w:tcW w:w="393" w:type="pct"/>
                  <w:noWrap w:val="0"/>
                  <w:vAlign w:val="center"/>
                </w:tcPr>
                <w:p w14:paraId="24E27B3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饱和活性炭、非甲烷总烃</w:t>
                  </w:r>
                </w:p>
              </w:tc>
              <w:tc>
                <w:tcPr>
                  <w:tcW w:w="385" w:type="pct"/>
                  <w:noWrap w:val="0"/>
                  <w:vAlign w:val="center"/>
                </w:tcPr>
                <w:p w14:paraId="7590140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T/In</w:t>
                  </w:r>
                </w:p>
              </w:tc>
              <w:tc>
                <w:tcPr>
                  <w:tcW w:w="603" w:type="pct"/>
                  <w:noWrap w:val="0"/>
                  <w:vAlign w:val="center"/>
                </w:tcPr>
                <w:p w14:paraId="262A7F3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1.239t/a</w:t>
                  </w:r>
                </w:p>
              </w:tc>
              <w:tc>
                <w:tcPr>
                  <w:tcW w:w="606" w:type="pct"/>
                  <w:vMerge w:val="restart"/>
                  <w:noWrap w:val="0"/>
                  <w:vAlign w:val="center"/>
                </w:tcPr>
                <w:p w14:paraId="132BB67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收集后暂存至厂区的危废贮存库中（拟建</w:t>
                  </w:r>
                  <w:r>
                    <w:rPr>
                      <w:rFonts w:hint="eastAsia" w:cs="Times New Roman"/>
                      <w:color w:val="auto"/>
                      <w:kern w:val="0"/>
                      <w:sz w:val="21"/>
                      <w:szCs w:val="20"/>
                      <w:lang w:val="en-US" w:eastAsia="zh-CN" w:bidi="ar-SA"/>
                    </w:rPr>
                    <w:t>5</w:t>
                  </w:r>
                  <w:r>
                    <w:rPr>
                      <w:rFonts w:hint="eastAsia" w:ascii="Times New Roman" w:hAnsi="Times New Roman" w:eastAsia="宋体" w:cs="Times New Roman"/>
                      <w:color w:val="auto"/>
                      <w:kern w:val="0"/>
                      <w:sz w:val="21"/>
                      <w:szCs w:val="20"/>
                      <w:lang w:val="en-US" w:eastAsia="zh-CN" w:bidi="ar-SA"/>
                    </w:rPr>
                    <w:t>m</w:t>
                  </w:r>
                  <w:r>
                    <w:rPr>
                      <w:rFonts w:hint="eastAsia" w:ascii="Times New Roman" w:hAnsi="Times New Roman" w:eastAsia="宋体" w:cs="Times New Roman"/>
                      <w:color w:val="auto"/>
                      <w:kern w:val="0"/>
                      <w:sz w:val="21"/>
                      <w:szCs w:val="20"/>
                      <w:vertAlign w:val="superscript"/>
                      <w:lang w:val="en-US" w:eastAsia="zh-CN" w:bidi="ar-SA"/>
                    </w:rPr>
                    <w:t>2</w:t>
                  </w:r>
                  <w:r>
                    <w:rPr>
                      <w:rFonts w:hint="eastAsia" w:ascii="Times New Roman" w:hAnsi="Times New Roman" w:eastAsia="宋体" w:cs="Times New Roman"/>
                      <w:color w:val="auto"/>
                      <w:kern w:val="0"/>
                      <w:sz w:val="21"/>
                      <w:szCs w:val="20"/>
                      <w:lang w:val="en-US" w:eastAsia="zh-CN" w:bidi="ar-SA"/>
                    </w:rPr>
                    <w:t>），定期委托有危废处置资质单位进行处理</w:t>
                  </w:r>
                </w:p>
              </w:tc>
            </w:tr>
            <w:tr w14:paraId="4074E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77" w:hRule="atLeast"/>
                <w:jc w:val="center"/>
              </w:trPr>
              <w:tc>
                <w:tcPr>
                  <w:tcW w:w="301" w:type="pct"/>
                  <w:noWrap w:val="0"/>
                  <w:vAlign w:val="center"/>
                </w:tcPr>
                <w:p w14:paraId="66EE658C">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2</w:t>
                  </w:r>
                </w:p>
              </w:tc>
              <w:tc>
                <w:tcPr>
                  <w:tcW w:w="711" w:type="pct"/>
                  <w:noWrap w:val="0"/>
                  <w:vAlign w:val="center"/>
                </w:tcPr>
                <w:p w14:paraId="40FB8B0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废无尘布</w:t>
                  </w:r>
                </w:p>
              </w:tc>
              <w:tc>
                <w:tcPr>
                  <w:tcW w:w="453" w:type="pct"/>
                  <w:noWrap w:val="0"/>
                  <w:vAlign w:val="center"/>
                </w:tcPr>
                <w:p w14:paraId="36D312D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HW49</w:t>
                  </w:r>
                </w:p>
              </w:tc>
              <w:tc>
                <w:tcPr>
                  <w:tcW w:w="698" w:type="pct"/>
                  <w:noWrap w:val="0"/>
                  <w:vAlign w:val="center"/>
                </w:tcPr>
                <w:p w14:paraId="645EBADF">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900-041-49</w:t>
                  </w:r>
                </w:p>
              </w:tc>
              <w:tc>
                <w:tcPr>
                  <w:tcW w:w="469" w:type="pct"/>
                  <w:noWrap w:val="0"/>
                  <w:vAlign w:val="center"/>
                </w:tcPr>
                <w:p w14:paraId="5565394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检测</w:t>
                  </w:r>
                </w:p>
              </w:tc>
              <w:tc>
                <w:tcPr>
                  <w:tcW w:w="375" w:type="pct"/>
                  <w:noWrap w:val="0"/>
                  <w:vAlign w:val="center"/>
                </w:tcPr>
                <w:p w14:paraId="7A16CE0D">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固态</w:t>
                  </w:r>
                </w:p>
              </w:tc>
              <w:tc>
                <w:tcPr>
                  <w:tcW w:w="393" w:type="pct"/>
                  <w:noWrap w:val="0"/>
                  <w:vAlign w:val="center"/>
                </w:tcPr>
                <w:p w14:paraId="4B15CFB7">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有机溶剂</w:t>
                  </w:r>
                </w:p>
              </w:tc>
              <w:tc>
                <w:tcPr>
                  <w:tcW w:w="385" w:type="pct"/>
                  <w:noWrap w:val="0"/>
                  <w:vAlign w:val="center"/>
                </w:tcPr>
                <w:p w14:paraId="2457428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T/In</w:t>
                  </w:r>
                </w:p>
              </w:tc>
              <w:tc>
                <w:tcPr>
                  <w:tcW w:w="603" w:type="pct"/>
                  <w:noWrap w:val="0"/>
                  <w:vAlign w:val="center"/>
                </w:tcPr>
                <w:p w14:paraId="4B39A24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0.13t/a</w:t>
                  </w:r>
                </w:p>
              </w:tc>
              <w:tc>
                <w:tcPr>
                  <w:tcW w:w="606" w:type="pct"/>
                  <w:vMerge w:val="continue"/>
                  <w:noWrap w:val="0"/>
                  <w:vAlign w:val="center"/>
                </w:tcPr>
                <w:p w14:paraId="73BD12AA">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p>
              </w:tc>
            </w:tr>
            <w:tr w14:paraId="51993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77" w:hRule="atLeast"/>
                <w:jc w:val="center"/>
              </w:trPr>
              <w:tc>
                <w:tcPr>
                  <w:tcW w:w="301" w:type="pct"/>
                  <w:noWrap w:val="0"/>
                  <w:vAlign w:val="center"/>
                </w:tcPr>
                <w:p w14:paraId="54B977BA">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3</w:t>
                  </w:r>
                </w:p>
              </w:tc>
              <w:tc>
                <w:tcPr>
                  <w:tcW w:w="711" w:type="pct"/>
                  <w:noWrap w:val="0"/>
                  <w:vAlign w:val="center"/>
                </w:tcPr>
                <w:p w14:paraId="67129E8D">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废包装容器</w:t>
                  </w:r>
                </w:p>
              </w:tc>
              <w:tc>
                <w:tcPr>
                  <w:tcW w:w="453" w:type="pct"/>
                  <w:noWrap w:val="0"/>
                  <w:vAlign w:val="center"/>
                </w:tcPr>
                <w:p w14:paraId="07EB64B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HW49</w:t>
                  </w:r>
                </w:p>
              </w:tc>
              <w:tc>
                <w:tcPr>
                  <w:tcW w:w="698" w:type="pct"/>
                  <w:noWrap w:val="0"/>
                  <w:vAlign w:val="center"/>
                </w:tcPr>
                <w:p w14:paraId="5301E2E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900-041-49</w:t>
                  </w:r>
                </w:p>
              </w:tc>
              <w:tc>
                <w:tcPr>
                  <w:tcW w:w="469" w:type="pct"/>
                  <w:noWrap w:val="0"/>
                  <w:vAlign w:val="center"/>
                </w:tcPr>
                <w:p w14:paraId="1EFE2ED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w:t>
                  </w:r>
                </w:p>
              </w:tc>
              <w:tc>
                <w:tcPr>
                  <w:tcW w:w="375" w:type="pct"/>
                  <w:noWrap w:val="0"/>
                  <w:vAlign w:val="center"/>
                </w:tcPr>
                <w:p w14:paraId="2FAF3B4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固态</w:t>
                  </w:r>
                </w:p>
              </w:tc>
              <w:tc>
                <w:tcPr>
                  <w:tcW w:w="393" w:type="pct"/>
                  <w:noWrap w:val="0"/>
                  <w:vAlign w:val="center"/>
                </w:tcPr>
                <w:p w14:paraId="125249F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有机溶剂</w:t>
                  </w:r>
                </w:p>
              </w:tc>
              <w:tc>
                <w:tcPr>
                  <w:tcW w:w="385" w:type="pct"/>
                  <w:noWrap w:val="0"/>
                  <w:vAlign w:val="center"/>
                </w:tcPr>
                <w:p w14:paraId="79196B0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T/In</w:t>
                  </w:r>
                </w:p>
              </w:tc>
              <w:tc>
                <w:tcPr>
                  <w:tcW w:w="603" w:type="pct"/>
                  <w:noWrap w:val="0"/>
                  <w:vAlign w:val="center"/>
                </w:tcPr>
                <w:p w14:paraId="761B333D">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0.5t/a</w:t>
                  </w:r>
                </w:p>
              </w:tc>
              <w:tc>
                <w:tcPr>
                  <w:tcW w:w="606" w:type="pct"/>
                  <w:vMerge w:val="continue"/>
                  <w:noWrap w:val="0"/>
                  <w:vAlign w:val="center"/>
                </w:tcPr>
                <w:p w14:paraId="4E89D67D">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p>
              </w:tc>
            </w:tr>
            <w:tr w14:paraId="44EB6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77" w:hRule="atLeast"/>
                <w:jc w:val="center"/>
              </w:trPr>
              <w:tc>
                <w:tcPr>
                  <w:tcW w:w="301" w:type="pct"/>
                  <w:noWrap w:val="0"/>
                  <w:vAlign w:val="center"/>
                </w:tcPr>
                <w:p w14:paraId="5CD222E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4</w:t>
                  </w:r>
                </w:p>
              </w:tc>
              <w:tc>
                <w:tcPr>
                  <w:tcW w:w="711" w:type="pct"/>
                  <w:noWrap w:val="0"/>
                  <w:vAlign w:val="center"/>
                </w:tcPr>
                <w:p w14:paraId="64D2610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废切削液</w:t>
                  </w:r>
                </w:p>
              </w:tc>
              <w:tc>
                <w:tcPr>
                  <w:tcW w:w="453" w:type="pct"/>
                  <w:noWrap w:val="0"/>
                  <w:vAlign w:val="center"/>
                </w:tcPr>
                <w:p w14:paraId="307FAA69">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HW09</w:t>
                  </w:r>
                </w:p>
              </w:tc>
              <w:tc>
                <w:tcPr>
                  <w:tcW w:w="698" w:type="pct"/>
                  <w:noWrap w:val="0"/>
                  <w:vAlign w:val="center"/>
                </w:tcPr>
                <w:p w14:paraId="79841DAC">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900-006-09</w:t>
                  </w:r>
                </w:p>
              </w:tc>
              <w:tc>
                <w:tcPr>
                  <w:tcW w:w="469" w:type="pct"/>
                  <w:noWrap w:val="0"/>
                  <w:vAlign w:val="center"/>
                </w:tcPr>
                <w:p w14:paraId="1932EBBC">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CNC加工</w:t>
                  </w:r>
                </w:p>
              </w:tc>
              <w:tc>
                <w:tcPr>
                  <w:tcW w:w="375" w:type="pct"/>
                  <w:noWrap w:val="0"/>
                  <w:vAlign w:val="center"/>
                </w:tcPr>
                <w:p w14:paraId="3B353FF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液态</w:t>
                  </w:r>
                </w:p>
              </w:tc>
              <w:tc>
                <w:tcPr>
                  <w:tcW w:w="393" w:type="pct"/>
                  <w:noWrap w:val="0"/>
                  <w:vAlign w:val="center"/>
                </w:tcPr>
                <w:p w14:paraId="15F5618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废切削液</w:t>
                  </w:r>
                </w:p>
              </w:tc>
              <w:tc>
                <w:tcPr>
                  <w:tcW w:w="385" w:type="pct"/>
                  <w:noWrap w:val="0"/>
                  <w:vAlign w:val="center"/>
                </w:tcPr>
                <w:p w14:paraId="4DB8260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T/In</w:t>
                  </w:r>
                </w:p>
              </w:tc>
              <w:tc>
                <w:tcPr>
                  <w:tcW w:w="603" w:type="pct"/>
                  <w:noWrap w:val="0"/>
                  <w:vAlign w:val="center"/>
                </w:tcPr>
                <w:p w14:paraId="44FBF61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0.11</w:t>
                  </w:r>
                  <w:r>
                    <w:rPr>
                      <w:rFonts w:hint="eastAsia" w:ascii="Times New Roman" w:hAnsi="Times New Roman" w:eastAsia="宋体" w:cs="Times New Roman"/>
                      <w:color w:val="auto"/>
                      <w:kern w:val="0"/>
                      <w:sz w:val="21"/>
                      <w:szCs w:val="20"/>
                      <w:lang w:val="en-US" w:eastAsia="zh-CN" w:bidi="ar-SA"/>
                    </w:rPr>
                    <w:t>t/a</w:t>
                  </w:r>
                </w:p>
              </w:tc>
              <w:tc>
                <w:tcPr>
                  <w:tcW w:w="606" w:type="pct"/>
                  <w:vMerge w:val="continue"/>
                  <w:noWrap w:val="0"/>
                  <w:vAlign w:val="center"/>
                </w:tcPr>
                <w:p w14:paraId="678F1DBE">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p>
              </w:tc>
            </w:tr>
            <w:tr w14:paraId="2F147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77" w:hRule="atLeast"/>
                <w:jc w:val="center"/>
              </w:trPr>
              <w:tc>
                <w:tcPr>
                  <w:tcW w:w="301" w:type="pct"/>
                  <w:noWrap w:val="0"/>
                  <w:vAlign w:val="center"/>
                </w:tcPr>
                <w:p w14:paraId="1D5CDB23">
                  <w:pPr>
                    <w:widowControl w:val="0"/>
                    <w:bidi w:val="0"/>
                    <w:adjustRightInd w:val="0"/>
                    <w:snapToGrid w:val="0"/>
                    <w:spacing w:before="10" w:beforeLines="10" w:after="10" w:afterLines="10" w:line="240" w:lineRule="auto"/>
                    <w:jc w:val="center"/>
                    <w:rPr>
                      <w:rFonts w:hint="default" w:cs="Times New Roman"/>
                      <w:color w:val="auto"/>
                      <w:kern w:val="0"/>
                      <w:sz w:val="21"/>
                      <w:szCs w:val="20"/>
                      <w:lang w:val="en-US" w:eastAsia="zh-CN" w:bidi="ar-SA"/>
                    </w:rPr>
                  </w:pPr>
                  <w:r>
                    <w:rPr>
                      <w:rFonts w:hint="eastAsia" w:cs="Times New Roman"/>
                      <w:color w:val="auto"/>
                      <w:kern w:val="0"/>
                      <w:sz w:val="21"/>
                      <w:szCs w:val="20"/>
                      <w:lang w:val="en-US" w:eastAsia="zh-CN" w:bidi="ar-SA"/>
                    </w:rPr>
                    <w:t>5</w:t>
                  </w:r>
                </w:p>
              </w:tc>
              <w:tc>
                <w:tcPr>
                  <w:tcW w:w="711" w:type="pct"/>
                  <w:noWrap w:val="0"/>
                  <w:vAlign w:val="center"/>
                </w:tcPr>
                <w:p w14:paraId="01B5C3DA">
                  <w:pPr>
                    <w:widowControl w:val="0"/>
                    <w:bidi w:val="0"/>
                    <w:adjustRightInd w:val="0"/>
                    <w:snapToGrid w:val="0"/>
                    <w:spacing w:before="10" w:beforeLines="10" w:after="10" w:afterLines="10" w:line="240" w:lineRule="auto"/>
                    <w:jc w:val="center"/>
                    <w:rPr>
                      <w:rFonts w:hint="default" w:cs="Times New Roman"/>
                      <w:color w:val="auto"/>
                      <w:kern w:val="0"/>
                      <w:sz w:val="21"/>
                      <w:szCs w:val="20"/>
                      <w:lang w:val="en-US" w:eastAsia="zh-CN" w:bidi="ar-SA"/>
                    </w:rPr>
                  </w:pPr>
                  <w:r>
                    <w:rPr>
                      <w:rFonts w:hint="eastAsia" w:cs="Times New Roman"/>
                      <w:color w:val="auto"/>
                      <w:kern w:val="0"/>
                      <w:sz w:val="21"/>
                      <w:szCs w:val="20"/>
                      <w:lang w:val="en-US" w:eastAsia="zh-CN" w:bidi="ar-SA"/>
                    </w:rPr>
                    <w:t>废切削液污泥</w:t>
                  </w:r>
                </w:p>
              </w:tc>
              <w:tc>
                <w:tcPr>
                  <w:tcW w:w="453" w:type="pct"/>
                  <w:noWrap w:val="0"/>
                  <w:vAlign w:val="center"/>
                </w:tcPr>
                <w:p w14:paraId="49FC7E7F">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HW06</w:t>
                  </w:r>
                </w:p>
              </w:tc>
              <w:tc>
                <w:tcPr>
                  <w:tcW w:w="698" w:type="pct"/>
                  <w:noWrap w:val="0"/>
                  <w:vAlign w:val="center"/>
                </w:tcPr>
                <w:p w14:paraId="3B9DB751">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900-</w:t>
                  </w:r>
                  <w:r>
                    <w:rPr>
                      <w:rFonts w:hint="eastAsia" w:ascii="Times New Roman" w:hAnsi="Times New Roman" w:eastAsia="宋体" w:cs="Times New Roman"/>
                      <w:color w:val="auto"/>
                      <w:kern w:val="0"/>
                      <w:sz w:val="21"/>
                      <w:szCs w:val="20"/>
                      <w:lang w:val="en-US" w:eastAsia="zh-CN" w:bidi="ar-SA"/>
                    </w:rPr>
                    <w:t>4</w:t>
                  </w:r>
                  <w:r>
                    <w:rPr>
                      <w:rFonts w:hint="default" w:ascii="Times New Roman" w:hAnsi="Times New Roman" w:eastAsia="宋体" w:cs="Times New Roman"/>
                      <w:color w:val="auto"/>
                      <w:kern w:val="0"/>
                      <w:sz w:val="21"/>
                      <w:szCs w:val="20"/>
                      <w:lang w:val="en-US" w:eastAsia="zh-CN" w:bidi="ar-SA"/>
                    </w:rPr>
                    <w:t>06-0</w:t>
                  </w:r>
                  <w:r>
                    <w:rPr>
                      <w:rFonts w:hint="eastAsia" w:ascii="Times New Roman" w:hAnsi="Times New Roman" w:eastAsia="宋体" w:cs="Times New Roman"/>
                      <w:color w:val="auto"/>
                      <w:kern w:val="0"/>
                      <w:sz w:val="21"/>
                      <w:szCs w:val="20"/>
                      <w:lang w:val="en-US" w:eastAsia="zh-CN" w:bidi="ar-SA"/>
                    </w:rPr>
                    <w:t>6</w:t>
                  </w:r>
                </w:p>
              </w:tc>
              <w:tc>
                <w:tcPr>
                  <w:tcW w:w="469" w:type="pct"/>
                  <w:noWrap w:val="0"/>
                  <w:vAlign w:val="center"/>
                </w:tcPr>
                <w:p w14:paraId="0939B58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CNC加工</w:t>
                  </w:r>
                </w:p>
              </w:tc>
              <w:tc>
                <w:tcPr>
                  <w:tcW w:w="375" w:type="pct"/>
                  <w:noWrap w:val="0"/>
                  <w:vAlign w:val="center"/>
                </w:tcPr>
                <w:p w14:paraId="367670E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半固态</w:t>
                  </w:r>
                </w:p>
              </w:tc>
              <w:tc>
                <w:tcPr>
                  <w:tcW w:w="393" w:type="pct"/>
                  <w:noWrap w:val="0"/>
                  <w:vAlign w:val="center"/>
                </w:tcPr>
                <w:p w14:paraId="2F20B4BA">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废切削液</w:t>
                  </w:r>
                </w:p>
              </w:tc>
              <w:tc>
                <w:tcPr>
                  <w:tcW w:w="385" w:type="pct"/>
                  <w:noWrap w:val="0"/>
                  <w:vAlign w:val="center"/>
                </w:tcPr>
                <w:p w14:paraId="5F0B33A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olor w:val="auto"/>
                      <w:lang w:val="en-US" w:eastAsia="zh-CN"/>
                    </w:rPr>
                    <w:t>T/C</w:t>
                  </w:r>
                </w:p>
              </w:tc>
              <w:tc>
                <w:tcPr>
                  <w:tcW w:w="603" w:type="pct"/>
                  <w:noWrap w:val="0"/>
                  <w:vAlign w:val="center"/>
                </w:tcPr>
                <w:p w14:paraId="037BA5AC">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0.8</w:t>
                  </w:r>
                  <w:r>
                    <w:rPr>
                      <w:rFonts w:hint="eastAsia" w:ascii="Times New Roman" w:hAnsi="Times New Roman" w:eastAsia="宋体" w:cs="Times New Roman"/>
                      <w:color w:val="auto"/>
                      <w:kern w:val="0"/>
                      <w:sz w:val="21"/>
                      <w:szCs w:val="20"/>
                      <w:lang w:val="en-US" w:eastAsia="zh-CN" w:bidi="ar-SA"/>
                    </w:rPr>
                    <w:t>t/a</w:t>
                  </w:r>
                </w:p>
              </w:tc>
              <w:tc>
                <w:tcPr>
                  <w:tcW w:w="606" w:type="pct"/>
                  <w:vMerge w:val="continue"/>
                  <w:noWrap w:val="0"/>
                  <w:vAlign w:val="center"/>
                </w:tcPr>
                <w:p w14:paraId="6CE3B44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p>
              </w:tc>
            </w:tr>
            <w:tr w14:paraId="597AD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77" w:hRule="atLeast"/>
                <w:jc w:val="center"/>
              </w:trPr>
              <w:tc>
                <w:tcPr>
                  <w:tcW w:w="301" w:type="pct"/>
                  <w:noWrap w:val="0"/>
                  <w:vAlign w:val="center"/>
                </w:tcPr>
                <w:p w14:paraId="1964A9F5">
                  <w:pPr>
                    <w:widowControl w:val="0"/>
                    <w:bidi w:val="0"/>
                    <w:adjustRightInd w:val="0"/>
                    <w:snapToGrid w:val="0"/>
                    <w:spacing w:before="10" w:beforeLines="10" w:after="10" w:afterLines="10" w:line="240" w:lineRule="auto"/>
                    <w:jc w:val="center"/>
                    <w:rPr>
                      <w:rFonts w:hint="default" w:cs="Times New Roman"/>
                      <w:color w:val="auto"/>
                      <w:kern w:val="0"/>
                      <w:sz w:val="21"/>
                      <w:szCs w:val="20"/>
                      <w:lang w:val="en-US" w:eastAsia="zh-CN" w:bidi="ar-SA"/>
                    </w:rPr>
                  </w:pPr>
                  <w:r>
                    <w:rPr>
                      <w:rFonts w:hint="eastAsia" w:cs="Times New Roman"/>
                      <w:color w:val="auto"/>
                      <w:kern w:val="0"/>
                      <w:sz w:val="21"/>
                      <w:szCs w:val="20"/>
                      <w:lang w:val="en-US" w:eastAsia="zh-CN" w:bidi="ar-SA"/>
                    </w:rPr>
                    <w:t>6</w:t>
                  </w:r>
                </w:p>
              </w:tc>
              <w:tc>
                <w:tcPr>
                  <w:tcW w:w="711" w:type="pct"/>
                  <w:noWrap w:val="0"/>
                  <w:vAlign w:val="center"/>
                </w:tcPr>
                <w:p w14:paraId="3F1311BD">
                  <w:pPr>
                    <w:widowControl w:val="0"/>
                    <w:bidi w:val="0"/>
                    <w:adjustRightInd w:val="0"/>
                    <w:snapToGrid w:val="0"/>
                    <w:spacing w:before="10" w:beforeLines="10" w:after="10" w:afterLines="10" w:line="240" w:lineRule="auto"/>
                    <w:jc w:val="center"/>
                    <w:rPr>
                      <w:rFonts w:hint="default" w:cs="Times New Roman"/>
                      <w:color w:val="auto"/>
                      <w:kern w:val="0"/>
                      <w:sz w:val="21"/>
                      <w:szCs w:val="20"/>
                      <w:lang w:val="en-US" w:eastAsia="zh-CN" w:bidi="ar-SA"/>
                    </w:rPr>
                  </w:pPr>
                  <w:r>
                    <w:rPr>
                      <w:rFonts w:hint="eastAsia" w:cs="Times New Roman"/>
                      <w:color w:val="auto"/>
                      <w:kern w:val="0"/>
                      <w:sz w:val="21"/>
                      <w:szCs w:val="20"/>
                      <w:lang w:val="en-US" w:eastAsia="zh-CN" w:bidi="ar-SA"/>
                    </w:rPr>
                    <w:t>废抛光垫</w:t>
                  </w:r>
                </w:p>
              </w:tc>
              <w:tc>
                <w:tcPr>
                  <w:tcW w:w="453" w:type="pct"/>
                  <w:noWrap w:val="0"/>
                  <w:vAlign w:val="center"/>
                </w:tcPr>
                <w:p w14:paraId="6F319254">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HW08</w:t>
                  </w:r>
                </w:p>
              </w:tc>
              <w:tc>
                <w:tcPr>
                  <w:tcW w:w="698" w:type="pct"/>
                  <w:noWrap w:val="0"/>
                  <w:vAlign w:val="center"/>
                </w:tcPr>
                <w:p w14:paraId="20160C3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900-214-08</w:t>
                  </w:r>
                </w:p>
              </w:tc>
              <w:tc>
                <w:tcPr>
                  <w:tcW w:w="469" w:type="pct"/>
                  <w:noWrap w:val="0"/>
                  <w:vAlign w:val="center"/>
                </w:tcPr>
                <w:p w14:paraId="623EE7D2">
                  <w:pPr>
                    <w:widowControl w:val="0"/>
                    <w:bidi w:val="0"/>
                    <w:adjustRightInd w:val="0"/>
                    <w:snapToGrid w:val="0"/>
                    <w:spacing w:before="10" w:beforeLines="10" w:after="10" w:afterLines="10" w:line="240" w:lineRule="auto"/>
                    <w:jc w:val="center"/>
                    <w:rPr>
                      <w:rFonts w:hint="default" w:cs="Times New Roman"/>
                      <w:color w:val="auto"/>
                      <w:kern w:val="0"/>
                      <w:sz w:val="21"/>
                      <w:szCs w:val="20"/>
                      <w:lang w:val="en-US" w:eastAsia="zh-CN" w:bidi="ar-SA"/>
                    </w:rPr>
                  </w:pPr>
                  <w:r>
                    <w:rPr>
                      <w:rFonts w:hint="eastAsia" w:cs="Times New Roman"/>
                      <w:color w:val="auto"/>
                      <w:kern w:val="0"/>
                      <w:sz w:val="21"/>
                      <w:szCs w:val="20"/>
                      <w:lang w:val="en-US" w:eastAsia="zh-CN" w:bidi="ar-SA"/>
                    </w:rPr>
                    <w:t>抛光</w:t>
                  </w:r>
                </w:p>
              </w:tc>
              <w:tc>
                <w:tcPr>
                  <w:tcW w:w="375" w:type="pct"/>
                  <w:noWrap w:val="0"/>
                  <w:vAlign w:val="center"/>
                </w:tcPr>
                <w:p w14:paraId="17E5ADAA">
                  <w:pPr>
                    <w:widowControl w:val="0"/>
                    <w:bidi w:val="0"/>
                    <w:adjustRightInd w:val="0"/>
                    <w:snapToGrid w:val="0"/>
                    <w:spacing w:before="10" w:beforeLines="10" w:after="10" w:afterLines="10" w:line="240" w:lineRule="auto"/>
                    <w:jc w:val="center"/>
                    <w:rPr>
                      <w:rFonts w:hint="default" w:cs="Times New Roman"/>
                      <w:color w:val="auto"/>
                      <w:kern w:val="0"/>
                      <w:sz w:val="21"/>
                      <w:szCs w:val="20"/>
                      <w:lang w:val="en-US" w:eastAsia="zh-CN" w:bidi="ar-SA"/>
                    </w:rPr>
                  </w:pPr>
                  <w:r>
                    <w:rPr>
                      <w:rFonts w:hint="eastAsia" w:cs="Times New Roman"/>
                      <w:color w:val="auto"/>
                      <w:kern w:val="0"/>
                      <w:sz w:val="21"/>
                      <w:szCs w:val="20"/>
                      <w:lang w:val="en-US" w:eastAsia="zh-CN" w:bidi="ar-SA"/>
                    </w:rPr>
                    <w:t>固态</w:t>
                  </w:r>
                </w:p>
              </w:tc>
              <w:tc>
                <w:tcPr>
                  <w:tcW w:w="393" w:type="pct"/>
                  <w:noWrap w:val="0"/>
                  <w:vAlign w:val="center"/>
                </w:tcPr>
                <w:p w14:paraId="1201F1B3">
                  <w:pPr>
                    <w:widowControl w:val="0"/>
                    <w:bidi w:val="0"/>
                    <w:adjustRightInd w:val="0"/>
                    <w:snapToGrid w:val="0"/>
                    <w:spacing w:before="10" w:beforeLines="10" w:after="10" w:afterLines="10" w:line="240" w:lineRule="auto"/>
                    <w:jc w:val="center"/>
                    <w:rPr>
                      <w:rFonts w:hint="eastAsia" w:cs="Times New Roman"/>
                      <w:color w:val="auto"/>
                      <w:kern w:val="0"/>
                      <w:sz w:val="21"/>
                      <w:szCs w:val="20"/>
                      <w:lang w:val="en-US" w:eastAsia="zh-CN" w:bidi="ar-SA"/>
                    </w:rPr>
                  </w:pPr>
                  <w:r>
                    <w:rPr>
                      <w:rFonts w:hint="eastAsia" w:cs="Times New Roman"/>
                      <w:color w:val="auto"/>
                      <w:kern w:val="0"/>
                      <w:sz w:val="21"/>
                      <w:szCs w:val="20"/>
                      <w:lang w:val="en-US" w:eastAsia="zh-CN" w:bidi="ar-SA"/>
                    </w:rPr>
                    <w:t>废抛光垫</w:t>
                  </w:r>
                </w:p>
              </w:tc>
              <w:tc>
                <w:tcPr>
                  <w:tcW w:w="385" w:type="pct"/>
                  <w:noWrap w:val="0"/>
                  <w:vAlign w:val="center"/>
                </w:tcPr>
                <w:p w14:paraId="61A13154">
                  <w:pPr>
                    <w:widowControl w:val="0"/>
                    <w:bidi w:val="0"/>
                    <w:adjustRightInd w:val="0"/>
                    <w:snapToGrid w:val="0"/>
                    <w:spacing w:before="10" w:beforeLines="10" w:after="10" w:afterLines="10" w:line="240" w:lineRule="auto"/>
                    <w:jc w:val="center"/>
                    <w:rPr>
                      <w:rFonts w:hint="eastAsia"/>
                      <w:color w:val="auto"/>
                      <w:lang w:val="en-US" w:eastAsia="zh-CN"/>
                    </w:rPr>
                  </w:pPr>
                  <w:r>
                    <w:rPr>
                      <w:rFonts w:hint="default" w:ascii="Times New Roman" w:hAnsi="Times New Roman" w:eastAsia="宋体" w:cs="Times New Roman"/>
                      <w:color w:val="auto"/>
                      <w:kern w:val="0"/>
                      <w:sz w:val="21"/>
                      <w:szCs w:val="20"/>
                      <w:lang w:val="en-US" w:eastAsia="zh-CN" w:bidi="ar-SA"/>
                    </w:rPr>
                    <w:t>T/In</w:t>
                  </w:r>
                </w:p>
              </w:tc>
              <w:tc>
                <w:tcPr>
                  <w:tcW w:w="603" w:type="pct"/>
                  <w:noWrap w:val="0"/>
                  <w:vAlign w:val="center"/>
                </w:tcPr>
                <w:p w14:paraId="2AAC662B">
                  <w:pPr>
                    <w:widowControl w:val="0"/>
                    <w:bidi w:val="0"/>
                    <w:adjustRightInd w:val="0"/>
                    <w:snapToGrid w:val="0"/>
                    <w:spacing w:before="10" w:beforeLines="10" w:after="10" w:afterLines="10" w:line="240" w:lineRule="auto"/>
                    <w:jc w:val="center"/>
                    <w:rPr>
                      <w:rFonts w:hint="default" w:cs="Times New Roman"/>
                      <w:color w:val="auto"/>
                      <w:kern w:val="0"/>
                      <w:sz w:val="21"/>
                      <w:szCs w:val="20"/>
                      <w:lang w:val="en-US" w:eastAsia="zh-CN" w:bidi="ar-SA"/>
                    </w:rPr>
                  </w:pPr>
                  <w:r>
                    <w:rPr>
                      <w:rFonts w:hint="eastAsia" w:cs="Times New Roman"/>
                      <w:color w:val="auto"/>
                      <w:kern w:val="0"/>
                      <w:sz w:val="21"/>
                      <w:szCs w:val="20"/>
                      <w:lang w:val="en-US" w:eastAsia="zh-CN" w:bidi="ar-SA"/>
                    </w:rPr>
                    <w:t>0.2t/a</w:t>
                  </w:r>
                </w:p>
              </w:tc>
              <w:tc>
                <w:tcPr>
                  <w:tcW w:w="606" w:type="pct"/>
                  <w:noWrap w:val="0"/>
                  <w:vAlign w:val="center"/>
                </w:tcPr>
                <w:p w14:paraId="41CD7DC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p>
              </w:tc>
            </w:tr>
          </w:tbl>
          <w:p w14:paraId="4D2F5DB1">
            <w:pPr>
              <w:keepNext/>
              <w:keepLines/>
              <w:widowControl w:val="0"/>
              <w:bidi w:val="0"/>
              <w:spacing w:beforeLines="0" w:beforeAutospacing="0" w:afterLines="0" w:afterAutospacing="0" w:line="360" w:lineRule="auto"/>
              <w:jc w:val="left"/>
              <w:outlineLvl w:val="2"/>
              <w:rPr>
                <w:rFonts w:hint="eastAsia"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4.4.3固体废物管理措施及环境影响分析</w:t>
            </w:r>
          </w:p>
          <w:p w14:paraId="3372E00C">
            <w:pPr>
              <w:widowControl w:val="0"/>
              <w:bidi w:val="0"/>
              <w:spacing w:line="360" w:lineRule="auto"/>
              <w:ind w:firstLine="480" w:firstLineChars="200"/>
              <w:jc w:val="both"/>
              <w:rPr>
                <w:rFonts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（1）一般工业固体废物贮存要求</w:t>
            </w:r>
          </w:p>
          <w:p w14:paraId="5CD3653A">
            <w:pPr>
              <w:widowControl w:val="0"/>
              <w:bidi w:val="0"/>
              <w:spacing w:line="360" w:lineRule="auto"/>
              <w:ind w:firstLine="480" w:firstLineChars="200"/>
              <w:jc w:val="both"/>
              <w:rPr>
                <w:rFonts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根据国家《一般工业固体废物贮存和填埋污染控制标准》（GB18599-2020），一般工业固体废物的贮存和管理应做到：在生产过程中应加强一般工业固体废物贮存规范化管理，固体废物分类定点堆放。确保固体废物贮存过程满足防渗漏、防雨淋和防扬尘等环境保护要求。</w:t>
            </w:r>
          </w:p>
          <w:p w14:paraId="6DF2C1DA">
            <w:pPr>
              <w:widowControl w:val="0"/>
              <w:bidi w:val="0"/>
              <w:spacing w:line="360" w:lineRule="auto"/>
              <w:ind w:firstLine="480" w:firstLineChars="200"/>
              <w:jc w:val="both"/>
              <w:rPr>
                <w:rFonts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（2）一般工业固体废物转移和管理要求</w:t>
            </w:r>
          </w:p>
          <w:p w14:paraId="7760D0A6">
            <w:pPr>
              <w:widowControl w:val="0"/>
              <w:bidi w:val="0"/>
              <w:spacing w:line="360" w:lineRule="auto"/>
              <w:ind w:firstLine="480" w:firstLineChars="200"/>
              <w:jc w:val="both"/>
              <w:rPr>
                <w:rFonts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①采取防扬散、防流失、防渗漏或者其他防止固体废物污染环境的措施，不得擅自倾倒、堆放、丢弃、遗撒固体废物。</w:t>
            </w:r>
          </w:p>
          <w:p w14:paraId="0814DF15">
            <w:pPr>
              <w:widowControl w:val="0"/>
              <w:bidi w:val="0"/>
              <w:spacing w:line="360" w:lineRule="auto"/>
              <w:ind w:firstLine="480" w:firstLineChars="200"/>
              <w:jc w:val="both"/>
              <w:rPr>
                <w:rFonts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②禁止向江河、湖泊、运河、渠道、水库及其最高水位线以下的滩地和岸坡以及法律法规规定的其他地点倾倒、堆放、贮存固体废物。</w:t>
            </w:r>
          </w:p>
          <w:p w14:paraId="39208887">
            <w:pPr>
              <w:widowControl w:val="0"/>
              <w:bidi w:val="0"/>
              <w:spacing w:line="360" w:lineRule="auto"/>
              <w:ind w:firstLine="480" w:firstLineChars="200"/>
              <w:jc w:val="both"/>
              <w:rPr>
                <w:rFonts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③转移固体废物出省、自治区、直辖市行政区域利用的，应当报固体废物移出地的省、自治区、直辖市人民政府生态环境主管部门备案。移出地的省、自治区、直辖市人民政府生态环境主管部门应当将备案信息通报接受地的省、自治区、直辖市人民政府生态环境主管部门。</w:t>
            </w:r>
          </w:p>
          <w:p w14:paraId="41D226C4">
            <w:pPr>
              <w:widowControl w:val="0"/>
              <w:bidi w:val="0"/>
              <w:spacing w:line="360" w:lineRule="auto"/>
              <w:ind w:firstLine="480" w:firstLineChars="200"/>
              <w:jc w:val="both"/>
              <w:rPr>
                <w:rFonts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④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w:t>
            </w:r>
          </w:p>
          <w:p w14:paraId="7761BC3E">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⑤禁止向生活垃圾收集设施中投放工业固体废物。</w:t>
            </w:r>
          </w:p>
          <w:p w14:paraId="346FB1D2">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（3）生活垃圾</w:t>
            </w:r>
          </w:p>
          <w:p w14:paraId="364CDA4F">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生活垃圾极易腐败发臭，必须按照垃圾分类要求对生活垃圾进行分类，定点收集，及时清运或处理，做到日产日清。项目在厂区生产区和办公生活区分别设置一些垃圾收集桶。项目配备专职的清洁人员和必要的工具，负责清扫厂区，维持清洁卫生，生活垃圾收集后委托当地环卫部门统一清运。</w:t>
            </w:r>
          </w:p>
          <w:p w14:paraId="07FE0DB8">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w:t>
            </w:r>
            <w:r>
              <w:rPr>
                <w:rFonts w:hint="eastAsia" w:ascii="Times New Roman" w:hAnsi="Times New Roman" w:eastAsia="宋体" w:cs="宋体"/>
                <w:color w:val="auto"/>
                <w:kern w:val="2"/>
                <w:sz w:val="24"/>
                <w:szCs w:val="24"/>
                <w:lang w:val="en-US" w:eastAsia="zh-CN" w:bidi="ar-SA"/>
              </w:rPr>
              <w:t>4</w:t>
            </w:r>
            <w:r>
              <w:rPr>
                <w:rFonts w:hint="default" w:ascii="Times New Roman" w:hAnsi="Times New Roman" w:eastAsia="宋体" w:cs="宋体"/>
                <w:color w:val="auto"/>
                <w:kern w:val="2"/>
                <w:sz w:val="24"/>
                <w:szCs w:val="24"/>
                <w:lang w:val="en-US" w:eastAsia="zh-CN" w:bidi="ar-SA"/>
              </w:rPr>
              <w:t>）危险废物暂存</w:t>
            </w:r>
            <w:r>
              <w:rPr>
                <w:rFonts w:hint="eastAsia" w:ascii="Times New Roman" w:hAnsi="Times New Roman" w:eastAsia="宋体" w:cs="宋体"/>
                <w:color w:val="auto"/>
                <w:kern w:val="2"/>
                <w:sz w:val="24"/>
                <w:szCs w:val="24"/>
                <w:lang w:val="en-US" w:eastAsia="zh-CN" w:bidi="ar-SA"/>
              </w:rPr>
              <w:t>贮存管理要求</w:t>
            </w:r>
          </w:p>
          <w:p w14:paraId="0563E22C">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厂区内</w:t>
            </w:r>
            <w:r>
              <w:rPr>
                <w:rFonts w:hint="eastAsia" w:ascii="Times New Roman" w:hAnsi="Times New Roman" w:eastAsia="宋体" w:cs="宋体"/>
                <w:color w:val="auto"/>
                <w:kern w:val="2"/>
                <w:sz w:val="24"/>
                <w:szCs w:val="24"/>
                <w:lang w:val="en-US" w:eastAsia="zh-CN" w:bidi="ar-SA"/>
              </w:rPr>
              <w:t>拟</w:t>
            </w:r>
            <w:r>
              <w:rPr>
                <w:rFonts w:hint="default" w:ascii="Times New Roman" w:hAnsi="Times New Roman" w:eastAsia="宋体" w:cs="宋体"/>
                <w:color w:val="auto"/>
                <w:kern w:val="2"/>
                <w:sz w:val="24"/>
                <w:szCs w:val="24"/>
                <w:lang w:val="en-US" w:eastAsia="zh-CN" w:bidi="ar-SA"/>
              </w:rPr>
              <w:t>建1个</w:t>
            </w:r>
            <w:r>
              <w:rPr>
                <w:rFonts w:hint="eastAsia" w:ascii="Times New Roman" w:hAnsi="Times New Roman" w:eastAsia="宋体" w:cs="宋体"/>
                <w:color w:val="auto"/>
                <w:kern w:val="2"/>
                <w:sz w:val="24"/>
                <w:szCs w:val="24"/>
                <w:lang w:val="en-US" w:eastAsia="zh-CN" w:bidi="ar-SA"/>
              </w:rPr>
              <w:t>危废贮存库</w:t>
            </w:r>
            <w:r>
              <w:rPr>
                <w:rFonts w:hint="default" w:ascii="Times New Roman" w:hAnsi="Times New Roman" w:eastAsia="宋体" w:cs="宋体"/>
                <w:color w:val="auto"/>
                <w:kern w:val="2"/>
                <w:sz w:val="24"/>
                <w:szCs w:val="24"/>
                <w:lang w:val="en-US" w:eastAsia="zh-CN" w:bidi="ar-SA"/>
              </w:rPr>
              <w:t>，对厂区内产生的危险废物进行暂存；危废均交由有资质单位处置。厂区内设置的</w:t>
            </w:r>
            <w:r>
              <w:rPr>
                <w:rFonts w:hint="eastAsia" w:ascii="Times New Roman" w:hAnsi="Times New Roman" w:eastAsia="宋体" w:cs="宋体"/>
                <w:color w:val="auto"/>
                <w:kern w:val="2"/>
                <w:sz w:val="24"/>
                <w:szCs w:val="24"/>
                <w:lang w:val="en-US" w:eastAsia="zh-CN" w:bidi="ar-SA"/>
              </w:rPr>
              <w:t>危废贮存库</w:t>
            </w:r>
            <w:r>
              <w:rPr>
                <w:rFonts w:hint="default" w:ascii="Times New Roman" w:hAnsi="Times New Roman" w:eastAsia="宋体" w:cs="宋体"/>
                <w:color w:val="auto"/>
                <w:kern w:val="2"/>
                <w:sz w:val="24"/>
                <w:szCs w:val="24"/>
                <w:lang w:val="en-US" w:eastAsia="zh-CN" w:bidi="ar-SA"/>
              </w:rPr>
              <w:t>应按照《危险废物贮存污染控制标准》（GB18597-20</w:t>
            </w:r>
            <w:r>
              <w:rPr>
                <w:rFonts w:hint="eastAsia" w:ascii="Times New Roman" w:hAnsi="Times New Roman" w:eastAsia="宋体" w:cs="宋体"/>
                <w:color w:val="auto"/>
                <w:kern w:val="2"/>
                <w:sz w:val="24"/>
                <w:szCs w:val="24"/>
                <w:lang w:val="en-US" w:eastAsia="zh-CN" w:bidi="ar-SA"/>
              </w:rPr>
              <w:t>23</w:t>
            </w:r>
            <w:r>
              <w:rPr>
                <w:rFonts w:hint="default" w:ascii="Times New Roman" w:hAnsi="Times New Roman" w:eastAsia="宋体" w:cs="宋体"/>
                <w:color w:val="auto"/>
                <w:kern w:val="2"/>
                <w:sz w:val="24"/>
                <w:szCs w:val="24"/>
                <w:lang w:val="en-US" w:eastAsia="zh-CN" w:bidi="ar-SA"/>
              </w:rPr>
              <w:t>）。</w:t>
            </w:r>
          </w:p>
          <w:p w14:paraId="71ED2338">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A</w:t>
            </w:r>
            <w:r>
              <w:rPr>
                <w:rFonts w:hint="default" w:ascii="Times New Roman" w:hAnsi="Times New Roman" w:eastAsia="宋体" w:cs="宋体"/>
                <w:color w:val="auto"/>
                <w:kern w:val="2"/>
                <w:sz w:val="24"/>
                <w:szCs w:val="24"/>
                <w:lang w:val="en-US" w:eastAsia="zh-CN" w:bidi="ar-SA"/>
              </w:rPr>
              <w:t>、危险废物贮存</w:t>
            </w:r>
            <w:r>
              <w:rPr>
                <w:rFonts w:hint="eastAsia" w:ascii="Times New Roman" w:hAnsi="Times New Roman" w:eastAsia="宋体" w:cs="宋体"/>
                <w:color w:val="auto"/>
                <w:kern w:val="2"/>
                <w:sz w:val="24"/>
                <w:szCs w:val="24"/>
                <w:lang w:val="en-US" w:eastAsia="zh-CN" w:bidi="ar-SA"/>
              </w:rPr>
              <w:t>设施污染控制要求一般规定</w:t>
            </w:r>
          </w:p>
          <w:p w14:paraId="0AFCD111">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①贮存设施应根据危险废物的形态、物理化学性质、包装形式和污染物迁移途径，采取必要的防风、防晒、防雨、防漏、防渗、防腐以及其他环境污染防治措施，不应露天堆放危险废物</w:t>
            </w:r>
            <w:r>
              <w:rPr>
                <w:rFonts w:hint="eastAsia" w:ascii="Times New Roman" w:hAnsi="Times New Roman" w:eastAsia="宋体" w:cs="宋体"/>
                <w:color w:val="auto"/>
                <w:kern w:val="2"/>
                <w:sz w:val="24"/>
                <w:szCs w:val="24"/>
                <w:lang w:val="en-US" w:eastAsia="zh-CN" w:bidi="ar-SA"/>
              </w:rPr>
              <w:t>；</w:t>
            </w:r>
          </w:p>
          <w:p w14:paraId="57B33533">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②</w:t>
            </w:r>
            <w:r>
              <w:rPr>
                <w:rFonts w:ascii="Times New Roman" w:hAnsi="Times New Roman" w:eastAsia="宋体" w:cs="宋体"/>
                <w:color w:val="auto"/>
                <w:kern w:val="2"/>
                <w:sz w:val="24"/>
                <w:szCs w:val="24"/>
                <w:lang w:val="en-US" w:eastAsia="zh-CN" w:bidi="ar-SA"/>
              </w:rPr>
              <w:t>贮存设施应根据危险废物的类别、数量、形态、物理化学性质和污染防治等要求设置必要的贮存分区，避免不相容的危险废物接触、混合</w:t>
            </w:r>
            <w:r>
              <w:rPr>
                <w:rFonts w:hint="eastAsia" w:ascii="Times New Roman" w:hAnsi="Times New Roman" w:eastAsia="宋体" w:cs="宋体"/>
                <w:color w:val="auto"/>
                <w:kern w:val="2"/>
                <w:sz w:val="24"/>
                <w:szCs w:val="24"/>
                <w:lang w:val="en-US" w:eastAsia="zh-CN" w:bidi="ar-SA"/>
              </w:rPr>
              <w:t>；</w:t>
            </w:r>
          </w:p>
          <w:p w14:paraId="0E04D913">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③</w:t>
            </w:r>
            <w:r>
              <w:rPr>
                <w:rFonts w:ascii="Times New Roman" w:hAnsi="Times New Roman" w:eastAsia="宋体" w:cs="宋体"/>
                <w:color w:val="auto"/>
                <w:kern w:val="2"/>
                <w:sz w:val="24"/>
                <w:szCs w:val="24"/>
                <w:lang w:val="en-US" w:eastAsia="zh-CN" w:bidi="ar-SA"/>
              </w:rPr>
              <w:t>贮存设施或贮存分区内地面、墙面裙脚、堵截泄漏的围堰、接触危险废物的隔板和墙体等应采用坚固的材料建造，表面无裂缝</w:t>
            </w:r>
            <w:r>
              <w:rPr>
                <w:rFonts w:hint="eastAsia" w:ascii="Times New Roman" w:hAnsi="Times New Roman" w:eastAsia="宋体" w:cs="宋体"/>
                <w:color w:val="auto"/>
                <w:kern w:val="2"/>
                <w:sz w:val="24"/>
                <w:szCs w:val="24"/>
                <w:lang w:val="en-US" w:eastAsia="zh-CN" w:bidi="ar-SA"/>
              </w:rPr>
              <w:t>；</w:t>
            </w:r>
          </w:p>
          <w:p w14:paraId="75817709">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④</w:t>
            </w:r>
            <w:r>
              <w:rPr>
                <w:rFonts w:ascii="Times New Roman" w:hAnsi="Times New Roman" w:eastAsia="宋体" w:cs="宋体"/>
                <w:color w:val="auto"/>
                <w:kern w:val="2"/>
                <w:sz w:val="24"/>
                <w:szCs w:val="24"/>
                <w:lang w:val="en-US" w:eastAsia="zh-CN" w:bidi="ar-SA"/>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ascii="Times New Roman" w:hAnsi="Times New Roman" w:eastAsia="宋体" w:cs="宋体"/>
                <w:color w:val="auto"/>
                <w:kern w:val="2"/>
                <w:sz w:val="24"/>
                <w:szCs w:val="24"/>
                <w:vertAlign w:val="superscript"/>
                <w:lang w:val="en-US" w:eastAsia="zh-CN" w:bidi="ar-SA"/>
              </w:rPr>
              <w:t>-7</w:t>
            </w:r>
            <w:r>
              <w:rPr>
                <w:rFonts w:ascii="Times New Roman" w:hAnsi="Times New Roman" w:eastAsia="宋体" w:cs="宋体"/>
                <w:color w:val="auto"/>
                <w:kern w:val="2"/>
                <w:sz w:val="24"/>
                <w:szCs w:val="24"/>
                <w:lang w:val="en-US" w:eastAsia="zh-CN" w:bidi="ar-SA"/>
              </w:rPr>
              <w:t xml:space="preserve"> cm/s），或至少2mm厚高密度聚乙烯膜等人工防渗材料（渗透系数不大于10</w:t>
            </w:r>
            <w:r>
              <w:rPr>
                <w:rFonts w:ascii="Times New Roman" w:hAnsi="Times New Roman" w:eastAsia="宋体" w:cs="宋体"/>
                <w:color w:val="auto"/>
                <w:kern w:val="2"/>
                <w:sz w:val="24"/>
                <w:szCs w:val="24"/>
                <w:vertAlign w:val="superscript"/>
                <w:lang w:val="en-US" w:eastAsia="zh-CN" w:bidi="ar-SA"/>
              </w:rPr>
              <w:t>-10</w:t>
            </w:r>
            <w:r>
              <w:rPr>
                <w:rFonts w:ascii="Times New Roman" w:hAnsi="Times New Roman" w:eastAsia="宋体" w:cs="宋体"/>
                <w:color w:val="auto"/>
                <w:kern w:val="2"/>
                <w:sz w:val="24"/>
                <w:szCs w:val="24"/>
                <w:lang w:val="en-US" w:eastAsia="zh-CN" w:bidi="ar-SA"/>
              </w:rPr>
              <w:t xml:space="preserve"> cm/s），或其他防渗性能等效的材料</w:t>
            </w:r>
            <w:r>
              <w:rPr>
                <w:rFonts w:hint="eastAsia" w:ascii="Times New Roman" w:hAnsi="Times New Roman" w:eastAsia="宋体" w:cs="宋体"/>
                <w:color w:val="auto"/>
                <w:kern w:val="2"/>
                <w:sz w:val="24"/>
                <w:szCs w:val="24"/>
                <w:lang w:val="en-US" w:eastAsia="zh-CN" w:bidi="ar-SA"/>
              </w:rPr>
              <w:t>；</w:t>
            </w:r>
          </w:p>
          <w:p w14:paraId="38CE92F5">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⑤</w:t>
            </w:r>
            <w:r>
              <w:rPr>
                <w:rFonts w:ascii="Times New Roman" w:hAnsi="Times New Roman" w:eastAsia="宋体" w:cs="宋体"/>
                <w:color w:val="auto"/>
                <w:kern w:val="2"/>
                <w:sz w:val="24"/>
                <w:szCs w:val="24"/>
                <w:lang w:val="en-US" w:eastAsia="zh-CN" w:bidi="ar-SA"/>
              </w:rPr>
              <w:t>同一贮存设施宜采用相同的防渗、防腐工艺（包括防渗、防腐结构或材料），防渗、防腐材料应覆盖所有可能与废物及其渗滤液、渗漏液等接触的构筑物表面；采用不同防渗、防腐工艺应分别建设贮存分区</w:t>
            </w:r>
            <w:r>
              <w:rPr>
                <w:rFonts w:hint="eastAsia" w:ascii="Times New Roman" w:hAnsi="Times New Roman" w:eastAsia="宋体" w:cs="宋体"/>
                <w:color w:val="auto"/>
                <w:kern w:val="2"/>
                <w:sz w:val="24"/>
                <w:szCs w:val="24"/>
                <w:lang w:val="en-US" w:eastAsia="zh-CN" w:bidi="ar-SA"/>
              </w:rPr>
              <w:t>；</w:t>
            </w:r>
          </w:p>
          <w:p w14:paraId="6F7609CC">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⑥</w:t>
            </w:r>
            <w:r>
              <w:rPr>
                <w:rFonts w:ascii="Times New Roman" w:hAnsi="Times New Roman" w:eastAsia="宋体" w:cs="宋体"/>
                <w:color w:val="auto"/>
                <w:kern w:val="2"/>
                <w:sz w:val="24"/>
                <w:szCs w:val="24"/>
                <w:lang w:val="en-US" w:eastAsia="zh-CN" w:bidi="ar-SA"/>
              </w:rPr>
              <w:t>贮存设施应采取技术和管理措施防止无关人员进入</w:t>
            </w:r>
            <w:r>
              <w:rPr>
                <w:rFonts w:hint="eastAsia" w:ascii="Times New Roman" w:hAnsi="Times New Roman" w:eastAsia="宋体" w:cs="宋体"/>
                <w:color w:val="auto"/>
                <w:kern w:val="2"/>
                <w:sz w:val="24"/>
                <w:szCs w:val="24"/>
                <w:lang w:val="en-US" w:eastAsia="zh-CN" w:bidi="ar-SA"/>
              </w:rPr>
              <w:t>。</w:t>
            </w:r>
          </w:p>
          <w:p w14:paraId="41239300">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B</w:t>
            </w:r>
            <w:r>
              <w:rPr>
                <w:rFonts w:hint="default" w:ascii="Times New Roman" w:hAnsi="Times New Roman" w:eastAsia="宋体" w:cs="宋体"/>
                <w:color w:val="auto"/>
                <w:kern w:val="2"/>
                <w:sz w:val="24"/>
                <w:szCs w:val="24"/>
                <w:lang w:val="en-US" w:eastAsia="zh-CN" w:bidi="ar-SA"/>
              </w:rPr>
              <w:t>、危险废物</w:t>
            </w:r>
            <w:r>
              <w:rPr>
                <w:rFonts w:hint="eastAsia" w:ascii="Times New Roman" w:hAnsi="Times New Roman" w:eastAsia="宋体" w:cs="宋体"/>
                <w:color w:val="auto"/>
                <w:kern w:val="2"/>
                <w:sz w:val="24"/>
                <w:szCs w:val="24"/>
                <w:lang w:val="en-US" w:eastAsia="zh-CN" w:bidi="ar-SA"/>
              </w:rPr>
              <w:t>容器和包装物污染控制要求</w:t>
            </w:r>
          </w:p>
          <w:p w14:paraId="7EE76803">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①</w:t>
            </w:r>
            <w:r>
              <w:rPr>
                <w:rFonts w:ascii="Times New Roman" w:hAnsi="Times New Roman" w:eastAsia="宋体" w:cs="宋体"/>
                <w:color w:val="auto"/>
                <w:kern w:val="2"/>
                <w:sz w:val="24"/>
                <w:szCs w:val="24"/>
                <w:lang w:val="en-US" w:eastAsia="zh-CN" w:bidi="ar-SA"/>
              </w:rPr>
              <w:t>容器和包装物材质、内衬应与盛装的危险废物相容</w:t>
            </w:r>
            <w:r>
              <w:rPr>
                <w:rFonts w:hint="eastAsia" w:ascii="Times New Roman" w:hAnsi="Times New Roman" w:eastAsia="宋体" w:cs="宋体"/>
                <w:color w:val="auto"/>
                <w:kern w:val="2"/>
                <w:sz w:val="24"/>
                <w:szCs w:val="24"/>
                <w:lang w:val="en-US" w:eastAsia="zh-CN" w:bidi="ar-SA"/>
              </w:rPr>
              <w:t>；</w:t>
            </w:r>
          </w:p>
          <w:p w14:paraId="3BD1222F">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②</w:t>
            </w:r>
            <w:r>
              <w:rPr>
                <w:rFonts w:ascii="Times New Roman" w:hAnsi="Times New Roman" w:eastAsia="宋体" w:cs="宋体"/>
                <w:color w:val="auto"/>
                <w:kern w:val="2"/>
                <w:sz w:val="24"/>
                <w:szCs w:val="24"/>
                <w:lang w:val="en-US" w:eastAsia="zh-CN" w:bidi="ar-SA"/>
              </w:rPr>
              <w:t>针对不同类别、形态、物理化学性质的危险废物，其容器和包装物应满足相应的防渗、防漏、防腐和强度等要求</w:t>
            </w:r>
            <w:r>
              <w:rPr>
                <w:rFonts w:hint="eastAsia" w:ascii="Times New Roman" w:hAnsi="Times New Roman" w:eastAsia="宋体" w:cs="宋体"/>
                <w:color w:val="auto"/>
                <w:kern w:val="2"/>
                <w:sz w:val="24"/>
                <w:szCs w:val="24"/>
                <w:lang w:val="en-US" w:eastAsia="zh-CN" w:bidi="ar-SA"/>
              </w:rPr>
              <w:t>；</w:t>
            </w:r>
          </w:p>
          <w:p w14:paraId="63371839">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③硬质容器和包装物及其支护结构堆叠码放时不应有明显变形，无破损泄漏；</w:t>
            </w:r>
          </w:p>
          <w:p w14:paraId="5B1E7410">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④柔性容器和包装物堆叠码放时应封口严密，无破损泄漏；</w:t>
            </w:r>
          </w:p>
          <w:p w14:paraId="1AE21EEB">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⑤使用容器盛装液态、半固态危险废物时，容器内部应留有适当的空间，以适应因温度变化等可能引发的收缩和膨胀，防止其导致容器渗漏或永久变形；</w:t>
            </w:r>
          </w:p>
          <w:p w14:paraId="080F59C6">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⑥</w:t>
            </w:r>
            <w:r>
              <w:rPr>
                <w:rFonts w:ascii="Times New Roman" w:hAnsi="Times New Roman" w:eastAsia="宋体" w:cs="宋体"/>
                <w:color w:val="auto"/>
                <w:kern w:val="2"/>
                <w:sz w:val="24"/>
                <w:szCs w:val="24"/>
                <w:lang w:val="en-US" w:eastAsia="zh-CN" w:bidi="ar-SA"/>
              </w:rPr>
              <w:t>容器和包装物外表面应保持清洁。</w:t>
            </w:r>
          </w:p>
          <w:p w14:paraId="4FDE3B39">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C、危险废物贮存</w:t>
            </w:r>
            <w:r>
              <w:rPr>
                <w:rFonts w:hint="eastAsia" w:ascii="Times New Roman" w:hAnsi="Times New Roman" w:eastAsia="宋体" w:cs="宋体"/>
                <w:color w:val="auto"/>
                <w:kern w:val="2"/>
                <w:sz w:val="24"/>
                <w:szCs w:val="24"/>
                <w:lang w:val="en-US" w:eastAsia="zh-CN" w:bidi="ar-SA"/>
              </w:rPr>
              <w:t>过程污染控制要求一般规定</w:t>
            </w:r>
          </w:p>
          <w:p w14:paraId="2A080F12">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①在常温常压下不易水解、不易挥发的固态危险废物可分类堆放贮存，其他固态危险废物应装入容器或包装物内贮存</w:t>
            </w:r>
            <w:r>
              <w:rPr>
                <w:rFonts w:hint="eastAsia" w:ascii="Times New Roman" w:hAnsi="Times New Roman" w:eastAsia="宋体" w:cs="宋体"/>
                <w:color w:val="auto"/>
                <w:kern w:val="2"/>
                <w:sz w:val="24"/>
                <w:szCs w:val="24"/>
                <w:lang w:val="en-US" w:eastAsia="zh-CN" w:bidi="ar-SA"/>
              </w:rPr>
              <w:t>；</w:t>
            </w:r>
          </w:p>
          <w:p w14:paraId="386DB42E">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②液态危险废物应装入容器内贮存，或直接采用贮存池、贮存罐区贮存</w:t>
            </w:r>
            <w:r>
              <w:rPr>
                <w:rFonts w:hint="eastAsia" w:ascii="Times New Roman" w:hAnsi="Times New Roman" w:eastAsia="宋体" w:cs="宋体"/>
                <w:color w:val="auto"/>
                <w:kern w:val="2"/>
                <w:sz w:val="24"/>
                <w:szCs w:val="24"/>
                <w:lang w:val="en-US" w:eastAsia="zh-CN" w:bidi="ar-SA"/>
              </w:rPr>
              <w:t>；</w:t>
            </w:r>
          </w:p>
          <w:p w14:paraId="57DCE39D">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③半固态危险废物应装入容器或包装袋内贮存，或直接采用贮存池贮存</w:t>
            </w:r>
            <w:r>
              <w:rPr>
                <w:rFonts w:hint="eastAsia" w:ascii="Times New Roman" w:hAnsi="Times New Roman" w:eastAsia="宋体" w:cs="宋体"/>
                <w:color w:val="auto"/>
                <w:kern w:val="2"/>
                <w:sz w:val="24"/>
                <w:szCs w:val="24"/>
                <w:lang w:val="en-US" w:eastAsia="zh-CN" w:bidi="ar-SA"/>
              </w:rPr>
              <w:t>；</w:t>
            </w:r>
          </w:p>
          <w:p w14:paraId="67DE46AC">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④具有热塑性的危险废物应装入容器或包装袋内进行贮存；</w:t>
            </w:r>
          </w:p>
          <w:p w14:paraId="13254720">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⑤易产生粉尘、VOCs、酸雾、有毒有害大气污染物和刺激性气味气体的危险废物应装入闭口容器 或包装物内贮存；</w:t>
            </w:r>
          </w:p>
          <w:p w14:paraId="79413474">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⑥危险废物贮存过程中易产生粉尘等无组织排放的，应采取抑尘等有效措施。</w:t>
            </w:r>
          </w:p>
          <w:p w14:paraId="68D5AD18">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D、贮存设施运行环境管理要求</w:t>
            </w:r>
          </w:p>
          <w:p w14:paraId="50569890">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①</w:t>
            </w:r>
            <w:r>
              <w:rPr>
                <w:rFonts w:hint="default" w:ascii="Times New Roman" w:hAnsi="Times New Roman" w:eastAsia="宋体" w:cs="宋体"/>
                <w:color w:val="auto"/>
                <w:kern w:val="2"/>
                <w:sz w:val="24"/>
                <w:szCs w:val="24"/>
                <w:lang w:val="en-US" w:eastAsia="zh-CN" w:bidi="ar-SA"/>
              </w:rPr>
              <w:t>危险废物存入贮存设施前应对危险废物类别和特性与危险废物标签等危险废物识别标志的一致性进行核验，不一致的或类别、特性不明的不应存入</w:t>
            </w:r>
            <w:r>
              <w:rPr>
                <w:rFonts w:hint="eastAsia" w:ascii="Times New Roman" w:hAnsi="Times New Roman" w:eastAsia="宋体" w:cs="宋体"/>
                <w:color w:val="auto"/>
                <w:kern w:val="2"/>
                <w:sz w:val="24"/>
                <w:szCs w:val="24"/>
                <w:lang w:val="en-US" w:eastAsia="zh-CN" w:bidi="ar-SA"/>
              </w:rPr>
              <w:t>；</w:t>
            </w:r>
          </w:p>
          <w:p w14:paraId="020BB7ED">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②应定期检查危险废物的贮存状况，及时清理贮存设施地面，更换破损泄漏的危险废物贮存容器和包装物，保证堆存危险废物的防雨、防风、防扬尘等设施功能完好；</w:t>
            </w:r>
          </w:p>
          <w:p w14:paraId="78E3071C">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③作业设备及车辆等结束作业离开贮存设施时，应对其残留的危险废物进行清理，清理的废物或清洗废水应收集处理；</w:t>
            </w:r>
          </w:p>
          <w:p w14:paraId="7832927D">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④贮存设施运行期间，应按国家有关标准和规定建立危险废物管理台账并保存；</w:t>
            </w:r>
          </w:p>
          <w:p w14:paraId="1A667F44">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⑤贮存设施所有者或运营者应建立贮存设施环境管理制度、管理人员岗位职责制度、设施运行操作制度、人员岗位培训制度等；</w:t>
            </w:r>
          </w:p>
          <w:p w14:paraId="1A5A9BFC">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⑥贮存设施所有者或运营者应依据国家土壤和地下水污染防治的有关规定，结合贮存设施特点建立土壤和地下水污染隐患排查制度，并定期开展隐患排查；发现隐患应及时采取措施消除隐患，并建立档案；</w:t>
            </w:r>
          </w:p>
          <w:p w14:paraId="4383BF47">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⑦贮存设施所有者或运营者应建立贮存设施全部档案，包括设计、施工、验收、运行、监测和环境应急等，应按国家有关档案管理的法律法规进行整理和归档。</w:t>
            </w:r>
          </w:p>
          <w:p w14:paraId="6B3DC42F">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E</w:t>
            </w:r>
            <w:r>
              <w:rPr>
                <w:rFonts w:hint="default" w:ascii="Times New Roman" w:hAnsi="Times New Roman" w:eastAsia="宋体" w:cs="宋体"/>
                <w:color w:val="auto"/>
                <w:kern w:val="2"/>
                <w:sz w:val="24"/>
                <w:szCs w:val="24"/>
                <w:lang w:val="en-US" w:eastAsia="zh-CN" w:bidi="ar-SA"/>
              </w:rPr>
              <w:t>、</w:t>
            </w:r>
            <w:r>
              <w:rPr>
                <w:rFonts w:hint="eastAsia" w:ascii="Times New Roman" w:hAnsi="Times New Roman" w:eastAsia="宋体" w:cs="宋体"/>
                <w:color w:val="auto"/>
                <w:kern w:val="2"/>
                <w:sz w:val="24"/>
                <w:szCs w:val="24"/>
                <w:lang w:val="en-US" w:eastAsia="zh-CN" w:bidi="ar-SA"/>
              </w:rPr>
              <w:t>污染物排放控制要求</w:t>
            </w:r>
          </w:p>
          <w:p w14:paraId="7AAF571D">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①贮存设施产生的废水（包括贮存设施、作业设备、车辆等清洗废水，贮存罐区积存雨水，贮存事故废水等）应进行收集处理，废水排放应符合GB 8978规定的要求</w:t>
            </w:r>
            <w:r>
              <w:rPr>
                <w:rFonts w:hint="eastAsia" w:ascii="Times New Roman" w:hAnsi="Times New Roman" w:eastAsia="宋体" w:cs="宋体"/>
                <w:color w:val="auto"/>
                <w:kern w:val="2"/>
                <w:sz w:val="24"/>
                <w:szCs w:val="24"/>
                <w:lang w:val="en-US" w:eastAsia="zh-CN" w:bidi="ar-SA"/>
              </w:rPr>
              <w:t>；</w:t>
            </w:r>
          </w:p>
          <w:p w14:paraId="22D28C1C">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②贮存设施产生的废气（含无组织废气）的排放应符合GB 16297和GB 37822规定的要求</w:t>
            </w:r>
            <w:r>
              <w:rPr>
                <w:rFonts w:hint="eastAsia" w:ascii="Times New Roman" w:hAnsi="Times New Roman" w:eastAsia="宋体" w:cs="宋体"/>
                <w:color w:val="auto"/>
                <w:kern w:val="2"/>
                <w:sz w:val="24"/>
                <w:szCs w:val="24"/>
                <w:lang w:val="en-US" w:eastAsia="zh-CN" w:bidi="ar-SA"/>
              </w:rPr>
              <w:t>；</w:t>
            </w:r>
          </w:p>
          <w:p w14:paraId="37D315EC">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③贮存设施产生的恶臭气体的排放应符合GB 14554规定的要求</w:t>
            </w:r>
            <w:r>
              <w:rPr>
                <w:rFonts w:hint="eastAsia" w:ascii="Times New Roman" w:hAnsi="Times New Roman" w:eastAsia="宋体" w:cs="宋体"/>
                <w:color w:val="auto"/>
                <w:kern w:val="2"/>
                <w:sz w:val="24"/>
                <w:szCs w:val="24"/>
                <w:lang w:val="en-US" w:eastAsia="zh-CN" w:bidi="ar-SA"/>
              </w:rPr>
              <w:t>；</w:t>
            </w:r>
          </w:p>
          <w:p w14:paraId="446DCAB2">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④贮存设施内产生以及清理的固体废物应按固体废物分类管理要求妥善处理；</w:t>
            </w:r>
          </w:p>
          <w:p w14:paraId="04F131B6">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⑤贮存设施排放的环境噪声应符合GB 12348规定的要求。</w:t>
            </w:r>
          </w:p>
          <w:p w14:paraId="3F95561C">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w:t>
            </w:r>
            <w:r>
              <w:rPr>
                <w:rFonts w:hint="eastAsia" w:ascii="Times New Roman" w:hAnsi="Times New Roman" w:eastAsia="宋体" w:cs="宋体"/>
                <w:color w:val="auto"/>
                <w:kern w:val="2"/>
                <w:sz w:val="24"/>
                <w:szCs w:val="24"/>
                <w:lang w:val="en-US" w:eastAsia="zh-CN" w:bidi="ar-SA"/>
              </w:rPr>
              <w:t>5</w:t>
            </w:r>
            <w:r>
              <w:rPr>
                <w:rFonts w:hint="default" w:ascii="Times New Roman" w:hAnsi="Times New Roman" w:eastAsia="宋体" w:cs="宋体"/>
                <w:color w:val="auto"/>
                <w:kern w:val="2"/>
                <w:sz w:val="24"/>
                <w:szCs w:val="24"/>
                <w:lang w:val="en-US" w:eastAsia="zh-CN" w:bidi="ar-SA"/>
              </w:rPr>
              <w:t>）危险废物运输过程环境管理要求</w:t>
            </w:r>
          </w:p>
          <w:p w14:paraId="6602780F">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危险废物在收集时，应清楚废物的类别及主要成</w:t>
            </w:r>
            <w:r>
              <w:rPr>
                <w:rFonts w:hint="eastAsia" w:ascii="Times New Roman" w:hAnsi="Times New Roman" w:eastAsia="宋体" w:cs="宋体"/>
                <w:color w:val="auto"/>
                <w:kern w:val="2"/>
                <w:sz w:val="24"/>
                <w:szCs w:val="24"/>
                <w:lang w:val="en-US" w:eastAsia="zh-CN" w:bidi="ar-SA"/>
              </w:rPr>
              <w:t>分</w:t>
            </w:r>
            <w:r>
              <w:rPr>
                <w:rFonts w:hint="default" w:ascii="Times New Roman" w:hAnsi="Times New Roman" w:eastAsia="宋体" w:cs="宋体"/>
                <w:color w:val="auto"/>
                <w:kern w:val="2"/>
                <w:sz w:val="24"/>
                <w:szCs w:val="24"/>
                <w:lang w:val="en-US" w:eastAsia="zh-CN" w:bidi="ar-SA"/>
              </w:rPr>
              <w:t xml:space="preserve">，以方便委托处理单位处理，根据危险废物的性质和形态，可采用不同大小和不同材质的容器进行包装，所有包装容器应足够安全，并经过周密检查，严防在装载、搬移或运输途中出现渗漏、溢出、抛洒或挥发等情况。最后按照对危险废物交换和转移管理工作的有关要求，对危险废物进行安全包装，并在包装的明显位置附上危险废物标签。 </w:t>
            </w:r>
          </w:p>
          <w:p w14:paraId="0AA99C22">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厂内转运时，危险废物产生后放入专门盛装危险废物的容器或防漏胶袋中，由带有防漏托盘的车辆转运至</w:t>
            </w:r>
            <w:r>
              <w:rPr>
                <w:rFonts w:hint="eastAsia" w:ascii="Times New Roman" w:hAnsi="Times New Roman" w:eastAsia="宋体" w:cs="宋体"/>
                <w:color w:val="auto"/>
                <w:kern w:val="2"/>
                <w:sz w:val="24"/>
                <w:szCs w:val="24"/>
                <w:lang w:val="en-US" w:eastAsia="zh-CN" w:bidi="ar-SA"/>
              </w:rPr>
              <w:t>危废贮存库</w:t>
            </w:r>
            <w:r>
              <w:rPr>
                <w:rFonts w:hint="default" w:ascii="Times New Roman" w:hAnsi="Times New Roman" w:eastAsia="宋体" w:cs="宋体"/>
                <w:color w:val="auto"/>
                <w:kern w:val="2"/>
                <w:sz w:val="24"/>
                <w:szCs w:val="24"/>
                <w:lang w:val="en-US" w:eastAsia="zh-CN" w:bidi="ar-SA"/>
              </w:rPr>
              <w:t>，转运过程中由于人为操作失误造成的容器倒翻、胶袋破损等情况时，泄漏的危险废物大部分会进入托盘中，极少情况下会出现托盘满溢泄漏情况。由于本项目危险废物产生点距离厂内</w:t>
            </w:r>
            <w:r>
              <w:rPr>
                <w:rFonts w:hint="eastAsia" w:ascii="Times New Roman" w:hAnsi="Times New Roman" w:eastAsia="宋体" w:cs="宋体"/>
                <w:color w:val="auto"/>
                <w:kern w:val="2"/>
                <w:sz w:val="24"/>
                <w:szCs w:val="24"/>
                <w:lang w:val="en-US" w:eastAsia="zh-CN" w:bidi="ar-SA"/>
              </w:rPr>
              <w:t>危废贮存库</w:t>
            </w:r>
            <w:r>
              <w:rPr>
                <w:rFonts w:hint="default" w:ascii="Times New Roman" w:hAnsi="Times New Roman" w:eastAsia="宋体" w:cs="宋体"/>
                <w:color w:val="auto"/>
                <w:kern w:val="2"/>
                <w:sz w:val="24"/>
                <w:szCs w:val="24"/>
                <w:lang w:val="en-US" w:eastAsia="zh-CN" w:bidi="ar-SA"/>
              </w:rPr>
              <w:t>较近，因此企业在加强管理的情况下，厂内转运过程中出现散落、泄漏概率很小，不会产生二次污染。</w:t>
            </w:r>
          </w:p>
          <w:p w14:paraId="1CC96E17">
            <w:pPr>
              <w:keepNext/>
              <w:keepLines/>
              <w:widowControl w:val="0"/>
              <w:bidi w:val="0"/>
              <w:spacing w:beforeLines="0" w:beforeAutospacing="0" w:afterLines="0" w:afterAutospacing="0" w:line="360" w:lineRule="auto"/>
              <w:jc w:val="left"/>
              <w:outlineLvl w:val="1"/>
              <w:rPr>
                <w:rFonts w:hint="eastAsia" w:ascii="Times New Roman" w:hAnsi="Times New Roman" w:eastAsia="宋体" w:cs="Times New Roman"/>
                <w:b/>
                <w:color w:val="auto"/>
                <w:kern w:val="2"/>
                <w:sz w:val="28"/>
                <w:szCs w:val="24"/>
                <w:lang w:val="en-US" w:eastAsia="zh-CN" w:bidi="ar-SA"/>
              </w:rPr>
            </w:pPr>
            <w:r>
              <w:rPr>
                <w:rFonts w:hint="eastAsia" w:ascii="Times New Roman" w:hAnsi="Times New Roman" w:eastAsia="宋体" w:cs="Times New Roman"/>
                <w:b/>
                <w:color w:val="auto"/>
                <w:kern w:val="2"/>
                <w:sz w:val="28"/>
                <w:szCs w:val="24"/>
                <w:lang w:val="en-US" w:eastAsia="zh-CN" w:bidi="ar-SA"/>
              </w:rPr>
              <w:t>4.5运营期地下水、土壤环境影响和保护措施</w:t>
            </w:r>
          </w:p>
          <w:p w14:paraId="4658EE50">
            <w:pPr>
              <w:keepNext/>
              <w:keepLines/>
              <w:widowControl w:val="0"/>
              <w:bidi w:val="0"/>
              <w:spacing w:beforeLines="0" w:beforeAutospacing="0" w:afterLines="0" w:afterAutospacing="0" w:line="360" w:lineRule="auto"/>
              <w:jc w:val="left"/>
              <w:outlineLvl w:val="2"/>
              <w:rPr>
                <w:rFonts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4.5.1</w:t>
            </w:r>
            <w:r>
              <w:rPr>
                <w:rFonts w:ascii="Times New Roman" w:hAnsi="Times New Roman" w:eastAsia="宋体" w:cs="Times New Roman"/>
                <w:b/>
                <w:color w:val="auto"/>
                <w:kern w:val="2"/>
                <w:sz w:val="24"/>
                <w:szCs w:val="24"/>
                <w:lang w:val="en-US" w:eastAsia="zh-CN" w:bidi="ar-SA"/>
              </w:rPr>
              <w:t>地下水、土壤环境影响分析</w:t>
            </w:r>
          </w:p>
          <w:p w14:paraId="1C1687E5">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（1）地下水环境</w:t>
            </w:r>
          </w:p>
          <w:p w14:paraId="2CA6548B">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厂区雨水经雨水管网收集后，通过厂区雨水排放口排入镇区雨水排水系统</w:t>
            </w:r>
            <w:r>
              <w:rPr>
                <w:rFonts w:hint="eastAsia" w:ascii="Times New Roman" w:hAnsi="Times New Roman" w:eastAsia="宋体" w:cs="宋体"/>
                <w:color w:val="auto"/>
                <w:kern w:val="2"/>
                <w:sz w:val="24"/>
                <w:szCs w:val="24"/>
                <w:lang w:val="en-US" w:eastAsia="zh-CN" w:bidi="ar-SA"/>
              </w:rPr>
              <w:t>；</w:t>
            </w:r>
            <w:r>
              <w:rPr>
                <w:rFonts w:hint="eastAsia" w:cs="宋体"/>
                <w:color w:val="auto"/>
                <w:kern w:val="2"/>
                <w:sz w:val="24"/>
                <w:szCs w:val="24"/>
                <w:lang w:val="en-US" w:eastAsia="zh-CN" w:bidi="ar-SA"/>
              </w:rPr>
              <w:t>生产废水</w:t>
            </w:r>
            <w:r>
              <w:rPr>
                <w:rFonts w:hint="eastAsia" w:ascii="Times New Roman" w:hAnsi="Times New Roman" w:eastAsia="宋体" w:cs="宋体"/>
                <w:color w:val="auto"/>
                <w:kern w:val="2"/>
                <w:sz w:val="24"/>
                <w:szCs w:val="24"/>
                <w:lang w:val="en-US" w:eastAsia="zh-CN" w:bidi="ar-SA"/>
              </w:rPr>
              <w:t>经</w:t>
            </w:r>
            <w:r>
              <w:rPr>
                <w:rFonts w:hint="eastAsia" w:cs="宋体"/>
                <w:color w:val="auto"/>
                <w:kern w:val="2"/>
                <w:sz w:val="24"/>
                <w:szCs w:val="24"/>
                <w:lang w:val="en-US" w:eastAsia="zh-CN" w:bidi="ar-SA"/>
              </w:rPr>
              <w:t>三格沉淀桶沉淀</w:t>
            </w:r>
            <w:r>
              <w:rPr>
                <w:rFonts w:hint="eastAsia" w:ascii="Times New Roman" w:hAnsi="Times New Roman" w:eastAsia="宋体" w:cs="宋体"/>
                <w:color w:val="auto"/>
                <w:kern w:val="2"/>
                <w:sz w:val="24"/>
                <w:szCs w:val="24"/>
                <w:lang w:val="en-US" w:eastAsia="zh-CN" w:bidi="ar-SA"/>
              </w:rPr>
              <w:t>后与</w:t>
            </w:r>
            <w:r>
              <w:rPr>
                <w:rFonts w:hint="eastAsia" w:cs="宋体"/>
                <w:color w:val="auto"/>
                <w:kern w:val="2"/>
                <w:sz w:val="24"/>
                <w:szCs w:val="24"/>
                <w:lang w:val="en-US" w:eastAsia="zh-CN" w:bidi="ar-SA"/>
              </w:rPr>
              <w:t>生活污水</w:t>
            </w:r>
            <w:r>
              <w:rPr>
                <w:rFonts w:hint="eastAsia" w:ascii="Times New Roman" w:hAnsi="Times New Roman" w:eastAsia="宋体" w:cs="宋体"/>
                <w:color w:val="auto"/>
                <w:kern w:val="2"/>
                <w:sz w:val="24"/>
                <w:szCs w:val="24"/>
                <w:lang w:val="en-US" w:eastAsia="zh-CN" w:bidi="ar-SA"/>
              </w:rPr>
              <w:t>一同进入园区化粪池处理达标后排入市政管网，纳入</w:t>
            </w:r>
            <w:r>
              <w:rPr>
                <w:rFonts w:hint="eastAsia" w:cs="宋体"/>
                <w:color w:val="auto"/>
                <w:kern w:val="2"/>
                <w:sz w:val="24"/>
                <w:szCs w:val="24"/>
                <w:lang w:val="en-US" w:eastAsia="zh-CN" w:bidi="ar-SA"/>
              </w:rPr>
              <w:t>闽侯县城关污水处理厂</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正常工况下化粪池及污水管道均采取严格的防渗、防溢流等措施，废水不易渗漏和进入地下水。</w:t>
            </w:r>
          </w:p>
          <w:p w14:paraId="10C42203">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企业严格按照《一般工业固体废物贮存和填埋污染控制标准》（GB 18599-2020）中固废临时贮存场所要求进行建设，具备防风、防雨、防晒、防渗漏等要求。在正常工况，不会对评价区地下水产生明显影响，其影响程度是可接受的。</w:t>
            </w:r>
          </w:p>
          <w:p w14:paraId="62A000BF">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项目使用的原料</w:t>
            </w:r>
            <w:r>
              <w:rPr>
                <w:rFonts w:hint="eastAsia" w:cs="宋体"/>
                <w:color w:val="auto"/>
                <w:kern w:val="2"/>
                <w:sz w:val="24"/>
                <w:szCs w:val="24"/>
                <w:lang w:val="en-US" w:eastAsia="zh-CN" w:bidi="ar-SA"/>
              </w:rPr>
              <w:t>存在</w:t>
            </w:r>
            <w:r>
              <w:rPr>
                <w:rFonts w:hint="default" w:ascii="Times New Roman" w:hAnsi="Times New Roman" w:eastAsia="宋体" w:cs="宋体"/>
                <w:color w:val="auto"/>
                <w:kern w:val="2"/>
                <w:sz w:val="24"/>
                <w:szCs w:val="24"/>
                <w:lang w:val="en-US" w:eastAsia="zh-CN" w:bidi="ar-SA"/>
              </w:rPr>
              <w:t>毒性的原料，容器储存和生产设备密封性好，工艺先进，生产中不会造成渗透、泄漏的情况。在做好厂房防渗情况下，不会产生原料进入地下污染地下水的情况。</w:t>
            </w:r>
          </w:p>
          <w:p w14:paraId="32AB0766">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综上所述，项目在正常运行工况下，项目对地下水影响不大。但</w:t>
            </w:r>
            <w:r>
              <w:rPr>
                <w:rFonts w:hint="eastAsia" w:ascii="Times New Roman" w:hAnsi="Times New Roman" w:eastAsia="宋体" w:cs="宋体"/>
                <w:color w:val="auto"/>
                <w:kern w:val="2"/>
                <w:sz w:val="24"/>
                <w:szCs w:val="24"/>
                <w:lang w:val="en-US" w:eastAsia="zh-CN" w:bidi="ar-SA"/>
              </w:rPr>
              <w:t>建设单位</w:t>
            </w:r>
            <w:r>
              <w:rPr>
                <w:rFonts w:hint="default" w:ascii="Times New Roman" w:hAnsi="Times New Roman" w:eastAsia="宋体" w:cs="宋体"/>
                <w:color w:val="auto"/>
                <w:kern w:val="2"/>
                <w:sz w:val="24"/>
                <w:szCs w:val="24"/>
                <w:lang w:val="en-US" w:eastAsia="zh-CN" w:bidi="ar-SA"/>
              </w:rPr>
              <w:t>应加强管理，杜绝防渗层破裂等事故影响。</w:t>
            </w:r>
          </w:p>
          <w:p w14:paraId="0ED13773">
            <w:pPr>
              <w:keepNext/>
              <w:keepLines/>
              <w:widowControl w:val="0"/>
              <w:bidi w:val="0"/>
              <w:spacing w:beforeLines="0" w:beforeAutospacing="0" w:afterLines="0" w:afterAutospacing="0" w:line="360" w:lineRule="auto"/>
              <w:jc w:val="left"/>
              <w:outlineLvl w:val="2"/>
              <w:rPr>
                <w:rFonts w:ascii="Times New Roman" w:hAnsi="Times New Roman" w:eastAsia="宋体" w:cs="Times New Roman"/>
                <w:b/>
                <w:color w:val="auto"/>
                <w:kern w:val="2"/>
                <w:sz w:val="24"/>
                <w:szCs w:val="24"/>
                <w:lang w:val="en-US" w:eastAsia="zh-CN" w:bidi="ar-SA"/>
              </w:rPr>
            </w:pPr>
            <w:r>
              <w:rPr>
                <w:rFonts w:ascii="Times New Roman" w:hAnsi="Times New Roman" w:eastAsia="宋体" w:cs="Times New Roman"/>
                <w:b/>
                <w:color w:val="auto"/>
                <w:kern w:val="2"/>
                <w:sz w:val="24"/>
                <w:szCs w:val="24"/>
                <w:lang w:val="en-US" w:eastAsia="zh-CN" w:bidi="ar-SA"/>
              </w:rPr>
              <w:t>4.</w:t>
            </w:r>
            <w:r>
              <w:rPr>
                <w:rFonts w:hint="eastAsia" w:ascii="Times New Roman" w:hAnsi="Times New Roman" w:eastAsia="宋体" w:cs="Times New Roman"/>
                <w:b/>
                <w:color w:val="auto"/>
                <w:kern w:val="2"/>
                <w:sz w:val="24"/>
                <w:szCs w:val="24"/>
                <w:lang w:val="en-US" w:eastAsia="zh-CN" w:bidi="ar-SA"/>
              </w:rPr>
              <w:t>5</w:t>
            </w:r>
            <w:r>
              <w:rPr>
                <w:rFonts w:ascii="Times New Roman" w:hAnsi="Times New Roman" w:eastAsia="宋体" w:cs="Times New Roman"/>
                <w:b/>
                <w:color w:val="auto"/>
                <w:kern w:val="2"/>
                <w:sz w:val="24"/>
                <w:szCs w:val="24"/>
                <w:lang w:val="en-US" w:eastAsia="zh-CN" w:bidi="ar-SA"/>
              </w:rPr>
              <w:t>.2 地下水、土壤环境防控措施</w:t>
            </w:r>
          </w:p>
          <w:p w14:paraId="4DFD4CB9">
            <w:pPr>
              <w:widowControl w:val="0"/>
              <w:bidi w:val="0"/>
              <w:spacing w:line="360" w:lineRule="auto"/>
              <w:ind w:firstLine="480" w:firstLineChars="200"/>
              <w:jc w:val="both"/>
              <w:rPr>
                <w:rFonts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w:t>
            </w:r>
            <w:r>
              <w:rPr>
                <w:rFonts w:ascii="Times New Roman" w:hAnsi="Times New Roman" w:eastAsia="宋体" w:cs="宋体"/>
                <w:color w:val="auto"/>
                <w:kern w:val="2"/>
                <w:sz w:val="24"/>
                <w:szCs w:val="24"/>
                <w:lang w:val="en-US" w:eastAsia="zh-CN" w:bidi="ar-SA"/>
              </w:rPr>
              <w:t>1</w:t>
            </w:r>
            <w:r>
              <w:rPr>
                <w:rFonts w:hint="eastAsia" w:ascii="Times New Roman" w:hAnsi="Times New Roman" w:eastAsia="宋体" w:cs="宋体"/>
                <w:color w:val="auto"/>
                <w:kern w:val="2"/>
                <w:sz w:val="24"/>
                <w:szCs w:val="24"/>
                <w:lang w:val="en-US" w:eastAsia="zh-CN" w:bidi="ar-SA"/>
              </w:rPr>
              <w:t>）</w:t>
            </w:r>
            <w:r>
              <w:rPr>
                <w:rFonts w:ascii="Times New Roman" w:hAnsi="Times New Roman" w:eastAsia="宋体" w:cs="宋体"/>
                <w:color w:val="auto"/>
                <w:kern w:val="2"/>
                <w:sz w:val="24"/>
                <w:szCs w:val="24"/>
                <w:lang w:val="en-US" w:eastAsia="zh-CN" w:bidi="ar-SA"/>
              </w:rPr>
              <w:t>防渗措施</w:t>
            </w:r>
          </w:p>
          <w:p w14:paraId="3075BBE0">
            <w:pPr>
              <w:widowControl w:val="0"/>
              <w:bidi w:val="0"/>
              <w:spacing w:line="360" w:lineRule="auto"/>
              <w:ind w:firstLine="480" w:firstLineChars="200"/>
              <w:jc w:val="both"/>
              <w:rPr>
                <w:rFonts w:ascii="Times New Roman" w:hAnsi="Times New Roman" w:eastAsia="宋体" w:cs="宋体"/>
                <w:color w:val="auto"/>
                <w:kern w:val="2"/>
                <w:sz w:val="24"/>
                <w:szCs w:val="24"/>
                <w:lang w:val="en-US" w:eastAsia="zh-CN" w:bidi="ar-SA"/>
              </w:rPr>
            </w:pPr>
            <w:r>
              <w:rPr>
                <w:rFonts w:ascii="Times New Roman" w:hAnsi="Times New Roman" w:eastAsia="宋体" w:cs="宋体"/>
                <w:color w:val="auto"/>
                <w:kern w:val="2"/>
                <w:sz w:val="24"/>
                <w:szCs w:val="24"/>
                <w:lang w:val="en-US" w:eastAsia="zh-CN" w:bidi="ar-SA"/>
              </w:rPr>
              <w:t>①合理进行防渗区域划分</w:t>
            </w:r>
          </w:p>
          <w:p w14:paraId="3747F694">
            <w:pPr>
              <w:widowControl w:val="0"/>
              <w:bidi w:val="0"/>
              <w:spacing w:line="360" w:lineRule="auto"/>
              <w:ind w:firstLine="480" w:firstLineChars="200"/>
              <w:jc w:val="both"/>
              <w:rPr>
                <w:rFonts w:ascii="Times New Roman" w:hAnsi="Times New Roman" w:eastAsia="宋体" w:cs="宋体"/>
                <w:color w:val="auto"/>
                <w:kern w:val="2"/>
                <w:sz w:val="24"/>
                <w:szCs w:val="24"/>
                <w:lang w:val="en-US" w:eastAsia="zh-CN" w:bidi="ar-SA"/>
              </w:rPr>
            </w:pPr>
            <w:r>
              <w:rPr>
                <w:rFonts w:ascii="Times New Roman" w:hAnsi="Times New Roman" w:eastAsia="宋体" w:cs="宋体"/>
                <w:color w:val="auto"/>
                <w:kern w:val="2"/>
                <w:sz w:val="24"/>
                <w:szCs w:val="24"/>
                <w:lang w:val="en-US" w:eastAsia="zh-CN" w:bidi="ar-SA"/>
              </w:rPr>
              <w:t>本项目位于</w:t>
            </w:r>
            <w:r>
              <w:rPr>
                <w:rFonts w:hint="default" w:ascii="Times New Roman" w:hAnsi="Times New Roman" w:eastAsia="宋体" w:cs="宋体"/>
                <w:color w:val="auto"/>
                <w:kern w:val="2"/>
                <w:sz w:val="24"/>
                <w:szCs w:val="24"/>
                <w:lang w:val="en-US" w:eastAsia="zh-CN" w:bidi="ar-SA"/>
              </w:rPr>
              <w:t>福建省福州市闽侯县经济技术开发区一期延伸区综合大楼第五层</w:t>
            </w:r>
            <w:r>
              <w:rPr>
                <w:rFonts w:ascii="Times New Roman" w:hAnsi="Times New Roman" w:eastAsia="宋体" w:cs="宋体"/>
                <w:color w:val="auto"/>
                <w:kern w:val="2"/>
                <w:sz w:val="24"/>
                <w:szCs w:val="24"/>
                <w:lang w:val="en-US" w:eastAsia="zh-CN" w:bidi="ar-SA"/>
              </w:rPr>
              <w:t>，</w:t>
            </w:r>
            <w:r>
              <w:rPr>
                <w:rFonts w:hint="eastAsia" w:ascii="Times New Roman" w:hAnsi="Times New Roman" w:eastAsia="宋体" w:cs="宋体"/>
                <w:color w:val="auto"/>
                <w:kern w:val="2"/>
                <w:sz w:val="24"/>
                <w:szCs w:val="24"/>
                <w:lang w:val="en-US" w:eastAsia="zh-CN" w:bidi="ar-SA"/>
              </w:rPr>
              <w:t>本项目涉及生产废水的产生与排放，产生的固体废物包括一般工业固体废物和危险废物。生产废水的排放、危险废物的产生和贮存存在对地下水和土壤污染途径。根据《环境影响评价技术导则 地下水环境》（HJ610-2016）以及结合</w:t>
            </w:r>
            <w:r>
              <w:rPr>
                <w:rFonts w:ascii="Times New Roman" w:hAnsi="Times New Roman" w:eastAsia="宋体" w:cs="宋体"/>
                <w:color w:val="auto"/>
                <w:kern w:val="2"/>
                <w:sz w:val="24"/>
                <w:szCs w:val="24"/>
                <w:lang w:val="en-US" w:eastAsia="zh-CN" w:bidi="ar-SA"/>
              </w:rPr>
              <w:t>实际情况考虑根据本项目厂区可能泄漏至地面区域污染物的性质和生产单元的构筑方式，将厂区划分为一般污染防治区</w:t>
            </w:r>
            <w:r>
              <w:rPr>
                <w:rFonts w:hint="eastAsia" w:ascii="Times New Roman" w:hAnsi="Times New Roman" w:eastAsia="宋体" w:cs="宋体"/>
                <w:color w:val="auto"/>
                <w:kern w:val="2"/>
                <w:sz w:val="24"/>
                <w:szCs w:val="24"/>
                <w:lang w:val="en-US" w:eastAsia="zh-CN" w:bidi="ar-SA"/>
              </w:rPr>
              <w:t>和重点污染防治区</w:t>
            </w:r>
            <w:r>
              <w:rPr>
                <w:rFonts w:ascii="Times New Roman" w:hAnsi="Times New Roman" w:eastAsia="宋体" w:cs="宋体"/>
                <w:color w:val="auto"/>
                <w:kern w:val="2"/>
                <w:sz w:val="24"/>
                <w:szCs w:val="24"/>
                <w:lang w:val="en-US" w:eastAsia="zh-CN" w:bidi="ar-SA"/>
              </w:rPr>
              <w:t>，</w:t>
            </w:r>
            <w:r>
              <w:rPr>
                <w:rFonts w:hint="eastAsia" w:ascii="Times New Roman" w:hAnsi="Times New Roman" w:eastAsia="宋体" w:cs="宋体"/>
                <w:color w:val="auto"/>
                <w:kern w:val="2"/>
                <w:sz w:val="24"/>
                <w:szCs w:val="24"/>
                <w:lang w:val="en-US" w:eastAsia="zh-CN" w:bidi="ar-SA"/>
              </w:rPr>
              <w:t>并</w:t>
            </w:r>
            <w:r>
              <w:rPr>
                <w:rFonts w:ascii="Times New Roman" w:hAnsi="Times New Roman" w:eastAsia="宋体" w:cs="宋体"/>
                <w:color w:val="auto"/>
                <w:kern w:val="2"/>
                <w:sz w:val="24"/>
                <w:szCs w:val="24"/>
                <w:lang w:val="en-US" w:eastAsia="zh-CN" w:bidi="ar-SA"/>
              </w:rPr>
              <w:t>提出相应的防渗要求。结合项目的特点，项目防渗防治分区见表4.5-1。</w:t>
            </w:r>
          </w:p>
          <w:p w14:paraId="2EF24710">
            <w:pPr>
              <w:widowControl w:val="0"/>
              <w:bidi w:val="0"/>
              <w:adjustRightInd w:val="0"/>
              <w:snapToGrid w:val="0"/>
              <w:spacing w:before="10" w:beforeLines="10" w:after="10" w:afterLines="10"/>
              <w:jc w:val="center"/>
              <w:rPr>
                <w:rFonts w:ascii="Times New Roman" w:hAnsi="Times New Roman" w:eastAsia="宋体" w:cs="Times New Roman"/>
                <w:b/>
                <w:color w:val="auto"/>
                <w:kern w:val="0"/>
                <w:sz w:val="24"/>
                <w:szCs w:val="20"/>
                <w:lang w:val="en-US" w:eastAsia="zh-CN" w:bidi="ar-SA"/>
              </w:rPr>
            </w:pPr>
            <w:r>
              <w:rPr>
                <w:rFonts w:ascii="Times New Roman" w:hAnsi="Times New Roman" w:eastAsia="宋体" w:cs="Times New Roman"/>
                <w:b/>
                <w:color w:val="auto"/>
                <w:kern w:val="0"/>
                <w:sz w:val="24"/>
                <w:szCs w:val="20"/>
                <w:lang w:val="en-US" w:eastAsia="zh-CN" w:bidi="ar-SA"/>
              </w:rPr>
              <w:t>表4.</w:t>
            </w:r>
            <w:r>
              <w:rPr>
                <w:rFonts w:hint="eastAsia" w:ascii="Times New Roman" w:hAnsi="Times New Roman" w:eastAsia="宋体" w:cs="Times New Roman"/>
                <w:b/>
                <w:color w:val="auto"/>
                <w:kern w:val="0"/>
                <w:sz w:val="24"/>
                <w:szCs w:val="20"/>
                <w:lang w:val="en-US" w:eastAsia="zh-CN" w:bidi="ar-SA"/>
              </w:rPr>
              <w:t>5</w:t>
            </w:r>
            <w:r>
              <w:rPr>
                <w:rFonts w:ascii="Times New Roman" w:hAnsi="Times New Roman" w:eastAsia="宋体" w:cs="Times New Roman"/>
                <w:b/>
                <w:color w:val="auto"/>
                <w:kern w:val="0"/>
                <w:sz w:val="24"/>
                <w:szCs w:val="20"/>
                <w:lang w:val="en-US" w:eastAsia="zh-CN" w:bidi="ar-SA"/>
              </w:rPr>
              <w:t xml:space="preserve">-1  </w:t>
            </w:r>
            <w:r>
              <w:rPr>
                <w:rFonts w:hint="eastAsia" w:ascii="Times New Roman" w:hAnsi="Times New Roman" w:eastAsia="宋体" w:cs="Times New Roman"/>
                <w:b/>
                <w:color w:val="auto"/>
                <w:kern w:val="0"/>
                <w:sz w:val="24"/>
                <w:szCs w:val="20"/>
                <w:lang w:val="en-US" w:eastAsia="zh-CN" w:bidi="ar-SA"/>
              </w:rPr>
              <w:t>地下水、</w:t>
            </w:r>
            <w:r>
              <w:rPr>
                <w:rFonts w:ascii="Times New Roman" w:hAnsi="Times New Roman" w:eastAsia="宋体" w:cs="Times New Roman"/>
                <w:b/>
                <w:color w:val="auto"/>
                <w:kern w:val="0"/>
                <w:sz w:val="24"/>
                <w:szCs w:val="20"/>
                <w:lang w:val="en-US" w:eastAsia="zh-CN" w:bidi="ar-SA"/>
              </w:rPr>
              <w:t>土壤污染防治分区一览表</w:t>
            </w:r>
          </w:p>
          <w:tbl>
            <w:tblPr>
              <w:tblStyle w:val="38"/>
              <w:tblW w:w="4998"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2327"/>
              <w:gridCol w:w="876"/>
              <w:gridCol w:w="3732"/>
              <w:gridCol w:w="1457"/>
            </w:tblGrid>
            <w:tr w14:paraId="302AB17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3" w:hRule="atLeast"/>
                <w:jc w:val="center"/>
              </w:trPr>
              <w:tc>
                <w:tcPr>
                  <w:tcW w:w="1386" w:type="pct"/>
                  <w:tcBorders>
                    <w:tl2br w:val="nil"/>
                    <w:tr2bl w:val="nil"/>
                  </w:tcBorders>
                  <w:noWrap w:val="0"/>
                  <w:vAlign w:val="center"/>
                </w:tcPr>
                <w:p w14:paraId="3D2C8114">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0"/>
                      <w:lang w:val="en-US" w:eastAsia="zh-CN" w:bidi="ar-SA"/>
                    </w:rPr>
                  </w:pPr>
                  <w:r>
                    <w:rPr>
                      <w:rFonts w:ascii="Times New Roman" w:hAnsi="Times New Roman" w:eastAsia="宋体" w:cs="Times New Roman"/>
                      <w:color w:val="auto"/>
                      <w:kern w:val="0"/>
                      <w:sz w:val="21"/>
                      <w:szCs w:val="20"/>
                      <w:lang w:val="en-US" w:eastAsia="zh-CN" w:bidi="ar-SA"/>
                    </w:rPr>
                    <w:t>防治分区</w:t>
                  </w:r>
                </w:p>
              </w:tc>
              <w:tc>
                <w:tcPr>
                  <w:tcW w:w="522" w:type="pct"/>
                  <w:tcBorders>
                    <w:tl2br w:val="nil"/>
                    <w:tr2bl w:val="nil"/>
                  </w:tcBorders>
                  <w:noWrap w:val="0"/>
                  <w:vAlign w:val="center"/>
                </w:tcPr>
                <w:p w14:paraId="628C5CED">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0"/>
                      <w:lang w:val="en-US" w:eastAsia="zh-CN" w:bidi="ar-SA"/>
                    </w:rPr>
                  </w:pPr>
                  <w:r>
                    <w:rPr>
                      <w:rFonts w:ascii="Times New Roman" w:hAnsi="Times New Roman" w:eastAsia="宋体" w:cs="Times New Roman"/>
                      <w:color w:val="auto"/>
                      <w:kern w:val="0"/>
                      <w:sz w:val="21"/>
                      <w:szCs w:val="20"/>
                      <w:lang w:val="en-US" w:eastAsia="zh-CN" w:bidi="ar-SA"/>
                    </w:rPr>
                    <w:t>序号</w:t>
                  </w:r>
                </w:p>
              </w:tc>
              <w:tc>
                <w:tcPr>
                  <w:tcW w:w="2223" w:type="pct"/>
                  <w:tcBorders>
                    <w:tl2br w:val="nil"/>
                    <w:tr2bl w:val="nil"/>
                  </w:tcBorders>
                  <w:noWrap w:val="0"/>
                  <w:vAlign w:val="center"/>
                </w:tcPr>
                <w:p w14:paraId="4F8810D1">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0"/>
                      <w:lang w:val="en-US" w:eastAsia="zh-CN" w:bidi="ar-SA"/>
                    </w:rPr>
                  </w:pPr>
                  <w:r>
                    <w:rPr>
                      <w:rFonts w:ascii="Times New Roman" w:hAnsi="Times New Roman" w:eastAsia="宋体" w:cs="Times New Roman"/>
                      <w:color w:val="auto"/>
                      <w:kern w:val="0"/>
                      <w:sz w:val="21"/>
                      <w:szCs w:val="20"/>
                      <w:lang w:val="en-US" w:eastAsia="zh-CN" w:bidi="ar-SA"/>
                    </w:rPr>
                    <w:t>装置或者构筑物名称</w:t>
                  </w:r>
                </w:p>
              </w:tc>
              <w:tc>
                <w:tcPr>
                  <w:tcW w:w="867" w:type="pct"/>
                  <w:tcBorders>
                    <w:tl2br w:val="nil"/>
                    <w:tr2bl w:val="nil"/>
                  </w:tcBorders>
                  <w:noWrap w:val="0"/>
                  <w:vAlign w:val="center"/>
                </w:tcPr>
                <w:p w14:paraId="12355FDC">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0"/>
                      <w:lang w:val="en-US" w:eastAsia="zh-CN" w:bidi="ar-SA"/>
                    </w:rPr>
                  </w:pPr>
                  <w:r>
                    <w:rPr>
                      <w:rFonts w:ascii="Times New Roman" w:hAnsi="Times New Roman" w:eastAsia="宋体" w:cs="Times New Roman"/>
                      <w:color w:val="auto"/>
                      <w:kern w:val="0"/>
                      <w:sz w:val="21"/>
                      <w:szCs w:val="20"/>
                      <w:lang w:val="en-US" w:eastAsia="zh-CN" w:bidi="ar-SA"/>
                    </w:rPr>
                    <w:t>防渗区域</w:t>
                  </w:r>
                </w:p>
              </w:tc>
            </w:tr>
            <w:tr w14:paraId="3365FDF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37" w:hRule="atLeast"/>
                <w:jc w:val="center"/>
              </w:trPr>
              <w:tc>
                <w:tcPr>
                  <w:tcW w:w="1386" w:type="pct"/>
                  <w:tcBorders>
                    <w:tl2br w:val="nil"/>
                    <w:tr2bl w:val="nil"/>
                  </w:tcBorders>
                  <w:noWrap w:val="0"/>
                  <w:vAlign w:val="center"/>
                </w:tcPr>
                <w:p w14:paraId="0C078CF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重点污染防治区</w:t>
                  </w:r>
                </w:p>
              </w:tc>
              <w:tc>
                <w:tcPr>
                  <w:tcW w:w="522" w:type="pct"/>
                  <w:tcBorders>
                    <w:tl2br w:val="nil"/>
                    <w:tr2bl w:val="nil"/>
                  </w:tcBorders>
                  <w:noWrap w:val="0"/>
                  <w:vAlign w:val="center"/>
                </w:tcPr>
                <w:p w14:paraId="025C551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1</w:t>
                  </w:r>
                </w:p>
              </w:tc>
              <w:tc>
                <w:tcPr>
                  <w:tcW w:w="2223" w:type="pct"/>
                  <w:tcBorders>
                    <w:tl2br w:val="nil"/>
                    <w:tr2bl w:val="nil"/>
                  </w:tcBorders>
                  <w:noWrap w:val="0"/>
                  <w:vAlign w:val="center"/>
                </w:tcPr>
                <w:p w14:paraId="331CF91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危废贮存库、污水处理设施、污水管线、危险化学品间等</w:t>
                  </w:r>
                </w:p>
              </w:tc>
              <w:tc>
                <w:tcPr>
                  <w:tcW w:w="867" w:type="pct"/>
                  <w:tcBorders>
                    <w:tl2br w:val="nil"/>
                    <w:tr2bl w:val="nil"/>
                  </w:tcBorders>
                  <w:noWrap w:val="0"/>
                  <w:vAlign w:val="center"/>
                </w:tcPr>
                <w:p w14:paraId="1BD37B0B">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车间地面</w:t>
                  </w:r>
                </w:p>
              </w:tc>
            </w:tr>
            <w:tr w14:paraId="7DCF46E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37" w:hRule="atLeast"/>
                <w:jc w:val="center"/>
              </w:trPr>
              <w:tc>
                <w:tcPr>
                  <w:tcW w:w="1386" w:type="pct"/>
                  <w:tcBorders>
                    <w:tl2br w:val="nil"/>
                    <w:tr2bl w:val="nil"/>
                  </w:tcBorders>
                  <w:noWrap w:val="0"/>
                  <w:vAlign w:val="center"/>
                </w:tcPr>
                <w:p w14:paraId="3D3961CA">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0"/>
                      <w:lang w:val="en-US" w:eastAsia="zh-CN" w:bidi="ar-SA"/>
                    </w:rPr>
                  </w:pPr>
                  <w:r>
                    <w:rPr>
                      <w:rFonts w:ascii="Times New Roman" w:hAnsi="Times New Roman" w:eastAsia="宋体" w:cs="Times New Roman"/>
                      <w:color w:val="auto"/>
                      <w:kern w:val="0"/>
                      <w:sz w:val="21"/>
                      <w:szCs w:val="20"/>
                      <w:lang w:val="en-US" w:eastAsia="zh-CN" w:bidi="ar-SA"/>
                    </w:rPr>
                    <w:t>一般污染防治区</w:t>
                  </w:r>
                </w:p>
              </w:tc>
              <w:tc>
                <w:tcPr>
                  <w:tcW w:w="522" w:type="pct"/>
                  <w:tcBorders>
                    <w:tl2br w:val="nil"/>
                    <w:tr2bl w:val="nil"/>
                  </w:tcBorders>
                  <w:noWrap w:val="0"/>
                  <w:vAlign w:val="center"/>
                </w:tcPr>
                <w:p w14:paraId="72688202">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2</w:t>
                  </w:r>
                </w:p>
              </w:tc>
              <w:tc>
                <w:tcPr>
                  <w:tcW w:w="2223" w:type="pct"/>
                  <w:tcBorders>
                    <w:tl2br w:val="nil"/>
                    <w:tr2bl w:val="nil"/>
                  </w:tcBorders>
                  <w:noWrap w:val="0"/>
                  <w:vAlign w:val="center"/>
                </w:tcPr>
                <w:p w14:paraId="29373C8E">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项目生产车间</w:t>
                  </w:r>
                </w:p>
              </w:tc>
              <w:tc>
                <w:tcPr>
                  <w:tcW w:w="867" w:type="pct"/>
                  <w:tcBorders>
                    <w:tl2br w:val="nil"/>
                    <w:tr2bl w:val="nil"/>
                  </w:tcBorders>
                  <w:noWrap w:val="0"/>
                  <w:vAlign w:val="center"/>
                </w:tcPr>
                <w:p w14:paraId="381CB811">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车间</w:t>
                  </w:r>
                  <w:r>
                    <w:rPr>
                      <w:rFonts w:ascii="Times New Roman" w:hAnsi="Times New Roman" w:eastAsia="宋体" w:cs="Times New Roman"/>
                      <w:color w:val="auto"/>
                      <w:kern w:val="0"/>
                      <w:sz w:val="21"/>
                      <w:szCs w:val="20"/>
                      <w:lang w:val="en-US" w:eastAsia="zh-CN" w:bidi="ar-SA"/>
                    </w:rPr>
                    <w:t>地面</w:t>
                  </w:r>
                </w:p>
              </w:tc>
            </w:tr>
          </w:tbl>
          <w:p w14:paraId="4EFC21CD">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ascii="Times New Roman" w:hAnsi="Times New Roman" w:eastAsia="宋体" w:cs="宋体"/>
                <w:color w:val="auto"/>
                <w:kern w:val="2"/>
                <w:sz w:val="24"/>
                <w:szCs w:val="24"/>
                <w:lang w:val="en-US" w:eastAsia="zh-CN" w:bidi="ar-SA"/>
              </w:rPr>
              <w:t>②</w:t>
            </w:r>
            <w:r>
              <w:rPr>
                <w:rFonts w:hint="eastAsia" w:ascii="Times New Roman" w:hAnsi="Times New Roman" w:eastAsia="宋体" w:cs="宋体"/>
                <w:color w:val="auto"/>
                <w:kern w:val="2"/>
                <w:sz w:val="24"/>
                <w:szCs w:val="24"/>
                <w:lang w:val="en-US" w:eastAsia="zh-CN" w:bidi="ar-SA"/>
              </w:rPr>
              <w:t>防渗要求</w:t>
            </w:r>
          </w:p>
          <w:p w14:paraId="3CA6D8D4">
            <w:pPr>
              <w:widowControl w:val="0"/>
              <w:bidi w:val="0"/>
              <w:spacing w:line="360" w:lineRule="auto"/>
              <w:ind w:firstLine="480" w:firstLineChars="200"/>
              <w:jc w:val="both"/>
              <w:rPr>
                <w:rFonts w:ascii="Times New Roman" w:hAnsi="Times New Roman" w:eastAsia="宋体" w:cs="宋体"/>
                <w:color w:val="auto"/>
                <w:kern w:val="2"/>
                <w:sz w:val="24"/>
                <w:szCs w:val="24"/>
                <w:lang w:val="en-US" w:eastAsia="zh-CN" w:bidi="ar-SA"/>
              </w:rPr>
            </w:pPr>
            <w:r>
              <w:rPr>
                <w:rFonts w:ascii="Times New Roman" w:hAnsi="Times New Roman" w:eastAsia="宋体" w:cs="宋体"/>
                <w:color w:val="auto"/>
                <w:kern w:val="2"/>
                <w:sz w:val="24"/>
                <w:szCs w:val="24"/>
                <w:lang w:val="en-US" w:eastAsia="zh-CN" w:bidi="ar-SA"/>
              </w:rPr>
              <w:t>重点污染区防渗要求：根据《环境影响评价技术导则地下水环境》（HJ610-2016）的要求，重点防治区的防渗性能应等效黏土防渗层≥6.0m，渗透系数≤1.0×10</w:t>
            </w:r>
            <w:r>
              <w:rPr>
                <w:rFonts w:ascii="Times New Roman" w:hAnsi="Times New Roman" w:eastAsia="宋体" w:cs="宋体"/>
                <w:color w:val="auto"/>
                <w:kern w:val="2"/>
                <w:sz w:val="24"/>
                <w:szCs w:val="24"/>
                <w:vertAlign w:val="superscript"/>
                <w:lang w:val="en-US" w:eastAsia="zh-CN" w:bidi="ar-SA"/>
              </w:rPr>
              <w:t>-7</w:t>
            </w:r>
            <w:r>
              <w:rPr>
                <w:rFonts w:ascii="Times New Roman" w:hAnsi="Times New Roman" w:eastAsia="宋体" w:cs="宋体"/>
                <w:color w:val="auto"/>
                <w:kern w:val="2"/>
                <w:sz w:val="24"/>
                <w:szCs w:val="24"/>
                <w:lang w:val="en-US" w:eastAsia="zh-CN" w:bidi="ar-SA"/>
              </w:rPr>
              <w:t>cm/s。危险废物暂存场重点防渗区应按照《危险废物污染防治技术政策》</w:t>
            </w:r>
            <w:r>
              <w:rPr>
                <w:rFonts w:hint="eastAsia" w:ascii="Times New Roman" w:hAnsi="Times New Roman" w:eastAsia="宋体" w:cs="宋体"/>
                <w:color w:val="auto"/>
                <w:kern w:val="2"/>
                <w:sz w:val="24"/>
                <w:szCs w:val="24"/>
                <w:lang w:val="en-US" w:eastAsia="zh-CN" w:bidi="ar-SA"/>
              </w:rPr>
              <w:t>及</w:t>
            </w:r>
            <w:r>
              <w:rPr>
                <w:rFonts w:ascii="Times New Roman" w:hAnsi="Times New Roman" w:eastAsia="宋体" w:cs="宋体"/>
                <w:color w:val="auto"/>
                <w:kern w:val="2"/>
                <w:sz w:val="24"/>
                <w:szCs w:val="24"/>
                <w:lang w:val="en-US" w:eastAsia="zh-CN" w:bidi="ar-SA"/>
              </w:rPr>
              <w:t>《危险废物贮存污染控制标准》</w:t>
            </w:r>
            <w:r>
              <w:rPr>
                <w:rFonts w:hint="eastAsia" w:ascii="Times New Roman" w:hAnsi="Times New Roman" w:eastAsia="宋体" w:cs="宋体"/>
                <w:color w:val="auto"/>
                <w:kern w:val="2"/>
                <w:sz w:val="24"/>
                <w:szCs w:val="24"/>
                <w:lang w:val="en-US" w:eastAsia="zh-CN" w:bidi="ar-SA"/>
              </w:rPr>
              <w:t>（</w:t>
            </w:r>
            <w:r>
              <w:rPr>
                <w:rFonts w:ascii="Times New Roman" w:hAnsi="Times New Roman" w:eastAsia="宋体" w:cs="宋体"/>
                <w:color w:val="auto"/>
                <w:kern w:val="2"/>
                <w:sz w:val="24"/>
                <w:szCs w:val="24"/>
                <w:lang w:val="en-US" w:eastAsia="zh-CN" w:bidi="ar-SA"/>
              </w:rPr>
              <w:t>GB18597-20</w:t>
            </w:r>
            <w:r>
              <w:rPr>
                <w:rFonts w:hint="eastAsia" w:ascii="Times New Roman" w:hAnsi="Times New Roman" w:eastAsia="宋体" w:cs="宋体"/>
                <w:color w:val="auto"/>
                <w:kern w:val="2"/>
                <w:sz w:val="24"/>
                <w:szCs w:val="24"/>
                <w:lang w:val="en-US" w:eastAsia="zh-CN" w:bidi="ar-SA"/>
              </w:rPr>
              <w:t>23）</w:t>
            </w:r>
            <w:r>
              <w:rPr>
                <w:rFonts w:ascii="Times New Roman" w:hAnsi="Times New Roman" w:eastAsia="宋体" w:cs="宋体"/>
                <w:color w:val="auto"/>
                <w:kern w:val="2"/>
                <w:sz w:val="24"/>
                <w:szCs w:val="24"/>
                <w:lang w:val="en-US" w:eastAsia="zh-CN" w:bidi="ar-SA"/>
              </w:rPr>
              <w:t>等危险废物处理的相关标准、法律法规的要求。</w:t>
            </w:r>
          </w:p>
          <w:p w14:paraId="20FFF26E">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一般污染防治区防渗要求：</w:t>
            </w:r>
            <w:r>
              <w:rPr>
                <w:rFonts w:ascii="Times New Roman" w:hAnsi="Times New Roman" w:eastAsia="宋体" w:cs="宋体"/>
                <w:color w:val="auto"/>
                <w:kern w:val="2"/>
                <w:sz w:val="24"/>
                <w:szCs w:val="24"/>
                <w:lang w:val="en-US" w:eastAsia="zh-CN" w:bidi="ar-SA"/>
              </w:rPr>
              <w:t>根据《环境影响评价技术导则地下水环境》（HJ610-2016）的要求，</w:t>
            </w:r>
            <w:r>
              <w:rPr>
                <w:rFonts w:hint="eastAsia" w:ascii="Times New Roman" w:hAnsi="Times New Roman" w:eastAsia="宋体" w:cs="宋体"/>
                <w:color w:val="auto"/>
                <w:kern w:val="2"/>
                <w:sz w:val="24"/>
                <w:szCs w:val="24"/>
                <w:lang w:val="en-US" w:eastAsia="zh-CN" w:bidi="ar-SA"/>
              </w:rPr>
              <w:t>等效黏土防渗层Mb≥1.5m，K≤1.0×10</w:t>
            </w:r>
            <w:r>
              <w:rPr>
                <w:rFonts w:hint="eastAsia" w:ascii="Times New Roman" w:hAnsi="Times New Roman" w:eastAsia="宋体" w:cs="宋体"/>
                <w:color w:val="auto"/>
                <w:kern w:val="2"/>
                <w:sz w:val="24"/>
                <w:szCs w:val="24"/>
                <w:vertAlign w:val="superscript"/>
                <w:lang w:val="en-US" w:eastAsia="zh-CN" w:bidi="ar-SA"/>
              </w:rPr>
              <w:t>-7</w:t>
            </w:r>
            <w:r>
              <w:rPr>
                <w:rFonts w:hint="eastAsia" w:ascii="Times New Roman" w:hAnsi="Times New Roman" w:eastAsia="宋体" w:cs="宋体"/>
                <w:color w:val="auto"/>
                <w:kern w:val="2"/>
                <w:sz w:val="24"/>
                <w:szCs w:val="24"/>
                <w:lang w:val="en-US" w:eastAsia="zh-CN" w:bidi="ar-SA"/>
              </w:rPr>
              <w:t>cm/s；或参照《生活垃圾填埋场污染控制标准》（GB 16889-2008）执行。</w:t>
            </w:r>
          </w:p>
          <w:p w14:paraId="40AA5E3B">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（2）监控措施</w:t>
            </w:r>
          </w:p>
          <w:p w14:paraId="1C9A0965">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①项目危废贮存库等四周建设导流沟装置，防止危险废物等泄漏时四处扩散，并可</w:t>
            </w:r>
            <w:r>
              <w:rPr>
                <w:rFonts w:ascii="Times New Roman" w:hAnsi="Times New Roman" w:eastAsia="宋体" w:cs="宋体"/>
                <w:color w:val="auto"/>
                <w:kern w:val="2"/>
                <w:sz w:val="24"/>
                <w:szCs w:val="24"/>
                <w:lang w:val="en-US" w:eastAsia="zh-CN" w:bidi="ar-SA"/>
              </w:rPr>
              <w:t>及时移除或者清理污染源</w:t>
            </w:r>
            <w:r>
              <w:rPr>
                <w:rFonts w:hint="eastAsia" w:ascii="Times New Roman" w:hAnsi="Times New Roman" w:eastAsia="宋体" w:cs="宋体"/>
                <w:color w:val="auto"/>
                <w:kern w:val="2"/>
                <w:sz w:val="24"/>
                <w:szCs w:val="24"/>
                <w:lang w:val="en-US" w:eastAsia="zh-CN" w:bidi="ar-SA"/>
              </w:rPr>
              <w:t>；</w:t>
            </w:r>
          </w:p>
          <w:p w14:paraId="0A4C9709">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②建立健全环境管理和监测制度，保证各环保设施正常运转，同时强化风险防范意识，如遇环保设施不能正常运转，应立即停产检修；</w:t>
            </w:r>
          </w:p>
          <w:p w14:paraId="7B1B7816">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③若发生危险废物泄漏等，必要时委托有资质的单位对厂址周边地下水、土壤等进行跟踪监测，掌握厂址周边污染变化趋势。</w:t>
            </w:r>
          </w:p>
          <w:p w14:paraId="617D5232">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④在今后的生产活动中，做好设备的维护、检修，杜绝跑、冒、滴、漏现象。同时，加强污染物产生主要环节的收集治理，加强厂区的安全防护、环境风险防范措施，以便及时发现事故隐患，及时采取有效的应对措施。</w:t>
            </w:r>
          </w:p>
          <w:p w14:paraId="694F0645">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⑤项目生产经营用地的用途变更或者在其土地使用权收回、转让前，应当由土地使用权人按照规定进行土壤污染状况调查。</w:t>
            </w:r>
          </w:p>
          <w:p w14:paraId="157A8BC7">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ascii="Times New Roman" w:hAnsi="Times New Roman" w:eastAsia="宋体"/>
                <w:color w:val="auto"/>
                <w:sz w:val="28"/>
                <w:szCs w:val="28"/>
                <w:lang w:val="en-US" w:eastAsia="zh-CN"/>
              </w:rPr>
            </w:pPr>
            <w:r>
              <w:rPr>
                <w:rFonts w:ascii="Times New Roman" w:hAnsi="Times New Roman" w:eastAsia="宋体"/>
                <w:color w:val="auto"/>
                <w:sz w:val="24"/>
                <w:szCs w:val="24"/>
                <w:lang w:val="en-US" w:eastAsia="zh-CN"/>
              </w:rPr>
              <w:t>4.</w:t>
            </w:r>
            <w:r>
              <w:rPr>
                <w:rFonts w:hint="eastAsia" w:ascii="Times New Roman" w:hAnsi="Times New Roman" w:eastAsia="宋体"/>
                <w:color w:val="auto"/>
                <w:sz w:val="24"/>
                <w:szCs w:val="24"/>
                <w:lang w:val="en-US" w:eastAsia="zh-CN"/>
              </w:rPr>
              <w:t>5</w:t>
            </w:r>
            <w:r>
              <w:rPr>
                <w:rFonts w:ascii="Times New Roman" w:hAnsi="Times New Roman" w:eastAsia="宋体"/>
                <w:color w:val="auto"/>
                <w:sz w:val="24"/>
                <w:szCs w:val="24"/>
                <w:lang w:val="en-US" w:eastAsia="zh-CN"/>
              </w:rPr>
              <w:t>.3 监测要求</w:t>
            </w:r>
          </w:p>
          <w:p w14:paraId="5DB2625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宋体"/>
                <w:color w:val="auto"/>
                <w:kern w:val="2"/>
                <w:sz w:val="24"/>
                <w:szCs w:val="24"/>
                <w:lang w:val="en-US" w:eastAsia="zh-CN" w:bidi="ar-SA"/>
              </w:rPr>
            </w:pPr>
            <w:r>
              <w:rPr>
                <w:rFonts w:ascii="Times New Roman" w:hAnsi="Times New Roman" w:eastAsia="宋体" w:cs="宋体"/>
                <w:color w:val="auto"/>
                <w:kern w:val="2"/>
                <w:sz w:val="24"/>
                <w:szCs w:val="24"/>
                <w:lang w:val="en-US" w:eastAsia="zh-CN" w:bidi="ar-SA"/>
              </w:rPr>
              <w:t>根据《建设项目环境影响报告表编制技术指南</w:t>
            </w:r>
            <w:r>
              <w:rPr>
                <w:rFonts w:hint="eastAsia" w:ascii="Times New Roman" w:hAnsi="Times New Roman" w:eastAsia="宋体" w:cs="宋体"/>
                <w:color w:val="auto"/>
                <w:kern w:val="2"/>
                <w:sz w:val="24"/>
                <w:szCs w:val="24"/>
                <w:lang w:val="en-US" w:eastAsia="zh-CN" w:bidi="ar-SA"/>
              </w:rPr>
              <w:t>（</w:t>
            </w:r>
            <w:r>
              <w:rPr>
                <w:rFonts w:ascii="Times New Roman" w:hAnsi="Times New Roman" w:eastAsia="宋体" w:cs="宋体"/>
                <w:color w:val="auto"/>
                <w:kern w:val="2"/>
                <w:sz w:val="24"/>
                <w:szCs w:val="24"/>
                <w:lang w:val="en-US" w:eastAsia="zh-CN" w:bidi="ar-SA"/>
              </w:rPr>
              <w:t>污染影响类</w:t>
            </w:r>
            <w:r>
              <w:rPr>
                <w:rFonts w:hint="eastAsia" w:ascii="Times New Roman" w:hAnsi="Times New Roman" w:eastAsia="宋体" w:cs="宋体"/>
                <w:color w:val="auto"/>
                <w:kern w:val="2"/>
                <w:sz w:val="24"/>
                <w:szCs w:val="24"/>
                <w:lang w:val="en-US" w:eastAsia="zh-CN" w:bidi="ar-SA"/>
              </w:rPr>
              <w:t>）（</w:t>
            </w:r>
            <w:r>
              <w:rPr>
                <w:rFonts w:ascii="Times New Roman" w:hAnsi="Times New Roman" w:eastAsia="宋体" w:cs="宋体"/>
                <w:color w:val="auto"/>
                <w:kern w:val="2"/>
                <w:sz w:val="24"/>
                <w:szCs w:val="24"/>
                <w:lang w:val="en-US" w:eastAsia="zh-CN" w:bidi="ar-SA"/>
              </w:rPr>
              <w:t>试行</w:t>
            </w:r>
            <w:r>
              <w:rPr>
                <w:rFonts w:hint="eastAsia" w:ascii="Times New Roman" w:hAnsi="Times New Roman" w:eastAsia="宋体" w:cs="宋体"/>
                <w:color w:val="auto"/>
                <w:kern w:val="2"/>
                <w:sz w:val="24"/>
                <w:szCs w:val="24"/>
                <w:lang w:val="en-US" w:eastAsia="zh-CN" w:bidi="ar-SA"/>
              </w:rPr>
              <w:t>）</w:t>
            </w:r>
            <w:r>
              <w:rPr>
                <w:rFonts w:ascii="Times New Roman" w:hAnsi="Times New Roman" w:eastAsia="宋体" w:cs="宋体"/>
                <w:color w:val="auto"/>
                <w:kern w:val="2"/>
                <w:sz w:val="24"/>
                <w:szCs w:val="24"/>
                <w:lang w:val="en-US" w:eastAsia="zh-CN" w:bidi="ar-SA"/>
              </w:rPr>
              <w:t>》规定，</w:t>
            </w:r>
            <w:r>
              <w:rPr>
                <w:rFonts w:hint="eastAsia" w:ascii="Times New Roman" w:hAnsi="Times New Roman" w:eastAsia="宋体" w:cs="宋体"/>
                <w:color w:val="auto"/>
                <w:kern w:val="2"/>
                <w:sz w:val="24"/>
                <w:szCs w:val="24"/>
                <w:lang w:val="en-US" w:eastAsia="zh-CN" w:bidi="ar-SA"/>
              </w:rPr>
              <w:t>“</w:t>
            </w:r>
            <w:r>
              <w:rPr>
                <w:rFonts w:ascii="Times New Roman" w:hAnsi="Times New Roman" w:eastAsia="宋体" w:cs="宋体"/>
                <w:color w:val="auto"/>
                <w:kern w:val="2"/>
                <w:sz w:val="24"/>
                <w:szCs w:val="24"/>
                <w:lang w:val="en-US" w:eastAsia="zh-CN" w:bidi="ar-SA"/>
              </w:rPr>
              <w:t>原则上不开展环境质量现状调查。建设项目存在土壤、地下水环境污染途径的，应结合污染源、保护目标分布情况开展现状调查以留作背景值</w:t>
            </w:r>
            <w:r>
              <w:rPr>
                <w:rFonts w:hint="eastAsia" w:ascii="Times New Roman" w:hAnsi="Times New Roman" w:eastAsia="宋体" w:cs="宋体"/>
                <w:color w:val="auto"/>
                <w:kern w:val="2"/>
                <w:sz w:val="24"/>
                <w:szCs w:val="24"/>
                <w:lang w:val="en-US" w:eastAsia="zh-CN" w:bidi="ar-SA"/>
              </w:rPr>
              <w:t>”</w:t>
            </w:r>
            <w:r>
              <w:rPr>
                <w:rFonts w:ascii="Times New Roman" w:hAnsi="Times New Roman" w:eastAsia="宋体" w:cs="宋体"/>
                <w:color w:val="auto"/>
                <w:kern w:val="2"/>
                <w:sz w:val="24"/>
                <w:szCs w:val="24"/>
                <w:lang w:val="en-US" w:eastAsia="zh-CN" w:bidi="ar-SA"/>
              </w:rPr>
              <w:t>。</w:t>
            </w:r>
            <w:r>
              <w:rPr>
                <w:rFonts w:hint="eastAsia" w:ascii="Times New Roman" w:hAnsi="Times New Roman" w:eastAsia="宋体" w:cs="宋体"/>
                <w:color w:val="auto"/>
                <w:kern w:val="2"/>
                <w:sz w:val="24"/>
                <w:szCs w:val="24"/>
                <w:lang w:val="en-US" w:eastAsia="zh-CN" w:bidi="ar-SA"/>
              </w:rPr>
              <w:t>根据《环境影响评价技术导则 地下水环境》（HJ610-2016）附录A，建设项目所属的地下水环境影响评价项目类别为：</w:t>
            </w:r>
            <w:r>
              <w:rPr>
                <w:rFonts w:hint="default" w:ascii="Times New Roman" w:hAnsi="Times New Roman" w:eastAsia="宋体" w:cs="Times New Roman"/>
                <w:color w:val="auto"/>
                <w:kern w:val="2"/>
                <w:sz w:val="24"/>
                <w:szCs w:val="24"/>
                <w:lang w:val="en-US" w:eastAsia="zh-CN" w:bidi="ar-SA"/>
              </w:rPr>
              <w:t>Ⅳ</w:t>
            </w:r>
            <w:r>
              <w:rPr>
                <w:rFonts w:hint="eastAsia" w:ascii="Times New Roman" w:hAnsi="Times New Roman" w:eastAsia="宋体" w:cs="宋体"/>
                <w:color w:val="auto"/>
                <w:kern w:val="2"/>
                <w:sz w:val="24"/>
                <w:szCs w:val="24"/>
                <w:lang w:val="en-US" w:eastAsia="zh-CN" w:bidi="ar-SA"/>
              </w:rPr>
              <w:t>类，详见表4.5-2；根据《环境影响评价技术导则 土壤环境（试行）》（HJ964-2018）附录A，本项目土壤环境影响评价项目类别为：</w:t>
            </w:r>
            <w:r>
              <w:rPr>
                <w:rFonts w:hint="eastAsia" w:ascii="Times New Roman" w:hAnsi="Times New Roman" w:eastAsia="宋体" w:cs="Times New Roman"/>
                <w:color w:val="auto"/>
                <w:kern w:val="2"/>
                <w:sz w:val="24"/>
                <w:szCs w:val="24"/>
                <w:lang w:val="en-US" w:eastAsia="zh-CN" w:bidi="ar-SA"/>
              </w:rPr>
              <w:t>III</w:t>
            </w:r>
            <w:r>
              <w:rPr>
                <w:rFonts w:hint="eastAsia" w:ascii="Times New Roman" w:hAnsi="Times New Roman" w:eastAsia="宋体" w:cs="宋体"/>
                <w:color w:val="auto"/>
                <w:kern w:val="2"/>
                <w:sz w:val="24"/>
                <w:szCs w:val="24"/>
                <w:lang w:val="en-US" w:eastAsia="zh-CN" w:bidi="ar-SA"/>
              </w:rPr>
              <w:t>类，详见表4.5-3。</w:t>
            </w:r>
          </w:p>
          <w:p w14:paraId="50F8A7EB">
            <w:pPr>
              <w:widowControl w:val="0"/>
              <w:bidi w:val="0"/>
              <w:adjustRightInd w:val="0"/>
              <w:snapToGrid w:val="0"/>
              <w:spacing w:before="10" w:beforeLines="10" w:after="10" w:afterLines="10"/>
              <w:jc w:val="center"/>
              <w:rPr>
                <w:rFonts w:hint="default" w:ascii="Times New Roman" w:hAnsi="Times New Roman" w:eastAsia="宋体" w:cs="Times New Roman"/>
                <w:b/>
                <w:color w:val="auto"/>
                <w:kern w:val="0"/>
                <w:sz w:val="24"/>
                <w:szCs w:val="20"/>
                <w:lang w:val="en-US" w:eastAsia="zh-CN" w:bidi="ar-SA"/>
              </w:rPr>
            </w:pPr>
            <w:r>
              <w:rPr>
                <w:rFonts w:hint="eastAsia" w:ascii="Times New Roman" w:hAnsi="Times New Roman" w:eastAsia="宋体" w:cs="Times New Roman"/>
                <w:b/>
                <w:color w:val="auto"/>
                <w:kern w:val="0"/>
                <w:sz w:val="24"/>
                <w:szCs w:val="20"/>
                <w:lang w:val="en-US" w:eastAsia="zh-CN" w:bidi="ar-SA"/>
              </w:rPr>
              <w:t>表4.5-2地下水环境影响评价行业分类表</w:t>
            </w:r>
          </w:p>
          <w:tbl>
            <w:tblPr>
              <w:tblStyle w:val="39"/>
              <w:tblW w:w="79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594"/>
              <w:gridCol w:w="1595"/>
              <w:gridCol w:w="1595"/>
              <w:gridCol w:w="1595"/>
              <w:gridCol w:w="1595"/>
            </w:tblGrid>
            <w:tr w14:paraId="64727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974" w:type="dxa"/>
                  <w:gridSpan w:val="5"/>
                  <w:noWrap w:val="0"/>
                  <w:vAlign w:val="center"/>
                </w:tcPr>
                <w:p w14:paraId="4F803283">
                  <w:pPr>
                    <w:widowControl w:val="0"/>
                    <w:bidi w:val="0"/>
                    <w:adjustRightInd w:val="0"/>
                    <w:snapToGrid w:val="0"/>
                    <w:spacing w:before="10" w:beforeLines="10" w:after="10" w:afterLines="10" w:line="240" w:lineRule="auto"/>
                    <w:jc w:val="left"/>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K机械、电子</w:t>
                  </w:r>
                </w:p>
              </w:tc>
            </w:tr>
            <w:tr w14:paraId="207EB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594" w:type="dxa"/>
                  <w:vMerge w:val="restart"/>
                  <w:tcBorders>
                    <w:tl2br w:val="single" w:color="auto" w:sz="4" w:space="0"/>
                  </w:tcBorders>
                  <w:noWrap w:val="0"/>
                  <w:vAlign w:val="center"/>
                </w:tcPr>
                <w:p w14:paraId="77ADCD4F">
                  <w:pPr>
                    <w:widowControl w:val="0"/>
                    <w:bidi w:val="0"/>
                    <w:adjustRightInd w:val="0"/>
                    <w:snapToGrid w:val="0"/>
                    <w:spacing w:before="10" w:beforeLines="10" w:after="10" w:afterLines="10" w:line="240" w:lineRule="auto"/>
                    <w:jc w:val="right"/>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环评类别</w:t>
                  </w:r>
                </w:p>
                <w:p w14:paraId="602CE2F2">
                  <w:pPr>
                    <w:widowControl w:val="0"/>
                    <w:bidi w:val="0"/>
                    <w:adjustRightInd w:val="0"/>
                    <w:snapToGrid w:val="0"/>
                    <w:spacing w:before="10" w:beforeLines="10" w:after="10" w:afterLines="10" w:line="240" w:lineRule="auto"/>
                    <w:jc w:val="left"/>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行业类别</w:t>
                  </w:r>
                </w:p>
              </w:tc>
              <w:tc>
                <w:tcPr>
                  <w:tcW w:w="1595" w:type="dxa"/>
                  <w:vMerge w:val="restart"/>
                  <w:noWrap w:val="0"/>
                  <w:vAlign w:val="center"/>
                </w:tcPr>
                <w:p w14:paraId="3AFE1FB6">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报告书</w:t>
                  </w:r>
                </w:p>
              </w:tc>
              <w:tc>
                <w:tcPr>
                  <w:tcW w:w="1595" w:type="dxa"/>
                  <w:vMerge w:val="restart"/>
                  <w:noWrap w:val="0"/>
                  <w:vAlign w:val="center"/>
                </w:tcPr>
                <w:p w14:paraId="1E2F7F21">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报告表</w:t>
                  </w:r>
                </w:p>
              </w:tc>
              <w:tc>
                <w:tcPr>
                  <w:tcW w:w="3190" w:type="dxa"/>
                  <w:gridSpan w:val="2"/>
                  <w:noWrap w:val="0"/>
                  <w:vAlign w:val="center"/>
                </w:tcPr>
                <w:p w14:paraId="341AACC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地下水环境影响评价项目类别</w:t>
                  </w:r>
                </w:p>
              </w:tc>
            </w:tr>
            <w:tr w14:paraId="1B3F8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594" w:type="dxa"/>
                  <w:vMerge w:val="continue"/>
                  <w:shd w:val="clear" w:color="auto" w:fill="auto"/>
                  <w:noWrap w:val="0"/>
                  <w:vAlign w:val="center"/>
                </w:tcPr>
                <w:p w14:paraId="69881A15">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0"/>
                      <w:lang w:val="en-US" w:eastAsia="zh-CN" w:bidi="ar-SA"/>
                    </w:rPr>
                  </w:pPr>
                </w:p>
              </w:tc>
              <w:tc>
                <w:tcPr>
                  <w:tcW w:w="1595" w:type="dxa"/>
                  <w:vMerge w:val="continue"/>
                  <w:shd w:val="clear" w:color="auto" w:fill="auto"/>
                  <w:noWrap w:val="0"/>
                  <w:vAlign w:val="center"/>
                </w:tcPr>
                <w:p w14:paraId="673CC376">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0"/>
                      <w:lang w:val="en-US" w:eastAsia="zh-CN" w:bidi="ar-SA"/>
                    </w:rPr>
                  </w:pPr>
                </w:p>
              </w:tc>
              <w:tc>
                <w:tcPr>
                  <w:tcW w:w="1595" w:type="dxa"/>
                  <w:vMerge w:val="continue"/>
                  <w:shd w:val="clear" w:color="auto" w:fill="auto"/>
                  <w:noWrap w:val="0"/>
                  <w:vAlign w:val="center"/>
                </w:tcPr>
                <w:p w14:paraId="02313BFD">
                  <w:pPr>
                    <w:widowControl w:val="0"/>
                    <w:bidi w:val="0"/>
                    <w:adjustRightInd w:val="0"/>
                    <w:snapToGrid w:val="0"/>
                    <w:spacing w:before="10" w:beforeLines="10" w:after="10" w:afterLines="10" w:line="240" w:lineRule="auto"/>
                    <w:jc w:val="center"/>
                    <w:rPr>
                      <w:rFonts w:ascii="Times New Roman" w:hAnsi="Times New Roman" w:eastAsia="宋体" w:cs="Times New Roman"/>
                      <w:color w:val="auto"/>
                      <w:kern w:val="0"/>
                      <w:sz w:val="21"/>
                      <w:szCs w:val="20"/>
                      <w:lang w:val="en-US" w:eastAsia="zh-CN" w:bidi="ar-SA"/>
                    </w:rPr>
                  </w:pPr>
                </w:p>
              </w:tc>
              <w:tc>
                <w:tcPr>
                  <w:tcW w:w="1595" w:type="dxa"/>
                  <w:shd w:val="clear" w:color="auto" w:fill="auto"/>
                  <w:noWrap w:val="0"/>
                  <w:vAlign w:val="center"/>
                </w:tcPr>
                <w:p w14:paraId="61968E7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报告书</w:t>
                  </w:r>
                </w:p>
              </w:tc>
              <w:tc>
                <w:tcPr>
                  <w:tcW w:w="1595" w:type="dxa"/>
                  <w:shd w:val="clear" w:color="auto" w:fill="A4A4A4"/>
                  <w:noWrap w:val="0"/>
                  <w:vAlign w:val="center"/>
                </w:tcPr>
                <w:p w14:paraId="3F77672C">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报告表</w:t>
                  </w:r>
                </w:p>
              </w:tc>
            </w:tr>
            <w:tr w14:paraId="2E113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594" w:type="dxa"/>
                  <w:shd w:val="clear" w:color="auto" w:fill="auto"/>
                  <w:noWrap w:val="0"/>
                  <w:vAlign w:val="center"/>
                </w:tcPr>
                <w:p w14:paraId="03DBF51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79、仪器仪表及文化办公用机械制造</w:t>
                  </w:r>
                </w:p>
              </w:tc>
              <w:tc>
                <w:tcPr>
                  <w:tcW w:w="1595" w:type="dxa"/>
                  <w:shd w:val="clear" w:color="auto" w:fill="auto"/>
                  <w:noWrap w:val="0"/>
                  <w:vAlign w:val="center"/>
                </w:tcPr>
                <w:p w14:paraId="7281EA03">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有电镀或喷漆工艺的</w:t>
                  </w:r>
                </w:p>
              </w:tc>
              <w:tc>
                <w:tcPr>
                  <w:tcW w:w="1595" w:type="dxa"/>
                  <w:shd w:val="clear" w:color="auto" w:fill="auto"/>
                  <w:noWrap w:val="0"/>
                  <w:vAlign w:val="center"/>
                </w:tcPr>
                <w:p w14:paraId="4B3B7857">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其他（仅组装的除外）</w:t>
                  </w:r>
                </w:p>
              </w:tc>
              <w:tc>
                <w:tcPr>
                  <w:tcW w:w="1595" w:type="dxa"/>
                  <w:shd w:val="clear" w:color="auto" w:fill="auto"/>
                  <w:noWrap w:val="0"/>
                  <w:vAlign w:val="center"/>
                </w:tcPr>
                <w:p w14:paraId="5DA45B6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III类</w:t>
                  </w:r>
                </w:p>
              </w:tc>
              <w:tc>
                <w:tcPr>
                  <w:tcW w:w="1595" w:type="dxa"/>
                  <w:shd w:val="clear" w:color="auto" w:fill="A4A4A4"/>
                  <w:noWrap w:val="0"/>
                  <w:vAlign w:val="center"/>
                </w:tcPr>
                <w:p w14:paraId="5C72909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IV类</w:t>
                  </w:r>
                </w:p>
              </w:tc>
            </w:tr>
          </w:tbl>
          <w:p w14:paraId="3CBFFF86">
            <w:pPr>
              <w:widowControl w:val="0"/>
              <w:bidi w:val="0"/>
              <w:adjustRightInd w:val="0"/>
              <w:snapToGrid w:val="0"/>
              <w:spacing w:before="10" w:beforeLines="10" w:after="10" w:afterLines="10"/>
              <w:jc w:val="center"/>
              <w:rPr>
                <w:rFonts w:hint="default" w:ascii="Times New Roman" w:hAnsi="Times New Roman" w:eastAsia="宋体" w:cs="Times New Roman"/>
                <w:b/>
                <w:color w:val="auto"/>
                <w:kern w:val="0"/>
                <w:sz w:val="24"/>
                <w:szCs w:val="20"/>
                <w:vertAlign w:val="baseline"/>
                <w:lang w:val="en-US" w:eastAsia="zh-CN" w:bidi="ar-SA"/>
              </w:rPr>
            </w:pPr>
            <w:r>
              <w:rPr>
                <w:rFonts w:hint="eastAsia" w:ascii="Times New Roman" w:hAnsi="Times New Roman" w:eastAsia="宋体" w:cs="Times New Roman"/>
                <w:b/>
                <w:color w:val="auto"/>
                <w:kern w:val="0"/>
                <w:sz w:val="24"/>
                <w:szCs w:val="20"/>
                <w:lang w:val="en-US" w:eastAsia="zh-CN" w:bidi="ar-SA"/>
              </w:rPr>
              <w:t>表4.5-3土壤环境影响评价行业分类表</w:t>
            </w:r>
          </w:p>
          <w:tbl>
            <w:tblPr>
              <w:tblStyle w:val="39"/>
              <w:tblW w:w="79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4"/>
              <w:gridCol w:w="1230"/>
              <w:gridCol w:w="1532"/>
              <w:gridCol w:w="1532"/>
              <w:gridCol w:w="1532"/>
              <w:gridCol w:w="1534"/>
            </w:tblGrid>
            <w:tr w14:paraId="021CB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44" w:type="dxa"/>
                  <w:gridSpan w:val="2"/>
                  <w:vMerge w:val="restart"/>
                  <w:noWrap w:val="0"/>
                  <w:vAlign w:val="center"/>
                </w:tcPr>
                <w:p w14:paraId="1D4FE2E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行业类别</w:t>
                  </w:r>
                </w:p>
              </w:tc>
              <w:tc>
                <w:tcPr>
                  <w:tcW w:w="6130" w:type="dxa"/>
                  <w:gridSpan w:val="4"/>
                  <w:noWrap w:val="0"/>
                  <w:vAlign w:val="center"/>
                </w:tcPr>
                <w:p w14:paraId="1E6EEDA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项目类别</w:t>
                  </w:r>
                </w:p>
              </w:tc>
            </w:tr>
            <w:tr w14:paraId="10CA5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44" w:type="dxa"/>
                  <w:gridSpan w:val="2"/>
                  <w:vMerge w:val="continue"/>
                  <w:shd w:val="clear" w:color="auto" w:fill="auto"/>
                  <w:noWrap w:val="0"/>
                  <w:vAlign w:val="center"/>
                </w:tcPr>
                <w:p w14:paraId="6C3F2E0A">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p>
              </w:tc>
              <w:tc>
                <w:tcPr>
                  <w:tcW w:w="1532" w:type="dxa"/>
                  <w:shd w:val="clear" w:color="auto" w:fill="auto"/>
                  <w:noWrap w:val="0"/>
                  <w:vAlign w:val="center"/>
                </w:tcPr>
                <w:p w14:paraId="47F443CD">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I类</w:t>
                  </w:r>
                </w:p>
              </w:tc>
              <w:tc>
                <w:tcPr>
                  <w:tcW w:w="1532" w:type="dxa"/>
                  <w:shd w:val="clear" w:color="auto" w:fill="auto"/>
                  <w:noWrap w:val="0"/>
                  <w:vAlign w:val="center"/>
                </w:tcPr>
                <w:p w14:paraId="336E173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II类</w:t>
                  </w:r>
                </w:p>
              </w:tc>
              <w:tc>
                <w:tcPr>
                  <w:tcW w:w="1532" w:type="dxa"/>
                  <w:shd w:val="clear" w:color="auto" w:fill="A4A4A4"/>
                  <w:noWrap w:val="0"/>
                  <w:vAlign w:val="center"/>
                </w:tcPr>
                <w:p w14:paraId="72DB5CC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III类</w:t>
                  </w:r>
                </w:p>
              </w:tc>
              <w:tc>
                <w:tcPr>
                  <w:tcW w:w="1534" w:type="dxa"/>
                  <w:noWrap w:val="0"/>
                  <w:vAlign w:val="center"/>
                </w:tcPr>
                <w:p w14:paraId="22E55E9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IV类</w:t>
                  </w:r>
                </w:p>
              </w:tc>
            </w:tr>
            <w:tr w14:paraId="652CA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4" w:type="dxa"/>
                  <w:shd w:val="clear" w:color="auto" w:fill="auto"/>
                  <w:noWrap w:val="0"/>
                  <w:vAlign w:val="center"/>
                </w:tcPr>
                <w:p w14:paraId="26BB5B5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制造业</w:t>
                  </w:r>
                </w:p>
              </w:tc>
              <w:tc>
                <w:tcPr>
                  <w:tcW w:w="1230" w:type="dxa"/>
                  <w:shd w:val="clear" w:color="auto" w:fill="auto"/>
                  <w:noWrap w:val="0"/>
                  <w:vAlign w:val="center"/>
                </w:tcPr>
                <w:p w14:paraId="32B00879">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设备制造、金属制品、汽车制造及其他用品制造</w:t>
                  </w:r>
                </w:p>
              </w:tc>
              <w:tc>
                <w:tcPr>
                  <w:tcW w:w="1532" w:type="dxa"/>
                  <w:shd w:val="clear" w:color="auto" w:fill="auto"/>
                  <w:noWrap w:val="0"/>
                  <w:vAlign w:val="center"/>
                </w:tcPr>
                <w:p w14:paraId="6C54729F">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有电镀工艺的</w:t>
                  </w:r>
                  <w:r>
                    <w:rPr>
                      <w:rFonts w:hint="eastAsia" w:ascii="Times New Roman" w:hAnsi="Times New Roman" w:eastAsia="宋体" w:cs="Times New Roman"/>
                      <w:color w:val="auto"/>
                      <w:kern w:val="0"/>
                      <w:sz w:val="21"/>
                      <w:szCs w:val="20"/>
                      <w:lang w:val="en-US" w:eastAsia="zh-CN" w:bidi="ar-SA"/>
                    </w:rPr>
                    <w:t>；</w:t>
                  </w:r>
                  <w:r>
                    <w:rPr>
                      <w:rFonts w:hint="default" w:ascii="Times New Roman" w:hAnsi="Times New Roman" w:eastAsia="宋体" w:cs="Times New Roman"/>
                      <w:color w:val="auto"/>
                      <w:kern w:val="0"/>
                      <w:sz w:val="21"/>
                      <w:szCs w:val="20"/>
                      <w:lang w:val="en-US" w:eastAsia="zh-CN" w:bidi="ar-SA"/>
                    </w:rPr>
                    <w:t>金属制品表面处理及热处理加工的</w:t>
                  </w:r>
                  <w:r>
                    <w:rPr>
                      <w:rFonts w:hint="eastAsia" w:ascii="Times New Roman" w:hAnsi="Times New Roman" w:eastAsia="宋体" w:cs="Times New Roman"/>
                      <w:color w:val="auto"/>
                      <w:kern w:val="0"/>
                      <w:sz w:val="21"/>
                      <w:szCs w:val="20"/>
                      <w:lang w:val="en-US" w:eastAsia="zh-CN" w:bidi="ar-SA"/>
                    </w:rPr>
                    <w:t>；</w:t>
                  </w:r>
                  <w:r>
                    <w:rPr>
                      <w:rFonts w:hint="default" w:ascii="Times New Roman" w:hAnsi="Times New Roman" w:eastAsia="宋体" w:cs="Times New Roman"/>
                      <w:color w:val="auto"/>
                      <w:kern w:val="0"/>
                      <w:sz w:val="21"/>
                      <w:szCs w:val="20"/>
                      <w:lang w:val="en-US" w:eastAsia="zh-CN" w:bidi="ar-SA"/>
                    </w:rPr>
                    <w:t>使用有机涂层的</w:t>
                  </w:r>
                  <w:r>
                    <w:rPr>
                      <w:rFonts w:hint="eastAsia" w:ascii="Times New Roman" w:hAnsi="Times New Roman" w:eastAsia="宋体" w:cs="Times New Roman"/>
                      <w:color w:val="auto"/>
                      <w:kern w:val="0"/>
                      <w:sz w:val="21"/>
                      <w:szCs w:val="20"/>
                      <w:lang w:val="en-US" w:eastAsia="zh-CN" w:bidi="ar-SA"/>
                    </w:rPr>
                    <w:t>（</w:t>
                  </w:r>
                  <w:r>
                    <w:rPr>
                      <w:rFonts w:hint="default" w:ascii="Times New Roman" w:hAnsi="Times New Roman" w:eastAsia="宋体" w:cs="Times New Roman"/>
                      <w:color w:val="auto"/>
                      <w:kern w:val="0"/>
                      <w:sz w:val="21"/>
                      <w:szCs w:val="20"/>
                      <w:lang w:val="en-US" w:eastAsia="zh-CN" w:bidi="ar-SA"/>
                    </w:rPr>
                    <w:t>喷粉、喷塑和电泳除外</w:t>
                  </w:r>
                  <w:r>
                    <w:rPr>
                      <w:rFonts w:hint="eastAsia" w:ascii="Times New Roman" w:hAnsi="Times New Roman" w:eastAsia="宋体" w:cs="Times New Roman"/>
                      <w:color w:val="auto"/>
                      <w:kern w:val="0"/>
                      <w:sz w:val="21"/>
                      <w:szCs w:val="20"/>
                      <w:lang w:val="en-US" w:eastAsia="zh-CN" w:bidi="ar-SA"/>
                    </w:rPr>
                    <w:t>）</w:t>
                  </w:r>
                  <w:r>
                    <w:rPr>
                      <w:rFonts w:hint="default" w:ascii="Times New Roman" w:hAnsi="Times New Roman" w:eastAsia="宋体" w:cs="Times New Roman"/>
                      <w:color w:val="auto"/>
                      <w:kern w:val="0"/>
                      <w:sz w:val="21"/>
                      <w:szCs w:val="20"/>
                      <w:lang w:val="en-US" w:eastAsia="zh-CN" w:bidi="ar-SA"/>
                    </w:rPr>
                    <w:t>有钝化工艺的热镀锌</w:t>
                  </w:r>
                </w:p>
              </w:tc>
              <w:tc>
                <w:tcPr>
                  <w:tcW w:w="1532" w:type="dxa"/>
                  <w:shd w:val="clear" w:color="auto" w:fill="auto"/>
                  <w:noWrap w:val="0"/>
                  <w:vAlign w:val="center"/>
                </w:tcPr>
                <w:p w14:paraId="62ADBB2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有化学处理工艺的</w:t>
                  </w:r>
                </w:p>
              </w:tc>
              <w:tc>
                <w:tcPr>
                  <w:tcW w:w="1532" w:type="dxa"/>
                  <w:shd w:val="clear" w:color="auto" w:fill="A4A4A4"/>
                  <w:noWrap w:val="0"/>
                  <w:vAlign w:val="center"/>
                </w:tcPr>
                <w:p w14:paraId="2447B92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其他</w:t>
                  </w:r>
                </w:p>
              </w:tc>
              <w:tc>
                <w:tcPr>
                  <w:tcW w:w="1534" w:type="dxa"/>
                  <w:noWrap w:val="0"/>
                  <w:vAlign w:val="center"/>
                </w:tcPr>
                <w:p w14:paraId="10B8BD3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w:t>
                  </w:r>
                </w:p>
              </w:tc>
            </w:tr>
          </w:tbl>
          <w:p w14:paraId="6DF8A67E">
            <w:pPr>
              <w:widowControl w:val="0"/>
              <w:bidi w:val="0"/>
              <w:spacing w:line="360" w:lineRule="auto"/>
              <w:ind w:firstLine="480" w:firstLineChars="200"/>
              <w:jc w:val="both"/>
              <w:rPr>
                <w:rFonts w:ascii="Times New Roman" w:hAnsi="Times New Roman" w:eastAsia="宋体" w:cs="宋体"/>
                <w:color w:val="auto"/>
                <w:kern w:val="2"/>
                <w:sz w:val="24"/>
                <w:szCs w:val="24"/>
                <w:lang w:val="en-US" w:eastAsia="zh-CN" w:bidi="ar-SA"/>
              </w:rPr>
            </w:pPr>
            <w:r>
              <w:rPr>
                <w:rFonts w:ascii="Times New Roman" w:hAnsi="Times New Roman" w:eastAsia="宋体" w:cs="宋体"/>
                <w:color w:val="auto"/>
                <w:kern w:val="2"/>
                <w:sz w:val="24"/>
                <w:szCs w:val="24"/>
                <w:lang w:val="en-US" w:eastAsia="zh-CN" w:bidi="ar-SA"/>
              </w:rPr>
              <w:t>项目位于</w:t>
            </w:r>
            <w:r>
              <w:rPr>
                <w:rFonts w:hint="default" w:ascii="Times New Roman" w:hAnsi="Times New Roman" w:eastAsia="宋体" w:cs="Times New Roman"/>
                <w:color w:val="auto"/>
                <w:sz w:val="24"/>
                <w:lang w:val="en-US" w:eastAsia="zh-CN"/>
              </w:rPr>
              <w:t>福建省福州市闽侯县经济技术开发区一期延伸区综合大楼第五层</w:t>
            </w:r>
            <w:r>
              <w:rPr>
                <w:rFonts w:ascii="Times New Roman" w:hAnsi="Times New Roman" w:eastAsia="宋体" w:cs="宋体"/>
                <w:color w:val="auto"/>
                <w:kern w:val="2"/>
                <w:sz w:val="24"/>
                <w:szCs w:val="24"/>
                <w:lang w:val="en-US" w:eastAsia="zh-CN" w:bidi="ar-SA"/>
              </w:rPr>
              <w:t>，根据现场勘查，周边以</w:t>
            </w:r>
            <w:r>
              <w:rPr>
                <w:rFonts w:hint="eastAsia" w:ascii="Times New Roman" w:hAnsi="Times New Roman" w:eastAsia="宋体" w:cs="宋体"/>
                <w:color w:val="auto"/>
                <w:kern w:val="2"/>
                <w:sz w:val="24"/>
                <w:szCs w:val="24"/>
                <w:lang w:val="en-US" w:eastAsia="zh-CN" w:bidi="ar-SA"/>
              </w:rPr>
              <w:t>工业企业</w:t>
            </w:r>
            <w:r>
              <w:rPr>
                <w:rFonts w:ascii="Times New Roman" w:hAnsi="Times New Roman" w:eastAsia="宋体" w:cs="宋体"/>
                <w:color w:val="auto"/>
                <w:kern w:val="2"/>
                <w:sz w:val="24"/>
                <w:szCs w:val="24"/>
                <w:lang w:val="en-US" w:eastAsia="zh-CN" w:bidi="ar-SA"/>
              </w:rPr>
              <w:t>为主；项目周边地下水、土壤环境相对不敏感，采取有效的防渗措施后，项目对地下水、土壤环境影响很小，基本不存在土壤、地下水环境污染途径，因此，本评价不对项目地下水、土壤环境质量进行补充监测。</w:t>
            </w:r>
          </w:p>
          <w:p w14:paraId="33CE3754">
            <w:pPr>
              <w:keepNext/>
              <w:keepLines/>
              <w:widowControl w:val="0"/>
              <w:bidi w:val="0"/>
              <w:spacing w:beforeLines="0" w:beforeAutospacing="0" w:afterLines="0" w:afterAutospacing="0" w:line="360" w:lineRule="auto"/>
              <w:jc w:val="left"/>
              <w:textAlignment w:val="center"/>
              <w:outlineLvl w:val="1"/>
              <w:rPr>
                <w:rFonts w:hint="default" w:ascii="Times New Roman" w:hAnsi="Times New Roman" w:eastAsia="宋体" w:cs="Times New Roman"/>
                <w:b/>
                <w:color w:val="auto"/>
                <w:kern w:val="2"/>
                <w:sz w:val="28"/>
                <w:szCs w:val="24"/>
                <w:lang w:val="en-US" w:eastAsia="zh-CN" w:bidi="ar-SA"/>
              </w:rPr>
            </w:pPr>
            <w:r>
              <w:rPr>
                <w:rFonts w:hint="eastAsia" w:ascii="Times New Roman" w:hAnsi="Times New Roman" w:eastAsia="宋体" w:cs="Times New Roman"/>
                <w:b/>
                <w:color w:val="auto"/>
                <w:kern w:val="2"/>
                <w:sz w:val="28"/>
                <w:szCs w:val="24"/>
                <w:lang w:val="en-US" w:eastAsia="zh-CN" w:bidi="ar-SA"/>
              </w:rPr>
              <w:t>4.6运营期环境风险影响和保护措施</w:t>
            </w:r>
          </w:p>
          <w:p w14:paraId="36BFD846">
            <w:pPr>
              <w:keepNext/>
              <w:keepLines/>
              <w:widowControl w:val="0"/>
              <w:bidi w:val="0"/>
              <w:spacing w:beforeLines="0" w:beforeAutospacing="0" w:afterLines="0" w:afterAutospacing="0" w:line="360" w:lineRule="auto"/>
              <w:jc w:val="left"/>
              <w:outlineLvl w:val="2"/>
              <w:rPr>
                <w:rFonts w:hint="eastAsia"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4.6.1风险调查</w:t>
            </w:r>
          </w:p>
          <w:p w14:paraId="3F243CD4">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本项目所使用的原辅材料包括乙醚、乙醇、丙酮等，根据《建设项目环境风险评价技术导则》（HJ169-2018）、《企业突发环境事件风险分级方法》（HJ941-2018）和《危险化学品目录》（2015版），原辅材料中乙醚、乙醇、丙酮风险物质。</w:t>
            </w:r>
          </w:p>
          <w:p w14:paraId="7E9655C3">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zh-CN" w:eastAsia="zh-CN" w:bidi="ar-SA"/>
              </w:rPr>
              <w:t>根据</w:t>
            </w:r>
            <w:r>
              <w:rPr>
                <w:rFonts w:hint="default" w:ascii="Times New Roman" w:hAnsi="Times New Roman" w:eastAsia="宋体" w:cs="宋体"/>
                <w:color w:val="auto"/>
                <w:kern w:val="2"/>
                <w:sz w:val="24"/>
                <w:szCs w:val="24"/>
                <w:lang w:val="en-US" w:eastAsia="zh-CN" w:bidi="ar-SA"/>
              </w:rPr>
              <w:t>《建设项目环境风险评价技术导则》（HJ169-2018）附录C，计算所涉及的每种危险物质在厂界内的最大存在总量与其在《建设项目环境风险评价技术导则》（HJ169-2018）附录B中对应临界量的比值Q。在不同厂区的同一种物质，按其在厂界内的最大存在总量计算。当企业只涉及一种风险物质时，该物质的数量与其临界量的比值，即为Q。当企业存在多种化学物质时，则按下式计算物质总量与其临界量比值（Q）：</w:t>
            </w:r>
          </w:p>
          <w:p w14:paraId="0F59EE2F">
            <w:pPr>
              <w:widowControl w:val="0"/>
              <w:bidi w:val="0"/>
              <w:spacing w:line="360" w:lineRule="auto"/>
              <w:jc w:val="center"/>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drawing>
                <wp:inline distT="0" distB="0" distL="114300" distR="114300">
                  <wp:extent cx="1903730" cy="464185"/>
                  <wp:effectExtent l="0" t="0" r="1270" b="12065"/>
                  <wp:docPr id="50" name="图片 17" descr="C:\Users\admin\AppData\Roaming\Tencent\Users\506048567\QQ\WinTemp\RichOle\`_O{@QX45~6E2EU4~BK~(Z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7" descr="C:\Users\admin\AppData\Roaming\Tencent\Users\506048567\QQ\WinTemp\RichOle\`_O{@QX45~6E2EU4~BK~(ZR.png"/>
                          <pic:cNvPicPr>
                            <a:picLocks noChangeAspect="1"/>
                          </pic:cNvPicPr>
                        </pic:nvPicPr>
                        <pic:blipFill>
                          <a:blip r:embed="rId37"/>
                          <a:stretch>
                            <a:fillRect/>
                          </a:stretch>
                        </pic:blipFill>
                        <pic:spPr>
                          <a:xfrm>
                            <a:off x="0" y="0"/>
                            <a:ext cx="1903730" cy="464185"/>
                          </a:xfrm>
                          <a:prstGeom prst="rect">
                            <a:avLst/>
                          </a:prstGeom>
                          <a:noFill/>
                          <a:ln>
                            <a:noFill/>
                          </a:ln>
                        </pic:spPr>
                      </pic:pic>
                    </a:graphicData>
                  </a:graphic>
                </wp:inline>
              </w:drawing>
            </w:r>
          </w:p>
          <w:p w14:paraId="34D62457">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式中：q</w:t>
            </w:r>
            <w:r>
              <w:rPr>
                <w:rFonts w:hint="default" w:ascii="Times New Roman" w:hAnsi="Times New Roman" w:eastAsia="宋体" w:cs="宋体"/>
                <w:color w:val="auto"/>
                <w:kern w:val="2"/>
                <w:sz w:val="24"/>
                <w:szCs w:val="24"/>
                <w:vertAlign w:val="subscript"/>
                <w:lang w:val="en-US" w:eastAsia="zh-CN" w:bidi="ar-SA"/>
              </w:rPr>
              <w:t>1</w:t>
            </w:r>
            <w:r>
              <w:rPr>
                <w:rFonts w:hint="default" w:ascii="Times New Roman" w:hAnsi="Times New Roman" w:eastAsia="宋体" w:cs="宋体"/>
                <w:color w:val="auto"/>
                <w:kern w:val="2"/>
                <w:sz w:val="24"/>
                <w:szCs w:val="24"/>
                <w:lang w:val="en-US" w:eastAsia="zh-CN" w:bidi="ar-SA"/>
              </w:rPr>
              <w:t>，q</w:t>
            </w:r>
            <w:r>
              <w:rPr>
                <w:rFonts w:hint="default" w:ascii="Times New Roman" w:hAnsi="Times New Roman" w:eastAsia="宋体" w:cs="宋体"/>
                <w:color w:val="auto"/>
                <w:kern w:val="2"/>
                <w:sz w:val="24"/>
                <w:szCs w:val="24"/>
                <w:vertAlign w:val="subscript"/>
                <w:lang w:val="en-US" w:eastAsia="zh-CN" w:bidi="ar-SA"/>
              </w:rPr>
              <w:t>2</w:t>
            </w:r>
            <w:r>
              <w:rPr>
                <w:rFonts w:hint="default" w:ascii="Times New Roman" w:hAnsi="Times New Roman" w:eastAsia="宋体" w:cs="宋体"/>
                <w:color w:val="auto"/>
                <w:kern w:val="2"/>
                <w:sz w:val="24"/>
                <w:szCs w:val="24"/>
                <w:lang w:val="en-US" w:eastAsia="zh-CN" w:bidi="ar-SA"/>
              </w:rPr>
              <w:t>，...，q</w:t>
            </w:r>
            <w:r>
              <w:rPr>
                <w:rFonts w:hint="default" w:ascii="Times New Roman" w:hAnsi="Times New Roman" w:eastAsia="宋体" w:cs="宋体"/>
                <w:color w:val="auto"/>
                <w:kern w:val="2"/>
                <w:sz w:val="24"/>
                <w:szCs w:val="24"/>
                <w:vertAlign w:val="subscript"/>
                <w:lang w:val="en-US" w:eastAsia="zh-CN" w:bidi="ar-SA"/>
              </w:rPr>
              <w:t>n</w:t>
            </w:r>
            <w:r>
              <w:rPr>
                <w:rFonts w:hint="default" w:ascii="Times New Roman" w:hAnsi="Times New Roman" w:eastAsia="宋体" w:cs="宋体"/>
                <w:color w:val="auto"/>
                <w:kern w:val="2"/>
                <w:sz w:val="24"/>
                <w:szCs w:val="24"/>
                <w:lang w:val="en-US" w:eastAsia="zh-CN" w:bidi="ar-SA"/>
              </w:rPr>
              <w:t>——每种风险物质的存在量，t；</w:t>
            </w:r>
          </w:p>
          <w:p w14:paraId="43B3B8AC">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Q</w:t>
            </w:r>
            <w:r>
              <w:rPr>
                <w:rFonts w:hint="default" w:ascii="Times New Roman" w:hAnsi="Times New Roman" w:eastAsia="宋体" w:cs="宋体"/>
                <w:color w:val="auto"/>
                <w:kern w:val="2"/>
                <w:sz w:val="24"/>
                <w:szCs w:val="24"/>
                <w:vertAlign w:val="subscript"/>
                <w:lang w:val="en-US" w:eastAsia="zh-CN" w:bidi="ar-SA"/>
              </w:rPr>
              <w:t>1</w:t>
            </w:r>
            <w:r>
              <w:rPr>
                <w:rFonts w:hint="default" w:ascii="Times New Roman" w:hAnsi="Times New Roman" w:eastAsia="宋体" w:cs="宋体"/>
                <w:color w:val="auto"/>
                <w:kern w:val="2"/>
                <w:sz w:val="24"/>
                <w:szCs w:val="24"/>
                <w:lang w:val="en-US" w:eastAsia="zh-CN" w:bidi="ar-SA"/>
              </w:rPr>
              <w:t>，Q</w:t>
            </w:r>
            <w:r>
              <w:rPr>
                <w:rFonts w:hint="default" w:ascii="Times New Roman" w:hAnsi="Times New Roman" w:eastAsia="宋体" w:cs="宋体"/>
                <w:color w:val="auto"/>
                <w:kern w:val="2"/>
                <w:sz w:val="24"/>
                <w:szCs w:val="24"/>
                <w:vertAlign w:val="subscript"/>
                <w:lang w:val="en-US" w:eastAsia="zh-CN" w:bidi="ar-SA"/>
              </w:rPr>
              <w:t>2</w:t>
            </w:r>
            <w:r>
              <w:rPr>
                <w:rFonts w:hint="default" w:ascii="Times New Roman" w:hAnsi="Times New Roman" w:eastAsia="宋体" w:cs="宋体"/>
                <w:color w:val="auto"/>
                <w:kern w:val="2"/>
                <w:sz w:val="24"/>
                <w:szCs w:val="24"/>
                <w:lang w:val="en-US" w:eastAsia="zh-CN" w:bidi="ar-SA"/>
              </w:rPr>
              <w:t>，...，Q</w:t>
            </w:r>
            <w:r>
              <w:rPr>
                <w:rFonts w:hint="default" w:ascii="Times New Roman" w:hAnsi="Times New Roman" w:eastAsia="宋体" w:cs="宋体"/>
                <w:color w:val="auto"/>
                <w:kern w:val="2"/>
                <w:sz w:val="24"/>
                <w:szCs w:val="24"/>
                <w:vertAlign w:val="subscript"/>
                <w:lang w:val="en-US" w:eastAsia="zh-CN" w:bidi="ar-SA"/>
              </w:rPr>
              <w:t>n</w:t>
            </w:r>
            <w:r>
              <w:rPr>
                <w:rFonts w:hint="default" w:ascii="Times New Roman" w:hAnsi="Times New Roman" w:eastAsia="宋体" w:cs="宋体"/>
                <w:color w:val="auto"/>
                <w:kern w:val="2"/>
                <w:sz w:val="24"/>
                <w:szCs w:val="24"/>
                <w:lang w:val="en-US" w:eastAsia="zh-CN" w:bidi="ar-SA"/>
              </w:rPr>
              <w:t>——每种风险物质的临界量，t。</w:t>
            </w:r>
          </w:p>
          <w:p w14:paraId="7A01A745">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当Q＜1时，该项目环境风险潜势为</w:t>
            </w:r>
            <w:r>
              <w:rPr>
                <w:rFonts w:hint="default" w:ascii="Times New Roman" w:hAnsi="Times New Roman" w:eastAsia="宋体" w:cs="宋体"/>
                <w:color w:val="auto"/>
                <w:kern w:val="2"/>
                <w:sz w:val="24"/>
                <w:szCs w:val="24"/>
                <w:lang w:val="en-US" w:eastAsia="zh-CN" w:bidi="ar-SA"/>
              </w:rPr>
              <w:fldChar w:fldCharType="begin"/>
            </w:r>
            <w:r>
              <w:rPr>
                <w:rFonts w:hint="default" w:ascii="Times New Roman" w:hAnsi="Times New Roman" w:eastAsia="宋体" w:cs="宋体"/>
                <w:color w:val="auto"/>
                <w:kern w:val="2"/>
                <w:sz w:val="24"/>
                <w:szCs w:val="24"/>
                <w:lang w:val="en-US" w:eastAsia="zh-CN" w:bidi="ar-SA"/>
              </w:rPr>
              <w:instrText xml:space="preserve"> = 1 \* ROMAN </w:instrText>
            </w:r>
            <w:r>
              <w:rPr>
                <w:rFonts w:hint="default" w:ascii="Times New Roman" w:hAnsi="Times New Roman" w:eastAsia="宋体" w:cs="宋体"/>
                <w:color w:val="auto"/>
                <w:kern w:val="2"/>
                <w:sz w:val="24"/>
                <w:szCs w:val="24"/>
                <w:lang w:val="en-US" w:eastAsia="zh-CN" w:bidi="ar-SA"/>
              </w:rPr>
              <w:fldChar w:fldCharType="separate"/>
            </w:r>
            <w:r>
              <w:rPr>
                <w:rFonts w:hint="default" w:ascii="Times New Roman" w:hAnsi="Times New Roman" w:eastAsia="宋体" w:cs="宋体"/>
                <w:color w:val="auto"/>
                <w:kern w:val="2"/>
                <w:sz w:val="24"/>
                <w:szCs w:val="24"/>
                <w:lang w:val="en-US" w:eastAsia="zh-CN" w:bidi="ar-SA"/>
              </w:rPr>
              <w:t>I</w:t>
            </w:r>
            <w:r>
              <w:rPr>
                <w:rFonts w:hint="default" w:ascii="Times New Roman" w:hAnsi="Times New Roman" w:eastAsia="宋体" w:cs="宋体"/>
                <w:color w:val="auto"/>
                <w:kern w:val="2"/>
                <w:sz w:val="24"/>
                <w:szCs w:val="24"/>
                <w:lang w:val="en-US" w:eastAsia="zh-CN" w:bidi="ar-SA"/>
              </w:rPr>
              <w:fldChar w:fldCharType="end"/>
            </w:r>
            <w:r>
              <w:rPr>
                <w:rFonts w:hint="default" w:ascii="Times New Roman" w:hAnsi="Times New Roman" w:eastAsia="宋体" w:cs="宋体"/>
                <w:color w:val="auto"/>
                <w:kern w:val="2"/>
                <w:sz w:val="24"/>
                <w:szCs w:val="24"/>
                <w:lang w:val="en-US" w:eastAsia="zh-CN" w:bidi="ar-SA"/>
              </w:rPr>
              <w:t>。</w:t>
            </w:r>
          </w:p>
          <w:p w14:paraId="7CF34E85">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当Q≥1时，将Q值划分为：（1）1≤Q＜10；（2）10≤Q＜100；（3）Q≥100。</w:t>
            </w:r>
          </w:p>
          <w:p w14:paraId="7E848C67">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zh-CN" w:eastAsia="zh-CN" w:bidi="ar-SA"/>
              </w:rPr>
              <w:t>本项目涉及的危险物质情况及临界量比值详见表</w:t>
            </w:r>
            <w:r>
              <w:rPr>
                <w:rFonts w:hint="default" w:ascii="Times New Roman" w:hAnsi="Times New Roman" w:eastAsia="宋体" w:cs="宋体"/>
                <w:color w:val="auto"/>
                <w:kern w:val="2"/>
                <w:sz w:val="24"/>
                <w:szCs w:val="24"/>
                <w:lang w:val="en-US" w:eastAsia="zh-CN" w:bidi="ar-SA"/>
              </w:rPr>
              <w:t>4.</w:t>
            </w:r>
            <w:r>
              <w:rPr>
                <w:rFonts w:hint="eastAsia" w:ascii="Times New Roman" w:hAnsi="Times New Roman" w:eastAsia="宋体" w:cs="宋体"/>
                <w:color w:val="auto"/>
                <w:kern w:val="2"/>
                <w:sz w:val="24"/>
                <w:szCs w:val="24"/>
                <w:lang w:val="en-US" w:eastAsia="zh-CN" w:bidi="ar-SA"/>
              </w:rPr>
              <w:t>6</w:t>
            </w:r>
            <w:r>
              <w:rPr>
                <w:rFonts w:hint="default" w:ascii="Times New Roman" w:hAnsi="Times New Roman" w:eastAsia="宋体" w:cs="宋体"/>
                <w:color w:val="auto"/>
                <w:kern w:val="2"/>
                <w:sz w:val="24"/>
                <w:szCs w:val="24"/>
                <w:lang w:val="en-US" w:eastAsia="zh-CN" w:bidi="ar-SA"/>
              </w:rPr>
              <w:t>-2</w:t>
            </w:r>
            <w:r>
              <w:rPr>
                <w:rFonts w:hint="default" w:ascii="Times New Roman" w:hAnsi="Times New Roman" w:eastAsia="宋体" w:cs="宋体"/>
                <w:color w:val="auto"/>
                <w:kern w:val="2"/>
                <w:sz w:val="24"/>
                <w:szCs w:val="24"/>
                <w:lang w:val="zh-CN" w:eastAsia="zh-CN" w:bidi="ar-SA"/>
              </w:rPr>
              <w:t>。</w:t>
            </w:r>
          </w:p>
          <w:p w14:paraId="188CADAA">
            <w:pPr>
              <w:widowControl w:val="0"/>
              <w:bidi w:val="0"/>
              <w:adjustRightInd w:val="0"/>
              <w:snapToGrid w:val="0"/>
              <w:spacing w:before="10" w:beforeLines="10" w:after="10" w:afterLines="10"/>
              <w:jc w:val="center"/>
              <w:rPr>
                <w:rFonts w:hint="default" w:ascii="Times New Roman" w:hAnsi="Times New Roman" w:eastAsia="宋体" w:cs="Times New Roman"/>
                <w:b/>
                <w:color w:val="auto"/>
                <w:kern w:val="0"/>
                <w:sz w:val="24"/>
                <w:szCs w:val="20"/>
                <w:vertAlign w:val="baseline"/>
                <w:lang w:val="en-US" w:eastAsia="zh-CN" w:bidi="ar-SA"/>
              </w:rPr>
            </w:pPr>
            <w:r>
              <w:rPr>
                <w:rFonts w:hint="eastAsia" w:ascii="Times New Roman" w:hAnsi="Times New Roman" w:eastAsia="宋体" w:cs="Times New Roman"/>
                <w:b/>
                <w:color w:val="auto"/>
                <w:kern w:val="0"/>
                <w:sz w:val="24"/>
                <w:szCs w:val="20"/>
                <w:lang w:val="en-US" w:eastAsia="zh-CN" w:bidi="ar-SA"/>
              </w:rPr>
              <w:t>表4.6-1危险物质储存情况及临界量比值</w:t>
            </w:r>
          </w:p>
          <w:tbl>
            <w:tblPr>
              <w:tblStyle w:val="39"/>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9"/>
              <w:gridCol w:w="1200"/>
              <w:gridCol w:w="1200"/>
              <w:gridCol w:w="1200"/>
              <w:gridCol w:w="1200"/>
              <w:gridCol w:w="1201"/>
              <w:gridCol w:w="1200"/>
            </w:tblGrid>
            <w:tr w14:paraId="23588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noWrap w:val="0"/>
                  <w:vAlign w:val="center"/>
                </w:tcPr>
                <w:p w14:paraId="08F70BE1">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序号</w:t>
                  </w:r>
                </w:p>
              </w:tc>
              <w:tc>
                <w:tcPr>
                  <w:tcW w:w="714" w:type="pct"/>
                  <w:noWrap w:val="0"/>
                  <w:vAlign w:val="center"/>
                </w:tcPr>
                <w:p w14:paraId="6DDCD0EE">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风险物质</w:t>
                  </w:r>
                </w:p>
              </w:tc>
              <w:tc>
                <w:tcPr>
                  <w:tcW w:w="714" w:type="pct"/>
                  <w:noWrap w:val="0"/>
                  <w:vAlign w:val="center"/>
                </w:tcPr>
                <w:p w14:paraId="73F2B43A">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CAS号</w:t>
                  </w:r>
                </w:p>
              </w:tc>
              <w:tc>
                <w:tcPr>
                  <w:tcW w:w="714" w:type="pct"/>
                  <w:noWrap w:val="0"/>
                  <w:vAlign w:val="center"/>
                </w:tcPr>
                <w:p w14:paraId="09FEFEBB">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最大贮存量/最大在线量</w:t>
                  </w:r>
                </w:p>
              </w:tc>
              <w:tc>
                <w:tcPr>
                  <w:tcW w:w="714" w:type="pct"/>
                  <w:noWrap w:val="0"/>
                  <w:vAlign w:val="center"/>
                </w:tcPr>
                <w:p w14:paraId="0492398F">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贮存位置</w:t>
                  </w:r>
                </w:p>
              </w:tc>
              <w:tc>
                <w:tcPr>
                  <w:tcW w:w="714" w:type="pct"/>
                  <w:noWrap w:val="0"/>
                  <w:vAlign w:val="center"/>
                </w:tcPr>
                <w:p w14:paraId="24A1E737">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临界量</w:t>
                  </w:r>
                </w:p>
              </w:tc>
              <w:tc>
                <w:tcPr>
                  <w:tcW w:w="714" w:type="pct"/>
                  <w:noWrap w:val="0"/>
                  <w:vAlign w:val="center"/>
                </w:tcPr>
                <w:p w14:paraId="7D2A5EEA">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临界量比值</w:t>
                  </w:r>
                </w:p>
              </w:tc>
            </w:tr>
            <w:tr w14:paraId="56517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noWrap w:val="0"/>
                  <w:vAlign w:val="center"/>
                </w:tcPr>
                <w:p w14:paraId="3FF2399C">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1</w:t>
                  </w:r>
                </w:p>
              </w:tc>
              <w:tc>
                <w:tcPr>
                  <w:tcW w:w="714" w:type="pct"/>
                  <w:noWrap w:val="0"/>
                  <w:vAlign w:val="center"/>
                </w:tcPr>
                <w:p w14:paraId="01F1BFFA">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乙醚</w:t>
                  </w:r>
                </w:p>
              </w:tc>
              <w:tc>
                <w:tcPr>
                  <w:tcW w:w="714" w:type="pct"/>
                  <w:noWrap w:val="0"/>
                  <w:vAlign w:val="center"/>
                </w:tcPr>
                <w:p w14:paraId="787DB65F">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60-29-7</w:t>
                  </w:r>
                </w:p>
              </w:tc>
              <w:tc>
                <w:tcPr>
                  <w:tcW w:w="714" w:type="pct"/>
                  <w:noWrap w:val="0"/>
                  <w:vAlign w:val="center"/>
                </w:tcPr>
                <w:p w14:paraId="276D3876">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0.</w:t>
                  </w:r>
                  <w:r>
                    <w:rPr>
                      <w:rFonts w:hint="eastAsia"/>
                      <w:color w:val="auto"/>
                      <w:lang w:val="en-US" w:eastAsia="zh-CN"/>
                    </w:rPr>
                    <w:t>1</w:t>
                  </w:r>
                  <w:r>
                    <w:rPr>
                      <w:rFonts w:hint="eastAsia" w:ascii="Times New Roman" w:hAnsi="Times New Roman"/>
                      <w:color w:val="auto"/>
                      <w:lang w:val="en-US" w:eastAsia="zh-CN"/>
                    </w:rPr>
                    <w:t>t</w:t>
                  </w:r>
                </w:p>
              </w:tc>
              <w:tc>
                <w:tcPr>
                  <w:tcW w:w="714" w:type="pct"/>
                  <w:noWrap w:val="0"/>
                  <w:vAlign w:val="center"/>
                </w:tcPr>
                <w:p w14:paraId="38D3A2BF">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危险化学品仓库</w:t>
                  </w:r>
                </w:p>
              </w:tc>
              <w:tc>
                <w:tcPr>
                  <w:tcW w:w="714" w:type="pct"/>
                  <w:noWrap w:val="0"/>
                  <w:vAlign w:val="center"/>
                </w:tcPr>
                <w:p w14:paraId="1E0EF2B1">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10t</w:t>
                  </w:r>
                </w:p>
              </w:tc>
              <w:tc>
                <w:tcPr>
                  <w:tcW w:w="714" w:type="pct"/>
                  <w:noWrap w:val="0"/>
                  <w:vAlign w:val="center"/>
                </w:tcPr>
                <w:p w14:paraId="35541A54">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0.0</w:t>
                  </w:r>
                  <w:r>
                    <w:rPr>
                      <w:rFonts w:hint="eastAsia"/>
                      <w:color w:val="auto"/>
                      <w:lang w:val="en-US" w:eastAsia="zh-CN"/>
                    </w:rPr>
                    <w:t>1</w:t>
                  </w:r>
                </w:p>
              </w:tc>
            </w:tr>
            <w:tr w14:paraId="37B8D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noWrap w:val="0"/>
                  <w:vAlign w:val="center"/>
                </w:tcPr>
                <w:p w14:paraId="50D5BE50">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2</w:t>
                  </w:r>
                </w:p>
              </w:tc>
              <w:tc>
                <w:tcPr>
                  <w:tcW w:w="714" w:type="pct"/>
                  <w:noWrap w:val="0"/>
                  <w:vAlign w:val="center"/>
                </w:tcPr>
                <w:p w14:paraId="0CBD7A34">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无水乙醇</w:t>
                  </w:r>
                </w:p>
              </w:tc>
              <w:tc>
                <w:tcPr>
                  <w:tcW w:w="714" w:type="pct"/>
                  <w:noWrap w:val="0"/>
                  <w:vAlign w:val="center"/>
                </w:tcPr>
                <w:p w14:paraId="22CE1ABF">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64-17-5</w:t>
                  </w:r>
                </w:p>
              </w:tc>
              <w:tc>
                <w:tcPr>
                  <w:tcW w:w="714" w:type="pct"/>
                  <w:noWrap w:val="0"/>
                  <w:vAlign w:val="center"/>
                </w:tcPr>
                <w:p w14:paraId="6F4E3D42">
                  <w:pPr>
                    <w:pStyle w:val="227"/>
                    <w:bidi w:val="0"/>
                    <w:rPr>
                      <w:rFonts w:hint="default" w:ascii="Times New Roman" w:hAnsi="Times New Roman"/>
                      <w:color w:val="auto"/>
                      <w:lang w:val="en-US" w:eastAsia="zh-CN"/>
                    </w:rPr>
                  </w:pPr>
                  <w:r>
                    <w:rPr>
                      <w:rFonts w:hint="eastAsia"/>
                      <w:color w:val="auto"/>
                      <w:lang w:val="en-US" w:eastAsia="zh-CN"/>
                    </w:rPr>
                    <w:t>0.5</w:t>
                  </w:r>
                  <w:r>
                    <w:rPr>
                      <w:rFonts w:hint="eastAsia" w:ascii="Times New Roman" w:hAnsi="Times New Roman"/>
                      <w:color w:val="auto"/>
                      <w:lang w:val="en-US" w:eastAsia="zh-CN"/>
                    </w:rPr>
                    <w:t>t</w:t>
                  </w:r>
                </w:p>
              </w:tc>
              <w:tc>
                <w:tcPr>
                  <w:tcW w:w="714" w:type="pct"/>
                  <w:noWrap w:val="0"/>
                  <w:vAlign w:val="center"/>
                </w:tcPr>
                <w:p w14:paraId="7AA535A9">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危险化学品仓库</w:t>
                  </w:r>
                </w:p>
              </w:tc>
              <w:tc>
                <w:tcPr>
                  <w:tcW w:w="714" w:type="pct"/>
                  <w:noWrap w:val="0"/>
                  <w:vAlign w:val="center"/>
                </w:tcPr>
                <w:p w14:paraId="2D745B4B">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500t</w:t>
                  </w:r>
                </w:p>
              </w:tc>
              <w:tc>
                <w:tcPr>
                  <w:tcW w:w="714" w:type="pct"/>
                  <w:noWrap w:val="0"/>
                  <w:vAlign w:val="center"/>
                </w:tcPr>
                <w:p w14:paraId="7F3117A7">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0.00</w:t>
                  </w:r>
                  <w:r>
                    <w:rPr>
                      <w:rFonts w:hint="eastAsia"/>
                      <w:color w:val="auto"/>
                      <w:lang w:val="en-US" w:eastAsia="zh-CN"/>
                    </w:rPr>
                    <w:t>1</w:t>
                  </w:r>
                </w:p>
              </w:tc>
            </w:tr>
            <w:tr w14:paraId="0A861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noWrap w:val="0"/>
                  <w:vAlign w:val="center"/>
                </w:tcPr>
                <w:p w14:paraId="47239F7C">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3</w:t>
                  </w:r>
                </w:p>
              </w:tc>
              <w:tc>
                <w:tcPr>
                  <w:tcW w:w="714" w:type="pct"/>
                  <w:noWrap w:val="0"/>
                  <w:vAlign w:val="center"/>
                </w:tcPr>
                <w:p w14:paraId="19923740">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丙酮</w:t>
                  </w:r>
                </w:p>
              </w:tc>
              <w:tc>
                <w:tcPr>
                  <w:tcW w:w="714" w:type="pct"/>
                  <w:noWrap w:val="0"/>
                  <w:vAlign w:val="center"/>
                </w:tcPr>
                <w:p w14:paraId="523E8DCC">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67-64-1</w:t>
                  </w:r>
                </w:p>
              </w:tc>
              <w:tc>
                <w:tcPr>
                  <w:tcW w:w="714" w:type="pct"/>
                  <w:noWrap w:val="0"/>
                  <w:vAlign w:val="center"/>
                </w:tcPr>
                <w:p w14:paraId="736600B3">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0.</w:t>
                  </w:r>
                  <w:r>
                    <w:rPr>
                      <w:rFonts w:hint="eastAsia"/>
                      <w:color w:val="auto"/>
                      <w:lang w:val="en-US" w:eastAsia="zh-CN"/>
                    </w:rPr>
                    <w:t>15</w:t>
                  </w:r>
                  <w:r>
                    <w:rPr>
                      <w:rFonts w:hint="eastAsia" w:ascii="Times New Roman" w:hAnsi="Times New Roman"/>
                      <w:color w:val="auto"/>
                      <w:lang w:val="en-US" w:eastAsia="zh-CN"/>
                    </w:rPr>
                    <w:t>t</w:t>
                  </w:r>
                </w:p>
              </w:tc>
              <w:tc>
                <w:tcPr>
                  <w:tcW w:w="714" w:type="pct"/>
                  <w:noWrap w:val="0"/>
                  <w:vAlign w:val="center"/>
                </w:tcPr>
                <w:p w14:paraId="10DE5449">
                  <w:pPr>
                    <w:pStyle w:val="227"/>
                    <w:bidi w:val="0"/>
                    <w:rPr>
                      <w:rFonts w:hint="eastAsia" w:ascii="Times New Roman" w:hAnsi="Times New Roman"/>
                      <w:color w:val="auto"/>
                      <w:lang w:val="en-US" w:eastAsia="zh-CN"/>
                    </w:rPr>
                  </w:pPr>
                  <w:r>
                    <w:rPr>
                      <w:rFonts w:hint="eastAsia" w:ascii="Times New Roman" w:hAnsi="Times New Roman"/>
                      <w:color w:val="auto"/>
                      <w:lang w:val="en-US" w:eastAsia="zh-CN"/>
                    </w:rPr>
                    <w:t>危险化学品仓库</w:t>
                  </w:r>
                </w:p>
              </w:tc>
              <w:tc>
                <w:tcPr>
                  <w:tcW w:w="714" w:type="pct"/>
                  <w:noWrap w:val="0"/>
                  <w:vAlign w:val="center"/>
                </w:tcPr>
                <w:p w14:paraId="4F1AF26C">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10t</w:t>
                  </w:r>
                </w:p>
              </w:tc>
              <w:tc>
                <w:tcPr>
                  <w:tcW w:w="714" w:type="pct"/>
                  <w:noWrap w:val="0"/>
                  <w:vAlign w:val="center"/>
                </w:tcPr>
                <w:p w14:paraId="4F392D2E">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0.0</w:t>
                  </w:r>
                  <w:r>
                    <w:rPr>
                      <w:rFonts w:hint="eastAsia"/>
                      <w:color w:val="auto"/>
                      <w:lang w:val="en-US" w:eastAsia="zh-CN"/>
                    </w:rPr>
                    <w:t>15</w:t>
                  </w:r>
                </w:p>
              </w:tc>
            </w:tr>
            <w:tr w14:paraId="134B4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noWrap w:val="0"/>
                  <w:vAlign w:val="center"/>
                </w:tcPr>
                <w:p w14:paraId="7CB93B02">
                  <w:pPr>
                    <w:pStyle w:val="227"/>
                    <w:bidi w:val="0"/>
                    <w:rPr>
                      <w:rFonts w:hint="default" w:ascii="Times New Roman" w:hAnsi="Times New Roman"/>
                      <w:color w:val="auto"/>
                      <w:lang w:val="en-US" w:eastAsia="zh-CN"/>
                    </w:rPr>
                  </w:pPr>
                  <w:r>
                    <w:rPr>
                      <w:rFonts w:hint="eastAsia"/>
                      <w:color w:val="auto"/>
                      <w:lang w:val="en-US" w:eastAsia="zh-CN"/>
                    </w:rPr>
                    <w:t>4</w:t>
                  </w:r>
                </w:p>
              </w:tc>
              <w:tc>
                <w:tcPr>
                  <w:tcW w:w="714" w:type="pct"/>
                  <w:noWrap w:val="0"/>
                  <w:vAlign w:val="center"/>
                </w:tcPr>
                <w:p w14:paraId="19D2952D">
                  <w:pPr>
                    <w:pStyle w:val="227"/>
                    <w:bidi w:val="0"/>
                    <w:rPr>
                      <w:rFonts w:hint="default" w:ascii="Times New Roman" w:hAnsi="Times New Roman"/>
                      <w:color w:val="auto"/>
                      <w:lang w:val="en-US" w:eastAsia="zh-CN"/>
                    </w:rPr>
                  </w:pPr>
                  <w:r>
                    <w:rPr>
                      <w:rFonts w:hint="eastAsia"/>
                      <w:color w:val="auto"/>
                      <w:lang w:val="en-US" w:eastAsia="zh-CN"/>
                    </w:rPr>
                    <w:t>汽油</w:t>
                  </w:r>
                </w:p>
              </w:tc>
              <w:tc>
                <w:tcPr>
                  <w:tcW w:w="714" w:type="pct"/>
                  <w:noWrap w:val="0"/>
                  <w:vAlign w:val="center"/>
                </w:tcPr>
                <w:p w14:paraId="07409788">
                  <w:pPr>
                    <w:pStyle w:val="227"/>
                    <w:bidi w:val="0"/>
                    <w:rPr>
                      <w:rFonts w:hint="eastAsia" w:ascii="Times New Roman" w:hAnsi="Times New Roman"/>
                      <w:color w:val="auto"/>
                      <w:lang w:val="en-US" w:eastAsia="zh-CN"/>
                    </w:rPr>
                  </w:pPr>
                  <w:r>
                    <w:rPr>
                      <w:rFonts w:hint="eastAsia"/>
                      <w:color w:val="auto"/>
                      <w:lang w:val="en-US" w:eastAsia="zh-CN"/>
                    </w:rPr>
                    <w:t>/</w:t>
                  </w:r>
                </w:p>
              </w:tc>
              <w:tc>
                <w:tcPr>
                  <w:tcW w:w="714" w:type="pct"/>
                  <w:noWrap w:val="0"/>
                  <w:vAlign w:val="center"/>
                </w:tcPr>
                <w:p w14:paraId="39F7DFDB">
                  <w:pPr>
                    <w:pStyle w:val="227"/>
                    <w:bidi w:val="0"/>
                    <w:rPr>
                      <w:rFonts w:hint="default" w:ascii="Times New Roman" w:hAnsi="Times New Roman"/>
                      <w:color w:val="auto"/>
                      <w:lang w:val="en-US" w:eastAsia="zh-CN"/>
                    </w:rPr>
                  </w:pPr>
                  <w:r>
                    <w:rPr>
                      <w:rFonts w:hint="eastAsia"/>
                      <w:color w:val="auto"/>
                      <w:lang w:val="en-US" w:eastAsia="zh-CN"/>
                    </w:rPr>
                    <w:t>0.05t</w:t>
                  </w:r>
                </w:p>
              </w:tc>
              <w:tc>
                <w:tcPr>
                  <w:tcW w:w="714" w:type="pct"/>
                  <w:noWrap w:val="0"/>
                  <w:vAlign w:val="center"/>
                </w:tcPr>
                <w:p w14:paraId="4F5FF2CB">
                  <w:pPr>
                    <w:pStyle w:val="227"/>
                    <w:bidi w:val="0"/>
                    <w:rPr>
                      <w:rFonts w:hint="eastAsia" w:ascii="Times New Roman" w:hAnsi="Times New Roman"/>
                      <w:color w:val="auto"/>
                      <w:lang w:val="en-US" w:eastAsia="zh-CN"/>
                    </w:rPr>
                  </w:pPr>
                  <w:r>
                    <w:rPr>
                      <w:rFonts w:hint="eastAsia" w:ascii="Times New Roman" w:hAnsi="Times New Roman"/>
                      <w:color w:val="auto"/>
                      <w:lang w:val="en-US" w:eastAsia="zh-CN"/>
                    </w:rPr>
                    <w:t>危险化学品仓库</w:t>
                  </w:r>
                </w:p>
              </w:tc>
              <w:tc>
                <w:tcPr>
                  <w:tcW w:w="714" w:type="pct"/>
                  <w:noWrap w:val="0"/>
                  <w:vAlign w:val="center"/>
                </w:tcPr>
                <w:p w14:paraId="39191790">
                  <w:pPr>
                    <w:pStyle w:val="227"/>
                    <w:bidi w:val="0"/>
                    <w:rPr>
                      <w:rFonts w:hint="default" w:ascii="Times New Roman" w:hAnsi="Times New Roman"/>
                      <w:color w:val="auto"/>
                      <w:lang w:val="en-US" w:eastAsia="zh-CN"/>
                    </w:rPr>
                  </w:pPr>
                  <w:r>
                    <w:rPr>
                      <w:rFonts w:hint="eastAsia"/>
                      <w:color w:val="auto"/>
                      <w:lang w:val="en-US" w:eastAsia="zh-CN"/>
                    </w:rPr>
                    <w:t>2500t</w:t>
                  </w:r>
                </w:p>
              </w:tc>
              <w:tc>
                <w:tcPr>
                  <w:tcW w:w="714" w:type="pct"/>
                  <w:noWrap w:val="0"/>
                  <w:vAlign w:val="center"/>
                </w:tcPr>
                <w:p w14:paraId="34AEBE0B">
                  <w:pPr>
                    <w:pStyle w:val="227"/>
                    <w:bidi w:val="0"/>
                    <w:rPr>
                      <w:rFonts w:hint="default" w:ascii="Times New Roman" w:hAnsi="Times New Roman"/>
                      <w:color w:val="auto"/>
                      <w:lang w:val="en-US" w:eastAsia="zh-CN"/>
                    </w:rPr>
                  </w:pPr>
                  <w:r>
                    <w:rPr>
                      <w:rFonts w:hint="eastAsia"/>
                      <w:color w:val="auto"/>
                      <w:lang w:val="en-US" w:eastAsia="zh-CN"/>
                    </w:rPr>
                    <w:t>0.00002</w:t>
                  </w:r>
                </w:p>
              </w:tc>
            </w:tr>
            <w:tr w14:paraId="4CB5A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4" w:type="pct"/>
                  <w:noWrap w:val="0"/>
                  <w:vAlign w:val="center"/>
                </w:tcPr>
                <w:p w14:paraId="08AEC31B">
                  <w:pPr>
                    <w:pStyle w:val="227"/>
                    <w:bidi w:val="0"/>
                    <w:rPr>
                      <w:rFonts w:hint="default"/>
                      <w:color w:val="auto"/>
                      <w:lang w:val="en-US" w:eastAsia="zh-CN"/>
                    </w:rPr>
                  </w:pPr>
                  <w:r>
                    <w:rPr>
                      <w:rFonts w:hint="eastAsia"/>
                      <w:color w:val="auto"/>
                      <w:lang w:val="en-US" w:eastAsia="zh-CN"/>
                    </w:rPr>
                    <w:t>5</w:t>
                  </w:r>
                </w:p>
              </w:tc>
              <w:tc>
                <w:tcPr>
                  <w:tcW w:w="714" w:type="pct"/>
                  <w:noWrap w:val="0"/>
                  <w:vAlign w:val="center"/>
                </w:tcPr>
                <w:p w14:paraId="482A4EC5">
                  <w:pPr>
                    <w:pStyle w:val="227"/>
                    <w:bidi w:val="0"/>
                    <w:rPr>
                      <w:rFonts w:hint="default"/>
                      <w:color w:val="auto"/>
                      <w:lang w:val="en-US" w:eastAsia="zh-CN"/>
                    </w:rPr>
                  </w:pPr>
                  <w:r>
                    <w:rPr>
                      <w:rFonts w:hint="eastAsia"/>
                      <w:color w:val="auto"/>
                      <w:lang w:val="en-US" w:eastAsia="zh-CN"/>
                    </w:rPr>
                    <w:t>切削液</w:t>
                  </w:r>
                </w:p>
              </w:tc>
              <w:tc>
                <w:tcPr>
                  <w:tcW w:w="714" w:type="pct"/>
                  <w:noWrap w:val="0"/>
                  <w:vAlign w:val="center"/>
                </w:tcPr>
                <w:p w14:paraId="3D130B5A">
                  <w:pPr>
                    <w:pStyle w:val="227"/>
                    <w:bidi w:val="0"/>
                    <w:rPr>
                      <w:rFonts w:hint="default"/>
                      <w:color w:val="auto"/>
                      <w:lang w:val="en-US" w:eastAsia="zh-CN"/>
                    </w:rPr>
                  </w:pPr>
                  <w:r>
                    <w:rPr>
                      <w:rFonts w:hint="eastAsia"/>
                      <w:color w:val="auto"/>
                      <w:lang w:val="en-US" w:eastAsia="zh-CN"/>
                    </w:rPr>
                    <w:t>/</w:t>
                  </w:r>
                </w:p>
              </w:tc>
              <w:tc>
                <w:tcPr>
                  <w:tcW w:w="714" w:type="pct"/>
                  <w:noWrap w:val="0"/>
                  <w:vAlign w:val="center"/>
                </w:tcPr>
                <w:p w14:paraId="02FDA6F5">
                  <w:pPr>
                    <w:pStyle w:val="227"/>
                    <w:bidi w:val="0"/>
                    <w:rPr>
                      <w:rFonts w:hint="default"/>
                      <w:color w:val="auto"/>
                      <w:lang w:val="en-US" w:eastAsia="zh-CN"/>
                    </w:rPr>
                  </w:pPr>
                  <w:r>
                    <w:rPr>
                      <w:rFonts w:hint="eastAsia"/>
                      <w:color w:val="auto"/>
                      <w:lang w:val="en-US" w:eastAsia="zh-CN"/>
                    </w:rPr>
                    <w:t>0.21t</w:t>
                  </w:r>
                </w:p>
              </w:tc>
              <w:tc>
                <w:tcPr>
                  <w:tcW w:w="714" w:type="pct"/>
                  <w:noWrap w:val="0"/>
                  <w:vAlign w:val="center"/>
                </w:tcPr>
                <w:p w14:paraId="500C205D">
                  <w:pPr>
                    <w:pStyle w:val="227"/>
                    <w:bidi w:val="0"/>
                    <w:rPr>
                      <w:rFonts w:hint="eastAsia" w:ascii="Times New Roman" w:hAnsi="Times New Roman"/>
                      <w:color w:val="auto"/>
                      <w:lang w:val="en-US" w:eastAsia="zh-CN"/>
                    </w:rPr>
                  </w:pPr>
                  <w:r>
                    <w:rPr>
                      <w:rFonts w:hint="eastAsia" w:ascii="Times New Roman" w:hAnsi="Times New Roman"/>
                      <w:color w:val="auto"/>
                      <w:lang w:val="en-US" w:eastAsia="zh-CN"/>
                    </w:rPr>
                    <w:t>危险化学品仓库</w:t>
                  </w:r>
                </w:p>
              </w:tc>
              <w:tc>
                <w:tcPr>
                  <w:tcW w:w="714" w:type="pct"/>
                  <w:noWrap w:val="0"/>
                  <w:vAlign w:val="center"/>
                </w:tcPr>
                <w:p w14:paraId="1D9F6563">
                  <w:pPr>
                    <w:pStyle w:val="227"/>
                    <w:bidi w:val="0"/>
                    <w:rPr>
                      <w:rFonts w:hint="eastAsia"/>
                      <w:color w:val="auto"/>
                      <w:lang w:val="en-US" w:eastAsia="zh-CN"/>
                    </w:rPr>
                  </w:pPr>
                  <w:r>
                    <w:rPr>
                      <w:rFonts w:hint="eastAsia"/>
                      <w:color w:val="auto"/>
                      <w:lang w:val="en-US" w:eastAsia="zh-CN"/>
                    </w:rPr>
                    <w:t>2500t</w:t>
                  </w:r>
                </w:p>
              </w:tc>
              <w:tc>
                <w:tcPr>
                  <w:tcW w:w="714" w:type="pct"/>
                  <w:noWrap w:val="0"/>
                  <w:vAlign w:val="center"/>
                </w:tcPr>
                <w:p w14:paraId="644DFDA9">
                  <w:pPr>
                    <w:pStyle w:val="227"/>
                    <w:bidi w:val="0"/>
                    <w:rPr>
                      <w:rFonts w:hint="default" w:ascii="Times New Roman" w:hAnsi="Times New Roman"/>
                      <w:color w:val="auto"/>
                      <w:lang w:val="en-US" w:eastAsia="zh-CN"/>
                    </w:rPr>
                  </w:pPr>
                  <w:r>
                    <w:rPr>
                      <w:rFonts w:hint="eastAsia"/>
                      <w:color w:val="auto"/>
                      <w:lang w:val="en-US" w:eastAsia="zh-CN"/>
                    </w:rPr>
                    <w:t>0.000084</w:t>
                  </w:r>
                </w:p>
              </w:tc>
            </w:tr>
            <w:tr w14:paraId="77015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5" w:type="pct"/>
                  <w:gridSpan w:val="6"/>
                  <w:noWrap w:val="0"/>
                  <w:vAlign w:val="center"/>
                </w:tcPr>
                <w:p w14:paraId="29FFAC02">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总计</w:t>
                  </w:r>
                </w:p>
              </w:tc>
              <w:tc>
                <w:tcPr>
                  <w:tcW w:w="714" w:type="pct"/>
                  <w:noWrap w:val="0"/>
                  <w:vAlign w:val="center"/>
                </w:tcPr>
                <w:p w14:paraId="5C690032">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0.0</w:t>
                  </w:r>
                  <w:r>
                    <w:rPr>
                      <w:rFonts w:hint="eastAsia"/>
                      <w:color w:val="auto"/>
                      <w:lang w:val="en-US" w:eastAsia="zh-CN"/>
                    </w:rPr>
                    <w:t>26104</w:t>
                  </w:r>
                </w:p>
              </w:tc>
            </w:tr>
          </w:tbl>
          <w:p w14:paraId="6A2DBE52">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由表可知项目危险物质的临界量比值Q=0.0</w:t>
            </w:r>
            <w:r>
              <w:rPr>
                <w:rFonts w:hint="eastAsia" w:cs="宋体"/>
                <w:color w:val="auto"/>
                <w:kern w:val="2"/>
                <w:sz w:val="24"/>
                <w:szCs w:val="24"/>
                <w:lang w:val="en-US" w:eastAsia="zh-CN" w:bidi="ar-SA"/>
              </w:rPr>
              <w:t>26104</w:t>
            </w:r>
            <w:r>
              <w:rPr>
                <w:rFonts w:hint="eastAsia" w:ascii="Times New Roman" w:hAnsi="Times New Roman" w:eastAsia="宋体" w:cs="宋体"/>
                <w:color w:val="auto"/>
                <w:kern w:val="2"/>
                <w:sz w:val="24"/>
                <w:szCs w:val="24"/>
                <w:lang w:val="en-US" w:eastAsia="zh-CN" w:bidi="ar-SA"/>
              </w:rPr>
              <w:t>＜1，项目环境风险潜势为</w:t>
            </w:r>
            <w:r>
              <w:rPr>
                <w:rFonts w:hint="default" w:ascii="Times New Roman" w:hAnsi="Times New Roman" w:eastAsia="宋体" w:cs="Times New Roman"/>
                <w:color w:val="auto"/>
                <w:kern w:val="2"/>
                <w:sz w:val="24"/>
                <w:szCs w:val="24"/>
                <w:lang w:val="en-US" w:eastAsia="zh-CN" w:bidi="ar-SA"/>
              </w:rPr>
              <w:t>Ⅰ</w:t>
            </w:r>
            <w:r>
              <w:rPr>
                <w:rFonts w:hint="eastAsia" w:ascii="Times New Roman" w:hAnsi="Times New Roman" w:eastAsia="宋体" w:cs="宋体"/>
                <w:color w:val="auto"/>
                <w:kern w:val="2"/>
                <w:sz w:val="24"/>
                <w:szCs w:val="24"/>
                <w:lang w:val="en-US" w:eastAsia="zh-CN" w:bidi="ar-SA"/>
              </w:rPr>
              <w:t>。</w:t>
            </w:r>
          </w:p>
          <w:p w14:paraId="056943D6">
            <w:pPr>
              <w:keepNext/>
              <w:keepLines/>
              <w:widowControl w:val="0"/>
              <w:bidi w:val="0"/>
              <w:spacing w:beforeLines="0" w:beforeAutospacing="0" w:afterLines="0" w:afterAutospacing="0" w:line="360" w:lineRule="auto"/>
              <w:jc w:val="left"/>
              <w:outlineLvl w:val="2"/>
              <w:rPr>
                <w:rFonts w:hint="eastAsia"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4.6.2环境风险潜势初判</w:t>
            </w:r>
          </w:p>
          <w:p w14:paraId="593E147E">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根据《建设项目环境风险评价技术导则》（HJ 169-2018），环境风险评价工作等级划分详见下表4.6-2。</w:t>
            </w:r>
          </w:p>
          <w:p w14:paraId="5BC91E31">
            <w:pPr>
              <w:widowControl w:val="0"/>
              <w:bidi w:val="0"/>
              <w:adjustRightInd w:val="0"/>
              <w:snapToGrid w:val="0"/>
              <w:spacing w:before="10" w:beforeLines="10" w:after="10" w:afterLines="10"/>
              <w:jc w:val="center"/>
              <w:rPr>
                <w:rFonts w:hint="eastAsia" w:ascii="Times New Roman" w:hAnsi="Times New Roman" w:eastAsia="宋体" w:cs="Times New Roman"/>
                <w:b/>
                <w:color w:val="auto"/>
                <w:kern w:val="0"/>
                <w:sz w:val="24"/>
                <w:szCs w:val="20"/>
                <w:lang w:val="en-US" w:eastAsia="zh-CN" w:bidi="ar-SA"/>
              </w:rPr>
            </w:pPr>
            <w:r>
              <w:rPr>
                <w:rFonts w:hint="eastAsia" w:ascii="Times New Roman" w:hAnsi="Times New Roman" w:eastAsia="宋体" w:cs="Times New Roman"/>
                <w:b/>
                <w:color w:val="auto"/>
                <w:kern w:val="0"/>
                <w:sz w:val="24"/>
                <w:szCs w:val="20"/>
                <w:lang w:val="en-US" w:eastAsia="zh-CN" w:bidi="ar-SA"/>
              </w:rPr>
              <w:t>表4.6-2 评价工作等级划分</w:t>
            </w:r>
          </w:p>
          <w:tbl>
            <w:tblPr>
              <w:tblStyle w:val="3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9"/>
              <w:gridCol w:w="1679"/>
              <w:gridCol w:w="1681"/>
              <w:gridCol w:w="1681"/>
              <w:gridCol w:w="1682"/>
            </w:tblGrid>
            <w:tr w14:paraId="70D25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shd w:val="clear" w:color="auto" w:fill="auto"/>
                  <w:noWrap w:val="0"/>
                  <w:vAlign w:val="center"/>
                </w:tcPr>
                <w:p w14:paraId="4B77935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环境风险潜势</w:t>
                  </w:r>
                </w:p>
              </w:tc>
              <w:tc>
                <w:tcPr>
                  <w:tcW w:w="999" w:type="pct"/>
                  <w:shd w:val="clear" w:color="auto" w:fill="auto"/>
                  <w:noWrap w:val="0"/>
                  <w:vAlign w:val="center"/>
                </w:tcPr>
                <w:p w14:paraId="75C74F5F">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IV、IV</w:t>
                  </w:r>
                  <w:r>
                    <w:rPr>
                      <w:rFonts w:hint="eastAsia" w:ascii="Times New Roman" w:hAnsi="Times New Roman" w:eastAsia="宋体" w:cs="Times New Roman"/>
                      <w:color w:val="auto"/>
                      <w:kern w:val="0"/>
                      <w:sz w:val="21"/>
                      <w:szCs w:val="20"/>
                      <w:vertAlign w:val="superscript"/>
                      <w:lang w:val="en-US" w:eastAsia="zh-CN" w:bidi="ar-SA"/>
                    </w:rPr>
                    <w:t>+</w:t>
                  </w:r>
                </w:p>
              </w:tc>
              <w:tc>
                <w:tcPr>
                  <w:tcW w:w="1000" w:type="pct"/>
                  <w:shd w:val="clear" w:color="auto" w:fill="auto"/>
                  <w:noWrap w:val="0"/>
                  <w:vAlign w:val="center"/>
                </w:tcPr>
                <w:p w14:paraId="39D6275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III</w:t>
                  </w:r>
                </w:p>
              </w:tc>
              <w:tc>
                <w:tcPr>
                  <w:tcW w:w="1000" w:type="pct"/>
                  <w:shd w:val="clear" w:color="auto" w:fill="auto"/>
                  <w:noWrap w:val="0"/>
                  <w:vAlign w:val="center"/>
                </w:tcPr>
                <w:p w14:paraId="0DF9AEEC">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II</w:t>
                  </w:r>
                </w:p>
              </w:tc>
              <w:tc>
                <w:tcPr>
                  <w:tcW w:w="1000" w:type="pct"/>
                  <w:shd w:val="clear" w:color="auto" w:fill="BEBEBE"/>
                  <w:noWrap w:val="0"/>
                  <w:vAlign w:val="center"/>
                </w:tcPr>
                <w:p w14:paraId="3B33A22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I</w:t>
                  </w:r>
                </w:p>
              </w:tc>
            </w:tr>
            <w:tr w14:paraId="2B0E0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shd w:val="clear" w:color="auto" w:fill="auto"/>
                  <w:noWrap w:val="0"/>
                  <w:vAlign w:val="center"/>
                </w:tcPr>
                <w:p w14:paraId="6917289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评价工作等级</w:t>
                  </w:r>
                </w:p>
              </w:tc>
              <w:tc>
                <w:tcPr>
                  <w:tcW w:w="999" w:type="pct"/>
                  <w:shd w:val="clear" w:color="auto" w:fill="auto"/>
                  <w:noWrap w:val="0"/>
                  <w:vAlign w:val="center"/>
                </w:tcPr>
                <w:p w14:paraId="3A94BCD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一</w:t>
                  </w:r>
                </w:p>
              </w:tc>
              <w:tc>
                <w:tcPr>
                  <w:tcW w:w="1000" w:type="pct"/>
                  <w:shd w:val="clear" w:color="auto" w:fill="auto"/>
                  <w:noWrap w:val="0"/>
                  <w:vAlign w:val="center"/>
                </w:tcPr>
                <w:p w14:paraId="544F228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二</w:t>
                  </w:r>
                </w:p>
              </w:tc>
              <w:tc>
                <w:tcPr>
                  <w:tcW w:w="1000" w:type="pct"/>
                  <w:shd w:val="clear" w:color="auto" w:fill="auto"/>
                  <w:noWrap w:val="0"/>
                  <w:vAlign w:val="center"/>
                </w:tcPr>
                <w:p w14:paraId="5F77D86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三</w:t>
                  </w:r>
                </w:p>
              </w:tc>
              <w:tc>
                <w:tcPr>
                  <w:tcW w:w="1000" w:type="pct"/>
                  <w:shd w:val="clear" w:color="auto" w:fill="BEBEBE"/>
                  <w:noWrap w:val="0"/>
                  <w:vAlign w:val="center"/>
                </w:tcPr>
                <w:p w14:paraId="469635A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简单分析</w:t>
                  </w:r>
                </w:p>
              </w:tc>
            </w:tr>
          </w:tbl>
          <w:p w14:paraId="0217A86C">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简单分析是相对于详细评价工作内容而言，在描述危险物质、环境影响途径、环境危害后果、风险防范措施等方面给出定性的说明。</w:t>
            </w:r>
          </w:p>
          <w:p w14:paraId="7714B07D">
            <w:pPr>
              <w:keepNext/>
              <w:keepLines/>
              <w:widowControl w:val="0"/>
              <w:bidi w:val="0"/>
              <w:spacing w:beforeLines="0" w:beforeAutospacing="0" w:afterLines="0" w:afterAutospacing="0" w:line="360" w:lineRule="auto"/>
              <w:jc w:val="left"/>
              <w:outlineLvl w:val="2"/>
              <w:rPr>
                <w:rFonts w:hint="eastAsia"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4.6.3环境风险识别</w:t>
            </w:r>
          </w:p>
          <w:p w14:paraId="154A59C8">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本项目可能发生的事故主要有：</w:t>
            </w:r>
            <w:r>
              <w:rPr>
                <w:rFonts w:hint="eastAsia" w:ascii="Times New Roman" w:hAnsi="Times New Roman" w:eastAsia="宋体" w:cs="宋体"/>
                <w:color w:val="auto"/>
                <w:kern w:val="2"/>
                <w:sz w:val="24"/>
                <w:szCs w:val="24"/>
                <w:lang w:val="en-US" w:eastAsia="zh-CN" w:bidi="ar-SA"/>
              </w:rPr>
              <w:t>火灾爆炸事故、废水事故性排放等。</w:t>
            </w:r>
            <w:r>
              <w:rPr>
                <w:rFonts w:hint="default" w:ascii="Times New Roman" w:hAnsi="Times New Roman" w:eastAsia="宋体" w:cs="宋体"/>
                <w:color w:val="auto"/>
                <w:kern w:val="2"/>
                <w:sz w:val="24"/>
                <w:szCs w:val="24"/>
                <w:lang w:val="en-US" w:eastAsia="zh-CN" w:bidi="ar-SA"/>
              </w:rPr>
              <w:t>根据风险识别，本项目主要存在的事故类型有：</w:t>
            </w:r>
          </w:p>
          <w:p w14:paraId="45D40F39">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（1）</w:t>
            </w:r>
            <w:r>
              <w:rPr>
                <w:rFonts w:hint="eastAsia" w:ascii="Times New Roman" w:hAnsi="Times New Roman" w:eastAsia="宋体" w:cs="宋体"/>
                <w:color w:val="auto"/>
                <w:kern w:val="2"/>
                <w:sz w:val="24"/>
                <w:szCs w:val="24"/>
                <w:lang w:val="en-US" w:eastAsia="zh-CN" w:bidi="ar-SA"/>
              </w:rPr>
              <w:t>易燃易爆化学品泄</w:t>
            </w:r>
            <w:r>
              <w:rPr>
                <w:rFonts w:hint="eastAsia" w:cs="宋体"/>
                <w:color w:val="auto"/>
                <w:kern w:val="2"/>
                <w:sz w:val="24"/>
                <w:szCs w:val="24"/>
                <w:lang w:val="en-US" w:eastAsia="zh-CN" w:bidi="ar-SA"/>
              </w:rPr>
              <w:t>漏</w:t>
            </w:r>
            <w:r>
              <w:rPr>
                <w:rFonts w:hint="default" w:ascii="Times New Roman" w:hAnsi="Times New Roman" w:eastAsia="宋体" w:cs="宋体"/>
                <w:color w:val="auto"/>
                <w:kern w:val="2"/>
                <w:sz w:val="24"/>
                <w:szCs w:val="24"/>
                <w:lang w:val="en-US" w:eastAsia="zh-CN" w:bidi="ar-SA"/>
              </w:rPr>
              <w:t>后遇明火发生火灾、爆炸事故</w:t>
            </w:r>
            <w:r>
              <w:rPr>
                <w:rFonts w:hint="eastAsia" w:ascii="Times New Roman" w:hAnsi="Times New Roman" w:eastAsia="宋体" w:cs="宋体"/>
                <w:color w:val="auto"/>
                <w:kern w:val="2"/>
                <w:sz w:val="24"/>
                <w:szCs w:val="24"/>
                <w:lang w:val="en-US" w:eastAsia="zh-CN" w:bidi="ar-SA"/>
              </w:rPr>
              <w:t>。</w:t>
            </w:r>
          </w:p>
          <w:p w14:paraId="5B07A4A0">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（2）生产废水事故性排放。</w:t>
            </w:r>
          </w:p>
          <w:p w14:paraId="49EBA3DE">
            <w:pPr>
              <w:keepNext/>
              <w:keepLines/>
              <w:widowControl w:val="0"/>
              <w:bidi w:val="0"/>
              <w:spacing w:beforeLines="0" w:beforeAutospacing="0" w:afterLines="0" w:afterAutospacing="0" w:line="360" w:lineRule="auto"/>
              <w:jc w:val="left"/>
              <w:outlineLvl w:val="2"/>
              <w:rPr>
                <w:rFonts w:hint="eastAsia"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4.6.4环境风险分析</w:t>
            </w:r>
          </w:p>
          <w:p w14:paraId="0E3F0DAB">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（1）</w:t>
            </w:r>
            <w:r>
              <w:rPr>
                <w:rFonts w:hint="eastAsia" w:ascii="Times New Roman" w:hAnsi="Times New Roman" w:eastAsia="宋体" w:cs="宋体"/>
                <w:color w:val="auto"/>
                <w:kern w:val="2"/>
                <w:sz w:val="24"/>
                <w:szCs w:val="24"/>
                <w:lang w:val="en-US" w:eastAsia="zh-CN" w:bidi="ar-SA"/>
              </w:rPr>
              <w:t>化学品</w:t>
            </w:r>
            <w:r>
              <w:rPr>
                <w:rFonts w:hint="default" w:ascii="Times New Roman" w:hAnsi="Times New Roman" w:eastAsia="宋体" w:cs="宋体"/>
                <w:color w:val="auto"/>
                <w:kern w:val="2"/>
                <w:sz w:val="24"/>
                <w:szCs w:val="24"/>
                <w:lang w:val="en-US" w:eastAsia="zh-CN" w:bidi="ar-SA"/>
              </w:rPr>
              <w:t>泄漏后果分析</w:t>
            </w:r>
          </w:p>
          <w:p w14:paraId="68C10D74">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由于</w:t>
            </w:r>
            <w:r>
              <w:rPr>
                <w:rFonts w:hint="eastAsia" w:ascii="Times New Roman" w:hAnsi="Times New Roman" w:eastAsia="宋体" w:cs="宋体"/>
                <w:color w:val="auto"/>
                <w:kern w:val="2"/>
                <w:sz w:val="24"/>
                <w:szCs w:val="24"/>
                <w:lang w:val="en-US" w:eastAsia="zh-CN" w:bidi="ar-SA"/>
              </w:rPr>
              <w:t>设备</w:t>
            </w:r>
            <w:r>
              <w:rPr>
                <w:rFonts w:hint="default" w:ascii="Times New Roman" w:hAnsi="Times New Roman" w:eastAsia="宋体" w:cs="宋体"/>
                <w:color w:val="auto"/>
                <w:kern w:val="2"/>
                <w:sz w:val="24"/>
                <w:szCs w:val="24"/>
                <w:lang w:val="en-US" w:eastAsia="zh-CN" w:bidi="ar-SA"/>
              </w:rPr>
              <w:t>失灵</w:t>
            </w:r>
            <w:r>
              <w:rPr>
                <w:rFonts w:hint="eastAsia" w:ascii="Times New Roman" w:hAnsi="Times New Roman" w:eastAsia="宋体" w:cs="宋体"/>
                <w:color w:val="auto"/>
                <w:kern w:val="2"/>
                <w:sz w:val="24"/>
                <w:szCs w:val="24"/>
                <w:lang w:val="en-US" w:eastAsia="zh-CN" w:bidi="ar-SA"/>
              </w:rPr>
              <w:t>、原辅材料转运</w:t>
            </w:r>
            <w:r>
              <w:rPr>
                <w:rFonts w:hint="default" w:ascii="Times New Roman" w:hAnsi="Times New Roman" w:eastAsia="宋体" w:cs="宋体"/>
                <w:color w:val="auto"/>
                <w:kern w:val="2"/>
                <w:sz w:val="24"/>
                <w:szCs w:val="24"/>
                <w:lang w:val="en-US" w:eastAsia="zh-CN" w:bidi="ar-SA"/>
              </w:rPr>
              <w:t>操作失误等原因都可造成</w:t>
            </w:r>
            <w:r>
              <w:rPr>
                <w:rFonts w:hint="eastAsia" w:ascii="Times New Roman" w:hAnsi="Times New Roman" w:eastAsia="宋体" w:cs="宋体"/>
                <w:color w:val="auto"/>
                <w:kern w:val="2"/>
                <w:sz w:val="24"/>
                <w:szCs w:val="24"/>
                <w:lang w:val="en-US" w:eastAsia="zh-CN" w:bidi="ar-SA"/>
              </w:rPr>
              <w:t>化学品</w:t>
            </w:r>
            <w:r>
              <w:rPr>
                <w:rFonts w:hint="default" w:ascii="Times New Roman" w:hAnsi="Times New Roman" w:eastAsia="宋体" w:cs="宋体"/>
                <w:color w:val="auto"/>
                <w:kern w:val="2"/>
                <w:sz w:val="24"/>
                <w:szCs w:val="24"/>
                <w:lang w:val="en-US" w:eastAsia="zh-CN" w:bidi="ar-SA"/>
              </w:rPr>
              <w:t>泄漏事故，造成项目周围的大气烃类污染。发生</w:t>
            </w:r>
            <w:r>
              <w:rPr>
                <w:rFonts w:hint="eastAsia" w:ascii="Times New Roman" w:hAnsi="Times New Roman" w:eastAsia="宋体" w:cs="宋体"/>
                <w:color w:val="auto"/>
                <w:kern w:val="2"/>
                <w:sz w:val="24"/>
                <w:szCs w:val="24"/>
                <w:lang w:val="en-US" w:eastAsia="zh-CN" w:bidi="ar-SA"/>
              </w:rPr>
              <w:t>化学品</w:t>
            </w:r>
            <w:r>
              <w:rPr>
                <w:rFonts w:hint="default" w:ascii="Times New Roman" w:hAnsi="Times New Roman" w:eastAsia="宋体" w:cs="宋体"/>
                <w:color w:val="auto"/>
                <w:kern w:val="2"/>
                <w:sz w:val="24"/>
                <w:szCs w:val="24"/>
                <w:lang w:val="en-US" w:eastAsia="zh-CN" w:bidi="ar-SA"/>
              </w:rPr>
              <w:t>泄漏时，由于</w:t>
            </w:r>
            <w:r>
              <w:rPr>
                <w:rFonts w:hint="eastAsia" w:ascii="Times New Roman" w:hAnsi="Times New Roman" w:eastAsia="宋体" w:cs="宋体"/>
                <w:color w:val="auto"/>
                <w:kern w:val="2"/>
                <w:sz w:val="24"/>
                <w:szCs w:val="24"/>
                <w:lang w:val="en-US" w:eastAsia="zh-CN" w:bidi="ar-SA"/>
              </w:rPr>
              <w:t>味道</w:t>
            </w:r>
            <w:r>
              <w:rPr>
                <w:rFonts w:hint="default" w:ascii="Times New Roman" w:hAnsi="Times New Roman" w:eastAsia="宋体" w:cs="宋体"/>
                <w:color w:val="auto"/>
                <w:kern w:val="2"/>
                <w:sz w:val="24"/>
                <w:szCs w:val="24"/>
                <w:lang w:val="en-US" w:eastAsia="zh-CN" w:bidi="ar-SA"/>
              </w:rPr>
              <w:t>比较容易发现，若采取必要措施就可将污染控制在</w:t>
            </w:r>
            <w:r>
              <w:rPr>
                <w:rFonts w:hint="eastAsia" w:ascii="Times New Roman" w:hAnsi="Times New Roman" w:eastAsia="宋体" w:cs="宋体"/>
                <w:color w:val="auto"/>
                <w:kern w:val="2"/>
                <w:sz w:val="24"/>
                <w:szCs w:val="24"/>
                <w:lang w:val="en-US" w:eastAsia="zh-CN" w:bidi="ar-SA"/>
              </w:rPr>
              <w:t>泄漏的</w:t>
            </w:r>
            <w:r>
              <w:rPr>
                <w:rFonts w:hint="default" w:ascii="Times New Roman" w:hAnsi="Times New Roman" w:eastAsia="宋体" w:cs="宋体"/>
                <w:color w:val="auto"/>
                <w:kern w:val="2"/>
                <w:sz w:val="24"/>
                <w:szCs w:val="24"/>
                <w:lang w:val="en-US" w:eastAsia="zh-CN" w:bidi="ar-SA"/>
              </w:rPr>
              <w:t>局部区域，不致形成大面积的区域性污染。</w:t>
            </w:r>
          </w:p>
          <w:p w14:paraId="4A26DE97">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（2）火灾、爆炸后果分析</w:t>
            </w:r>
          </w:p>
          <w:p w14:paraId="466251B1">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化学品</w:t>
            </w:r>
            <w:r>
              <w:rPr>
                <w:rFonts w:hint="default" w:ascii="Times New Roman" w:hAnsi="Times New Roman" w:eastAsia="宋体" w:cs="宋体"/>
                <w:color w:val="auto"/>
                <w:kern w:val="2"/>
                <w:sz w:val="24"/>
                <w:szCs w:val="24"/>
                <w:lang w:val="en-US" w:eastAsia="zh-CN" w:bidi="ar-SA"/>
              </w:rPr>
              <w:t>泄漏后一旦发生火灾、爆炸事故，对</w:t>
            </w:r>
            <w:r>
              <w:rPr>
                <w:rFonts w:hint="eastAsia" w:ascii="Times New Roman" w:hAnsi="Times New Roman" w:eastAsia="宋体" w:cs="宋体"/>
                <w:color w:val="auto"/>
                <w:kern w:val="2"/>
                <w:sz w:val="24"/>
                <w:szCs w:val="24"/>
                <w:lang w:val="en-US" w:eastAsia="zh-CN" w:bidi="ar-SA"/>
              </w:rPr>
              <w:t>生产</w:t>
            </w:r>
            <w:r>
              <w:rPr>
                <w:rFonts w:hint="default" w:ascii="Times New Roman" w:hAnsi="Times New Roman" w:eastAsia="宋体" w:cs="宋体"/>
                <w:color w:val="auto"/>
                <w:kern w:val="2"/>
                <w:sz w:val="24"/>
                <w:szCs w:val="24"/>
                <w:lang w:val="en-US" w:eastAsia="zh-CN" w:bidi="ar-SA"/>
              </w:rPr>
              <w:t>区域、现场工作人员和过往车辆将产生较为严重的损害。通过类比分析，发生火灾爆炸后，其影响范围相对主要集中在</w:t>
            </w:r>
            <w:r>
              <w:rPr>
                <w:rFonts w:hint="eastAsia" w:ascii="Times New Roman" w:hAnsi="Times New Roman" w:eastAsia="宋体" w:cs="宋体"/>
                <w:color w:val="auto"/>
                <w:kern w:val="2"/>
                <w:sz w:val="24"/>
                <w:szCs w:val="24"/>
                <w:lang w:val="en-US" w:eastAsia="zh-CN" w:bidi="ar-SA"/>
              </w:rPr>
              <w:t>厂</w:t>
            </w:r>
            <w:r>
              <w:rPr>
                <w:rFonts w:hint="default" w:ascii="Times New Roman" w:hAnsi="Times New Roman" w:eastAsia="宋体" w:cs="宋体"/>
                <w:color w:val="auto"/>
                <w:kern w:val="2"/>
                <w:sz w:val="24"/>
                <w:szCs w:val="24"/>
                <w:lang w:val="en-US" w:eastAsia="zh-CN" w:bidi="ar-SA"/>
              </w:rPr>
              <w:t>内，也可能会危害周围的居民，应制定紧急预案，保证危害半径内的居民、重要设施得到迅速救助、撤离或保护。</w:t>
            </w:r>
          </w:p>
          <w:p w14:paraId="352BC1B4">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火灾热辐射影响主要在</w:t>
            </w:r>
            <w:r>
              <w:rPr>
                <w:rFonts w:hint="eastAsia" w:ascii="Times New Roman" w:hAnsi="Times New Roman" w:eastAsia="宋体" w:cs="宋体"/>
                <w:color w:val="auto"/>
                <w:kern w:val="2"/>
                <w:sz w:val="24"/>
                <w:szCs w:val="24"/>
                <w:lang w:val="en-US" w:eastAsia="zh-CN" w:bidi="ar-SA"/>
              </w:rPr>
              <w:t>厂</w:t>
            </w:r>
            <w:r>
              <w:rPr>
                <w:rFonts w:hint="default" w:ascii="Times New Roman" w:hAnsi="Times New Roman" w:eastAsia="宋体" w:cs="宋体"/>
                <w:color w:val="auto"/>
                <w:kern w:val="2"/>
                <w:sz w:val="24"/>
                <w:szCs w:val="24"/>
                <w:lang w:val="en-US" w:eastAsia="zh-CN" w:bidi="ar-SA"/>
              </w:rPr>
              <w:t>区范围，而火灾燃烧过程中同时会伴生大量的烟尘、CO、SO</w:t>
            </w:r>
            <w:r>
              <w:rPr>
                <w:rFonts w:hint="default" w:ascii="Times New Roman" w:hAnsi="Times New Roman" w:eastAsia="宋体" w:cs="宋体"/>
                <w:color w:val="auto"/>
                <w:kern w:val="2"/>
                <w:sz w:val="24"/>
                <w:szCs w:val="24"/>
                <w:vertAlign w:val="subscript"/>
                <w:lang w:val="en-US" w:eastAsia="zh-CN" w:bidi="ar-SA"/>
              </w:rPr>
              <w:t>2</w:t>
            </w:r>
            <w:r>
              <w:rPr>
                <w:rFonts w:hint="default" w:ascii="Times New Roman" w:hAnsi="Times New Roman" w:eastAsia="宋体" w:cs="宋体"/>
                <w:color w:val="auto"/>
                <w:kern w:val="2"/>
                <w:sz w:val="24"/>
                <w:szCs w:val="24"/>
                <w:lang w:val="en-US" w:eastAsia="zh-CN" w:bidi="ar-SA"/>
              </w:rPr>
              <w:t>和NO</w:t>
            </w:r>
            <w:r>
              <w:rPr>
                <w:rFonts w:hint="default" w:ascii="Times New Roman" w:hAnsi="Times New Roman" w:eastAsia="宋体" w:cs="宋体"/>
                <w:color w:val="auto"/>
                <w:kern w:val="2"/>
                <w:sz w:val="24"/>
                <w:szCs w:val="24"/>
                <w:vertAlign w:val="subscript"/>
                <w:lang w:val="en-US" w:eastAsia="zh-CN" w:bidi="ar-SA"/>
              </w:rPr>
              <w:t>2</w:t>
            </w:r>
            <w:r>
              <w:rPr>
                <w:rFonts w:hint="default" w:ascii="Times New Roman" w:hAnsi="Times New Roman" w:eastAsia="宋体" w:cs="宋体"/>
                <w:color w:val="auto"/>
                <w:kern w:val="2"/>
                <w:sz w:val="24"/>
                <w:szCs w:val="24"/>
                <w:lang w:val="en-US" w:eastAsia="zh-CN" w:bidi="ar-SA"/>
              </w:rPr>
              <w:t>等污染物，将对周围大气环境产生影响。由于</w:t>
            </w:r>
            <w:r>
              <w:rPr>
                <w:rFonts w:hint="eastAsia" w:ascii="Times New Roman" w:hAnsi="Times New Roman" w:eastAsia="宋体" w:cs="宋体"/>
                <w:color w:val="auto"/>
                <w:kern w:val="2"/>
                <w:sz w:val="24"/>
                <w:szCs w:val="24"/>
                <w:lang w:val="en-US" w:eastAsia="zh-CN" w:bidi="ar-SA"/>
              </w:rPr>
              <w:t>生产设备</w:t>
            </w:r>
            <w:r>
              <w:rPr>
                <w:rFonts w:hint="default" w:ascii="Times New Roman" w:hAnsi="Times New Roman" w:eastAsia="宋体" w:cs="宋体"/>
                <w:color w:val="auto"/>
                <w:kern w:val="2"/>
                <w:sz w:val="24"/>
                <w:szCs w:val="24"/>
                <w:lang w:val="en-US" w:eastAsia="zh-CN" w:bidi="ar-SA"/>
              </w:rPr>
              <w:t>发生火灾和爆炸后，急剧燃烧所需的供氧量不足，属于典型的不完全燃烧，燃烧过程中产生的CO量很大。污染物影响范围较大，一般都到了几百米以外，尤其是有风的条件下，污染范围更广。</w:t>
            </w:r>
          </w:p>
          <w:p w14:paraId="71A2066E">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故在发生着火事故的情况下可能出现大面积的严重污染。本</w:t>
            </w:r>
            <w:r>
              <w:rPr>
                <w:rFonts w:hint="eastAsia" w:ascii="Times New Roman" w:hAnsi="Times New Roman" w:eastAsia="宋体" w:cs="宋体"/>
                <w:color w:val="auto"/>
                <w:kern w:val="2"/>
                <w:sz w:val="24"/>
                <w:szCs w:val="24"/>
                <w:lang w:val="en-US" w:eastAsia="zh-CN" w:bidi="ar-SA"/>
              </w:rPr>
              <w:t>厂区</w:t>
            </w:r>
            <w:r>
              <w:rPr>
                <w:rFonts w:hint="default" w:ascii="Times New Roman" w:hAnsi="Times New Roman" w:eastAsia="宋体" w:cs="宋体"/>
                <w:color w:val="auto"/>
                <w:kern w:val="2"/>
                <w:sz w:val="24"/>
                <w:szCs w:val="24"/>
                <w:lang w:val="en-US" w:eastAsia="zh-CN" w:bidi="ar-SA"/>
              </w:rPr>
              <w:t>的平面设计符合《城镇燃气设计规范》（GB50028-20</w:t>
            </w:r>
            <w:r>
              <w:rPr>
                <w:rFonts w:hint="eastAsia" w:ascii="Times New Roman" w:hAnsi="Times New Roman" w:cs="宋体"/>
                <w:color w:val="auto"/>
                <w:kern w:val="2"/>
                <w:sz w:val="24"/>
                <w:szCs w:val="24"/>
                <w:lang w:val="en-US" w:eastAsia="zh-CN" w:bidi="ar-SA"/>
              </w:rPr>
              <w:t>22</w:t>
            </w:r>
            <w:r>
              <w:rPr>
                <w:rFonts w:hint="default" w:ascii="Times New Roman" w:hAnsi="Times New Roman" w:eastAsia="宋体" w:cs="宋体"/>
                <w:color w:val="auto"/>
                <w:kern w:val="2"/>
                <w:sz w:val="24"/>
                <w:szCs w:val="24"/>
                <w:lang w:val="en-US" w:eastAsia="zh-CN" w:bidi="ar-SA"/>
              </w:rPr>
              <w:t>）等设计规范中的相关规定，建设方还应该采取严密的防范措施，严防事故的发生，同时应该制定详尽的事故应急预案，确保一旦发生事故可以行之有效的办法进行处理。则项目发生火灾、爆炸的危害程度可得到控制。</w:t>
            </w:r>
          </w:p>
          <w:p w14:paraId="11B886AB">
            <w:pPr>
              <w:keepNext/>
              <w:keepLines/>
              <w:widowControl w:val="0"/>
              <w:bidi w:val="0"/>
              <w:spacing w:beforeLines="0" w:beforeAutospacing="0" w:afterLines="0" w:afterAutospacing="0" w:line="360" w:lineRule="auto"/>
              <w:jc w:val="left"/>
              <w:outlineLvl w:val="2"/>
              <w:rPr>
                <w:rFonts w:hint="default" w:ascii="Times New Roman" w:hAnsi="Times New Roman" w:eastAsia="宋体" w:cs="Times New Roman"/>
                <w:b/>
                <w:color w:val="auto"/>
                <w:kern w:val="2"/>
                <w:sz w:val="24"/>
                <w:szCs w:val="24"/>
                <w:lang w:val="en-US" w:eastAsia="zh-CN" w:bidi="ar-SA"/>
              </w:rPr>
            </w:pPr>
            <w:r>
              <w:rPr>
                <w:rFonts w:hint="default" w:ascii="Times New Roman" w:hAnsi="Times New Roman" w:eastAsia="宋体" w:cs="Times New Roman"/>
                <w:b/>
                <w:color w:val="auto"/>
                <w:kern w:val="2"/>
                <w:sz w:val="24"/>
                <w:szCs w:val="24"/>
                <w:lang w:val="en-US" w:eastAsia="zh-CN" w:bidi="ar-SA"/>
              </w:rPr>
              <w:t xml:space="preserve"> 4.6.</w:t>
            </w:r>
            <w:r>
              <w:rPr>
                <w:rFonts w:hint="eastAsia" w:ascii="Times New Roman" w:hAnsi="Times New Roman" w:eastAsia="宋体" w:cs="Times New Roman"/>
                <w:b/>
                <w:color w:val="auto"/>
                <w:kern w:val="2"/>
                <w:sz w:val="24"/>
                <w:szCs w:val="24"/>
                <w:lang w:val="en-US" w:eastAsia="zh-CN" w:bidi="ar-SA"/>
              </w:rPr>
              <w:t>5</w:t>
            </w:r>
            <w:r>
              <w:rPr>
                <w:rFonts w:hint="default" w:ascii="Times New Roman" w:hAnsi="Times New Roman" w:eastAsia="宋体" w:cs="Times New Roman"/>
                <w:b/>
                <w:color w:val="auto"/>
                <w:kern w:val="2"/>
                <w:sz w:val="24"/>
                <w:szCs w:val="24"/>
                <w:lang w:val="en-US" w:eastAsia="zh-CN" w:bidi="ar-SA"/>
              </w:rPr>
              <w:t>环境风险防范措施和事故应急措施</w:t>
            </w:r>
          </w:p>
          <w:p w14:paraId="287DC468">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（1）火灾、爆炸的防控措施</w:t>
            </w:r>
          </w:p>
          <w:p w14:paraId="5FE01498">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①设置应急物资准备条件：如消防沙堆、干粉灭火器、灭火毯等消防器具，事故一旦发生可立即利用上述设备，将事故造成的影响降至最低。要定期对消防设施进行检查和维护保养，确保消防设施完好有效。</w:t>
            </w:r>
          </w:p>
          <w:p w14:paraId="150B804C">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②加强安全检查，实行以防火为中心的安全管理。</w:t>
            </w:r>
            <w:r>
              <w:rPr>
                <w:rFonts w:hint="eastAsia" w:ascii="Times New Roman" w:hAnsi="Times New Roman" w:eastAsia="宋体" w:cs="宋体"/>
                <w:color w:val="auto"/>
                <w:kern w:val="2"/>
                <w:sz w:val="24"/>
                <w:szCs w:val="24"/>
                <w:lang w:val="en-US" w:eastAsia="zh-CN" w:bidi="ar-SA"/>
              </w:rPr>
              <w:t>危险化学品仓库、生产设备</w:t>
            </w:r>
            <w:r>
              <w:rPr>
                <w:rFonts w:hint="default" w:ascii="Times New Roman" w:hAnsi="Times New Roman" w:eastAsia="宋体" w:cs="宋体"/>
                <w:color w:val="auto"/>
                <w:kern w:val="2"/>
                <w:sz w:val="24"/>
                <w:szCs w:val="24"/>
                <w:lang w:val="en-US" w:eastAsia="zh-CN" w:bidi="ar-SA"/>
              </w:rPr>
              <w:t>周围要坚决杜绝明火，及时清理厂区内可燃杂物，保持消防通道畅通。特别要注意防止电火花引起火灾及爆炸。同时做好检查记录，发现问题和隐患及时进行整改。</w:t>
            </w:r>
          </w:p>
          <w:p w14:paraId="6D160971">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③加强预案制定和演练。为加强对事故的有效控制，降低事故危害程度，公司制定完备的应急救援预案。并针对跑冒、泄漏制定</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污染控制应急救援措施</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w:t>
            </w:r>
          </w:p>
          <w:p w14:paraId="4605E37A">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④加强对公司职工的教育培训，实行上岗证制度，增强职工风险意识，提高事故自救能力，制定和强化各种安全管理、安全运营的规程，减少人为风险事故（如误操作）的发生。</w:t>
            </w:r>
          </w:p>
          <w:p w14:paraId="03F9D7C0">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（2）危化品储运安全防范措施</w:t>
            </w:r>
          </w:p>
          <w:p w14:paraId="65899127">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本项目的危险化学品根据用途和类型不同，分别贮存。项目应严格按《危险化学品安全管理条例》的要求，加强对危险化学品的管理；制定危险化学品安全操作规程，要求操作人员严格按操作规程作业；对从事危险化学作业人员定期进行安全培训教育；经常性对危险化学品作业场所进行安全检查。</w:t>
            </w:r>
          </w:p>
          <w:p w14:paraId="3A0D3ADD">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项目原料储存需符合储存危险化学品的相关条件（如防晒、防潮、通风、防雷、防静电等），实施危险化学品的储存和使用。建立健全安全规程及值勤制度设置通讯、报警装置，确保其处于完好状态；对储存危险化学品的容器，应经有关检验部门定期检验合格后，才能使用，并设置明显的标识及警示牌；对使用危险化学品的名称、数量进行严格登记：凡储存、使用危险化学品的岗位，都应配置合格的防毒器材、消防器材，并确保其处于完好状态</w:t>
            </w:r>
            <w:r>
              <w:rPr>
                <w:rFonts w:hint="eastAsia" w:ascii="Times New Roman" w:hAnsi="Times New Roman" w:eastAsia="宋体" w:cs="宋体"/>
                <w:color w:val="auto"/>
                <w:kern w:val="2"/>
                <w:sz w:val="24"/>
                <w:szCs w:val="24"/>
                <w:lang w:val="en-US" w:eastAsia="zh-CN" w:bidi="ar-SA"/>
              </w:rPr>
              <w:t>；</w:t>
            </w:r>
            <w:r>
              <w:rPr>
                <w:rFonts w:hint="default" w:ascii="Times New Roman" w:hAnsi="Times New Roman" w:eastAsia="宋体" w:cs="宋体"/>
                <w:color w:val="auto"/>
                <w:kern w:val="2"/>
                <w:sz w:val="24"/>
                <w:szCs w:val="24"/>
                <w:lang w:val="en-US" w:eastAsia="zh-CN" w:bidi="ar-SA"/>
              </w:rPr>
              <w:t>所有进入储存、使用危险化学品的人员，都必须严格遵守《危险化学品管理制度》。采购危险化学品时，应到已获得危险化学品经营许可证的企业进行采购，并要求供应商提供技术说明书及相关技术资料；采购人员必须进行专业培训并取证：危险化学品的包装物、容器必须有专业检测机构检验合格才能使用：从事危险化学品运输、押运人员，应经有关培训并取证后才能从事危险化学品运输、押运工作；运输危险化学品的车、船应悬挂危险化学品标志不得在人口稠密地停留；危险化学品的运输、押运人员，应配置合格的防护器材。建设单位在储运过程中应小心谨慎，熟知每种物料的性质和储运注意事项。</w:t>
            </w:r>
          </w:p>
          <w:p w14:paraId="4A768C3F">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（3）危险化学品间建设要求</w:t>
            </w:r>
          </w:p>
          <w:p w14:paraId="5DDA351E">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本项目危险化学品仓库的建设应参考《危险化学品经营企业安全技术基本》（GB18265-2019）和《建筑设计防火规范》的建设要求，危险化学品仓库应防潮、平整、坚实、易于清扫，项目采用乙醇等易燃的有机溶剂，采用不发生火花的地面，采用防腐材料，减少火灾隐患。项目采用的胶水，根据建设单位提供的MSDS，具有毒性，因此危险化学品仓库需设置防液体液体流散措施和通风设备。</w:t>
            </w:r>
          </w:p>
          <w:p w14:paraId="28D650BA">
            <w:pPr>
              <w:keepNext/>
              <w:keepLines/>
              <w:widowControl w:val="0"/>
              <w:bidi w:val="0"/>
              <w:spacing w:beforeLines="0" w:beforeAutospacing="0" w:afterLines="0" w:afterAutospacing="0" w:line="360" w:lineRule="auto"/>
              <w:jc w:val="left"/>
              <w:outlineLvl w:val="1"/>
              <w:rPr>
                <w:rFonts w:hint="default" w:ascii="Times New Roman" w:hAnsi="Times New Roman" w:eastAsia="宋体" w:cs="Times New Roman"/>
                <w:b/>
                <w:color w:val="auto"/>
                <w:kern w:val="2"/>
                <w:sz w:val="28"/>
                <w:szCs w:val="24"/>
                <w:lang w:val="en-US" w:eastAsia="zh-CN" w:bidi="ar-SA"/>
              </w:rPr>
            </w:pPr>
            <w:r>
              <w:rPr>
                <w:rFonts w:hint="eastAsia" w:ascii="Times New Roman" w:hAnsi="Times New Roman" w:eastAsia="宋体" w:cs="Times New Roman"/>
                <w:b/>
                <w:color w:val="auto"/>
                <w:kern w:val="2"/>
                <w:sz w:val="28"/>
                <w:szCs w:val="24"/>
                <w:lang w:val="en-US" w:eastAsia="zh-CN" w:bidi="ar-SA"/>
              </w:rPr>
              <w:t>4.7环保投资估算</w:t>
            </w:r>
          </w:p>
          <w:p w14:paraId="018B5865">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本项目环保措施包括废水、废气、噪声治理措施、固体废物收集场所等。具体见表4.6-1。</w:t>
            </w:r>
          </w:p>
          <w:p w14:paraId="3FFF3902">
            <w:pPr>
              <w:widowControl w:val="0"/>
              <w:bidi w:val="0"/>
              <w:adjustRightInd w:val="0"/>
              <w:snapToGrid w:val="0"/>
              <w:spacing w:before="10" w:beforeLines="10" w:after="10" w:afterLines="10"/>
              <w:jc w:val="center"/>
              <w:rPr>
                <w:rFonts w:hint="default" w:ascii="Times New Roman" w:hAnsi="Times New Roman" w:eastAsia="宋体" w:cs="Times New Roman"/>
                <w:b/>
                <w:color w:val="auto"/>
                <w:kern w:val="0"/>
                <w:sz w:val="24"/>
                <w:szCs w:val="20"/>
                <w:lang w:val="en-US" w:eastAsia="zh-CN" w:bidi="ar-SA"/>
              </w:rPr>
            </w:pPr>
            <w:r>
              <w:rPr>
                <w:rFonts w:hint="eastAsia" w:ascii="Times New Roman" w:hAnsi="Times New Roman" w:eastAsia="宋体" w:cs="Times New Roman"/>
                <w:b/>
                <w:color w:val="auto"/>
                <w:kern w:val="0"/>
                <w:sz w:val="24"/>
                <w:szCs w:val="20"/>
                <w:lang w:val="en-US" w:eastAsia="zh-CN" w:bidi="ar-SA"/>
              </w:rPr>
              <w:t>表4.6-1环保投资估算</w:t>
            </w:r>
          </w:p>
          <w:tbl>
            <w:tblPr>
              <w:tblStyle w:val="3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2"/>
              <w:gridCol w:w="886"/>
              <w:gridCol w:w="5886"/>
              <w:gridCol w:w="948"/>
            </w:tblGrid>
            <w:tr w14:paraId="2A2F5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6" w:type="pct"/>
                  <w:noWrap w:val="0"/>
                  <w:vAlign w:val="center"/>
                </w:tcPr>
                <w:p w14:paraId="1D4946F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序号</w:t>
                  </w:r>
                </w:p>
              </w:tc>
              <w:tc>
                <w:tcPr>
                  <w:tcW w:w="527" w:type="pct"/>
                  <w:noWrap w:val="0"/>
                  <w:vAlign w:val="center"/>
                </w:tcPr>
                <w:p w14:paraId="61C4602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污染源</w:t>
                  </w:r>
                </w:p>
              </w:tc>
              <w:tc>
                <w:tcPr>
                  <w:tcW w:w="3500" w:type="pct"/>
                  <w:noWrap w:val="0"/>
                  <w:vAlign w:val="center"/>
                </w:tcPr>
                <w:p w14:paraId="2B61CD4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措施</w:t>
                  </w:r>
                </w:p>
              </w:tc>
              <w:tc>
                <w:tcPr>
                  <w:tcW w:w="564" w:type="pct"/>
                  <w:noWrap w:val="0"/>
                  <w:vAlign w:val="center"/>
                </w:tcPr>
                <w:p w14:paraId="0E42C19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投资</w:t>
                  </w:r>
                </w:p>
              </w:tc>
            </w:tr>
            <w:tr w14:paraId="657B0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6" w:type="pct"/>
                  <w:noWrap w:val="0"/>
                  <w:vAlign w:val="center"/>
                </w:tcPr>
                <w:p w14:paraId="4008185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1</w:t>
                  </w:r>
                </w:p>
              </w:tc>
              <w:tc>
                <w:tcPr>
                  <w:tcW w:w="527" w:type="pct"/>
                  <w:noWrap w:val="0"/>
                  <w:vAlign w:val="center"/>
                </w:tcPr>
                <w:p w14:paraId="1CE6887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废水</w:t>
                  </w:r>
                </w:p>
              </w:tc>
              <w:tc>
                <w:tcPr>
                  <w:tcW w:w="3500" w:type="pct"/>
                  <w:noWrap w:val="0"/>
                  <w:vAlign w:val="center"/>
                </w:tcPr>
                <w:p w14:paraId="208E9F59">
                  <w:pPr>
                    <w:pStyle w:val="227"/>
                    <w:bidi w:val="0"/>
                    <w:rPr>
                      <w:rFonts w:hint="default" w:ascii="Times New Roman" w:hAnsi="Times New Roman"/>
                      <w:color w:val="auto"/>
                      <w:lang w:val="en-US" w:eastAsia="zh-CN"/>
                    </w:rPr>
                  </w:pPr>
                  <w:r>
                    <w:rPr>
                      <w:rFonts w:ascii="Times New Roman" w:hAnsi="Times New Roman"/>
                      <w:color w:val="auto"/>
                      <w:spacing w:val="8"/>
                      <w:sz w:val="21"/>
                      <w:szCs w:val="21"/>
                    </w:rPr>
                    <w:t>生产废水经</w:t>
                  </w:r>
                  <w:r>
                    <w:rPr>
                      <w:rFonts w:hint="eastAsia" w:ascii="Times New Roman" w:hAnsi="Times New Roman"/>
                      <w:color w:val="auto"/>
                      <w:spacing w:val="8"/>
                      <w:sz w:val="21"/>
                      <w:szCs w:val="21"/>
                      <w:lang w:val="en-US" w:eastAsia="zh-CN"/>
                    </w:rPr>
                    <w:t>三格</w:t>
                  </w:r>
                  <w:r>
                    <w:rPr>
                      <w:rFonts w:ascii="Times New Roman" w:hAnsi="Times New Roman"/>
                      <w:color w:val="auto"/>
                      <w:spacing w:val="8"/>
                      <w:sz w:val="21"/>
                      <w:szCs w:val="21"/>
                    </w:rPr>
                    <w:t>沉淀</w:t>
                  </w:r>
                  <w:r>
                    <w:rPr>
                      <w:rFonts w:hint="eastAsia" w:ascii="Times New Roman" w:hAnsi="Times New Roman"/>
                      <w:color w:val="auto"/>
                      <w:spacing w:val="8"/>
                      <w:sz w:val="21"/>
                      <w:szCs w:val="21"/>
                      <w:lang w:val="en-US" w:eastAsia="zh-CN"/>
                    </w:rPr>
                    <w:t>桶沉淀后与</w:t>
                  </w:r>
                  <w:r>
                    <w:rPr>
                      <w:rFonts w:ascii="Times New Roman" w:hAnsi="Times New Roman"/>
                      <w:color w:val="auto"/>
                      <w:spacing w:val="8"/>
                      <w:sz w:val="21"/>
                      <w:szCs w:val="21"/>
                    </w:rPr>
                    <w:t>生活污水</w:t>
                  </w:r>
                  <w:r>
                    <w:rPr>
                      <w:rFonts w:hint="eastAsia" w:ascii="Times New Roman" w:hAnsi="Times New Roman"/>
                      <w:color w:val="auto"/>
                      <w:spacing w:val="8"/>
                      <w:sz w:val="21"/>
                      <w:szCs w:val="21"/>
                      <w:lang w:val="en-US" w:eastAsia="zh-CN"/>
                    </w:rPr>
                    <w:t>一起通过</w:t>
                  </w:r>
                  <w:r>
                    <w:rPr>
                      <w:rFonts w:ascii="Times New Roman" w:hAnsi="Times New Roman"/>
                      <w:color w:val="auto"/>
                      <w:spacing w:val="8"/>
                      <w:sz w:val="21"/>
                      <w:szCs w:val="21"/>
                    </w:rPr>
                    <w:t>现有化粪池处理后，通过</w:t>
                  </w:r>
                  <w:r>
                    <w:rPr>
                      <w:rFonts w:ascii="Times New Roman" w:hAnsi="Times New Roman"/>
                      <w:color w:val="auto"/>
                      <w:spacing w:val="9"/>
                      <w:sz w:val="21"/>
                      <w:szCs w:val="21"/>
                    </w:rPr>
                    <w:t>市政污水管网，纳入</w:t>
                  </w:r>
                  <w:r>
                    <w:rPr>
                      <w:rFonts w:hint="eastAsia" w:ascii="Times New Roman" w:hAnsi="Times New Roman"/>
                      <w:color w:val="auto"/>
                      <w:spacing w:val="9"/>
                      <w:sz w:val="21"/>
                      <w:szCs w:val="21"/>
                      <w:lang w:val="en-US" w:eastAsia="zh-CN"/>
                    </w:rPr>
                    <w:t>闽侯县城关污水处理厂</w:t>
                  </w:r>
                  <w:r>
                    <w:rPr>
                      <w:rFonts w:ascii="Times New Roman" w:hAnsi="Times New Roman"/>
                      <w:color w:val="auto"/>
                      <w:spacing w:val="9"/>
                      <w:sz w:val="21"/>
                      <w:szCs w:val="21"/>
                    </w:rPr>
                    <w:t>处理</w:t>
                  </w:r>
                </w:p>
              </w:tc>
              <w:tc>
                <w:tcPr>
                  <w:tcW w:w="564" w:type="pct"/>
                  <w:noWrap w:val="0"/>
                  <w:vAlign w:val="center"/>
                </w:tcPr>
                <w:p w14:paraId="1EF5B42A">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1</w:t>
                  </w:r>
                  <w:r>
                    <w:rPr>
                      <w:rFonts w:hint="eastAsia" w:ascii="Times New Roman" w:hAnsi="Times New Roman" w:eastAsia="宋体" w:cs="Times New Roman"/>
                      <w:color w:val="auto"/>
                      <w:kern w:val="0"/>
                      <w:sz w:val="21"/>
                      <w:szCs w:val="20"/>
                      <w:lang w:val="en-US" w:eastAsia="zh-CN" w:bidi="ar-SA"/>
                    </w:rPr>
                    <w:t>万元</w:t>
                  </w:r>
                </w:p>
              </w:tc>
            </w:tr>
            <w:tr w14:paraId="34733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trPr>
              <w:tc>
                <w:tcPr>
                  <w:tcW w:w="406" w:type="pct"/>
                  <w:noWrap w:val="0"/>
                  <w:vAlign w:val="center"/>
                </w:tcPr>
                <w:p w14:paraId="16580CD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2</w:t>
                  </w:r>
                </w:p>
              </w:tc>
              <w:tc>
                <w:tcPr>
                  <w:tcW w:w="527" w:type="pct"/>
                  <w:noWrap w:val="0"/>
                  <w:vAlign w:val="center"/>
                </w:tcPr>
                <w:p w14:paraId="52F8213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废气</w:t>
                  </w:r>
                </w:p>
              </w:tc>
              <w:tc>
                <w:tcPr>
                  <w:tcW w:w="3500" w:type="pct"/>
                  <w:noWrap w:val="0"/>
                  <w:vAlign w:val="center"/>
                </w:tcPr>
                <w:p w14:paraId="4EC8F38C">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color w:val="auto"/>
                      <w:spacing w:val="8"/>
                      <w:sz w:val="21"/>
                      <w:szCs w:val="21"/>
                      <w:lang w:val="en-US" w:eastAsia="zh-CN"/>
                    </w:rPr>
                    <w:t>磨砂、抛光、检测</w:t>
                  </w:r>
                  <w:r>
                    <w:rPr>
                      <w:rFonts w:ascii="Times New Roman" w:hAnsi="Times New Roman"/>
                      <w:color w:val="auto"/>
                      <w:spacing w:val="8"/>
                      <w:sz w:val="21"/>
                      <w:szCs w:val="21"/>
                    </w:rPr>
                    <w:t>车间密闭</w:t>
                  </w:r>
                  <w:r>
                    <w:rPr>
                      <w:rFonts w:hint="eastAsia" w:ascii="Times New Roman" w:hAnsi="Times New Roman"/>
                      <w:color w:val="auto"/>
                      <w:spacing w:val="8"/>
                      <w:sz w:val="21"/>
                      <w:szCs w:val="21"/>
                      <w:lang w:val="en-US" w:eastAsia="zh-CN"/>
                    </w:rPr>
                    <w:t>负压</w:t>
                  </w:r>
                  <w:r>
                    <w:rPr>
                      <w:rFonts w:ascii="Times New Roman" w:hAnsi="Times New Roman"/>
                      <w:color w:val="auto"/>
                      <w:spacing w:val="8"/>
                      <w:sz w:val="21"/>
                      <w:szCs w:val="21"/>
                    </w:rPr>
                    <w:t>，设置收集管道对</w:t>
                  </w:r>
                  <w:r>
                    <w:rPr>
                      <w:rFonts w:hint="eastAsia" w:ascii="Times New Roman" w:hAnsi="Times New Roman"/>
                      <w:color w:val="auto"/>
                      <w:spacing w:val="8"/>
                      <w:sz w:val="21"/>
                      <w:szCs w:val="21"/>
                      <w:lang w:val="en-US" w:eastAsia="zh-CN"/>
                    </w:rPr>
                    <w:t>废气</w:t>
                  </w:r>
                  <w:r>
                    <w:rPr>
                      <w:rFonts w:ascii="Times New Roman" w:hAnsi="Times New Roman"/>
                      <w:color w:val="auto"/>
                      <w:spacing w:val="8"/>
                      <w:sz w:val="21"/>
                      <w:szCs w:val="21"/>
                    </w:rPr>
                    <w:t>进行</w:t>
                  </w:r>
                  <w:r>
                    <w:rPr>
                      <w:rFonts w:ascii="Times New Roman" w:hAnsi="Times New Roman"/>
                      <w:color w:val="auto"/>
                      <w:spacing w:val="10"/>
                      <w:sz w:val="21"/>
                      <w:szCs w:val="21"/>
                    </w:rPr>
                    <w:t>收集</w:t>
                  </w:r>
                  <w:r>
                    <w:rPr>
                      <w:rFonts w:hint="eastAsia" w:ascii="Times New Roman" w:hAnsi="Times New Roman"/>
                      <w:color w:val="auto"/>
                      <w:spacing w:val="10"/>
                      <w:sz w:val="21"/>
                      <w:szCs w:val="21"/>
                      <w:lang w:eastAsia="zh-CN"/>
                    </w:rPr>
                    <w:t>，</w:t>
                  </w:r>
                  <w:r>
                    <w:rPr>
                      <w:rFonts w:ascii="Times New Roman" w:hAnsi="Times New Roman"/>
                      <w:color w:val="auto"/>
                      <w:spacing w:val="10"/>
                      <w:sz w:val="21"/>
                      <w:szCs w:val="21"/>
                    </w:rPr>
                    <w:t>经</w:t>
                  </w:r>
                  <w:r>
                    <w:rPr>
                      <w:rFonts w:hint="eastAsia" w:ascii="Times New Roman" w:hAnsi="Times New Roman"/>
                      <w:color w:val="auto"/>
                      <w:spacing w:val="10"/>
                      <w:sz w:val="21"/>
                      <w:szCs w:val="21"/>
                      <w:lang w:eastAsia="zh-CN"/>
                    </w:rPr>
                    <w:t>二级活性炭</w:t>
                  </w:r>
                  <w:r>
                    <w:rPr>
                      <w:rFonts w:ascii="Times New Roman" w:hAnsi="Times New Roman"/>
                      <w:color w:val="auto"/>
                      <w:spacing w:val="10"/>
                      <w:sz w:val="21"/>
                      <w:szCs w:val="21"/>
                    </w:rPr>
                    <w:t>吸附装置处理</w:t>
                  </w:r>
                  <w:r>
                    <w:rPr>
                      <w:rFonts w:hint="eastAsia" w:ascii="Times New Roman" w:hAnsi="Times New Roman"/>
                      <w:color w:val="auto"/>
                      <w:spacing w:val="10"/>
                      <w:sz w:val="21"/>
                      <w:szCs w:val="21"/>
                      <w:lang w:val="en-US" w:eastAsia="zh-CN"/>
                    </w:rPr>
                    <w:t>后</w:t>
                  </w:r>
                  <w:r>
                    <w:rPr>
                      <w:rFonts w:ascii="Times New Roman" w:hAnsi="Times New Roman"/>
                      <w:color w:val="auto"/>
                      <w:spacing w:val="10"/>
                      <w:sz w:val="21"/>
                      <w:szCs w:val="21"/>
                    </w:rPr>
                    <w:t>由</w:t>
                  </w:r>
                  <w:r>
                    <w:rPr>
                      <w:rFonts w:ascii="Times New Roman" w:hAnsi="Times New Roman" w:eastAsia="Times New Roman" w:cs="Times New Roman"/>
                      <w:color w:val="auto"/>
                      <w:spacing w:val="10"/>
                      <w:sz w:val="21"/>
                      <w:szCs w:val="21"/>
                    </w:rPr>
                    <w:t>1</w:t>
                  </w:r>
                  <w:r>
                    <w:rPr>
                      <w:rFonts w:hint="eastAsia" w:ascii="Times New Roman" w:hAnsi="Times New Roman"/>
                      <w:color w:val="auto"/>
                      <w:spacing w:val="10"/>
                      <w:sz w:val="21"/>
                      <w:szCs w:val="21"/>
                      <w:lang w:val="en-US" w:eastAsia="zh-CN"/>
                    </w:rPr>
                    <w:t>根</w:t>
                  </w:r>
                  <w:r>
                    <w:rPr>
                      <w:rFonts w:ascii="Times New Roman" w:hAnsi="Times New Roman" w:eastAsia="Times New Roman" w:cs="Times New Roman"/>
                      <w:color w:val="auto"/>
                      <w:spacing w:val="10"/>
                      <w:sz w:val="21"/>
                      <w:szCs w:val="21"/>
                    </w:rPr>
                    <w:t>15m</w:t>
                  </w:r>
                  <w:r>
                    <w:rPr>
                      <w:rFonts w:ascii="Times New Roman" w:hAnsi="Times New Roman"/>
                      <w:color w:val="auto"/>
                      <w:spacing w:val="10"/>
                      <w:sz w:val="21"/>
                      <w:szCs w:val="21"/>
                    </w:rPr>
                    <w:t>排气筒排放</w:t>
                  </w:r>
                </w:p>
              </w:tc>
              <w:tc>
                <w:tcPr>
                  <w:tcW w:w="564" w:type="pct"/>
                  <w:noWrap w:val="0"/>
                  <w:vAlign w:val="center"/>
                </w:tcPr>
                <w:p w14:paraId="7E95573C">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3</w:t>
                  </w:r>
                  <w:r>
                    <w:rPr>
                      <w:rFonts w:hint="eastAsia" w:ascii="Times New Roman" w:hAnsi="Times New Roman" w:eastAsia="宋体" w:cs="Times New Roman"/>
                      <w:color w:val="auto"/>
                      <w:kern w:val="0"/>
                      <w:sz w:val="21"/>
                      <w:szCs w:val="20"/>
                      <w:lang w:val="en-US" w:eastAsia="zh-CN" w:bidi="ar-SA"/>
                    </w:rPr>
                    <w:t>万元</w:t>
                  </w:r>
                </w:p>
              </w:tc>
            </w:tr>
            <w:tr w14:paraId="1E4F9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6" w:type="pct"/>
                  <w:noWrap w:val="0"/>
                  <w:vAlign w:val="center"/>
                </w:tcPr>
                <w:p w14:paraId="1CA5C54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3</w:t>
                  </w:r>
                </w:p>
              </w:tc>
              <w:tc>
                <w:tcPr>
                  <w:tcW w:w="527" w:type="pct"/>
                  <w:noWrap w:val="0"/>
                  <w:vAlign w:val="center"/>
                </w:tcPr>
                <w:p w14:paraId="1D04A02A">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噪声</w:t>
                  </w:r>
                </w:p>
              </w:tc>
              <w:tc>
                <w:tcPr>
                  <w:tcW w:w="3500" w:type="pct"/>
                  <w:noWrap w:val="0"/>
                  <w:vAlign w:val="center"/>
                </w:tcPr>
                <w:p w14:paraId="1889180D">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优先选用先进、低噪声设备；对高噪声设备采取减振基础、安装减振垫圈等减震措施；对各类机械设备定期检修、维护，防止设备异常噪声产生；优化平面布局，合理布置高噪声设备于远离声环境敏感点位置</w:t>
                  </w:r>
                </w:p>
              </w:tc>
              <w:tc>
                <w:tcPr>
                  <w:tcW w:w="564" w:type="pct"/>
                  <w:noWrap w:val="0"/>
                  <w:vAlign w:val="center"/>
                </w:tcPr>
                <w:p w14:paraId="745EAAAA">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1</w:t>
                  </w:r>
                  <w:r>
                    <w:rPr>
                      <w:rFonts w:hint="eastAsia" w:ascii="Times New Roman" w:hAnsi="Times New Roman" w:eastAsia="宋体" w:cs="Times New Roman"/>
                      <w:color w:val="auto"/>
                      <w:kern w:val="0"/>
                      <w:sz w:val="21"/>
                      <w:szCs w:val="20"/>
                      <w:lang w:val="en-US" w:eastAsia="zh-CN" w:bidi="ar-SA"/>
                    </w:rPr>
                    <w:t>万元</w:t>
                  </w:r>
                </w:p>
              </w:tc>
            </w:tr>
            <w:tr w14:paraId="5E04F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6" w:type="pct"/>
                  <w:noWrap w:val="0"/>
                  <w:vAlign w:val="center"/>
                </w:tcPr>
                <w:p w14:paraId="387E084C">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4</w:t>
                  </w:r>
                </w:p>
              </w:tc>
              <w:tc>
                <w:tcPr>
                  <w:tcW w:w="527" w:type="pct"/>
                  <w:noWrap w:val="0"/>
                  <w:vAlign w:val="center"/>
                </w:tcPr>
                <w:p w14:paraId="3547BB1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固体废物</w:t>
                  </w:r>
                </w:p>
              </w:tc>
              <w:tc>
                <w:tcPr>
                  <w:tcW w:w="3500" w:type="pct"/>
                  <w:noWrap w:val="0"/>
                  <w:vAlign w:val="center"/>
                </w:tcPr>
                <w:p w14:paraId="3101C44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一般工业固体废物定期外售给其他企业综合利用；设置垃圾桶存放生活垃圾，并委托环卫部门定期清运；危险废物存放于危废贮存库，定期委托有处置危险废物资质的单位处置</w:t>
                  </w:r>
                </w:p>
              </w:tc>
              <w:tc>
                <w:tcPr>
                  <w:tcW w:w="564" w:type="pct"/>
                  <w:noWrap w:val="0"/>
                  <w:vAlign w:val="center"/>
                </w:tcPr>
                <w:p w14:paraId="25EA349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1</w:t>
                  </w:r>
                  <w:r>
                    <w:rPr>
                      <w:rFonts w:hint="eastAsia" w:ascii="Times New Roman" w:hAnsi="Times New Roman" w:eastAsia="宋体" w:cs="Times New Roman"/>
                      <w:color w:val="auto"/>
                      <w:kern w:val="0"/>
                      <w:sz w:val="21"/>
                      <w:szCs w:val="20"/>
                      <w:lang w:val="en-US" w:eastAsia="zh-CN" w:bidi="ar-SA"/>
                    </w:rPr>
                    <w:t>万</w:t>
                  </w:r>
                  <w:r>
                    <w:rPr>
                      <w:rFonts w:hint="eastAsia" w:ascii="Times New Roman" w:hAnsi="Times New Roman" w:cs="Times New Roman"/>
                      <w:color w:val="auto"/>
                      <w:kern w:val="0"/>
                      <w:sz w:val="21"/>
                      <w:szCs w:val="20"/>
                      <w:lang w:val="en-US" w:eastAsia="zh-CN" w:bidi="ar-SA"/>
                    </w:rPr>
                    <w:t>元</w:t>
                  </w:r>
                </w:p>
              </w:tc>
            </w:tr>
            <w:tr w14:paraId="6923F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35" w:type="pct"/>
                  <w:gridSpan w:val="3"/>
                  <w:noWrap w:val="0"/>
                  <w:vAlign w:val="center"/>
                </w:tcPr>
                <w:p w14:paraId="70C53BB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合计</w:t>
                  </w:r>
                </w:p>
              </w:tc>
              <w:tc>
                <w:tcPr>
                  <w:tcW w:w="564" w:type="pct"/>
                  <w:noWrap w:val="0"/>
                  <w:vAlign w:val="center"/>
                </w:tcPr>
                <w:p w14:paraId="5B6E43D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6</w:t>
                  </w:r>
                  <w:r>
                    <w:rPr>
                      <w:rFonts w:hint="eastAsia" w:ascii="Times New Roman" w:hAnsi="Times New Roman" w:eastAsia="宋体" w:cs="Times New Roman"/>
                      <w:color w:val="auto"/>
                      <w:kern w:val="0"/>
                      <w:sz w:val="21"/>
                      <w:szCs w:val="20"/>
                      <w:lang w:val="en-US" w:eastAsia="zh-CN" w:bidi="ar-SA"/>
                    </w:rPr>
                    <w:t>万元</w:t>
                  </w:r>
                </w:p>
              </w:tc>
            </w:tr>
          </w:tbl>
          <w:p w14:paraId="0DBC16BA">
            <w:pPr>
              <w:widowControl w:val="0"/>
              <w:bidi w:val="0"/>
              <w:spacing w:line="360" w:lineRule="auto"/>
              <w:ind w:firstLine="480" w:firstLineChars="200"/>
              <w:jc w:val="both"/>
              <w:rPr>
                <w:rFonts w:hint="default" w:ascii="Times New Roman" w:hAnsi="Times New Roman" w:eastAsia="宋体" w:cs="宋体"/>
                <w:color w:val="auto"/>
                <w:kern w:val="2"/>
                <w:sz w:val="24"/>
                <w:szCs w:val="24"/>
                <w:lang w:val="en-US" w:eastAsia="zh-CN" w:bidi="ar-SA"/>
              </w:rPr>
            </w:pPr>
          </w:p>
        </w:tc>
      </w:tr>
    </w:tbl>
    <w:p w14:paraId="5BA3CF64">
      <w:pPr>
        <w:spacing w:line="360" w:lineRule="auto"/>
        <w:rPr>
          <w:rFonts w:hint="eastAsia" w:ascii="Times New Roman" w:hAnsi="Times New Roman" w:cs="宋体"/>
          <w:b/>
          <w:color w:val="auto"/>
          <w:sz w:val="28"/>
          <w:szCs w:val="28"/>
        </w:rPr>
        <w:sectPr>
          <w:pgSz w:w="11907" w:h="16840" w:orient="landscape"/>
          <w:pgMar w:top="1701" w:right="1531" w:bottom="2127" w:left="1531" w:header="851" w:footer="851" w:gutter="0"/>
          <w:cols w:space="720" w:num="1"/>
        </w:sectPr>
      </w:pPr>
    </w:p>
    <w:p w14:paraId="187232FE">
      <w:pPr>
        <w:pStyle w:val="204"/>
        <w:jc w:val="center"/>
        <w:outlineLvl w:val="0"/>
        <w:rPr>
          <w:rFonts w:ascii="Times New Roman" w:hAnsi="Times New Roman" w:eastAsia="黑体"/>
          <w:color w:val="auto"/>
          <w:sz w:val="30"/>
          <w:szCs w:val="30"/>
        </w:rPr>
      </w:pPr>
      <w:r>
        <w:rPr>
          <w:rFonts w:hint="eastAsia" w:ascii="Times New Roman" w:hAnsi="Times New Roman" w:eastAsia="黑体"/>
          <w:color w:val="auto"/>
          <w:sz w:val="30"/>
          <w:szCs w:val="30"/>
        </w:rPr>
        <w:t>五、环境保护措施监督检查清单</w:t>
      </w:r>
    </w:p>
    <w:tbl>
      <w:tblPr>
        <w:tblStyle w:val="3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8"/>
        <w:gridCol w:w="1030"/>
        <w:gridCol w:w="1755"/>
        <w:gridCol w:w="1755"/>
        <w:gridCol w:w="1755"/>
        <w:gridCol w:w="1757"/>
        <w:gridCol w:w="112"/>
      </w:tblGrid>
      <w:tr w14:paraId="3C02D8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112" w:type="dxa"/>
          <w:trHeight w:val="425" w:hRule="atLeast"/>
          <w:jc w:val="center"/>
        </w:trPr>
        <w:tc>
          <w:tcPr>
            <w:tcW w:w="1778" w:type="dxa"/>
            <w:gridSpan w:val="2"/>
            <w:tcBorders>
              <w:tl2br w:val="single" w:color="auto" w:sz="4" w:space="0"/>
            </w:tcBorders>
            <w:noWrap w:val="0"/>
            <w:vAlign w:val="top"/>
          </w:tcPr>
          <w:p w14:paraId="4368BACC">
            <w:pPr>
              <w:adjustRightInd w:val="0"/>
              <w:snapToGrid w:val="0"/>
              <w:ind w:firstLine="840"/>
              <w:rPr>
                <w:rFonts w:hint="eastAsia" w:ascii="Times New Roman" w:hAnsi="Times New Roman" w:cs="宋体"/>
                <w:color w:val="auto"/>
                <w:szCs w:val="21"/>
              </w:rPr>
            </w:pPr>
            <w:r>
              <w:rPr>
                <w:rFonts w:hint="eastAsia" w:ascii="Times New Roman" w:hAnsi="Times New Roman" w:cs="宋体"/>
                <w:color w:val="auto"/>
                <w:szCs w:val="21"/>
              </w:rPr>
              <w:t>内容</w:t>
            </w:r>
          </w:p>
          <w:p w14:paraId="1A9866A7">
            <w:pPr>
              <w:adjustRightInd w:val="0"/>
              <w:snapToGrid w:val="0"/>
              <w:rPr>
                <w:rFonts w:hint="eastAsia" w:ascii="Times New Roman" w:hAnsi="Times New Roman" w:cs="宋体"/>
                <w:color w:val="auto"/>
                <w:szCs w:val="21"/>
              </w:rPr>
            </w:pPr>
            <w:r>
              <w:rPr>
                <w:rFonts w:hint="eastAsia" w:ascii="Times New Roman" w:hAnsi="Times New Roman" w:cs="宋体"/>
                <w:color w:val="auto"/>
                <w:szCs w:val="21"/>
              </w:rPr>
              <w:t>要素</w:t>
            </w:r>
          </w:p>
        </w:tc>
        <w:tc>
          <w:tcPr>
            <w:tcW w:w="1755" w:type="dxa"/>
            <w:noWrap w:val="0"/>
            <w:vAlign w:val="center"/>
          </w:tcPr>
          <w:p w14:paraId="48061F2E">
            <w:pPr>
              <w:adjustRightInd w:val="0"/>
              <w:snapToGrid w:val="0"/>
              <w:jc w:val="center"/>
              <w:rPr>
                <w:rFonts w:hint="eastAsia" w:ascii="Times New Roman" w:hAnsi="Times New Roman" w:cs="宋体"/>
                <w:color w:val="auto"/>
                <w:szCs w:val="21"/>
              </w:rPr>
            </w:pPr>
            <w:r>
              <w:rPr>
                <w:rFonts w:hint="eastAsia" w:ascii="Times New Roman" w:hAnsi="Times New Roman" w:cs="宋体"/>
                <w:color w:val="auto"/>
                <w:szCs w:val="21"/>
              </w:rPr>
              <w:t>排放口(编号、</w:t>
            </w:r>
          </w:p>
          <w:p w14:paraId="6DE9956B">
            <w:pPr>
              <w:adjustRightInd w:val="0"/>
              <w:snapToGrid w:val="0"/>
              <w:jc w:val="center"/>
              <w:rPr>
                <w:rFonts w:hint="eastAsia" w:ascii="Times New Roman" w:hAnsi="Times New Roman" w:cs="宋体"/>
                <w:color w:val="auto"/>
                <w:szCs w:val="21"/>
              </w:rPr>
            </w:pPr>
            <w:r>
              <w:rPr>
                <w:rFonts w:hint="eastAsia" w:ascii="Times New Roman" w:hAnsi="Times New Roman" w:cs="宋体"/>
                <w:color w:val="auto"/>
                <w:szCs w:val="21"/>
              </w:rPr>
              <w:t>名称)/污染源</w:t>
            </w:r>
          </w:p>
        </w:tc>
        <w:tc>
          <w:tcPr>
            <w:tcW w:w="1755" w:type="dxa"/>
            <w:noWrap w:val="0"/>
            <w:vAlign w:val="center"/>
          </w:tcPr>
          <w:p w14:paraId="73956A15">
            <w:pPr>
              <w:adjustRightInd w:val="0"/>
              <w:snapToGrid w:val="0"/>
              <w:jc w:val="center"/>
              <w:rPr>
                <w:rFonts w:hint="eastAsia" w:ascii="Times New Roman" w:hAnsi="Times New Roman" w:cs="宋体"/>
                <w:color w:val="auto"/>
                <w:szCs w:val="21"/>
              </w:rPr>
            </w:pPr>
            <w:r>
              <w:rPr>
                <w:rFonts w:hint="eastAsia" w:ascii="Times New Roman" w:hAnsi="Times New Roman" w:cs="宋体"/>
                <w:color w:val="auto"/>
                <w:szCs w:val="21"/>
              </w:rPr>
              <w:t>污染物项目</w:t>
            </w:r>
          </w:p>
        </w:tc>
        <w:tc>
          <w:tcPr>
            <w:tcW w:w="1755" w:type="dxa"/>
            <w:noWrap w:val="0"/>
            <w:vAlign w:val="center"/>
          </w:tcPr>
          <w:p w14:paraId="0EB26EEB">
            <w:pPr>
              <w:adjustRightInd w:val="0"/>
              <w:snapToGrid w:val="0"/>
              <w:jc w:val="center"/>
              <w:rPr>
                <w:rFonts w:hint="eastAsia" w:ascii="Times New Roman" w:hAnsi="Times New Roman" w:cs="宋体"/>
                <w:color w:val="auto"/>
                <w:szCs w:val="21"/>
              </w:rPr>
            </w:pPr>
            <w:r>
              <w:rPr>
                <w:rFonts w:hint="eastAsia" w:ascii="Times New Roman" w:hAnsi="Times New Roman" w:cs="宋体"/>
                <w:color w:val="auto"/>
                <w:szCs w:val="21"/>
              </w:rPr>
              <w:t>环境保护措施</w:t>
            </w:r>
          </w:p>
        </w:tc>
        <w:tc>
          <w:tcPr>
            <w:tcW w:w="1757" w:type="dxa"/>
            <w:noWrap w:val="0"/>
            <w:vAlign w:val="center"/>
          </w:tcPr>
          <w:p w14:paraId="3B195A95">
            <w:pPr>
              <w:adjustRightInd w:val="0"/>
              <w:snapToGrid w:val="0"/>
              <w:jc w:val="center"/>
              <w:rPr>
                <w:rFonts w:hint="eastAsia" w:ascii="Times New Roman" w:hAnsi="Times New Roman" w:cs="宋体"/>
                <w:color w:val="auto"/>
                <w:szCs w:val="21"/>
              </w:rPr>
            </w:pPr>
            <w:r>
              <w:rPr>
                <w:rFonts w:hint="eastAsia" w:ascii="Times New Roman" w:hAnsi="Times New Roman" w:cs="宋体"/>
                <w:color w:val="auto"/>
                <w:szCs w:val="21"/>
              </w:rPr>
              <w:t>执行标准</w:t>
            </w:r>
          </w:p>
        </w:tc>
      </w:tr>
      <w:tr w14:paraId="1E8DAC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112" w:type="dxa"/>
          <w:trHeight w:val="3176" w:hRule="atLeast"/>
          <w:jc w:val="center"/>
        </w:trPr>
        <w:tc>
          <w:tcPr>
            <w:tcW w:w="1778" w:type="dxa"/>
            <w:gridSpan w:val="2"/>
            <w:vMerge w:val="restart"/>
            <w:noWrap w:val="0"/>
            <w:vAlign w:val="center"/>
          </w:tcPr>
          <w:p w14:paraId="4D008AEC">
            <w:pPr>
              <w:adjustRightInd w:val="0"/>
              <w:snapToGrid w:val="0"/>
              <w:jc w:val="center"/>
              <w:rPr>
                <w:rFonts w:hint="eastAsia" w:ascii="Times New Roman" w:hAnsi="Times New Roman" w:cs="宋体"/>
                <w:color w:val="auto"/>
                <w:szCs w:val="21"/>
              </w:rPr>
            </w:pPr>
            <w:r>
              <w:rPr>
                <w:rFonts w:hint="eastAsia" w:ascii="Times New Roman" w:hAnsi="Times New Roman" w:cs="宋体"/>
                <w:color w:val="auto"/>
                <w:szCs w:val="21"/>
              </w:rPr>
              <w:t>大气环境</w:t>
            </w:r>
          </w:p>
        </w:tc>
        <w:tc>
          <w:tcPr>
            <w:tcW w:w="1755" w:type="dxa"/>
            <w:noWrap w:val="0"/>
            <w:vAlign w:val="center"/>
          </w:tcPr>
          <w:p w14:paraId="60197330">
            <w:pPr>
              <w:pStyle w:val="227"/>
              <w:bidi w:val="0"/>
              <w:rPr>
                <w:rFonts w:hint="default" w:ascii="Times New Roman" w:hAnsi="Times New Roman" w:eastAsia="宋体"/>
                <w:color w:val="auto"/>
                <w:kern w:val="0"/>
                <w:sz w:val="21"/>
                <w:szCs w:val="20"/>
                <w:lang w:val="en-US" w:eastAsia="zh-CN" w:bidi="ar-SA"/>
              </w:rPr>
            </w:pPr>
            <w:r>
              <w:rPr>
                <w:rFonts w:hint="eastAsia" w:ascii="Times New Roman" w:hAnsi="Times New Roman" w:eastAsia="宋体" w:cs="Times New Roman"/>
                <w:color w:val="auto"/>
                <w:lang w:val="en-US" w:eastAsia="zh-CN"/>
              </w:rPr>
              <w:t>有机废气排放口（DA001）/上盘废气、清洗废气、检测废气。</w:t>
            </w:r>
          </w:p>
        </w:tc>
        <w:tc>
          <w:tcPr>
            <w:tcW w:w="1755" w:type="dxa"/>
            <w:noWrap w:val="0"/>
            <w:vAlign w:val="center"/>
          </w:tcPr>
          <w:p w14:paraId="1CA817E4">
            <w:pPr>
              <w:pStyle w:val="227"/>
              <w:bidi w:val="0"/>
              <w:rPr>
                <w:rFonts w:hint="eastAsia" w:ascii="Times New Roman" w:hAnsi="Times New Roman" w:eastAsia="宋体"/>
                <w:color w:val="auto"/>
                <w:kern w:val="0"/>
                <w:sz w:val="21"/>
                <w:szCs w:val="20"/>
                <w:lang w:val="en-US" w:eastAsia="zh-CN" w:bidi="ar-SA"/>
              </w:rPr>
            </w:pPr>
            <w:r>
              <w:rPr>
                <w:rFonts w:hint="eastAsia" w:ascii="Times New Roman" w:hAnsi="Times New Roman"/>
                <w:color w:val="auto"/>
                <w:lang w:val="en-US" w:eastAsia="zh-CN"/>
              </w:rPr>
              <w:t>VOCs（以非甲烷总烃计）</w:t>
            </w:r>
          </w:p>
        </w:tc>
        <w:tc>
          <w:tcPr>
            <w:tcW w:w="1755" w:type="dxa"/>
            <w:noWrap w:val="0"/>
            <w:vAlign w:val="center"/>
          </w:tcPr>
          <w:p w14:paraId="131186F0">
            <w:pPr>
              <w:pStyle w:val="227"/>
              <w:bidi w:val="0"/>
              <w:rPr>
                <w:rFonts w:hint="eastAsia" w:ascii="Times New Roman" w:hAnsi="Times New Roman" w:eastAsia="宋体"/>
                <w:color w:val="auto"/>
                <w:kern w:val="0"/>
                <w:sz w:val="21"/>
                <w:szCs w:val="20"/>
                <w:lang w:val="en-US" w:eastAsia="zh-CN" w:bidi="ar-SA"/>
              </w:rPr>
            </w:pPr>
            <w:r>
              <w:rPr>
                <w:rFonts w:ascii="Times New Roman" w:hAnsi="Times New Roman"/>
                <w:color w:val="auto"/>
                <w:spacing w:val="8"/>
                <w:sz w:val="21"/>
                <w:szCs w:val="21"/>
              </w:rPr>
              <w:t>车间密闭</w:t>
            </w:r>
            <w:r>
              <w:rPr>
                <w:rFonts w:hint="eastAsia" w:ascii="Times New Roman" w:hAnsi="Times New Roman"/>
                <w:color w:val="auto"/>
                <w:spacing w:val="8"/>
                <w:sz w:val="21"/>
                <w:szCs w:val="21"/>
                <w:lang w:val="en-US" w:eastAsia="zh-CN"/>
              </w:rPr>
              <w:t>负压</w:t>
            </w:r>
            <w:r>
              <w:rPr>
                <w:rFonts w:ascii="Times New Roman" w:hAnsi="Times New Roman"/>
                <w:color w:val="auto"/>
                <w:spacing w:val="8"/>
                <w:sz w:val="21"/>
                <w:szCs w:val="21"/>
              </w:rPr>
              <w:t>，设置收集管道对</w:t>
            </w:r>
            <w:r>
              <w:rPr>
                <w:rFonts w:hint="eastAsia" w:ascii="Times New Roman" w:hAnsi="Times New Roman"/>
                <w:color w:val="auto"/>
                <w:spacing w:val="8"/>
                <w:sz w:val="21"/>
                <w:szCs w:val="21"/>
                <w:lang w:val="en-US" w:eastAsia="zh-CN"/>
              </w:rPr>
              <w:t>废气</w:t>
            </w:r>
            <w:r>
              <w:rPr>
                <w:rFonts w:ascii="Times New Roman" w:hAnsi="Times New Roman"/>
                <w:color w:val="auto"/>
                <w:spacing w:val="8"/>
                <w:sz w:val="21"/>
                <w:szCs w:val="21"/>
              </w:rPr>
              <w:t>进行</w:t>
            </w:r>
            <w:r>
              <w:rPr>
                <w:rFonts w:ascii="Times New Roman" w:hAnsi="Times New Roman"/>
                <w:color w:val="auto"/>
                <w:spacing w:val="10"/>
                <w:sz w:val="21"/>
                <w:szCs w:val="21"/>
              </w:rPr>
              <w:t>收集</w:t>
            </w:r>
            <w:r>
              <w:rPr>
                <w:rFonts w:hint="eastAsia" w:ascii="Times New Roman" w:hAnsi="Times New Roman"/>
                <w:color w:val="auto"/>
                <w:spacing w:val="10"/>
                <w:sz w:val="21"/>
                <w:szCs w:val="21"/>
                <w:lang w:eastAsia="zh-CN"/>
              </w:rPr>
              <w:t>，</w:t>
            </w:r>
            <w:r>
              <w:rPr>
                <w:rFonts w:ascii="Times New Roman" w:hAnsi="Times New Roman"/>
                <w:color w:val="auto"/>
                <w:spacing w:val="10"/>
                <w:sz w:val="21"/>
                <w:szCs w:val="21"/>
              </w:rPr>
              <w:t>经</w:t>
            </w:r>
            <w:r>
              <w:rPr>
                <w:rFonts w:hint="eastAsia" w:ascii="Times New Roman" w:hAnsi="Times New Roman"/>
                <w:color w:val="auto"/>
                <w:spacing w:val="10"/>
                <w:sz w:val="21"/>
                <w:szCs w:val="21"/>
                <w:lang w:eastAsia="zh-CN"/>
              </w:rPr>
              <w:t>二级活性炭</w:t>
            </w:r>
            <w:r>
              <w:rPr>
                <w:rFonts w:ascii="Times New Roman" w:hAnsi="Times New Roman"/>
                <w:color w:val="auto"/>
                <w:spacing w:val="10"/>
                <w:sz w:val="21"/>
                <w:szCs w:val="21"/>
              </w:rPr>
              <w:t>吸附装置处理</w:t>
            </w:r>
            <w:r>
              <w:rPr>
                <w:rFonts w:hint="eastAsia" w:ascii="Times New Roman" w:hAnsi="Times New Roman"/>
                <w:color w:val="auto"/>
                <w:spacing w:val="10"/>
                <w:sz w:val="21"/>
                <w:szCs w:val="21"/>
                <w:lang w:val="en-US" w:eastAsia="zh-CN"/>
              </w:rPr>
              <w:t>后</w:t>
            </w:r>
            <w:r>
              <w:rPr>
                <w:rFonts w:ascii="Times New Roman" w:hAnsi="Times New Roman"/>
                <w:color w:val="auto"/>
                <w:spacing w:val="10"/>
                <w:sz w:val="21"/>
                <w:szCs w:val="21"/>
              </w:rPr>
              <w:t>由</w:t>
            </w:r>
            <w:r>
              <w:rPr>
                <w:rFonts w:ascii="Times New Roman" w:hAnsi="Times New Roman" w:eastAsia="Times New Roman" w:cs="Times New Roman"/>
                <w:color w:val="auto"/>
                <w:spacing w:val="10"/>
                <w:sz w:val="21"/>
                <w:szCs w:val="21"/>
              </w:rPr>
              <w:t>1</w:t>
            </w:r>
            <w:r>
              <w:rPr>
                <w:rFonts w:hint="eastAsia" w:ascii="Times New Roman" w:hAnsi="Times New Roman"/>
                <w:color w:val="auto"/>
                <w:spacing w:val="10"/>
                <w:sz w:val="21"/>
                <w:szCs w:val="21"/>
                <w:lang w:val="en-US" w:eastAsia="zh-CN"/>
              </w:rPr>
              <w:t>根</w:t>
            </w:r>
            <w:r>
              <w:rPr>
                <w:rFonts w:ascii="Times New Roman" w:hAnsi="Times New Roman" w:eastAsia="Times New Roman" w:cs="Times New Roman"/>
                <w:color w:val="auto"/>
                <w:spacing w:val="10"/>
                <w:sz w:val="21"/>
                <w:szCs w:val="21"/>
              </w:rPr>
              <w:t>15m</w:t>
            </w:r>
            <w:r>
              <w:rPr>
                <w:rFonts w:ascii="Times New Roman" w:hAnsi="Times New Roman"/>
                <w:color w:val="auto"/>
                <w:spacing w:val="10"/>
                <w:sz w:val="21"/>
                <w:szCs w:val="21"/>
              </w:rPr>
              <w:t>排气筒排放</w:t>
            </w:r>
          </w:p>
        </w:tc>
        <w:tc>
          <w:tcPr>
            <w:tcW w:w="1757" w:type="dxa"/>
            <w:noWrap w:val="0"/>
            <w:vAlign w:val="center"/>
          </w:tcPr>
          <w:p w14:paraId="55C7F043">
            <w:pPr>
              <w:pStyle w:val="227"/>
              <w:bidi w:val="0"/>
              <w:rPr>
                <w:rFonts w:hint="eastAsia" w:ascii="Times New Roman" w:hAnsi="Times New Roman" w:eastAsia="宋体"/>
                <w:color w:val="auto"/>
                <w:kern w:val="0"/>
                <w:sz w:val="21"/>
                <w:szCs w:val="20"/>
                <w:lang w:val="en-US" w:eastAsia="zh-CN" w:bidi="ar-SA"/>
              </w:rPr>
            </w:pPr>
            <w:r>
              <w:rPr>
                <w:rFonts w:hint="eastAsia" w:ascii="Times New Roman" w:hAnsi="Times New Roman"/>
                <w:color w:val="auto"/>
                <w:lang w:val="en-US" w:eastAsia="zh-CN"/>
              </w:rPr>
              <w:t>《工业企业挥发性有机物排放标准》（DB35/1782-2018）表1中标准（非甲烷总烃最高允许排放浓度≤100mg/m</w:t>
            </w:r>
            <w:r>
              <w:rPr>
                <w:rFonts w:hint="eastAsia" w:ascii="Times New Roman" w:hAnsi="Times New Roman"/>
                <w:color w:val="auto"/>
                <w:vertAlign w:val="superscript"/>
                <w:lang w:val="en-US" w:eastAsia="zh-CN"/>
              </w:rPr>
              <w:t>3</w:t>
            </w:r>
            <w:r>
              <w:rPr>
                <w:rFonts w:hint="eastAsia" w:ascii="Times New Roman" w:hAnsi="Times New Roman"/>
                <w:color w:val="auto"/>
                <w:vertAlign w:val="baseline"/>
                <w:lang w:val="en-US" w:eastAsia="zh-CN"/>
              </w:rPr>
              <w:t>，排放速率≤1.8kg/h</w:t>
            </w:r>
            <w:r>
              <w:rPr>
                <w:rFonts w:hint="eastAsia" w:ascii="Times New Roman" w:hAnsi="Times New Roman"/>
                <w:color w:val="auto"/>
                <w:lang w:val="en-US" w:eastAsia="zh-CN"/>
              </w:rPr>
              <w:t>）</w:t>
            </w:r>
          </w:p>
        </w:tc>
      </w:tr>
      <w:tr w14:paraId="5A1304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112" w:type="dxa"/>
          <w:trHeight w:val="425" w:hRule="atLeast"/>
          <w:jc w:val="center"/>
        </w:trPr>
        <w:tc>
          <w:tcPr>
            <w:tcW w:w="1778" w:type="dxa"/>
            <w:gridSpan w:val="2"/>
            <w:vMerge w:val="continue"/>
            <w:noWrap w:val="0"/>
            <w:vAlign w:val="center"/>
          </w:tcPr>
          <w:p w14:paraId="696F437E">
            <w:pPr>
              <w:adjustRightInd w:val="0"/>
              <w:snapToGrid w:val="0"/>
              <w:jc w:val="center"/>
              <w:rPr>
                <w:rFonts w:hint="eastAsia" w:ascii="Times New Roman" w:hAnsi="Times New Roman" w:cs="宋体"/>
                <w:color w:val="auto"/>
                <w:szCs w:val="21"/>
              </w:rPr>
            </w:pPr>
          </w:p>
        </w:tc>
        <w:tc>
          <w:tcPr>
            <w:tcW w:w="1755" w:type="dxa"/>
            <w:noWrap w:val="0"/>
            <w:vAlign w:val="center"/>
          </w:tcPr>
          <w:p w14:paraId="2B4CFB92">
            <w:pPr>
              <w:pStyle w:val="227"/>
              <w:bidi w:val="0"/>
              <w:rPr>
                <w:rFonts w:hint="eastAsia" w:ascii="Times New Roman" w:hAnsi="Times New Roman" w:eastAsia="宋体"/>
                <w:color w:val="auto"/>
                <w:kern w:val="0"/>
                <w:sz w:val="21"/>
                <w:szCs w:val="20"/>
                <w:lang w:val="en-US" w:eastAsia="zh-CN" w:bidi="ar-SA"/>
              </w:rPr>
            </w:pPr>
            <w:r>
              <w:rPr>
                <w:rFonts w:hint="eastAsia" w:ascii="Times New Roman" w:hAnsi="Times New Roman"/>
                <w:color w:val="auto"/>
                <w:lang w:val="en-US" w:eastAsia="zh-CN"/>
              </w:rPr>
              <w:t>厂界/生产车间</w:t>
            </w:r>
          </w:p>
        </w:tc>
        <w:tc>
          <w:tcPr>
            <w:tcW w:w="1755" w:type="dxa"/>
            <w:noWrap w:val="0"/>
            <w:vAlign w:val="center"/>
          </w:tcPr>
          <w:p w14:paraId="74CC112F">
            <w:pPr>
              <w:pStyle w:val="227"/>
              <w:bidi w:val="0"/>
              <w:rPr>
                <w:rFonts w:hint="eastAsia" w:ascii="Times New Roman" w:hAnsi="Times New Roman" w:eastAsia="宋体"/>
                <w:color w:val="auto"/>
                <w:kern w:val="0"/>
                <w:sz w:val="21"/>
                <w:szCs w:val="20"/>
                <w:lang w:val="en-US" w:eastAsia="zh-CN" w:bidi="ar-SA"/>
              </w:rPr>
            </w:pPr>
            <w:r>
              <w:rPr>
                <w:rFonts w:hint="eastAsia" w:ascii="Times New Roman" w:hAnsi="Times New Roman"/>
                <w:color w:val="auto"/>
                <w:lang w:val="en-US" w:eastAsia="zh-CN"/>
              </w:rPr>
              <w:t>VOCs（以非甲烷总烃计）</w:t>
            </w:r>
          </w:p>
        </w:tc>
        <w:tc>
          <w:tcPr>
            <w:tcW w:w="1755" w:type="dxa"/>
            <w:noWrap w:val="0"/>
            <w:vAlign w:val="center"/>
          </w:tcPr>
          <w:p w14:paraId="5B508B69">
            <w:pPr>
              <w:pStyle w:val="227"/>
              <w:bidi w:val="0"/>
              <w:rPr>
                <w:rFonts w:hint="eastAsia" w:ascii="Times New Roman" w:hAnsi="Times New Roman" w:eastAsia="宋体"/>
                <w:color w:val="auto"/>
                <w:kern w:val="0"/>
                <w:sz w:val="21"/>
                <w:szCs w:val="20"/>
                <w:lang w:val="en-US" w:eastAsia="zh-CN" w:bidi="ar-SA"/>
              </w:rPr>
            </w:pPr>
            <w:r>
              <w:rPr>
                <w:rFonts w:hint="eastAsia" w:ascii="Times New Roman" w:hAnsi="Times New Roman"/>
                <w:color w:val="auto"/>
                <w:lang w:val="en-US" w:eastAsia="zh-CN"/>
              </w:rPr>
              <w:t>车间密闭</w:t>
            </w:r>
            <w:r>
              <w:rPr>
                <w:rFonts w:hint="eastAsia"/>
                <w:color w:val="auto"/>
                <w:lang w:val="en-US" w:eastAsia="zh-CN"/>
              </w:rPr>
              <w:t>负压</w:t>
            </w:r>
            <w:r>
              <w:rPr>
                <w:rFonts w:hint="eastAsia" w:ascii="Times New Roman" w:hAnsi="Times New Roman"/>
                <w:color w:val="auto"/>
                <w:lang w:val="en-US" w:eastAsia="zh-CN"/>
              </w:rPr>
              <w:t>，减少对外界大气环境造成影响</w:t>
            </w:r>
          </w:p>
        </w:tc>
        <w:tc>
          <w:tcPr>
            <w:tcW w:w="1757" w:type="dxa"/>
            <w:noWrap w:val="0"/>
            <w:vAlign w:val="center"/>
          </w:tcPr>
          <w:p w14:paraId="003E6F09">
            <w:pPr>
              <w:pStyle w:val="227"/>
              <w:bidi w:val="0"/>
              <w:rPr>
                <w:rFonts w:hint="eastAsia" w:ascii="Times New Roman" w:hAnsi="Times New Roman" w:eastAsia="宋体"/>
                <w:color w:val="auto"/>
                <w:kern w:val="0"/>
                <w:sz w:val="21"/>
                <w:szCs w:val="20"/>
                <w:lang w:val="en-US" w:eastAsia="zh-CN" w:bidi="ar-SA"/>
              </w:rPr>
            </w:pPr>
            <w:r>
              <w:rPr>
                <w:rFonts w:hint="eastAsia" w:ascii="Times New Roman" w:hAnsi="Times New Roman"/>
                <w:color w:val="auto"/>
                <w:lang w:val="en-US" w:eastAsia="zh-CN"/>
              </w:rPr>
              <w:t>《工业企业挥发性有机物排放标准》（DB35/1782-2018）表3标准（非甲烷总烃企业边界监控点浓度限值2.0mg/m</w:t>
            </w:r>
            <w:r>
              <w:rPr>
                <w:rFonts w:hint="eastAsia" w:ascii="Times New Roman" w:hAnsi="Times New Roman"/>
                <w:color w:val="auto"/>
                <w:vertAlign w:val="superscript"/>
                <w:lang w:val="en-US" w:eastAsia="zh-CN"/>
              </w:rPr>
              <w:t>3</w:t>
            </w:r>
            <w:r>
              <w:rPr>
                <w:rFonts w:hint="eastAsia" w:ascii="Times New Roman" w:hAnsi="Times New Roman"/>
                <w:color w:val="auto"/>
                <w:lang w:val="en-US" w:eastAsia="zh-CN"/>
              </w:rPr>
              <w:t>）</w:t>
            </w:r>
          </w:p>
        </w:tc>
      </w:tr>
      <w:tr w14:paraId="558598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112" w:type="dxa"/>
          <w:trHeight w:val="425" w:hRule="atLeast"/>
          <w:jc w:val="center"/>
        </w:trPr>
        <w:tc>
          <w:tcPr>
            <w:tcW w:w="1778" w:type="dxa"/>
            <w:gridSpan w:val="2"/>
            <w:vMerge w:val="continue"/>
            <w:noWrap w:val="0"/>
            <w:vAlign w:val="center"/>
          </w:tcPr>
          <w:p w14:paraId="6994E618">
            <w:pPr>
              <w:adjustRightInd w:val="0"/>
              <w:snapToGrid w:val="0"/>
              <w:jc w:val="center"/>
              <w:rPr>
                <w:rFonts w:hint="eastAsia" w:ascii="Times New Roman" w:hAnsi="Times New Roman" w:cs="宋体"/>
                <w:color w:val="auto"/>
                <w:szCs w:val="21"/>
              </w:rPr>
            </w:pPr>
          </w:p>
        </w:tc>
        <w:tc>
          <w:tcPr>
            <w:tcW w:w="1755" w:type="dxa"/>
            <w:noWrap w:val="0"/>
            <w:vAlign w:val="center"/>
          </w:tcPr>
          <w:p w14:paraId="5359E761">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厂区内/生产车间</w:t>
            </w:r>
          </w:p>
        </w:tc>
        <w:tc>
          <w:tcPr>
            <w:tcW w:w="1755" w:type="dxa"/>
            <w:noWrap w:val="0"/>
            <w:vAlign w:val="center"/>
          </w:tcPr>
          <w:p w14:paraId="344D77B7">
            <w:pPr>
              <w:pStyle w:val="227"/>
              <w:bidi w:val="0"/>
              <w:rPr>
                <w:rFonts w:hint="eastAsia" w:ascii="Times New Roman" w:hAnsi="Times New Roman" w:eastAsia="宋体"/>
                <w:color w:val="auto"/>
                <w:kern w:val="0"/>
                <w:sz w:val="21"/>
                <w:szCs w:val="20"/>
                <w:lang w:val="en-US" w:eastAsia="zh-CN" w:bidi="ar-SA"/>
              </w:rPr>
            </w:pPr>
            <w:r>
              <w:rPr>
                <w:rFonts w:hint="eastAsia" w:ascii="Times New Roman" w:hAnsi="Times New Roman"/>
                <w:color w:val="auto"/>
                <w:lang w:val="en-US" w:eastAsia="zh-CN"/>
              </w:rPr>
              <w:t>VOCs（以非甲烷总烃计）</w:t>
            </w:r>
          </w:p>
        </w:tc>
        <w:tc>
          <w:tcPr>
            <w:tcW w:w="1755" w:type="dxa"/>
            <w:noWrap w:val="0"/>
            <w:vAlign w:val="center"/>
          </w:tcPr>
          <w:p w14:paraId="52C85D22">
            <w:pPr>
              <w:pStyle w:val="227"/>
              <w:bidi w:val="0"/>
              <w:rPr>
                <w:rFonts w:hint="eastAsia" w:ascii="Times New Roman" w:hAnsi="Times New Roman" w:eastAsia="宋体"/>
                <w:color w:val="auto"/>
                <w:kern w:val="0"/>
                <w:sz w:val="21"/>
                <w:szCs w:val="20"/>
                <w:lang w:val="en-US" w:eastAsia="zh-CN" w:bidi="ar-SA"/>
              </w:rPr>
            </w:pPr>
            <w:r>
              <w:rPr>
                <w:rFonts w:hint="eastAsia" w:ascii="Times New Roman" w:hAnsi="Times New Roman"/>
                <w:color w:val="auto"/>
                <w:lang w:val="en-US" w:eastAsia="zh-CN"/>
              </w:rPr>
              <w:t>车间密闭</w:t>
            </w:r>
            <w:r>
              <w:rPr>
                <w:rFonts w:hint="eastAsia"/>
                <w:color w:val="auto"/>
                <w:lang w:val="en-US" w:eastAsia="zh-CN"/>
              </w:rPr>
              <w:t>负压</w:t>
            </w:r>
            <w:r>
              <w:rPr>
                <w:rFonts w:hint="eastAsia" w:ascii="Times New Roman" w:hAnsi="Times New Roman"/>
                <w:color w:val="auto"/>
                <w:lang w:val="en-US" w:eastAsia="zh-CN"/>
              </w:rPr>
              <w:t>，减少对外界大气环境造成影响</w:t>
            </w:r>
          </w:p>
        </w:tc>
        <w:tc>
          <w:tcPr>
            <w:tcW w:w="1757" w:type="dxa"/>
            <w:noWrap w:val="0"/>
            <w:vAlign w:val="center"/>
          </w:tcPr>
          <w:p w14:paraId="0F51B574">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项目VOCs（以非甲烷总烃计）厂区内无组织排放执行《挥发性有机物无组织排放控制标准》（GB37822-2019）中附录A表A.1无组织排放限值，监控点处1h平均浓度值≤</w:t>
            </w:r>
            <w:r>
              <w:rPr>
                <w:rFonts w:hint="eastAsia"/>
                <w:color w:val="auto"/>
                <w:lang w:val="en-US" w:eastAsia="zh-CN"/>
              </w:rPr>
              <w:t>8</w:t>
            </w:r>
            <w:r>
              <w:rPr>
                <w:rFonts w:hint="eastAsia" w:ascii="Times New Roman" w:hAnsi="Times New Roman"/>
                <w:color w:val="auto"/>
                <w:lang w:val="en-US" w:eastAsia="zh-CN"/>
              </w:rPr>
              <w:t>mg/m</w:t>
            </w:r>
            <w:r>
              <w:rPr>
                <w:rFonts w:hint="eastAsia" w:ascii="Times New Roman" w:hAnsi="Times New Roman"/>
                <w:color w:val="auto"/>
                <w:vertAlign w:val="superscript"/>
                <w:lang w:val="en-US" w:eastAsia="zh-CN"/>
              </w:rPr>
              <w:t>3</w:t>
            </w:r>
            <w:r>
              <w:rPr>
                <w:rFonts w:hint="eastAsia" w:ascii="Times New Roman" w:hAnsi="Times New Roman"/>
                <w:color w:val="auto"/>
                <w:lang w:val="en-US" w:eastAsia="zh-CN"/>
              </w:rPr>
              <w:t>，</w:t>
            </w:r>
          </w:p>
          <w:p w14:paraId="7977F16D">
            <w:pPr>
              <w:pStyle w:val="227"/>
              <w:bidi w:val="0"/>
              <w:rPr>
                <w:rFonts w:hint="default" w:ascii="Times New Roman" w:hAnsi="Times New Roman"/>
                <w:color w:val="auto"/>
                <w:vertAlign w:val="baseline"/>
                <w:lang w:val="en-US" w:eastAsia="zh-CN"/>
              </w:rPr>
            </w:pPr>
            <w:r>
              <w:rPr>
                <w:rFonts w:hint="eastAsia" w:ascii="Times New Roman" w:hAnsi="Times New Roman"/>
                <w:color w:val="auto"/>
                <w:lang w:val="en-US" w:eastAsia="zh-CN"/>
              </w:rPr>
              <w:t>监控点处任意一次浓度值≤30mg/m</w:t>
            </w:r>
            <w:r>
              <w:rPr>
                <w:rFonts w:hint="eastAsia" w:ascii="Times New Roman" w:hAnsi="Times New Roman"/>
                <w:color w:val="auto"/>
                <w:vertAlign w:val="superscript"/>
                <w:lang w:val="en-US" w:eastAsia="zh-CN"/>
              </w:rPr>
              <w:t>3</w:t>
            </w:r>
            <w:r>
              <w:rPr>
                <w:rFonts w:hint="eastAsia" w:ascii="Times New Roman" w:hAnsi="Times New Roman"/>
                <w:color w:val="auto"/>
                <w:vertAlign w:val="baseline"/>
                <w:lang w:val="en-US" w:eastAsia="zh-CN"/>
              </w:rPr>
              <w:t>，《工业企业挥发性有机物排放标准》（DB35/1782-2018）表2中厂区内监控点浓度限值，浓度限值为8.0mg/m</w:t>
            </w:r>
            <w:r>
              <w:rPr>
                <w:rFonts w:hint="eastAsia" w:ascii="Times New Roman" w:hAnsi="Times New Roman"/>
                <w:color w:val="auto"/>
                <w:vertAlign w:val="superscript"/>
                <w:lang w:val="en-US" w:eastAsia="zh-CN"/>
              </w:rPr>
              <w:t>3</w:t>
            </w:r>
          </w:p>
        </w:tc>
      </w:tr>
      <w:tr w14:paraId="76D169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112" w:type="dxa"/>
          <w:trHeight w:val="425" w:hRule="atLeast"/>
          <w:jc w:val="center"/>
        </w:trPr>
        <w:tc>
          <w:tcPr>
            <w:tcW w:w="1778" w:type="dxa"/>
            <w:gridSpan w:val="2"/>
            <w:vMerge w:val="restart"/>
            <w:noWrap w:val="0"/>
            <w:vAlign w:val="center"/>
          </w:tcPr>
          <w:p w14:paraId="6E161DDB">
            <w:pPr>
              <w:adjustRightInd w:val="0"/>
              <w:snapToGrid w:val="0"/>
              <w:jc w:val="center"/>
              <w:rPr>
                <w:rFonts w:hint="eastAsia" w:ascii="Times New Roman" w:hAnsi="Times New Roman" w:cs="宋体"/>
                <w:color w:val="auto"/>
                <w:szCs w:val="21"/>
              </w:rPr>
            </w:pPr>
            <w:r>
              <w:rPr>
                <w:rFonts w:hint="eastAsia" w:ascii="Times New Roman" w:hAnsi="Times New Roman" w:cs="宋体"/>
                <w:color w:val="auto"/>
                <w:szCs w:val="21"/>
              </w:rPr>
              <w:t>地表水环境</w:t>
            </w:r>
          </w:p>
        </w:tc>
        <w:tc>
          <w:tcPr>
            <w:tcW w:w="1755" w:type="dxa"/>
            <w:noWrap w:val="0"/>
            <w:vAlign w:val="center"/>
          </w:tcPr>
          <w:p w14:paraId="641372AB">
            <w:pPr>
              <w:pStyle w:val="227"/>
              <w:bidi w:val="0"/>
              <w:rPr>
                <w:rFonts w:hint="eastAsia" w:ascii="Times New Roman" w:hAnsi="Times New Roman" w:eastAsia="宋体"/>
                <w:color w:val="auto"/>
                <w:kern w:val="0"/>
                <w:sz w:val="21"/>
                <w:szCs w:val="20"/>
                <w:lang w:val="en-US" w:eastAsia="zh-CN" w:bidi="ar-SA"/>
              </w:rPr>
            </w:pPr>
            <w:r>
              <w:rPr>
                <w:rFonts w:hint="eastAsia" w:ascii="Times New Roman" w:hAnsi="Times New Roman"/>
                <w:color w:val="auto"/>
                <w:lang w:val="en-US" w:eastAsia="zh-CN"/>
              </w:rPr>
              <w:t>生产废水</w:t>
            </w:r>
          </w:p>
        </w:tc>
        <w:tc>
          <w:tcPr>
            <w:tcW w:w="1755" w:type="dxa"/>
            <w:noWrap w:val="0"/>
            <w:vAlign w:val="center"/>
          </w:tcPr>
          <w:p w14:paraId="0A195EA4">
            <w:pPr>
              <w:pStyle w:val="227"/>
              <w:bidi w:val="0"/>
              <w:rPr>
                <w:rFonts w:hint="eastAsia" w:ascii="Times New Roman" w:hAnsi="Times New Roman" w:eastAsia="宋体"/>
                <w:color w:val="auto"/>
                <w:kern w:val="0"/>
                <w:sz w:val="21"/>
                <w:szCs w:val="20"/>
                <w:lang w:val="en-US" w:eastAsia="zh-CN" w:bidi="ar-SA"/>
              </w:rPr>
            </w:pPr>
            <w:r>
              <w:rPr>
                <w:rFonts w:hint="eastAsia" w:ascii="Times New Roman" w:hAnsi="Times New Roman"/>
                <w:color w:val="auto"/>
                <w:lang w:val="en-US" w:eastAsia="zh-CN"/>
              </w:rPr>
              <w:t>pH值</w:t>
            </w:r>
            <w:r>
              <w:rPr>
                <w:rFonts w:hint="eastAsia" w:ascii="Times New Roman" w:hAnsi="Times New Roman" w:eastAsia="宋体"/>
                <w:color w:val="auto"/>
                <w:lang w:val="en-US" w:eastAsia="zh-CN"/>
              </w:rPr>
              <w:t>、COD、SS、BOD</w:t>
            </w:r>
            <w:r>
              <w:rPr>
                <w:rFonts w:hint="eastAsia" w:ascii="Times New Roman" w:hAnsi="Times New Roman" w:eastAsia="宋体"/>
                <w:color w:val="auto"/>
                <w:vertAlign w:val="subscript"/>
                <w:lang w:val="en-US" w:eastAsia="zh-CN"/>
              </w:rPr>
              <w:t>5</w:t>
            </w:r>
            <w:r>
              <w:rPr>
                <w:rFonts w:hint="eastAsia" w:ascii="Times New Roman" w:hAnsi="Times New Roman" w:eastAsia="宋体"/>
                <w:color w:val="auto"/>
                <w:lang w:val="en-US" w:eastAsia="zh-CN"/>
              </w:rPr>
              <w:t>、NH</w:t>
            </w:r>
            <w:r>
              <w:rPr>
                <w:rFonts w:hint="eastAsia" w:ascii="Times New Roman" w:hAnsi="Times New Roman" w:eastAsia="宋体"/>
                <w:color w:val="auto"/>
                <w:vertAlign w:val="subscript"/>
                <w:lang w:val="en-US" w:eastAsia="zh-CN"/>
              </w:rPr>
              <w:t>3</w:t>
            </w:r>
            <w:r>
              <w:rPr>
                <w:rFonts w:hint="eastAsia" w:ascii="Times New Roman" w:hAnsi="Times New Roman" w:eastAsia="宋体"/>
                <w:color w:val="auto"/>
                <w:lang w:val="en-US" w:eastAsia="zh-CN"/>
              </w:rPr>
              <w:t>-N</w:t>
            </w:r>
          </w:p>
        </w:tc>
        <w:tc>
          <w:tcPr>
            <w:tcW w:w="1755" w:type="dxa"/>
            <w:noWrap w:val="0"/>
            <w:vAlign w:val="center"/>
          </w:tcPr>
          <w:p w14:paraId="74176C96">
            <w:pPr>
              <w:pStyle w:val="227"/>
              <w:bidi w:val="0"/>
              <w:rPr>
                <w:rFonts w:hint="eastAsia" w:ascii="Times New Roman" w:hAnsi="Times New Roman" w:eastAsia="宋体"/>
                <w:color w:val="auto"/>
                <w:kern w:val="0"/>
                <w:sz w:val="21"/>
                <w:szCs w:val="20"/>
                <w:lang w:val="en-US" w:eastAsia="zh-CN" w:bidi="ar-SA"/>
              </w:rPr>
            </w:pPr>
            <w:r>
              <w:rPr>
                <w:rFonts w:ascii="Times New Roman" w:hAnsi="Times New Roman"/>
                <w:color w:val="auto"/>
                <w:spacing w:val="8"/>
                <w:sz w:val="21"/>
                <w:szCs w:val="21"/>
              </w:rPr>
              <w:t>生产废水经</w:t>
            </w:r>
            <w:r>
              <w:rPr>
                <w:rFonts w:hint="eastAsia" w:ascii="Times New Roman" w:hAnsi="Times New Roman"/>
                <w:color w:val="auto"/>
                <w:spacing w:val="8"/>
                <w:sz w:val="21"/>
                <w:szCs w:val="21"/>
                <w:lang w:val="en-US" w:eastAsia="zh-CN"/>
              </w:rPr>
              <w:t>三格</w:t>
            </w:r>
            <w:r>
              <w:rPr>
                <w:rFonts w:ascii="Times New Roman" w:hAnsi="Times New Roman"/>
                <w:color w:val="auto"/>
                <w:spacing w:val="8"/>
                <w:sz w:val="21"/>
                <w:szCs w:val="21"/>
              </w:rPr>
              <w:t>沉淀</w:t>
            </w:r>
            <w:r>
              <w:rPr>
                <w:rFonts w:hint="eastAsia" w:ascii="Times New Roman" w:hAnsi="Times New Roman"/>
                <w:color w:val="auto"/>
                <w:spacing w:val="8"/>
                <w:sz w:val="21"/>
                <w:szCs w:val="21"/>
                <w:lang w:val="en-US" w:eastAsia="zh-CN"/>
              </w:rPr>
              <w:t>桶沉淀后与</w:t>
            </w:r>
            <w:r>
              <w:rPr>
                <w:rFonts w:ascii="Times New Roman" w:hAnsi="Times New Roman"/>
                <w:color w:val="auto"/>
                <w:spacing w:val="8"/>
                <w:sz w:val="21"/>
                <w:szCs w:val="21"/>
              </w:rPr>
              <w:t>生活污水</w:t>
            </w:r>
            <w:r>
              <w:rPr>
                <w:rFonts w:hint="eastAsia" w:ascii="Times New Roman" w:hAnsi="Times New Roman"/>
                <w:color w:val="auto"/>
                <w:spacing w:val="8"/>
                <w:sz w:val="21"/>
                <w:szCs w:val="21"/>
                <w:lang w:val="en-US" w:eastAsia="zh-CN"/>
              </w:rPr>
              <w:t>一起通过</w:t>
            </w:r>
            <w:r>
              <w:rPr>
                <w:rFonts w:ascii="Times New Roman" w:hAnsi="Times New Roman"/>
                <w:color w:val="auto"/>
                <w:spacing w:val="8"/>
                <w:sz w:val="21"/>
                <w:szCs w:val="21"/>
              </w:rPr>
              <w:t>现有化粪池处理后，通过</w:t>
            </w:r>
            <w:r>
              <w:rPr>
                <w:rFonts w:ascii="Times New Roman" w:hAnsi="Times New Roman"/>
                <w:color w:val="auto"/>
                <w:spacing w:val="9"/>
                <w:sz w:val="21"/>
                <w:szCs w:val="21"/>
              </w:rPr>
              <w:t>市政污水管网，纳入</w:t>
            </w:r>
            <w:r>
              <w:rPr>
                <w:rFonts w:hint="eastAsia" w:ascii="Times New Roman" w:hAnsi="Times New Roman"/>
                <w:color w:val="auto"/>
                <w:spacing w:val="9"/>
                <w:sz w:val="21"/>
                <w:szCs w:val="21"/>
                <w:lang w:val="en-US" w:eastAsia="zh-CN"/>
              </w:rPr>
              <w:t>闽侯县城关污水处理厂</w:t>
            </w:r>
            <w:r>
              <w:rPr>
                <w:rFonts w:ascii="Times New Roman" w:hAnsi="Times New Roman"/>
                <w:color w:val="auto"/>
                <w:spacing w:val="9"/>
                <w:sz w:val="21"/>
                <w:szCs w:val="21"/>
              </w:rPr>
              <w:t>处理</w:t>
            </w:r>
          </w:p>
        </w:tc>
        <w:tc>
          <w:tcPr>
            <w:tcW w:w="1757" w:type="dxa"/>
            <w:noWrap w:val="0"/>
            <w:vAlign w:val="center"/>
          </w:tcPr>
          <w:p w14:paraId="35359D5C">
            <w:pPr>
              <w:pStyle w:val="227"/>
              <w:bidi w:val="0"/>
              <w:rPr>
                <w:rFonts w:hint="eastAsia" w:ascii="Times New Roman" w:hAnsi="Times New Roman" w:eastAsia="宋体"/>
                <w:color w:val="auto"/>
                <w:kern w:val="0"/>
                <w:sz w:val="21"/>
                <w:szCs w:val="20"/>
                <w:lang w:val="en-US" w:eastAsia="zh-CN" w:bidi="ar-SA"/>
              </w:rPr>
            </w:pPr>
            <w:r>
              <w:rPr>
                <w:rFonts w:hint="eastAsia" w:ascii="Times New Roman" w:hAnsi="Times New Roman"/>
                <w:color w:val="auto"/>
                <w:lang w:eastAsia="zh-CN"/>
              </w:rPr>
              <w:t>《</w:t>
            </w:r>
            <w:r>
              <w:rPr>
                <w:rFonts w:hint="eastAsia" w:ascii="Times New Roman" w:hAnsi="Times New Roman"/>
                <w:color w:val="auto"/>
                <w:lang w:val="en-US" w:eastAsia="zh-CN"/>
              </w:rPr>
              <w:t>污水综合排放标准</w:t>
            </w:r>
            <w:r>
              <w:rPr>
                <w:rFonts w:hint="eastAsia" w:ascii="Times New Roman" w:hAnsi="Times New Roman"/>
                <w:color w:val="auto"/>
                <w:lang w:eastAsia="zh-CN"/>
              </w:rPr>
              <w:t>》（</w:t>
            </w:r>
            <w:r>
              <w:rPr>
                <w:rFonts w:hint="eastAsia" w:ascii="Times New Roman" w:hAnsi="Times New Roman"/>
                <w:color w:val="auto"/>
                <w:lang w:val="en-US" w:eastAsia="zh-CN"/>
              </w:rPr>
              <w:t>GB8978-1996</w:t>
            </w:r>
            <w:r>
              <w:rPr>
                <w:rFonts w:hint="eastAsia" w:ascii="Times New Roman" w:hAnsi="Times New Roman"/>
                <w:color w:val="auto"/>
                <w:lang w:eastAsia="zh-CN"/>
              </w:rPr>
              <w:t>）</w:t>
            </w:r>
            <w:r>
              <w:rPr>
                <w:rFonts w:hint="eastAsia" w:ascii="Times New Roman" w:hAnsi="Times New Roman"/>
                <w:color w:val="auto"/>
                <w:lang w:val="en-US" w:eastAsia="zh-CN"/>
              </w:rPr>
              <w:t>表4三级标准（（pH值在6-9之间，BOD</w:t>
            </w:r>
            <w:r>
              <w:rPr>
                <w:rFonts w:hint="eastAsia" w:ascii="Times New Roman" w:hAnsi="Times New Roman"/>
                <w:color w:val="auto"/>
                <w:vertAlign w:val="subscript"/>
                <w:lang w:val="en-US" w:eastAsia="zh-CN"/>
              </w:rPr>
              <w:t>5</w:t>
            </w:r>
            <w:r>
              <w:rPr>
                <w:rFonts w:hint="eastAsia" w:ascii="Times New Roman" w:hAnsi="Times New Roman"/>
                <w:color w:val="auto"/>
                <w:lang w:val="en-US" w:eastAsia="zh-CN"/>
              </w:rPr>
              <w:t>≤300mg/L，COD≤500mg/L、SS≤400mg/L），氨氮执行《污水排入城镇下水道水质标准》（GB/T31962-2015）一级B标准（NH</w:t>
            </w:r>
            <w:r>
              <w:rPr>
                <w:rFonts w:hint="eastAsia" w:ascii="Times New Roman" w:hAnsi="Times New Roman"/>
                <w:color w:val="auto"/>
                <w:vertAlign w:val="subscript"/>
                <w:lang w:val="en-US" w:eastAsia="zh-CN"/>
              </w:rPr>
              <w:t>3</w:t>
            </w:r>
            <w:r>
              <w:rPr>
                <w:rFonts w:hint="eastAsia" w:ascii="Times New Roman" w:hAnsi="Times New Roman"/>
                <w:color w:val="auto"/>
                <w:lang w:val="en-US" w:eastAsia="zh-CN"/>
              </w:rPr>
              <w:t>-N≤45mg/L））</w:t>
            </w:r>
          </w:p>
        </w:tc>
      </w:tr>
      <w:tr w14:paraId="09422A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112" w:type="dxa"/>
          <w:trHeight w:val="425" w:hRule="atLeast"/>
          <w:jc w:val="center"/>
        </w:trPr>
        <w:tc>
          <w:tcPr>
            <w:tcW w:w="1778" w:type="dxa"/>
            <w:gridSpan w:val="2"/>
            <w:vMerge w:val="continue"/>
            <w:noWrap w:val="0"/>
            <w:vAlign w:val="center"/>
          </w:tcPr>
          <w:p w14:paraId="5F64B5FB">
            <w:pPr>
              <w:adjustRightInd w:val="0"/>
              <w:snapToGrid w:val="0"/>
              <w:jc w:val="center"/>
              <w:rPr>
                <w:rFonts w:hint="eastAsia" w:ascii="Times New Roman" w:hAnsi="Times New Roman" w:cs="宋体"/>
                <w:color w:val="auto"/>
                <w:szCs w:val="21"/>
              </w:rPr>
            </w:pPr>
          </w:p>
        </w:tc>
        <w:tc>
          <w:tcPr>
            <w:tcW w:w="1755" w:type="dxa"/>
            <w:noWrap w:val="0"/>
            <w:vAlign w:val="center"/>
          </w:tcPr>
          <w:p w14:paraId="45765192">
            <w:pPr>
              <w:pStyle w:val="227"/>
              <w:bidi w:val="0"/>
              <w:rPr>
                <w:rFonts w:hint="eastAsia" w:ascii="Times New Roman" w:hAnsi="Times New Roman" w:eastAsia="宋体"/>
                <w:color w:val="auto"/>
                <w:kern w:val="0"/>
                <w:sz w:val="21"/>
                <w:szCs w:val="20"/>
                <w:lang w:val="en-US" w:eastAsia="zh-CN" w:bidi="ar-SA"/>
              </w:rPr>
            </w:pPr>
            <w:r>
              <w:rPr>
                <w:rFonts w:hint="eastAsia" w:ascii="Times New Roman" w:hAnsi="Times New Roman"/>
                <w:color w:val="auto"/>
                <w:lang w:val="en-US" w:eastAsia="zh-CN"/>
              </w:rPr>
              <w:t>生活污水</w:t>
            </w:r>
          </w:p>
        </w:tc>
        <w:tc>
          <w:tcPr>
            <w:tcW w:w="1755" w:type="dxa"/>
            <w:noWrap w:val="0"/>
            <w:vAlign w:val="center"/>
          </w:tcPr>
          <w:p w14:paraId="140D428D">
            <w:pPr>
              <w:pStyle w:val="227"/>
              <w:bidi w:val="0"/>
              <w:rPr>
                <w:rFonts w:hint="default" w:ascii="Times New Roman" w:hAnsi="Times New Roman" w:eastAsia="宋体"/>
                <w:color w:val="auto"/>
                <w:kern w:val="0"/>
                <w:sz w:val="21"/>
                <w:szCs w:val="20"/>
                <w:lang w:val="en-US" w:eastAsia="zh-CN" w:bidi="ar-SA"/>
              </w:rPr>
            </w:pPr>
            <w:r>
              <w:rPr>
                <w:rFonts w:hint="eastAsia" w:ascii="Times New Roman" w:hAnsi="Times New Roman" w:eastAsia="宋体"/>
                <w:color w:val="auto"/>
                <w:lang w:val="en-US" w:eastAsia="zh-CN"/>
              </w:rPr>
              <w:t>pH值、COD、SS、BOD</w:t>
            </w:r>
            <w:r>
              <w:rPr>
                <w:rFonts w:hint="eastAsia" w:ascii="Times New Roman" w:hAnsi="Times New Roman" w:eastAsia="宋体"/>
                <w:color w:val="auto"/>
                <w:vertAlign w:val="subscript"/>
                <w:lang w:val="en-US" w:eastAsia="zh-CN"/>
              </w:rPr>
              <w:t>5</w:t>
            </w:r>
            <w:r>
              <w:rPr>
                <w:rFonts w:hint="eastAsia" w:ascii="Times New Roman" w:hAnsi="Times New Roman" w:eastAsia="宋体"/>
                <w:color w:val="auto"/>
                <w:lang w:val="en-US" w:eastAsia="zh-CN"/>
              </w:rPr>
              <w:t>、NH</w:t>
            </w:r>
            <w:r>
              <w:rPr>
                <w:rFonts w:hint="eastAsia" w:ascii="Times New Roman" w:hAnsi="Times New Roman" w:eastAsia="宋体"/>
                <w:color w:val="auto"/>
                <w:vertAlign w:val="subscript"/>
                <w:lang w:val="en-US" w:eastAsia="zh-CN"/>
              </w:rPr>
              <w:t>3</w:t>
            </w:r>
            <w:r>
              <w:rPr>
                <w:rFonts w:hint="eastAsia" w:ascii="Times New Roman" w:hAnsi="Times New Roman" w:eastAsia="宋体"/>
                <w:color w:val="auto"/>
                <w:lang w:val="en-US" w:eastAsia="zh-CN"/>
              </w:rPr>
              <w:t>-N、</w:t>
            </w:r>
          </w:p>
        </w:tc>
        <w:tc>
          <w:tcPr>
            <w:tcW w:w="1755" w:type="dxa"/>
            <w:noWrap w:val="0"/>
            <w:vAlign w:val="center"/>
          </w:tcPr>
          <w:p w14:paraId="26C201D6">
            <w:pPr>
              <w:pStyle w:val="227"/>
              <w:bidi w:val="0"/>
              <w:rPr>
                <w:rFonts w:hint="eastAsia" w:ascii="Times New Roman" w:hAnsi="Times New Roman" w:eastAsia="宋体"/>
                <w:color w:val="auto"/>
                <w:kern w:val="0"/>
                <w:sz w:val="21"/>
                <w:szCs w:val="20"/>
                <w:lang w:val="en-US" w:eastAsia="zh-CN" w:bidi="ar-SA"/>
              </w:rPr>
            </w:pPr>
            <w:r>
              <w:rPr>
                <w:rFonts w:ascii="Times New Roman" w:hAnsi="Times New Roman"/>
                <w:color w:val="auto"/>
                <w:spacing w:val="8"/>
                <w:sz w:val="21"/>
                <w:szCs w:val="21"/>
              </w:rPr>
              <w:t>生活污水</w:t>
            </w:r>
            <w:r>
              <w:rPr>
                <w:rFonts w:hint="eastAsia" w:ascii="Times New Roman" w:hAnsi="Times New Roman"/>
                <w:color w:val="auto"/>
                <w:spacing w:val="8"/>
                <w:sz w:val="21"/>
                <w:szCs w:val="21"/>
                <w:lang w:val="en-US" w:eastAsia="zh-CN"/>
              </w:rPr>
              <w:t>通过</w:t>
            </w:r>
            <w:r>
              <w:rPr>
                <w:rFonts w:ascii="Times New Roman" w:hAnsi="Times New Roman"/>
                <w:color w:val="auto"/>
                <w:spacing w:val="8"/>
                <w:sz w:val="21"/>
                <w:szCs w:val="21"/>
              </w:rPr>
              <w:t>现有化粪池处理后，通过</w:t>
            </w:r>
            <w:r>
              <w:rPr>
                <w:rFonts w:ascii="Times New Roman" w:hAnsi="Times New Roman"/>
                <w:color w:val="auto"/>
                <w:spacing w:val="9"/>
                <w:sz w:val="21"/>
                <w:szCs w:val="21"/>
              </w:rPr>
              <w:t>市政污水管网，纳入</w:t>
            </w:r>
            <w:r>
              <w:rPr>
                <w:rFonts w:hint="eastAsia" w:ascii="Times New Roman" w:hAnsi="Times New Roman"/>
                <w:color w:val="auto"/>
                <w:spacing w:val="9"/>
                <w:sz w:val="21"/>
                <w:szCs w:val="21"/>
                <w:lang w:val="en-US" w:eastAsia="zh-CN"/>
              </w:rPr>
              <w:t>闽侯县城关污水处理厂</w:t>
            </w:r>
            <w:r>
              <w:rPr>
                <w:rFonts w:ascii="Times New Roman" w:hAnsi="Times New Roman"/>
                <w:color w:val="auto"/>
                <w:spacing w:val="9"/>
                <w:sz w:val="21"/>
                <w:szCs w:val="21"/>
              </w:rPr>
              <w:t>处理</w:t>
            </w:r>
          </w:p>
        </w:tc>
        <w:tc>
          <w:tcPr>
            <w:tcW w:w="1757" w:type="dxa"/>
            <w:noWrap w:val="0"/>
            <w:vAlign w:val="center"/>
          </w:tcPr>
          <w:p w14:paraId="699CB0B2">
            <w:pPr>
              <w:pStyle w:val="227"/>
              <w:bidi w:val="0"/>
              <w:rPr>
                <w:rFonts w:hint="eastAsia" w:ascii="Times New Roman" w:hAnsi="Times New Roman" w:eastAsia="宋体"/>
                <w:color w:val="auto"/>
                <w:kern w:val="0"/>
                <w:sz w:val="21"/>
                <w:szCs w:val="20"/>
                <w:lang w:val="en-US" w:eastAsia="zh-CN" w:bidi="ar-SA"/>
              </w:rPr>
            </w:pPr>
            <w:r>
              <w:rPr>
                <w:rFonts w:hint="eastAsia" w:ascii="Times New Roman" w:hAnsi="Times New Roman" w:eastAsia="宋体"/>
                <w:color w:val="auto"/>
                <w:lang w:eastAsia="zh-CN"/>
              </w:rPr>
              <w:t>《</w:t>
            </w:r>
            <w:r>
              <w:rPr>
                <w:rFonts w:hint="eastAsia" w:ascii="Times New Roman" w:hAnsi="Times New Roman" w:eastAsia="宋体"/>
                <w:color w:val="auto"/>
                <w:lang w:val="en-US" w:eastAsia="zh-CN"/>
              </w:rPr>
              <w:t>污水综合排放标准</w:t>
            </w:r>
            <w:r>
              <w:rPr>
                <w:rFonts w:hint="eastAsia" w:ascii="Times New Roman" w:hAnsi="Times New Roman" w:eastAsia="宋体"/>
                <w:color w:val="auto"/>
                <w:lang w:eastAsia="zh-CN"/>
              </w:rPr>
              <w:t>》（</w:t>
            </w:r>
            <w:r>
              <w:rPr>
                <w:rFonts w:hint="eastAsia" w:ascii="Times New Roman" w:hAnsi="Times New Roman" w:eastAsia="宋体"/>
                <w:color w:val="auto"/>
                <w:lang w:val="en-US" w:eastAsia="zh-CN"/>
              </w:rPr>
              <w:t>GB8978-1996</w:t>
            </w:r>
            <w:r>
              <w:rPr>
                <w:rFonts w:hint="eastAsia" w:ascii="Times New Roman" w:hAnsi="Times New Roman" w:eastAsia="宋体"/>
                <w:color w:val="auto"/>
                <w:lang w:eastAsia="zh-CN"/>
              </w:rPr>
              <w:t>）</w:t>
            </w:r>
            <w:r>
              <w:rPr>
                <w:rFonts w:hint="eastAsia" w:ascii="Times New Roman" w:hAnsi="Times New Roman" w:eastAsia="宋体"/>
                <w:color w:val="auto"/>
                <w:lang w:val="en-US" w:eastAsia="zh-CN"/>
              </w:rPr>
              <w:t>表4三级标准（（pH值在6-9之间，BOD</w:t>
            </w:r>
            <w:r>
              <w:rPr>
                <w:rFonts w:hint="eastAsia" w:ascii="Times New Roman" w:hAnsi="Times New Roman" w:eastAsia="宋体"/>
                <w:color w:val="auto"/>
                <w:vertAlign w:val="subscript"/>
                <w:lang w:val="en-US" w:eastAsia="zh-CN"/>
              </w:rPr>
              <w:t>5</w:t>
            </w:r>
            <w:r>
              <w:rPr>
                <w:rFonts w:hint="eastAsia" w:ascii="Times New Roman" w:hAnsi="Times New Roman" w:eastAsia="宋体"/>
                <w:color w:val="auto"/>
                <w:lang w:val="en-US" w:eastAsia="zh-CN"/>
              </w:rPr>
              <w:t>≤300mg/L，COD≤500mg/L、SS≤400mg/L），氨氮执行《污水排入城镇下水道水质标准》（GB/T31962-2015）一级B标准（NH</w:t>
            </w:r>
            <w:r>
              <w:rPr>
                <w:rFonts w:hint="eastAsia" w:ascii="Times New Roman" w:hAnsi="Times New Roman" w:eastAsia="宋体"/>
                <w:color w:val="auto"/>
                <w:vertAlign w:val="subscript"/>
                <w:lang w:val="en-US" w:eastAsia="zh-CN"/>
              </w:rPr>
              <w:t>3</w:t>
            </w:r>
            <w:r>
              <w:rPr>
                <w:rFonts w:hint="eastAsia" w:ascii="Times New Roman" w:hAnsi="Times New Roman" w:eastAsia="宋体"/>
                <w:color w:val="auto"/>
                <w:lang w:val="en-US" w:eastAsia="zh-CN"/>
              </w:rPr>
              <w:t>-N≤45mg/L））</w:t>
            </w:r>
          </w:p>
        </w:tc>
      </w:tr>
      <w:tr w14:paraId="6A686A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112" w:type="dxa"/>
          <w:trHeight w:val="425" w:hRule="atLeast"/>
          <w:jc w:val="center"/>
        </w:trPr>
        <w:tc>
          <w:tcPr>
            <w:tcW w:w="1778" w:type="dxa"/>
            <w:gridSpan w:val="2"/>
            <w:noWrap w:val="0"/>
            <w:vAlign w:val="center"/>
          </w:tcPr>
          <w:p w14:paraId="25A45296">
            <w:pPr>
              <w:adjustRightInd w:val="0"/>
              <w:snapToGrid w:val="0"/>
              <w:jc w:val="center"/>
              <w:rPr>
                <w:rFonts w:hint="eastAsia" w:ascii="Times New Roman" w:hAnsi="Times New Roman" w:cs="宋体"/>
                <w:color w:val="auto"/>
                <w:szCs w:val="21"/>
              </w:rPr>
            </w:pPr>
            <w:r>
              <w:rPr>
                <w:rFonts w:hint="eastAsia" w:ascii="Times New Roman" w:hAnsi="Times New Roman" w:cs="宋体"/>
                <w:color w:val="auto"/>
                <w:szCs w:val="21"/>
              </w:rPr>
              <w:t>声环境</w:t>
            </w:r>
          </w:p>
        </w:tc>
        <w:tc>
          <w:tcPr>
            <w:tcW w:w="1755" w:type="dxa"/>
            <w:noWrap w:val="0"/>
            <w:vAlign w:val="center"/>
          </w:tcPr>
          <w:p w14:paraId="365097C4">
            <w:pPr>
              <w:pStyle w:val="227"/>
              <w:bidi w:val="0"/>
              <w:jc w:val="center"/>
              <w:rPr>
                <w:rFonts w:hint="eastAsia" w:ascii="Times New Roman" w:hAnsi="Times New Roman" w:eastAsia="宋体"/>
                <w:color w:val="auto"/>
                <w:kern w:val="0"/>
                <w:sz w:val="21"/>
                <w:szCs w:val="20"/>
                <w:lang w:val="en-US" w:eastAsia="zh-CN" w:bidi="ar-SA"/>
              </w:rPr>
            </w:pPr>
            <w:r>
              <w:rPr>
                <w:rFonts w:hint="eastAsia" w:ascii="Times New Roman" w:hAnsi="Times New Roman"/>
                <w:color w:val="auto"/>
              </w:rPr>
              <w:t>厂界噪声/生产设备</w:t>
            </w:r>
          </w:p>
        </w:tc>
        <w:tc>
          <w:tcPr>
            <w:tcW w:w="1755" w:type="dxa"/>
            <w:noWrap w:val="0"/>
            <w:vAlign w:val="center"/>
          </w:tcPr>
          <w:p w14:paraId="18D151C7">
            <w:pPr>
              <w:pStyle w:val="227"/>
              <w:bidi w:val="0"/>
              <w:jc w:val="center"/>
              <w:rPr>
                <w:rFonts w:hint="eastAsia" w:ascii="Times New Roman" w:hAnsi="Times New Roman" w:eastAsia="宋体"/>
                <w:color w:val="auto"/>
                <w:kern w:val="0"/>
                <w:sz w:val="21"/>
                <w:szCs w:val="20"/>
                <w:lang w:val="en-US" w:eastAsia="zh-CN" w:bidi="ar-SA"/>
              </w:rPr>
            </w:pPr>
            <w:r>
              <w:rPr>
                <w:rFonts w:hint="eastAsia" w:ascii="Times New Roman" w:hAnsi="Times New Roman"/>
                <w:color w:val="auto"/>
                <w:lang w:val="en-US" w:eastAsia="zh-CN"/>
              </w:rPr>
              <w:t>连续</w:t>
            </w:r>
            <w:r>
              <w:rPr>
                <w:rFonts w:hint="eastAsia" w:ascii="Times New Roman" w:hAnsi="Times New Roman"/>
                <w:color w:val="auto"/>
              </w:rPr>
              <w:t>等效A声级Leq</w:t>
            </w:r>
          </w:p>
        </w:tc>
        <w:tc>
          <w:tcPr>
            <w:tcW w:w="1755" w:type="dxa"/>
            <w:noWrap w:val="0"/>
            <w:vAlign w:val="center"/>
          </w:tcPr>
          <w:p w14:paraId="016889F7">
            <w:pPr>
              <w:pStyle w:val="227"/>
              <w:bidi w:val="0"/>
              <w:jc w:val="center"/>
              <w:rPr>
                <w:rFonts w:hint="eastAsia" w:ascii="Times New Roman" w:hAnsi="Times New Roman" w:eastAsia="宋体"/>
                <w:color w:val="auto"/>
                <w:kern w:val="0"/>
                <w:sz w:val="21"/>
                <w:szCs w:val="20"/>
                <w:lang w:val="en-US" w:eastAsia="zh-CN" w:bidi="ar-SA"/>
              </w:rPr>
            </w:pPr>
            <w:r>
              <w:rPr>
                <w:rFonts w:hint="eastAsia" w:ascii="Times New Roman" w:hAnsi="Times New Roman"/>
                <w:color w:val="auto"/>
              </w:rPr>
              <w:t>优先选用先进、低噪声设备；对高噪声设备采取减振基础、安装减振垫圈等减震措施；对各类机械设备定期检修、维护，防止设备异常噪声产生；优化平面布局，合理布置高噪声设备于远离声环境敏感点位置</w:t>
            </w:r>
            <w:r>
              <w:rPr>
                <w:rFonts w:hint="eastAsia" w:ascii="Times New Roman" w:hAnsi="Times New Roman"/>
                <w:color w:val="auto"/>
                <w:lang w:eastAsia="zh-CN"/>
              </w:rPr>
              <w:t>，</w:t>
            </w:r>
            <w:r>
              <w:rPr>
                <w:rFonts w:hint="eastAsia" w:ascii="Times New Roman" w:hAnsi="Times New Roman"/>
                <w:color w:val="auto"/>
                <w:lang w:val="en-US" w:eastAsia="zh-CN"/>
              </w:rPr>
              <w:t>夜间不生产</w:t>
            </w:r>
          </w:p>
        </w:tc>
        <w:tc>
          <w:tcPr>
            <w:tcW w:w="1757" w:type="dxa"/>
            <w:noWrap w:val="0"/>
            <w:vAlign w:val="center"/>
          </w:tcPr>
          <w:p w14:paraId="357B2CEC">
            <w:pPr>
              <w:pStyle w:val="227"/>
              <w:bidi w:val="0"/>
              <w:jc w:val="center"/>
              <w:rPr>
                <w:rFonts w:hint="eastAsia" w:ascii="Times New Roman" w:hAnsi="Times New Roman" w:eastAsia="宋体"/>
                <w:color w:val="auto"/>
                <w:kern w:val="0"/>
                <w:sz w:val="21"/>
                <w:szCs w:val="20"/>
                <w:lang w:val="en-US" w:eastAsia="zh-CN" w:bidi="ar-SA"/>
              </w:rPr>
            </w:pPr>
            <w:r>
              <w:rPr>
                <w:rFonts w:hint="eastAsia" w:ascii="Times New Roman" w:hAnsi="Times New Roman"/>
                <w:color w:val="auto"/>
              </w:rPr>
              <w:t>厂界</w:t>
            </w:r>
            <w:r>
              <w:rPr>
                <w:rFonts w:hint="eastAsia" w:ascii="Times New Roman" w:hAnsi="Times New Roman"/>
                <w:color w:val="auto"/>
                <w:lang w:val="en-US" w:eastAsia="zh-CN"/>
              </w:rPr>
              <w:t>四周</w:t>
            </w:r>
            <w:r>
              <w:rPr>
                <w:rFonts w:hint="eastAsia" w:ascii="Times New Roman" w:hAnsi="Times New Roman"/>
                <w:color w:val="auto"/>
              </w:rPr>
              <w:t>噪声执行《工业企业厂界环境噪声排放标准》（GB12348-2008）中</w:t>
            </w:r>
            <w:r>
              <w:rPr>
                <w:rFonts w:hint="eastAsia" w:ascii="Times New Roman" w:hAnsi="Times New Roman"/>
                <w:color w:val="auto"/>
                <w:lang w:val="en-US" w:eastAsia="zh-CN"/>
              </w:rPr>
              <w:t>3</w:t>
            </w:r>
            <w:r>
              <w:rPr>
                <w:rFonts w:hint="eastAsia" w:ascii="Times New Roman" w:hAnsi="Times New Roman"/>
                <w:color w:val="auto"/>
              </w:rPr>
              <w:t>类标准</w:t>
            </w:r>
            <w:r>
              <w:rPr>
                <w:rFonts w:hint="eastAsia" w:ascii="Times New Roman" w:hAnsi="Times New Roman"/>
                <w:color w:val="auto"/>
                <w:lang w:eastAsia="zh-CN"/>
              </w:rPr>
              <w:t>，（</w:t>
            </w:r>
            <w:r>
              <w:rPr>
                <w:rFonts w:hint="eastAsia" w:ascii="Times New Roman" w:hAnsi="Times New Roman"/>
                <w:color w:val="auto"/>
                <w:lang w:val="en-US" w:eastAsia="zh-CN"/>
              </w:rPr>
              <w:t>噪声昼间值Leq≤65dB</w:t>
            </w:r>
            <w:r>
              <w:rPr>
                <w:rFonts w:hint="eastAsia" w:ascii="Times New Roman" w:hAnsi="Times New Roman"/>
                <w:color w:val="auto"/>
                <w:lang w:eastAsia="zh-CN"/>
              </w:rPr>
              <w:t>）</w:t>
            </w:r>
          </w:p>
        </w:tc>
      </w:tr>
      <w:tr w14:paraId="458D70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112" w:type="dxa"/>
          <w:trHeight w:val="425" w:hRule="atLeast"/>
          <w:jc w:val="center"/>
        </w:trPr>
        <w:tc>
          <w:tcPr>
            <w:tcW w:w="1778" w:type="dxa"/>
            <w:gridSpan w:val="2"/>
            <w:noWrap w:val="0"/>
            <w:vAlign w:val="center"/>
          </w:tcPr>
          <w:p w14:paraId="3DB20EA5">
            <w:pPr>
              <w:adjustRightInd w:val="0"/>
              <w:snapToGrid w:val="0"/>
              <w:jc w:val="center"/>
              <w:rPr>
                <w:rFonts w:hint="eastAsia" w:ascii="Times New Roman" w:hAnsi="Times New Roman" w:cs="宋体"/>
                <w:color w:val="auto"/>
                <w:szCs w:val="21"/>
              </w:rPr>
            </w:pPr>
            <w:r>
              <w:rPr>
                <w:rFonts w:hint="eastAsia" w:ascii="Times New Roman" w:hAnsi="Times New Roman" w:cs="宋体"/>
                <w:color w:val="auto"/>
                <w:szCs w:val="21"/>
              </w:rPr>
              <w:t>电磁辐射</w:t>
            </w:r>
          </w:p>
        </w:tc>
        <w:tc>
          <w:tcPr>
            <w:tcW w:w="1755" w:type="dxa"/>
            <w:noWrap w:val="0"/>
            <w:vAlign w:val="center"/>
          </w:tcPr>
          <w:p w14:paraId="301D0A91">
            <w:pPr>
              <w:adjustRightInd w:val="0"/>
              <w:snapToGrid w:val="0"/>
              <w:jc w:val="center"/>
              <w:rPr>
                <w:rFonts w:hint="eastAsia" w:ascii="Times New Roman" w:hAnsi="Times New Roman" w:eastAsia="宋体" w:cs="宋体"/>
                <w:color w:val="auto"/>
                <w:szCs w:val="21"/>
                <w:lang w:val="en-US" w:eastAsia="zh-CN"/>
              </w:rPr>
            </w:pPr>
            <w:r>
              <w:rPr>
                <w:rFonts w:hint="eastAsia" w:ascii="Times New Roman" w:hAnsi="Times New Roman" w:cs="宋体"/>
                <w:color w:val="auto"/>
                <w:szCs w:val="21"/>
                <w:lang w:val="en-US" w:eastAsia="zh-CN"/>
              </w:rPr>
              <w:t>/</w:t>
            </w:r>
          </w:p>
        </w:tc>
        <w:tc>
          <w:tcPr>
            <w:tcW w:w="1755" w:type="dxa"/>
            <w:noWrap w:val="0"/>
            <w:vAlign w:val="center"/>
          </w:tcPr>
          <w:p w14:paraId="7ADAC430">
            <w:pPr>
              <w:adjustRightInd w:val="0"/>
              <w:snapToGrid w:val="0"/>
              <w:jc w:val="center"/>
              <w:rPr>
                <w:rFonts w:hint="eastAsia" w:ascii="Times New Roman" w:hAnsi="Times New Roman" w:eastAsia="宋体" w:cs="宋体"/>
                <w:color w:val="auto"/>
                <w:szCs w:val="21"/>
                <w:lang w:val="en-US" w:eastAsia="zh-CN"/>
              </w:rPr>
            </w:pPr>
            <w:r>
              <w:rPr>
                <w:rFonts w:hint="eastAsia" w:ascii="Times New Roman" w:hAnsi="Times New Roman" w:cs="宋体"/>
                <w:color w:val="auto"/>
                <w:szCs w:val="21"/>
                <w:lang w:val="en-US" w:eastAsia="zh-CN"/>
              </w:rPr>
              <w:t>/</w:t>
            </w:r>
          </w:p>
        </w:tc>
        <w:tc>
          <w:tcPr>
            <w:tcW w:w="1755" w:type="dxa"/>
            <w:noWrap w:val="0"/>
            <w:vAlign w:val="center"/>
          </w:tcPr>
          <w:p w14:paraId="73F1F86B">
            <w:pPr>
              <w:adjustRightInd w:val="0"/>
              <w:snapToGrid w:val="0"/>
              <w:jc w:val="center"/>
              <w:rPr>
                <w:rFonts w:hint="eastAsia" w:ascii="Times New Roman" w:hAnsi="Times New Roman" w:eastAsia="宋体" w:cs="宋体"/>
                <w:color w:val="auto"/>
                <w:szCs w:val="21"/>
                <w:lang w:val="en-US" w:eastAsia="zh-CN"/>
              </w:rPr>
            </w:pPr>
            <w:r>
              <w:rPr>
                <w:rFonts w:hint="eastAsia" w:ascii="Times New Roman" w:hAnsi="Times New Roman" w:cs="宋体"/>
                <w:color w:val="auto"/>
                <w:szCs w:val="21"/>
                <w:lang w:val="en-US" w:eastAsia="zh-CN"/>
              </w:rPr>
              <w:t>/</w:t>
            </w:r>
          </w:p>
        </w:tc>
        <w:tc>
          <w:tcPr>
            <w:tcW w:w="1757" w:type="dxa"/>
            <w:noWrap w:val="0"/>
            <w:vAlign w:val="center"/>
          </w:tcPr>
          <w:p w14:paraId="268B646D">
            <w:pPr>
              <w:adjustRightInd w:val="0"/>
              <w:snapToGrid w:val="0"/>
              <w:jc w:val="center"/>
              <w:rPr>
                <w:rFonts w:hint="eastAsia" w:ascii="Times New Roman" w:hAnsi="Times New Roman" w:eastAsia="宋体" w:cs="宋体"/>
                <w:color w:val="auto"/>
                <w:szCs w:val="21"/>
                <w:lang w:val="en-US" w:eastAsia="zh-CN"/>
              </w:rPr>
            </w:pPr>
            <w:r>
              <w:rPr>
                <w:rFonts w:hint="eastAsia" w:ascii="Times New Roman" w:hAnsi="Times New Roman" w:cs="宋体"/>
                <w:color w:val="auto"/>
                <w:szCs w:val="21"/>
                <w:lang w:val="en-US" w:eastAsia="zh-CN"/>
              </w:rPr>
              <w:t>/</w:t>
            </w:r>
          </w:p>
        </w:tc>
      </w:tr>
      <w:tr w14:paraId="3F38D3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112" w:type="dxa"/>
          <w:trHeight w:val="1276" w:hRule="atLeast"/>
          <w:jc w:val="center"/>
        </w:trPr>
        <w:tc>
          <w:tcPr>
            <w:tcW w:w="1778" w:type="dxa"/>
            <w:gridSpan w:val="2"/>
            <w:noWrap w:val="0"/>
            <w:vAlign w:val="center"/>
          </w:tcPr>
          <w:p w14:paraId="5A754E03">
            <w:pPr>
              <w:adjustRightInd w:val="0"/>
              <w:snapToGrid w:val="0"/>
              <w:jc w:val="center"/>
              <w:rPr>
                <w:rFonts w:hint="eastAsia" w:ascii="Times New Roman" w:hAnsi="Times New Roman" w:cs="宋体"/>
                <w:color w:val="auto"/>
                <w:szCs w:val="21"/>
              </w:rPr>
            </w:pPr>
            <w:r>
              <w:rPr>
                <w:rFonts w:hint="eastAsia" w:ascii="Times New Roman" w:hAnsi="Times New Roman" w:cs="宋体"/>
                <w:color w:val="auto"/>
                <w:szCs w:val="21"/>
              </w:rPr>
              <w:t>固体废物</w:t>
            </w:r>
          </w:p>
        </w:tc>
        <w:tc>
          <w:tcPr>
            <w:tcW w:w="7022" w:type="dxa"/>
            <w:gridSpan w:val="4"/>
            <w:noWrap w:val="0"/>
            <w:vAlign w:val="center"/>
          </w:tcPr>
          <w:p w14:paraId="7D45C40F">
            <w:pPr>
              <w:pStyle w:val="227"/>
              <w:bidi w:val="0"/>
              <w:jc w:val="both"/>
              <w:rPr>
                <w:rFonts w:hint="default" w:ascii="Times New Roman" w:hAnsi="Times New Roman"/>
                <w:color w:val="auto"/>
                <w:lang w:val="en-US"/>
              </w:rPr>
            </w:pPr>
            <w:r>
              <w:rPr>
                <w:rFonts w:hint="eastAsia" w:ascii="Times New Roman" w:hAnsi="Times New Roman"/>
                <w:color w:val="auto"/>
                <w:lang w:val="en-US" w:eastAsia="zh-CN"/>
              </w:rPr>
              <w:t>一般工业固体废物妥善收集后外售给其他企业综合利用，一般固废贮存执行《一般工业固体废物贮存和填埋场污染控制标准》（GB18599-2020）相关要求；危险废物暂存于</w:t>
            </w:r>
            <w:r>
              <w:rPr>
                <w:rFonts w:hint="eastAsia"/>
                <w:color w:val="auto"/>
                <w:lang w:val="en-US" w:eastAsia="zh-CN"/>
              </w:rPr>
              <w:t>危废贮存库</w:t>
            </w:r>
            <w:r>
              <w:rPr>
                <w:rFonts w:hint="eastAsia" w:ascii="Times New Roman" w:hAnsi="Times New Roman"/>
                <w:color w:val="auto"/>
                <w:lang w:val="en-US" w:eastAsia="zh-CN"/>
              </w:rPr>
              <w:t>，定期委托有资质的单位进行处置，危险废物执行《危险废物贮存污染控制标准》（GB18597-2023）、《危险废物收集贮存运输技术规范》（HJ2025-20</w:t>
            </w:r>
            <w:r>
              <w:rPr>
                <w:rFonts w:hint="eastAsia"/>
                <w:color w:val="auto"/>
                <w:lang w:val="en-US" w:eastAsia="zh-CN"/>
              </w:rPr>
              <w:t>21</w:t>
            </w:r>
            <w:r>
              <w:rPr>
                <w:rFonts w:hint="eastAsia" w:ascii="Times New Roman" w:hAnsi="Times New Roman"/>
                <w:color w:val="auto"/>
                <w:lang w:val="en-US" w:eastAsia="zh-CN"/>
              </w:rPr>
              <w:t>）；生活垃圾委托当地环卫部门统一清运，生活垃圾处置执行《中华人民共和国固体废物污染环境防治法》（2020年4月29日修订版）的相关规定</w:t>
            </w:r>
          </w:p>
        </w:tc>
      </w:tr>
      <w:tr w14:paraId="11DCB4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112" w:type="dxa"/>
          <w:trHeight w:val="1276" w:hRule="atLeast"/>
          <w:jc w:val="center"/>
        </w:trPr>
        <w:tc>
          <w:tcPr>
            <w:tcW w:w="1778" w:type="dxa"/>
            <w:gridSpan w:val="2"/>
            <w:noWrap w:val="0"/>
            <w:vAlign w:val="center"/>
          </w:tcPr>
          <w:p w14:paraId="6FA2B3AA">
            <w:pPr>
              <w:adjustRightInd w:val="0"/>
              <w:snapToGrid w:val="0"/>
              <w:jc w:val="center"/>
              <w:rPr>
                <w:rFonts w:hint="eastAsia" w:ascii="Times New Roman" w:hAnsi="Times New Roman" w:cs="宋体"/>
                <w:color w:val="auto"/>
                <w:szCs w:val="21"/>
              </w:rPr>
            </w:pPr>
            <w:r>
              <w:rPr>
                <w:rFonts w:hint="eastAsia" w:ascii="Times New Roman" w:hAnsi="Times New Roman" w:cs="宋体"/>
                <w:color w:val="auto"/>
                <w:szCs w:val="21"/>
              </w:rPr>
              <w:t>土壤及地下水</w:t>
            </w:r>
          </w:p>
          <w:p w14:paraId="51037306">
            <w:pPr>
              <w:adjustRightInd w:val="0"/>
              <w:snapToGrid w:val="0"/>
              <w:jc w:val="center"/>
              <w:rPr>
                <w:rFonts w:hint="eastAsia" w:ascii="Times New Roman" w:hAnsi="Times New Roman" w:cs="宋体"/>
                <w:color w:val="auto"/>
                <w:szCs w:val="21"/>
              </w:rPr>
            </w:pPr>
            <w:r>
              <w:rPr>
                <w:rFonts w:hint="eastAsia" w:ascii="Times New Roman" w:hAnsi="Times New Roman" w:cs="宋体"/>
                <w:color w:val="auto"/>
                <w:szCs w:val="21"/>
              </w:rPr>
              <w:t>污染防治措施</w:t>
            </w:r>
          </w:p>
        </w:tc>
        <w:tc>
          <w:tcPr>
            <w:tcW w:w="7022" w:type="dxa"/>
            <w:gridSpan w:val="4"/>
            <w:noWrap w:val="0"/>
            <w:vAlign w:val="center"/>
          </w:tcPr>
          <w:p w14:paraId="55E8B462">
            <w:pPr>
              <w:pStyle w:val="227"/>
              <w:bidi w:val="0"/>
              <w:rPr>
                <w:rFonts w:hint="eastAsia" w:ascii="Times New Roman" w:hAnsi="Times New Roman"/>
                <w:color w:val="auto"/>
              </w:rPr>
            </w:pPr>
            <w:r>
              <w:rPr>
                <w:rFonts w:hint="eastAsia" w:ascii="Times New Roman" w:hAnsi="Times New Roman"/>
                <w:color w:val="auto"/>
              </w:rPr>
              <w:t>合理进行防渗区域划分，危险</w:t>
            </w:r>
            <w:r>
              <w:rPr>
                <w:rFonts w:hint="eastAsia" w:ascii="Times New Roman" w:hAnsi="Times New Roman"/>
                <w:color w:val="auto"/>
                <w:lang w:val="en-US" w:eastAsia="zh-CN"/>
              </w:rPr>
              <w:t>贮</w:t>
            </w:r>
            <w:r>
              <w:rPr>
                <w:rFonts w:hint="eastAsia" w:ascii="Times New Roman" w:hAnsi="Times New Roman"/>
                <w:color w:val="auto"/>
              </w:rPr>
              <w:t>存间四周设置导流沟，地面采取防渗，</w:t>
            </w:r>
            <w:r>
              <w:rPr>
                <w:rFonts w:hint="eastAsia"/>
                <w:color w:val="auto"/>
                <w:lang w:val="en-US" w:eastAsia="zh-CN"/>
              </w:rPr>
              <w:t>危废贮存库</w:t>
            </w:r>
            <w:r>
              <w:rPr>
                <w:rFonts w:hint="eastAsia" w:ascii="Times New Roman" w:hAnsi="Times New Roman"/>
                <w:color w:val="auto"/>
                <w:lang w:val="en-US" w:eastAsia="zh-CN"/>
              </w:rPr>
              <w:t>、污水处理设施、污水管线、危险化学品间</w:t>
            </w:r>
            <w:r>
              <w:rPr>
                <w:rFonts w:hint="eastAsia" w:ascii="Times New Roman" w:hAnsi="Times New Roman"/>
                <w:color w:val="auto"/>
              </w:rPr>
              <w:t>按重点污染区防渗要求进行建设；</w:t>
            </w:r>
            <w:r>
              <w:rPr>
                <w:rFonts w:hint="eastAsia"/>
                <w:color w:val="auto"/>
                <w:lang w:eastAsia="zh-CN"/>
              </w:rPr>
              <w:t>一般工业固体废物</w:t>
            </w:r>
            <w:r>
              <w:rPr>
                <w:rFonts w:hint="eastAsia" w:ascii="Times New Roman" w:hAnsi="Times New Roman"/>
                <w:color w:val="auto"/>
              </w:rPr>
              <w:t>间、项目生产车间等按一般污染区防渗要求进行建设，且具有防雨、防渗、防风、防</w:t>
            </w:r>
            <w:r>
              <w:rPr>
                <w:rFonts w:hint="eastAsia" w:ascii="Times New Roman" w:hAnsi="Times New Roman"/>
                <w:color w:val="auto"/>
                <w:lang w:val="en-US" w:eastAsia="zh-CN"/>
              </w:rPr>
              <w:t>日</w:t>
            </w:r>
            <w:r>
              <w:rPr>
                <w:rFonts w:hint="eastAsia" w:ascii="Times New Roman" w:hAnsi="Times New Roman"/>
                <w:color w:val="auto"/>
              </w:rPr>
              <w:t>晒等功能</w:t>
            </w:r>
          </w:p>
        </w:tc>
      </w:tr>
      <w:tr w14:paraId="2371A3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112" w:type="dxa"/>
          <w:trHeight w:val="966" w:hRule="atLeast"/>
          <w:jc w:val="center"/>
        </w:trPr>
        <w:tc>
          <w:tcPr>
            <w:tcW w:w="1778" w:type="dxa"/>
            <w:gridSpan w:val="2"/>
            <w:noWrap w:val="0"/>
            <w:vAlign w:val="center"/>
          </w:tcPr>
          <w:p w14:paraId="14B6CA66">
            <w:pPr>
              <w:adjustRightInd w:val="0"/>
              <w:snapToGrid w:val="0"/>
              <w:jc w:val="center"/>
              <w:rPr>
                <w:rFonts w:hint="eastAsia" w:ascii="Times New Roman" w:hAnsi="Times New Roman" w:cs="宋体"/>
                <w:color w:val="auto"/>
                <w:szCs w:val="21"/>
              </w:rPr>
            </w:pPr>
            <w:r>
              <w:rPr>
                <w:rFonts w:hint="eastAsia" w:ascii="Times New Roman" w:hAnsi="Times New Roman" w:cs="宋体"/>
                <w:color w:val="auto"/>
                <w:szCs w:val="21"/>
              </w:rPr>
              <w:t>生态保护措施</w:t>
            </w:r>
          </w:p>
        </w:tc>
        <w:tc>
          <w:tcPr>
            <w:tcW w:w="7022" w:type="dxa"/>
            <w:gridSpan w:val="4"/>
            <w:noWrap w:val="0"/>
            <w:vAlign w:val="center"/>
          </w:tcPr>
          <w:p w14:paraId="0F908B95">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本项目不涉及</w:t>
            </w:r>
          </w:p>
        </w:tc>
      </w:tr>
      <w:tr w14:paraId="253E99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112" w:type="dxa"/>
          <w:trHeight w:val="1276" w:hRule="atLeast"/>
          <w:jc w:val="center"/>
        </w:trPr>
        <w:tc>
          <w:tcPr>
            <w:tcW w:w="1778" w:type="dxa"/>
            <w:gridSpan w:val="2"/>
            <w:noWrap w:val="0"/>
            <w:vAlign w:val="center"/>
          </w:tcPr>
          <w:p w14:paraId="5CAD1F7C">
            <w:pPr>
              <w:adjustRightInd w:val="0"/>
              <w:snapToGrid w:val="0"/>
              <w:jc w:val="center"/>
              <w:rPr>
                <w:rFonts w:ascii="Times New Roman" w:hAnsi="Times New Roman" w:cs="宋体"/>
                <w:color w:val="auto"/>
                <w:spacing w:val="-8"/>
                <w:szCs w:val="21"/>
              </w:rPr>
            </w:pPr>
            <w:r>
              <w:rPr>
                <w:rFonts w:hint="eastAsia" w:ascii="Times New Roman" w:hAnsi="Times New Roman" w:cs="宋体"/>
                <w:color w:val="auto"/>
                <w:spacing w:val="-8"/>
                <w:szCs w:val="21"/>
              </w:rPr>
              <w:t>环境风险</w:t>
            </w:r>
          </w:p>
          <w:p w14:paraId="2DC38E74">
            <w:pPr>
              <w:adjustRightInd w:val="0"/>
              <w:snapToGrid w:val="0"/>
              <w:jc w:val="center"/>
              <w:rPr>
                <w:rFonts w:hint="eastAsia" w:ascii="Times New Roman" w:hAnsi="Times New Roman" w:cs="宋体"/>
                <w:color w:val="auto"/>
                <w:spacing w:val="-8"/>
                <w:szCs w:val="21"/>
              </w:rPr>
            </w:pPr>
            <w:r>
              <w:rPr>
                <w:rFonts w:hint="eastAsia" w:ascii="Times New Roman" w:hAnsi="Times New Roman" w:cs="宋体"/>
                <w:color w:val="auto"/>
                <w:spacing w:val="-8"/>
                <w:szCs w:val="21"/>
              </w:rPr>
              <w:t>防范措施</w:t>
            </w:r>
          </w:p>
        </w:tc>
        <w:tc>
          <w:tcPr>
            <w:tcW w:w="7022" w:type="dxa"/>
            <w:gridSpan w:val="4"/>
            <w:noWrap w:val="0"/>
            <w:vAlign w:val="center"/>
          </w:tcPr>
          <w:p w14:paraId="53F42A1B">
            <w:pPr>
              <w:pStyle w:val="227"/>
              <w:bidi w:val="0"/>
              <w:rPr>
                <w:rFonts w:hint="eastAsia" w:ascii="Times New Roman" w:hAnsi="Times New Roman"/>
                <w:color w:val="auto"/>
                <w:lang w:val="en-US" w:eastAsia="zh-CN"/>
              </w:rPr>
            </w:pPr>
            <w:r>
              <w:rPr>
                <w:rFonts w:hint="eastAsia"/>
                <w:color w:val="auto"/>
                <w:lang w:eastAsia="zh-CN"/>
              </w:rPr>
              <w:t>危废贮存库</w:t>
            </w:r>
            <w:r>
              <w:rPr>
                <w:rFonts w:hint="eastAsia" w:ascii="Times New Roman" w:hAnsi="Times New Roman"/>
                <w:color w:val="auto"/>
              </w:rPr>
              <w:t>四周设置导流沟，地面采取防渗、设置围堰等风险防范措施；厂区内严禁烟火，严格动火审批制度；配备相应的堵漏材料</w:t>
            </w:r>
            <w:r>
              <w:rPr>
                <w:rFonts w:hint="eastAsia" w:ascii="Times New Roman" w:hAnsi="Times New Roman"/>
                <w:color w:val="auto"/>
                <w:lang w:eastAsia="zh-CN"/>
              </w:rPr>
              <w:t>（</w:t>
            </w:r>
            <w:r>
              <w:rPr>
                <w:rFonts w:hint="eastAsia" w:ascii="Times New Roman" w:hAnsi="Times New Roman"/>
                <w:color w:val="auto"/>
              </w:rPr>
              <w:t>砂袋、吸油毡等</w:t>
            </w:r>
            <w:r>
              <w:rPr>
                <w:rFonts w:hint="eastAsia" w:ascii="Times New Roman" w:hAnsi="Times New Roman"/>
                <w:color w:val="auto"/>
                <w:lang w:eastAsia="zh-CN"/>
              </w:rPr>
              <w:t>）</w:t>
            </w:r>
          </w:p>
        </w:tc>
      </w:tr>
      <w:tr w14:paraId="11D49B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112" w:type="dxa"/>
          <w:trHeight w:val="1276" w:hRule="atLeast"/>
          <w:jc w:val="center"/>
        </w:trPr>
        <w:tc>
          <w:tcPr>
            <w:tcW w:w="1778" w:type="dxa"/>
            <w:gridSpan w:val="2"/>
            <w:noWrap w:val="0"/>
            <w:vAlign w:val="center"/>
          </w:tcPr>
          <w:p w14:paraId="75E03A6C">
            <w:pPr>
              <w:adjustRightInd w:val="0"/>
              <w:snapToGrid w:val="0"/>
              <w:jc w:val="center"/>
              <w:rPr>
                <w:rFonts w:hint="default" w:ascii="Times New Roman" w:hAnsi="Times New Roman" w:eastAsia="宋体" w:cs="宋体"/>
                <w:color w:val="auto"/>
                <w:spacing w:val="-8"/>
                <w:szCs w:val="21"/>
                <w:lang w:val="en-US" w:eastAsia="zh-CN"/>
              </w:rPr>
            </w:pPr>
            <w:r>
              <w:rPr>
                <w:rFonts w:hint="eastAsia" w:ascii="Times New Roman" w:hAnsi="Times New Roman" w:cs="宋体"/>
                <w:color w:val="auto"/>
                <w:spacing w:val="-8"/>
                <w:szCs w:val="21"/>
                <w:lang w:val="en-US" w:eastAsia="zh-CN"/>
              </w:rPr>
              <w:t>总量控制要求</w:t>
            </w:r>
          </w:p>
        </w:tc>
        <w:tc>
          <w:tcPr>
            <w:tcW w:w="7022" w:type="dxa"/>
            <w:gridSpan w:val="4"/>
            <w:noWrap w:val="0"/>
            <w:vAlign w:val="center"/>
          </w:tcPr>
          <w:p w14:paraId="62F0E3DD">
            <w:pPr>
              <w:pStyle w:val="227"/>
              <w:bidi w:val="0"/>
              <w:rPr>
                <w:rFonts w:hint="default" w:ascii="Times New Roman" w:hAnsi="Times New Roman"/>
                <w:color w:val="auto"/>
                <w:lang w:val="en-US"/>
              </w:rPr>
            </w:pPr>
            <w:r>
              <w:rPr>
                <w:rFonts w:hint="eastAsia" w:ascii="Times New Roman" w:hAnsi="Times New Roman"/>
                <w:color w:val="auto"/>
              </w:rPr>
              <w:t>本项目</w:t>
            </w:r>
            <w:r>
              <w:rPr>
                <w:rFonts w:hint="eastAsia"/>
                <w:color w:val="auto"/>
                <w:lang w:val="en-US" w:eastAsia="zh-CN"/>
              </w:rPr>
              <w:t>无需</w:t>
            </w:r>
            <w:r>
              <w:rPr>
                <w:rFonts w:hint="eastAsia" w:ascii="Times New Roman" w:hAnsi="Times New Roman"/>
                <w:color w:val="auto"/>
              </w:rPr>
              <w:t>申请购买COD、NH</w:t>
            </w:r>
            <w:r>
              <w:rPr>
                <w:rFonts w:hint="eastAsia" w:ascii="Times New Roman" w:hAnsi="Times New Roman"/>
                <w:color w:val="auto"/>
                <w:vertAlign w:val="subscript"/>
              </w:rPr>
              <w:t>3</w:t>
            </w:r>
            <w:r>
              <w:rPr>
                <w:rFonts w:hint="eastAsia" w:ascii="Times New Roman" w:hAnsi="Times New Roman"/>
                <w:color w:val="auto"/>
              </w:rPr>
              <w:t>-N总量</w:t>
            </w:r>
            <w:r>
              <w:rPr>
                <w:rFonts w:hint="eastAsia" w:ascii="Times New Roman" w:hAnsi="Times New Roman"/>
                <w:color w:val="auto"/>
                <w:lang w:val="en-US" w:eastAsia="zh-CN"/>
              </w:rPr>
              <w:t>，申请</w:t>
            </w:r>
            <w:r>
              <w:rPr>
                <w:rFonts w:hint="eastAsia"/>
                <w:color w:val="auto"/>
                <w:lang w:val="en-US" w:eastAsia="zh-CN"/>
              </w:rPr>
              <w:t>购买</w:t>
            </w:r>
            <w:r>
              <w:rPr>
                <w:rFonts w:hint="eastAsia" w:ascii="Times New Roman" w:hAnsi="Times New Roman"/>
                <w:color w:val="auto"/>
                <w:lang w:val="en-US" w:eastAsia="zh-CN"/>
              </w:rPr>
              <w:t>VOCs总量0.</w:t>
            </w:r>
            <w:r>
              <w:rPr>
                <w:rFonts w:hint="eastAsia"/>
                <w:color w:val="auto"/>
                <w:lang w:val="en-US" w:eastAsia="zh-CN"/>
              </w:rPr>
              <w:t>286</w:t>
            </w:r>
            <w:r>
              <w:rPr>
                <w:rFonts w:hint="eastAsia" w:ascii="Times New Roman" w:hAnsi="Times New Roman"/>
                <w:color w:val="auto"/>
                <w:lang w:val="en-US" w:eastAsia="zh-CN"/>
              </w:rPr>
              <w:t>t/a，取得以上污染物排放总量的排污权指标后，才可进行投产</w:t>
            </w:r>
          </w:p>
        </w:tc>
      </w:tr>
      <w:tr w14:paraId="7D8C21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59" w:hRule="atLeast"/>
          <w:jc w:val="center"/>
        </w:trPr>
        <w:tc>
          <w:tcPr>
            <w:tcW w:w="748" w:type="dxa"/>
            <w:noWrap w:val="0"/>
            <w:vAlign w:val="center"/>
          </w:tcPr>
          <w:p w14:paraId="2C5D5A3E">
            <w:pPr>
              <w:adjustRightInd w:val="0"/>
              <w:snapToGrid w:val="0"/>
              <w:jc w:val="center"/>
              <w:rPr>
                <w:rFonts w:ascii="Times New Roman" w:hAnsi="Times New Roman" w:cs="宋体"/>
                <w:color w:val="auto"/>
                <w:spacing w:val="-8"/>
                <w:szCs w:val="21"/>
              </w:rPr>
            </w:pPr>
            <w:r>
              <w:rPr>
                <w:rFonts w:hint="eastAsia" w:ascii="Times New Roman" w:hAnsi="Times New Roman" w:cs="宋体"/>
                <w:color w:val="auto"/>
                <w:spacing w:val="-8"/>
                <w:szCs w:val="21"/>
              </w:rPr>
              <w:t>其他环境</w:t>
            </w:r>
          </w:p>
          <w:p w14:paraId="5314D1E0">
            <w:pPr>
              <w:adjustRightInd w:val="0"/>
              <w:snapToGrid w:val="0"/>
              <w:jc w:val="center"/>
              <w:rPr>
                <w:rFonts w:hint="eastAsia" w:ascii="Times New Roman" w:hAnsi="Times New Roman" w:cs="宋体"/>
                <w:color w:val="auto"/>
                <w:spacing w:val="-8"/>
                <w:szCs w:val="21"/>
              </w:rPr>
            </w:pPr>
            <w:r>
              <w:rPr>
                <w:rFonts w:hint="eastAsia" w:ascii="Times New Roman" w:hAnsi="Times New Roman" w:cs="宋体"/>
                <w:color w:val="auto"/>
                <w:spacing w:val="-8"/>
                <w:szCs w:val="21"/>
              </w:rPr>
              <w:t>管理要求</w:t>
            </w:r>
          </w:p>
        </w:tc>
        <w:tc>
          <w:tcPr>
            <w:tcW w:w="8164" w:type="dxa"/>
            <w:gridSpan w:val="6"/>
            <w:noWrap w:val="0"/>
            <w:vAlign w:val="center"/>
          </w:tcPr>
          <w:p w14:paraId="050ACAC4">
            <w:pPr>
              <w:pStyle w:val="3"/>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宋体"/>
                <w:b/>
                <w:bCs/>
                <w:color w:val="auto"/>
                <w:sz w:val="28"/>
                <w:szCs w:val="28"/>
                <w:lang w:val="en-US" w:eastAsia="zh-CN"/>
              </w:rPr>
            </w:pPr>
            <w:r>
              <w:rPr>
                <w:rFonts w:hint="eastAsia" w:ascii="Times New Roman" w:hAnsi="Times New Roman" w:eastAsia="宋体" w:cs="宋体"/>
                <w:b/>
                <w:bCs/>
                <w:color w:val="auto"/>
                <w:sz w:val="28"/>
                <w:szCs w:val="28"/>
                <w:lang w:val="en-US" w:eastAsia="zh-CN"/>
              </w:rPr>
              <w:t>5.1</w:t>
            </w:r>
            <w:r>
              <w:rPr>
                <w:rFonts w:hint="eastAsia" w:ascii="Times New Roman" w:hAnsi="Times New Roman" w:eastAsia="宋体" w:cs="宋体"/>
                <w:b/>
                <w:bCs/>
                <w:color w:val="auto"/>
                <w:sz w:val="28"/>
                <w:szCs w:val="28"/>
                <w:lang w:val="en-US" w:eastAsia="zh-CN" w:bidi="ar-SA"/>
              </w:rPr>
              <w:t>环境管理</w:t>
            </w:r>
          </w:p>
          <w:p w14:paraId="3DBE85F9">
            <w:pPr>
              <w:pStyle w:val="5"/>
              <w:bidi w:val="0"/>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sz w:val="24"/>
                <w:lang w:val="en-US" w:eastAsia="zh-CN"/>
              </w:rPr>
              <w:t>根据《建设项目环境保护管理条例》的要求，拟建项目应在“三同时”的原则下配套建设相应的污染治理设施，一方面为有效保护区域环境提供良好的技术基础，另一方面科学地管理、监督这些环保设施的运行又是保证治理效果的必要手段。因此项目实施后，设置专职环保人员负责环境管理、环境监测和事故应急处理。</w:t>
            </w:r>
          </w:p>
          <w:p w14:paraId="78A5A667">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宋体"/>
                <w:b/>
                <w:bCs/>
                <w:color w:val="auto"/>
                <w:sz w:val="24"/>
                <w:szCs w:val="24"/>
                <w:lang w:val="en-US" w:eastAsia="zh-CN" w:bidi="ar-SA"/>
              </w:rPr>
            </w:pPr>
            <w:r>
              <w:rPr>
                <w:rFonts w:hint="eastAsia" w:ascii="Times New Roman" w:hAnsi="Times New Roman" w:eastAsia="宋体" w:cs="宋体"/>
                <w:b/>
                <w:bCs/>
                <w:color w:val="auto"/>
                <w:sz w:val="24"/>
                <w:szCs w:val="24"/>
                <w:lang w:val="en-US" w:eastAsia="zh-CN" w:bidi="ar-SA"/>
              </w:rPr>
              <w:t>5.1.1环境管理制度</w:t>
            </w:r>
          </w:p>
          <w:p w14:paraId="41A9AB33">
            <w:pPr>
              <w:pStyle w:val="5"/>
              <w:bidi w:val="0"/>
              <w:rPr>
                <w:rFonts w:hint="eastAsia" w:ascii="Times New Roman" w:hAnsi="Times New Roman"/>
                <w:color w:val="auto"/>
                <w:lang w:val="en-US" w:eastAsia="zh-CN"/>
              </w:rPr>
            </w:pPr>
            <w:r>
              <w:rPr>
                <w:rFonts w:hint="eastAsia" w:ascii="Times New Roman" w:hAnsi="Times New Roman" w:eastAsia="宋体" w:cs="宋体"/>
                <w:color w:val="auto"/>
                <w:kern w:val="2"/>
                <w:szCs w:val="24"/>
                <w:lang w:val="en-US" w:eastAsia="zh-CN" w:bidi="ar-SA"/>
              </w:rPr>
              <w:t>（1</w:t>
            </w:r>
            <w:r>
              <w:rPr>
                <w:rFonts w:hint="eastAsia" w:ascii="Times New Roman" w:hAnsi="Times New Roman"/>
                <w:color w:val="auto"/>
                <w:lang w:val="en-US" w:eastAsia="zh-CN"/>
              </w:rPr>
              <w:t>）严格执行“三同时”制度，在项目筹备、实施、建设阶段，应严格执行“三同时”，确保污染处理设施和生产工艺“同时设计、同时施工、同时投产使用”。</w:t>
            </w:r>
          </w:p>
          <w:p w14:paraId="59E8A15D">
            <w:pPr>
              <w:pStyle w:val="5"/>
              <w:bidi w:val="0"/>
              <w:rPr>
                <w:rFonts w:hint="eastAsia" w:ascii="Times New Roman" w:hAnsi="Times New Roman"/>
                <w:color w:val="auto"/>
                <w:lang w:val="en-US" w:eastAsia="zh-CN"/>
              </w:rPr>
            </w:pPr>
            <w:r>
              <w:rPr>
                <w:rFonts w:hint="eastAsia" w:ascii="Times New Roman" w:hAnsi="Times New Roman"/>
                <w:color w:val="auto"/>
                <w:lang w:val="en-US" w:eastAsia="zh-CN"/>
              </w:rPr>
              <w:t>（2）建立排污定期报告制度</w:t>
            </w:r>
          </w:p>
          <w:p w14:paraId="52E60B7C">
            <w:pPr>
              <w:pStyle w:val="5"/>
              <w:bidi w:val="0"/>
              <w:rPr>
                <w:rFonts w:hint="default" w:ascii="Times New Roman" w:hAnsi="Times New Roman"/>
                <w:color w:val="auto"/>
                <w:lang w:val="en-US" w:eastAsia="zh-CN"/>
              </w:rPr>
            </w:pPr>
            <w:r>
              <w:rPr>
                <w:rFonts w:hint="eastAsia" w:ascii="Times New Roman" w:hAnsi="Times New Roman"/>
                <w:color w:val="auto"/>
                <w:lang w:val="en-US" w:eastAsia="zh-CN"/>
              </w:rPr>
              <w:t>按有关文件严格执行排污报告制度。每年向当地环保部门报告污染治理设施运行情况、污染物排放情况以及污染事故、污染纠纷等情况。监测数据经统计和汇总后每年上报当地环保主管部门存档。事故报告要及时上报备案。在企业产品结构和排污量发生重大变化、污染治理设施发生改变时，必须向当地环保主管部门申报。根据《固定污染源排污许可分类管理名录（2019年版）》（生态环境部第11号）可知，本项目属于光学仪器制造业，对应《固定污染源排污许可分类管理名录（2019年版）》中三十五、仪器仪表制造业40光学仪器制造404，见表5.1-1，年使用有机溶剂10吨以下，不涉及通用工序简化管理的。本项目应当进行登记管理，登记管理</w:t>
            </w:r>
            <w:r>
              <w:rPr>
                <w:rFonts w:hint="eastAsia"/>
                <w:color w:val="auto"/>
                <w:lang w:val="en-US" w:eastAsia="zh-CN"/>
              </w:rPr>
              <w:t>需要</w:t>
            </w:r>
            <w:r>
              <w:rPr>
                <w:rFonts w:hint="eastAsia" w:ascii="Times New Roman" w:hAnsi="Times New Roman"/>
                <w:color w:val="auto"/>
                <w:lang w:val="en-US" w:eastAsia="zh-CN"/>
              </w:rPr>
              <w:t>自行监测要求。根据《关于印发&lt;固定污染源排污登记工作指南（试行）&gt;的通知》（环办环评函〔2020〕9号），登记管理内容做台账管理、自行监测、执行报告的要求，因此企业无需自行监测。</w:t>
            </w:r>
          </w:p>
          <w:p w14:paraId="24353421">
            <w:pPr>
              <w:widowControl w:val="0"/>
              <w:bidi w:val="0"/>
              <w:adjustRightInd w:val="0"/>
              <w:snapToGrid w:val="0"/>
              <w:spacing w:before="10" w:beforeLines="10" w:after="10" w:afterLines="10"/>
              <w:jc w:val="center"/>
              <w:rPr>
                <w:rFonts w:hint="default" w:ascii="Times New Roman" w:hAnsi="Times New Roman" w:eastAsia="宋体" w:cs="Times New Roman"/>
                <w:b/>
                <w:color w:val="auto"/>
                <w:kern w:val="0"/>
                <w:sz w:val="24"/>
                <w:szCs w:val="20"/>
                <w:lang w:val="en-US" w:eastAsia="zh-CN" w:bidi="ar-SA"/>
              </w:rPr>
            </w:pPr>
            <w:r>
              <w:rPr>
                <w:rFonts w:hint="eastAsia" w:ascii="Times New Roman" w:hAnsi="Times New Roman" w:eastAsia="宋体" w:cs="Times New Roman"/>
                <w:b/>
                <w:color w:val="auto"/>
                <w:kern w:val="0"/>
                <w:sz w:val="24"/>
                <w:szCs w:val="20"/>
                <w:lang w:val="en-US" w:eastAsia="zh-CN" w:bidi="ar-SA"/>
              </w:rPr>
              <w:t>表5.1-1固定污染源排污许可分类管理名录（摘录）</w:t>
            </w:r>
          </w:p>
          <w:tbl>
            <w:tblPr>
              <w:tblStyle w:val="39"/>
              <w:tblW w:w="7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68"/>
              <w:gridCol w:w="3240"/>
              <w:gridCol w:w="990"/>
              <w:gridCol w:w="2235"/>
              <w:gridCol w:w="913"/>
            </w:tblGrid>
            <w:tr w14:paraId="339724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68" w:type="dxa"/>
                  <w:shd w:val="clear" w:color="auto" w:fill="auto"/>
                  <w:noWrap w:val="0"/>
                  <w:vAlign w:val="center"/>
                </w:tcPr>
                <w:p w14:paraId="0A33582D">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序号</w:t>
                  </w:r>
                </w:p>
              </w:tc>
              <w:tc>
                <w:tcPr>
                  <w:tcW w:w="3240" w:type="dxa"/>
                  <w:shd w:val="clear" w:color="auto" w:fill="auto"/>
                  <w:noWrap w:val="0"/>
                  <w:vAlign w:val="center"/>
                </w:tcPr>
                <w:p w14:paraId="62603E1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行业类别</w:t>
                  </w:r>
                </w:p>
              </w:tc>
              <w:tc>
                <w:tcPr>
                  <w:tcW w:w="990" w:type="dxa"/>
                  <w:shd w:val="clear" w:color="auto" w:fill="auto"/>
                  <w:noWrap w:val="0"/>
                  <w:vAlign w:val="center"/>
                </w:tcPr>
                <w:p w14:paraId="3E5C735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重点管理</w:t>
                  </w:r>
                </w:p>
              </w:tc>
              <w:tc>
                <w:tcPr>
                  <w:tcW w:w="2235" w:type="dxa"/>
                  <w:shd w:val="clear" w:color="auto" w:fill="auto"/>
                  <w:noWrap w:val="0"/>
                  <w:vAlign w:val="center"/>
                </w:tcPr>
                <w:p w14:paraId="4B5CDAA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简化管理</w:t>
                  </w:r>
                </w:p>
              </w:tc>
              <w:tc>
                <w:tcPr>
                  <w:tcW w:w="913" w:type="dxa"/>
                  <w:shd w:val="clear" w:color="D7D7D7" w:fill="A4A4A4"/>
                  <w:noWrap w:val="0"/>
                  <w:vAlign w:val="center"/>
                </w:tcPr>
                <w:p w14:paraId="11EC58B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登记管理</w:t>
                  </w:r>
                </w:p>
              </w:tc>
            </w:tr>
            <w:tr w14:paraId="37D83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946" w:type="dxa"/>
                  <w:gridSpan w:val="5"/>
                  <w:shd w:val="clear" w:color="D7D7D7" w:fill="A4A4A4"/>
                  <w:noWrap w:val="0"/>
                  <w:vAlign w:val="center"/>
                </w:tcPr>
                <w:p w14:paraId="694C527D">
                  <w:pPr>
                    <w:widowControl w:val="0"/>
                    <w:bidi w:val="0"/>
                    <w:adjustRightInd w:val="0"/>
                    <w:snapToGrid w:val="0"/>
                    <w:spacing w:before="10" w:beforeLines="10" w:after="10" w:afterLines="10" w:line="240" w:lineRule="auto"/>
                    <w:jc w:val="left"/>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三十五、仪器仪表制造业40</w:t>
                  </w:r>
                </w:p>
              </w:tc>
            </w:tr>
            <w:tr w14:paraId="66CBD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68" w:type="dxa"/>
                  <w:shd w:val="clear" w:color="auto" w:fill="auto"/>
                  <w:noWrap w:val="0"/>
                  <w:vAlign w:val="center"/>
                </w:tcPr>
                <w:p w14:paraId="3E1F70A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91</w:t>
                  </w:r>
                </w:p>
              </w:tc>
              <w:tc>
                <w:tcPr>
                  <w:tcW w:w="3240" w:type="dxa"/>
                  <w:shd w:val="clear" w:color="auto" w:fill="auto"/>
                  <w:noWrap w:val="0"/>
                  <w:vAlign w:val="center"/>
                </w:tcPr>
                <w:p w14:paraId="2C0AD60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通用仪器仪表制造401，专用仪器仪表制造402，钟表与计时仪器制造403，光学仪器制造404，衡器制造405，其他仪器仪表制造业409</w:t>
                  </w:r>
                </w:p>
              </w:tc>
              <w:tc>
                <w:tcPr>
                  <w:tcW w:w="990" w:type="dxa"/>
                  <w:shd w:val="clear" w:color="auto" w:fill="auto"/>
                  <w:noWrap w:val="0"/>
                  <w:vAlign w:val="center"/>
                </w:tcPr>
                <w:p w14:paraId="177B637E">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涉及通用工序重点管理的</w:t>
                  </w:r>
                </w:p>
              </w:tc>
              <w:tc>
                <w:tcPr>
                  <w:tcW w:w="2235" w:type="dxa"/>
                  <w:shd w:val="clear" w:color="auto" w:fill="auto"/>
                  <w:noWrap w:val="0"/>
                  <w:vAlign w:val="center"/>
                </w:tcPr>
                <w:p w14:paraId="4F83818A">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涉及通用工序</w:t>
                  </w:r>
                  <w:r>
                    <w:rPr>
                      <w:rFonts w:hint="eastAsia" w:ascii="Times New Roman" w:hAnsi="Times New Roman" w:eastAsia="宋体" w:cs="Times New Roman"/>
                      <w:color w:val="auto"/>
                      <w:kern w:val="0"/>
                      <w:sz w:val="21"/>
                      <w:szCs w:val="20"/>
                      <w:lang w:val="en-US" w:eastAsia="zh-CN" w:bidi="ar-SA"/>
                    </w:rPr>
                    <w:t>简化</w:t>
                  </w:r>
                  <w:r>
                    <w:rPr>
                      <w:rFonts w:hint="default" w:ascii="Times New Roman" w:hAnsi="Times New Roman" w:eastAsia="宋体" w:cs="Times New Roman"/>
                      <w:color w:val="auto"/>
                      <w:kern w:val="0"/>
                      <w:sz w:val="21"/>
                      <w:szCs w:val="20"/>
                      <w:lang w:val="en-US" w:eastAsia="zh-CN" w:bidi="ar-SA"/>
                    </w:rPr>
                    <w:t>管理的</w:t>
                  </w:r>
                </w:p>
              </w:tc>
              <w:tc>
                <w:tcPr>
                  <w:tcW w:w="913" w:type="dxa"/>
                  <w:shd w:val="clear" w:color="D7D7D7" w:fill="A4A4A4"/>
                  <w:noWrap w:val="0"/>
                  <w:vAlign w:val="center"/>
                </w:tcPr>
                <w:p w14:paraId="7DC0E0D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其他</w:t>
                  </w:r>
                </w:p>
              </w:tc>
            </w:tr>
            <w:tr w14:paraId="01AA1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946" w:type="dxa"/>
                  <w:gridSpan w:val="5"/>
                  <w:shd w:val="clear" w:color="auto" w:fill="A4A4A4"/>
                  <w:noWrap w:val="0"/>
                  <w:vAlign w:val="center"/>
                </w:tcPr>
                <w:p w14:paraId="7F87F786">
                  <w:pPr>
                    <w:widowControl w:val="0"/>
                    <w:bidi w:val="0"/>
                    <w:adjustRightInd w:val="0"/>
                    <w:snapToGrid w:val="0"/>
                    <w:spacing w:before="10" w:beforeLines="10" w:after="10" w:afterLines="10" w:line="240" w:lineRule="auto"/>
                    <w:jc w:val="left"/>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五十一、通用工序</w:t>
                  </w:r>
                </w:p>
              </w:tc>
            </w:tr>
            <w:tr w14:paraId="39878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68" w:type="dxa"/>
                  <w:shd w:val="clear" w:color="auto" w:fill="auto"/>
                  <w:noWrap w:val="0"/>
                  <w:vAlign w:val="center"/>
                </w:tcPr>
                <w:p w14:paraId="11B88E9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111</w:t>
                  </w:r>
                </w:p>
              </w:tc>
              <w:tc>
                <w:tcPr>
                  <w:tcW w:w="3240" w:type="dxa"/>
                  <w:shd w:val="clear" w:color="auto" w:fill="auto"/>
                  <w:noWrap w:val="0"/>
                  <w:vAlign w:val="center"/>
                </w:tcPr>
                <w:p w14:paraId="6EFEF4F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表面处理</w:t>
                  </w:r>
                </w:p>
              </w:tc>
              <w:tc>
                <w:tcPr>
                  <w:tcW w:w="990" w:type="dxa"/>
                  <w:shd w:val="clear" w:color="auto" w:fill="auto"/>
                  <w:noWrap w:val="0"/>
                  <w:vAlign w:val="center"/>
                </w:tcPr>
                <w:p w14:paraId="07C7E71C">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纳入重点排污单位名录的</w:t>
                  </w:r>
                </w:p>
              </w:tc>
              <w:tc>
                <w:tcPr>
                  <w:tcW w:w="2235" w:type="dxa"/>
                  <w:shd w:val="clear" w:color="auto" w:fill="auto"/>
                  <w:noWrap w:val="0"/>
                  <w:vAlign w:val="center"/>
                </w:tcPr>
                <w:p w14:paraId="7101BCB7">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除纳入重点排污单位名录的，有电镀工序、酸洗、抛光（电解抛光和化学抛光）、热浸镀（溶剂法）、淬火或者钝化等工序的、年使用10吨及以上有机溶剂的</w:t>
                  </w:r>
                </w:p>
              </w:tc>
              <w:tc>
                <w:tcPr>
                  <w:tcW w:w="913" w:type="dxa"/>
                  <w:shd w:val="clear" w:color="D7D7D7" w:fill="A4A4A4"/>
                  <w:noWrap w:val="0"/>
                  <w:vAlign w:val="center"/>
                </w:tcPr>
                <w:p w14:paraId="0B46FC3C">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其他</w:t>
                  </w:r>
                </w:p>
              </w:tc>
            </w:tr>
          </w:tbl>
          <w:p w14:paraId="1E6FCF0B">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 xml:space="preserve">（3）健全污染处理设施管理制度 </w:t>
            </w:r>
          </w:p>
          <w:p w14:paraId="1F9DD719">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将污染处理设施的管理和生产经营活动一起纳入企业单位日常管理工作的范畴，落实责任人，同时制定各级岗位责任制，编制操作规程，建立管理台账，不得擅自拆除或闲置已有的污染处理设施，严禁故意不正常使用污染处理设施。</w:t>
            </w:r>
          </w:p>
          <w:p w14:paraId="355B5AB7">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（4）环境目标管理责任制和环保奖惩条例</w:t>
            </w:r>
          </w:p>
          <w:p w14:paraId="385FB2E7">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建立并实施从总经理到班组各层次的环境目标管理责任制，把完成环境目标责任与奖惩制度结合起来。设置环境保护奖惩条例，对爱护环保设施、节能降耗、减少污染物排放、改善环境者实施奖励；对环保观念淡薄，不按环保要求管理，造成环保设施非正常损坏、发生污染事故以及浪费资源者一律予以重罚。</w:t>
            </w:r>
          </w:p>
          <w:p w14:paraId="7DF2C1E1">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 xml:space="preserve">（5）职工环保教育、培训制度 </w:t>
            </w:r>
          </w:p>
          <w:p w14:paraId="4AC34C8D">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加强职工的环境保护知识教育，增强职工环保意识，增加对生产污染危害的认识，明白自身在劳动过程中的位置和责任。加强员工的上岗培训工作，严格执行培训考核制度，不合格人员决不允许上岗操作。</w:t>
            </w:r>
          </w:p>
          <w:p w14:paraId="4C198AD5">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（6）自主竣工环境保护验收要求</w:t>
            </w:r>
          </w:p>
          <w:p w14:paraId="62F61DE2">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根据国务院【国令第682号】《建设项目环境保护管理条例》及《建设项目竣工环境保护验收暂行办法》（国环规环评【2017】4号），强化建设单位环境保护主体责任，落实建设项目环境保护“三同时”制度，规范建设项目竣工后建设单位自主开展环境保护验收的程序和标准。建设单位是建设项目竣工环境保护验收的责任主体。</w:t>
            </w:r>
          </w:p>
          <w:p w14:paraId="37407C48">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根据生态环境部《建设项目竣工环境保护验收技术指南 污染影响类》（公告2018年第9号）中有关要求：项目竣工后，建设单位应对该项目进行环保竣工验收，委托有资质的监测单位进行项目竣工环境保护验收监测，编制项目竣工环境保护验收监测报告。经验收合格，该建设项目方可正式投入生产或使用。</w:t>
            </w:r>
          </w:p>
          <w:p w14:paraId="428DE896">
            <w:pPr>
              <w:widowControl w:val="0"/>
              <w:bidi w:val="0"/>
              <w:spacing w:line="360" w:lineRule="auto"/>
              <w:ind w:firstLine="480" w:firstLineChars="200"/>
              <w:jc w:val="both"/>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（7）台账要求</w:t>
            </w:r>
          </w:p>
          <w:p w14:paraId="47AA409F">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危险废物排污单位应建立环境管理台账，一般固废排污单位应建立环境管理台账制度，一般工业固体废物环境管理台账记录应符合生态环境部规定的一般工业固体废物环境管理台账相关标准及管理文件要求。依据《危险废物管理计划和管理台账制定技术导则》（HJ1259-2022）和《一般工业固体废物管理台账制定指南（试行）》等标准及管理文件的相关要求结合自身的实际情况，与生产记录相衔接，建立危险废物台账和一般工业固体废物管理台账，如实记载产生危险废物的种类、数量、流向、贮存、利用处置等信息。在台账工作的基础上如实向所在地县级以上人民政府环境保护主管部门申报危险废物的种类、产生量、流向、贮存、处置等有关资料。</w:t>
            </w:r>
          </w:p>
          <w:p w14:paraId="0264EACA">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color w:val="auto"/>
                <w:kern w:val="2"/>
                <w:sz w:val="24"/>
                <w:szCs w:val="24"/>
                <w:lang w:val="en-US" w:eastAsia="zh-CN" w:bidi="ar-SA"/>
              </w:rPr>
            </w:pPr>
            <w:r>
              <w:rPr>
                <w:rFonts w:hint="eastAsia" w:ascii="Times New Roman" w:hAnsi="Times New Roman" w:eastAsia="宋体" w:cs="宋体"/>
                <w:color w:val="auto"/>
                <w:kern w:val="2"/>
                <w:sz w:val="24"/>
                <w:szCs w:val="24"/>
                <w:lang w:val="en-US" w:eastAsia="zh-CN" w:bidi="ar-SA"/>
              </w:rPr>
              <w:t>（8）排污口规范化管理</w:t>
            </w:r>
          </w:p>
          <w:p w14:paraId="7B5F0219">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color w:val="auto"/>
                <w:kern w:val="2"/>
                <w:sz w:val="24"/>
                <w:szCs w:val="24"/>
                <w:lang w:val="en-US" w:eastAsia="zh-CN" w:bidi="ar-SA"/>
              </w:rPr>
            </w:pPr>
            <w:r>
              <w:rPr>
                <w:rFonts w:hint="default" w:ascii="Times New Roman" w:hAnsi="Times New Roman" w:eastAsia="宋体" w:cs="宋体"/>
                <w:color w:val="auto"/>
                <w:kern w:val="2"/>
                <w:sz w:val="24"/>
                <w:szCs w:val="24"/>
                <w:lang w:val="en-US" w:eastAsia="zh-CN" w:bidi="ar-SA"/>
              </w:rPr>
              <w:t>各污染源排放口应设置专项图标，执行《环境保护图形标志—排放口（源）》（GB1556</w:t>
            </w:r>
            <w:r>
              <w:rPr>
                <w:rFonts w:hint="eastAsia" w:ascii="Times New Roman" w:hAnsi="Times New Roman" w:eastAsia="宋体" w:cs="宋体"/>
                <w:color w:val="auto"/>
                <w:kern w:val="2"/>
                <w:sz w:val="24"/>
                <w:szCs w:val="24"/>
                <w:lang w:val="en-US" w:eastAsia="zh-CN" w:bidi="ar-SA"/>
              </w:rPr>
              <w:t>2</w:t>
            </w:r>
            <w:r>
              <w:rPr>
                <w:rFonts w:hint="default" w:ascii="Times New Roman" w:hAnsi="Times New Roman" w:eastAsia="宋体" w:cs="宋体"/>
                <w:color w:val="auto"/>
                <w:kern w:val="2"/>
                <w:sz w:val="24"/>
                <w:szCs w:val="24"/>
                <w:lang w:val="en-US" w:eastAsia="zh-CN" w:bidi="ar-SA"/>
              </w:rPr>
              <w:t>.1-1995），要求各排放口（源）提示标志形状采用正方形边框，背景颜色采用绿色，图形颜色采用白色。标志牌应设在与之功能相应的醒目处，并保持清晰、完整，具体详见表</w:t>
            </w:r>
            <w:r>
              <w:rPr>
                <w:rFonts w:hint="eastAsia" w:ascii="Times New Roman" w:hAnsi="Times New Roman" w:eastAsia="宋体" w:cs="宋体"/>
                <w:color w:val="auto"/>
                <w:kern w:val="2"/>
                <w:sz w:val="24"/>
                <w:szCs w:val="24"/>
                <w:lang w:val="en-US" w:eastAsia="zh-CN" w:bidi="ar-SA"/>
              </w:rPr>
              <w:t>5.1-2。</w:t>
            </w:r>
          </w:p>
          <w:p w14:paraId="4F68300D">
            <w:pPr>
              <w:widowControl w:val="0"/>
              <w:bidi w:val="0"/>
              <w:adjustRightInd w:val="0"/>
              <w:snapToGrid w:val="0"/>
              <w:spacing w:before="10" w:beforeLines="10" w:after="10" w:afterLines="10"/>
              <w:jc w:val="center"/>
              <w:rPr>
                <w:rFonts w:hint="default" w:ascii="Times New Roman" w:hAnsi="Times New Roman" w:eastAsia="宋体" w:cs="Times New Roman"/>
                <w:b/>
                <w:color w:val="auto"/>
                <w:kern w:val="0"/>
                <w:sz w:val="24"/>
                <w:szCs w:val="20"/>
                <w:lang w:val="en-US" w:eastAsia="zh-CN" w:bidi="ar-SA"/>
              </w:rPr>
            </w:pPr>
            <w:r>
              <w:rPr>
                <w:rFonts w:hint="eastAsia" w:ascii="Times New Roman" w:hAnsi="Times New Roman" w:eastAsia="宋体" w:cs="Times New Roman"/>
                <w:b/>
                <w:color w:val="auto"/>
                <w:kern w:val="0"/>
                <w:sz w:val="24"/>
                <w:szCs w:val="20"/>
                <w:lang w:val="en-US" w:eastAsia="zh-CN" w:bidi="ar-SA"/>
              </w:rPr>
              <w:t>表5.1-2排污口规范化图形标志</w:t>
            </w:r>
          </w:p>
          <w:tbl>
            <w:tblPr>
              <w:tblStyle w:val="38"/>
              <w:tblW w:w="495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4"/>
              <w:gridCol w:w="1565"/>
              <w:gridCol w:w="1565"/>
              <w:gridCol w:w="1586"/>
              <w:gridCol w:w="1590"/>
            </w:tblGrid>
            <w:tr w14:paraId="13AB5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993" w:type="pct"/>
                  <w:tcBorders>
                    <w:tl2br w:val="nil"/>
                    <w:tr2bl w:val="nil"/>
                  </w:tcBorders>
                  <w:noWrap w:val="0"/>
                  <w:tcMar>
                    <w:left w:w="28" w:type="dxa"/>
                    <w:right w:w="28" w:type="dxa"/>
                  </w:tcMar>
                  <w:vAlign w:val="center"/>
                </w:tcPr>
                <w:p w14:paraId="0163556E">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废水排放口</w:t>
                  </w:r>
                </w:p>
              </w:tc>
              <w:tc>
                <w:tcPr>
                  <w:tcW w:w="994" w:type="pct"/>
                  <w:tcBorders>
                    <w:tl2br w:val="nil"/>
                    <w:tr2bl w:val="nil"/>
                  </w:tcBorders>
                  <w:noWrap w:val="0"/>
                  <w:tcMar>
                    <w:left w:w="28" w:type="dxa"/>
                    <w:right w:w="28" w:type="dxa"/>
                  </w:tcMar>
                  <w:vAlign w:val="center"/>
                </w:tcPr>
                <w:p w14:paraId="5EFDB500">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废气排放口</w:t>
                  </w:r>
                </w:p>
              </w:tc>
              <w:tc>
                <w:tcPr>
                  <w:tcW w:w="994" w:type="pct"/>
                  <w:tcBorders>
                    <w:tl2br w:val="nil"/>
                    <w:tr2bl w:val="nil"/>
                  </w:tcBorders>
                  <w:noWrap w:val="0"/>
                  <w:tcMar>
                    <w:left w:w="28" w:type="dxa"/>
                    <w:right w:w="28" w:type="dxa"/>
                  </w:tcMar>
                  <w:vAlign w:val="center"/>
                </w:tcPr>
                <w:p w14:paraId="25BDEFD5">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噪声源</w:t>
                  </w:r>
                </w:p>
              </w:tc>
              <w:tc>
                <w:tcPr>
                  <w:tcW w:w="1007" w:type="pct"/>
                  <w:tcBorders>
                    <w:tl2br w:val="nil"/>
                    <w:tr2bl w:val="nil"/>
                  </w:tcBorders>
                  <w:noWrap w:val="0"/>
                  <w:tcMar>
                    <w:left w:w="28" w:type="dxa"/>
                    <w:right w:w="28" w:type="dxa"/>
                  </w:tcMar>
                  <w:vAlign w:val="center"/>
                </w:tcPr>
                <w:p w14:paraId="40AA0F9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一般固体废物贮存场所</w:t>
                  </w:r>
                </w:p>
              </w:tc>
              <w:tc>
                <w:tcPr>
                  <w:tcW w:w="1010" w:type="pct"/>
                  <w:tcBorders>
                    <w:tl2br w:val="nil"/>
                    <w:tr2bl w:val="nil"/>
                  </w:tcBorders>
                  <w:noWrap w:val="0"/>
                  <w:tcMar>
                    <w:left w:w="28" w:type="dxa"/>
                    <w:right w:w="28" w:type="dxa"/>
                  </w:tcMar>
                  <w:vAlign w:val="center"/>
                </w:tcPr>
                <w:p w14:paraId="2C25CABE">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危废贮存库</w:t>
                  </w:r>
                </w:p>
              </w:tc>
            </w:tr>
            <w:tr w14:paraId="40613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8" w:hRule="atLeast"/>
                <w:jc w:val="center"/>
              </w:trPr>
              <w:tc>
                <w:tcPr>
                  <w:tcW w:w="993" w:type="pct"/>
                  <w:tcBorders>
                    <w:tl2br w:val="nil"/>
                    <w:tr2bl w:val="nil"/>
                  </w:tcBorders>
                  <w:noWrap w:val="0"/>
                  <w:tcMar>
                    <w:left w:w="28" w:type="dxa"/>
                    <w:right w:w="28" w:type="dxa"/>
                  </w:tcMar>
                  <w:vAlign w:val="center"/>
                </w:tcPr>
                <w:p w14:paraId="07C5AA11">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drawing>
                      <wp:inline distT="0" distB="0" distL="114300" distR="114300">
                        <wp:extent cx="720090" cy="720090"/>
                        <wp:effectExtent l="0" t="0" r="3810" b="3810"/>
                        <wp:docPr id="51" name="图片 18"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8" descr="点击看大图及详细资料"/>
                                <pic:cNvPicPr>
                                  <a:picLocks noChangeAspect="1"/>
                                </pic:cNvPicPr>
                              </pic:nvPicPr>
                              <pic:blipFill>
                                <a:blip r:embed="rId38"/>
                                <a:stretch>
                                  <a:fillRect/>
                                </a:stretch>
                              </pic:blipFill>
                              <pic:spPr>
                                <a:xfrm>
                                  <a:off x="0" y="0"/>
                                  <a:ext cx="720090" cy="720090"/>
                                </a:xfrm>
                                <a:prstGeom prst="rect">
                                  <a:avLst/>
                                </a:prstGeom>
                                <a:noFill/>
                                <a:ln>
                                  <a:noFill/>
                                </a:ln>
                              </pic:spPr>
                            </pic:pic>
                          </a:graphicData>
                        </a:graphic>
                      </wp:inline>
                    </w:drawing>
                  </w:r>
                </w:p>
              </w:tc>
              <w:tc>
                <w:tcPr>
                  <w:tcW w:w="994" w:type="pct"/>
                  <w:tcBorders>
                    <w:tl2br w:val="nil"/>
                    <w:tr2bl w:val="nil"/>
                  </w:tcBorders>
                  <w:noWrap w:val="0"/>
                  <w:tcMar>
                    <w:left w:w="28" w:type="dxa"/>
                    <w:right w:w="28" w:type="dxa"/>
                  </w:tcMar>
                  <w:vAlign w:val="center"/>
                </w:tcPr>
                <w:p w14:paraId="21907A2D">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drawing>
                      <wp:inline distT="0" distB="0" distL="114300" distR="114300">
                        <wp:extent cx="720090" cy="720090"/>
                        <wp:effectExtent l="0" t="0" r="3810" b="3810"/>
                        <wp:docPr id="53" name="图片 19"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9" descr="点击看大图及详细资料"/>
                                <pic:cNvPicPr>
                                  <a:picLocks noChangeAspect="1"/>
                                </pic:cNvPicPr>
                              </pic:nvPicPr>
                              <pic:blipFill>
                                <a:blip r:embed="rId39"/>
                                <a:stretch>
                                  <a:fillRect/>
                                </a:stretch>
                              </pic:blipFill>
                              <pic:spPr>
                                <a:xfrm>
                                  <a:off x="0" y="0"/>
                                  <a:ext cx="720090" cy="720090"/>
                                </a:xfrm>
                                <a:prstGeom prst="rect">
                                  <a:avLst/>
                                </a:prstGeom>
                                <a:noFill/>
                                <a:ln>
                                  <a:noFill/>
                                </a:ln>
                              </pic:spPr>
                            </pic:pic>
                          </a:graphicData>
                        </a:graphic>
                      </wp:inline>
                    </w:drawing>
                  </w:r>
                </w:p>
              </w:tc>
              <w:tc>
                <w:tcPr>
                  <w:tcW w:w="994" w:type="pct"/>
                  <w:tcBorders>
                    <w:tl2br w:val="nil"/>
                    <w:tr2bl w:val="nil"/>
                  </w:tcBorders>
                  <w:noWrap w:val="0"/>
                  <w:tcMar>
                    <w:left w:w="28" w:type="dxa"/>
                    <w:right w:w="28" w:type="dxa"/>
                  </w:tcMar>
                  <w:vAlign w:val="center"/>
                </w:tcPr>
                <w:p w14:paraId="4EC6DC2F">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drawing>
                      <wp:inline distT="0" distB="0" distL="114300" distR="114300">
                        <wp:extent cx="720090" cy="720090"/>
                        <wp:effectExtent l="0" t="0" r="3810" b="3810"/>
                        <wp:docPr id="54" name="图片 20"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0" descr="点击看大图及详细资料"/>
                                <pic:cNvPicPr>
                                  <a:picLocks noChangeAspect="1"/>
                                </pic:cNvPicPr>
                              </pic:nvPicPr>
                              <pic:blipFill>
                                <a:blip r:embed="rId40"/>
                                <a:stretch>
                                  <a:fillRect/>
                                </a:stretch>
                              </pic:blipFill>
                              <pic:spPr>
                                <a:xfrm>
                                  <a:off x="0" y="0"/>
                                  <a:ext cx="720090" cy="720090"/>
                                </a:xfrm>
                                <a:prstGeom prst="rect">
                                  <a:avLst/>
                                </a:prstGeom>
                                <a:noFill/>
                                <a:ln>
                                  <a:noFill/>
                                </a:ln>
                              </pic:spPr>
                            </pic:pic>
                          </a:graphicData>
                        </a:graphic>
                      </wp:inline>
                    </w:drawing>
                  </w:r>
                </w:p>
              </w:tc>
              <w:tc>
                <w:tcPr>
                  <w:tcW w:w="1007" w:type="pct"/>
                  <w:tcBorders>
                    <w:tl2br w:val="nil"/>
                    <w:tr2bl w:val="nil"/>
                  </w:tcBorders>
                  <w:noWrap w:val="0"/>
                  <w:tcMar>
                    <w:left w:w="28" w:type="dxa"/>
                    <w:right w:w="28" w:type="dxa"/>
                  </w:tcMar>
                  <w:vAlign w:val="center"/>
                </w:tcPr>
                <w:p w14:paraId="70B9F092">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drawing>
                      <wp:inline distT="0" distB="0" distL="114300" distR="114300">
                        <wp:extent cx="752475" cy="719455"/>
                        <wp:effectExtent l="0" t="0" r="9525" b="4445"/>
                        <wp:docPr id="55" name="图片 21"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1" descr="点击看大图及详细资料"/>
                                <pic:cNvPicPr>
                                  <a:picLocks noChangeAspect="1"/>
                                </pic:cNvPicPr>
                              </pic:nvPicPr>
                              <pic:blipFill>
                                <a:blip r:embed="rId41"/>
                                <a:stretch>
                                  <a:fillRect/>
                                </a:stretch>
                              </pic:blipFill>
                              <pic:spPr>
                                <a:xfrm>
                                  <a:off x="0" y="0"/>
                                  <a:ext cx="752475" cy="719455"/>
                                </a:xfrm>
                                <a:prstGeom prst="rect">
                                  <a:avLst/>
                                </a:prstGeom>
                                <a:noFill/>
                                <a:ln>
                                  <a:noFill/>
                                </a:ln>
                              </pic:spPr>
                            </pic:pic>
                          </a:graphicData>
                        </a:graphic>
                      </wp:inline>
                    </w:drawing>
                  </w:r>
                </w:p>
              </w:tc>
              <w:tc>
                <w:tcPr>
                  <w:tcW w:w="1010" w:type="pct"/>
                  <w:tcBorders>
                    <w:tl2br w:val="nil"/>
                    <w:tr2bl w:val="nil"/>
                  </w:tcBorders>
                  <w:noWrap w:val="0"/>
                  <w:tcMar>
                    <w:left w:w="28" w:type="dxa"/>
                    <w:right w:w="28" w:type="dxa"/>
                  </w:tcMar>
                  <w:vAlign w:val="center"/>
                </w:tcPr>
                <w:p w14:paraId="01334F5B">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drawing>
                      <wp:inline distT="0" distB="0" distL="114300" distR="114300">
                        <wp:extent cx="849630" cy="751205"/>
                        <wp:effectExtent l="0" t="0" r="7620" b="10795"/>
                        <wp:docPr id="5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2"/>
                                <pic:cNvPicPr>
                                  <a:picLocks noChangeAspect="1"/>
                                </pic:cNvPicPr>
                              </pic:nvPicPr>
                              <pic:blipFill>
                                <a:blip r:embed="rId42"/>
                                <a:stretch>
                                  <a:fillRect/>
                                </a:stretch>
                              </pic:blipFill>
                              <pic:spPr>
                                <a:xfrm>
                                  <a:off x="0" y="0"/>
                                  <a:ext cx="849630" cy="751205"/>
                                </a:xfrm>
                                <a:prstGeom prst="rect">
                                  <a:avLst/>
                                </a:prstGeom>
                                <a:noFill/>
                                <a:ln>
                                  <a:noFill/>
                                </a:ln>
                              </pic:spPr>
                            </pic:pic>
                          </a:graphicData>
                        </a:graphic>
                      </wp:inline>
                    </w:drawing>
                  </w:r>
                </w:p>
              </w:tc>
            </w:tr>
            <w:tr w14:paraId="385B6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3989" w:type="pct"/>
                  <w:gridSpan w:val="4"/>
                  <w:tcBorders>
                    <w:tl2br w:val="nil"/>
                    <w:tr2bl w:val="nil"/>
                  </w:tcBorders>
                  <w:noWrap w:val="0"/>
                  <w:vAlign w:val="center"/>
                </w:tcPr>
                <w:p w14:paraId="3967E66C">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 xml:space="preserve"> 背景颜色：绿色，图形颜色：白色</w:t>
                  </w:r>
                </w:p>
              </w:tc>
              <w:tc>
                <w:tcPr>
                  <w:tcW w:w="1010" w:type="pct"/>
                  <w:tcBorders>
                    <w:tl2br w:val="nil"/>
                    <w:tr2bl w:val="nil"/>
                  </w:tcBorders>
                  <w:noWrap w:val="0"/>
                  <w:tcMar>
                    <w:left w:w="28" w:type="dxa"/>
                    <w:right w:w="28" w:type="dxa"/>
                  </w:tcMar>
                  <w:vAlign w:val="center"/>
                </w:tcPr>
                <w:p w14:paraId="774B12D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背景颜色：黄色，图形颜色：黑色</w:t>
                  </w:r>
                </w:p>
              </w:tc>
            </w:tr>
          </w:tbl>
          <w:p w14:paraId="546EA3BC">
            <w:pPr>
              <w:pStyle w:val="232"/>
              <w:bidi w:val="0"/>
              <w:rPr>
                <w:rFonts w:hint="default" w:ascii="Times New Roman" w:hAnsi="Times New Roman"/>
                <w:color w:val="auto"/>
                <w:lang w:val="en-US" w:eastAsia="zh-CN"/>
              </w:rPr>
            </w:pPr>
          </w:p>
        </w:tc>
      </w:tr>
    </w:tbl>
    <w:p w14:paraId="0428D277">
      <w:pPr>
        <w:pStyle w:val="204"/>
        <w:keepNext w:val="0"/>
        <w:keepLines w:val="0"/>
        <w:pageBreakBefore w:val="0"/>
        <w:widowControl/>
        <w:numPr>
          <w:ilvl w:val="0"/>
          <w:numId w:val="3"/>
        </w:numPr>
        <w:kinsoku/>
        <w:wordWrap/>
        <w:overflowPunct/>
        <w:topLinePunct w:val="0"/>
        <w:autoSpaceDE/>
        <w:autoSpaceDN/>
        <w:bidi w:val="0"/>
        <w:adjustRightInd/>
        <w:snapToGrid/>
        <w:spacing w:before="0" w:beforeAutospacing="0" w:after="0" w:afterAutospacing="0"/>
        <w:jc w:val="center"/>
        <w:textAlignment w:val="auto"/>
        <w:outlineLvl w:val="0"/>
        <w:rPr>
          <w:rFonts w:hint="eastAsia" w:ascii="Times New Roman" w:hAnsi="Times New Roman" w:eastAsia="黑体"/>
          <w:color w:val="auto"/>
          <w:sz w:val="30"/>
          <w:szCs w:val="30"/>
        </w:rPr>
      </w:pPr>
      <w:r>
        <w:rPr>
          <w:rFonts w:ascii="Times New Roman" w:hAnsi="Times New Roman"/>
          <w:color w:val="auto"/>
        </w:rPr>
        <w:br w:type="page" w:clear="all"/>
      </w:r>
      <w:r>
        <w:rPr>
          <w:rFonts w:hint="eastAsia" w:ascii="Times New Roman" w:hAnsi="Times New Roman" w:eastAsia="黑体"/>
          <w:color w:val="auto"/>
          <w:sz w:val="30"/>
          <w:szCs w:val="30"/>
        </w:rPr>
        <w:drawing>
          <wp:anchor distT="0" distB="0" distL="114300" distR="114300" simplePos="0" relativeHeight="251670528" behindDoc="0" locked="0" layoutInCell="1" allowOverlap="1">
            <wp:simplePos x="0" y="0"/>
            <wp:positionH relativeFrom="column">
              <wp:posOffset>-369570</wp:posOffset>
            </wp:positionH>
            <wp:positionV relativeFrom="paragraph">
              <wp:posOffset>-180975</wp:posOffset>
            </wp:positionV>
            <wp:extent cx="6393815" cy="8526780"/>
            <wp:effectExtent l="0" t="0" r="0" b="0"/>
            <wp:wrapNone/>
            <wp:docPr id="120" name="图片 120" descr="doc00288120250813105318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doc00288120250813105318_01"/>
                    <pic:cNvPicPr>
                      <a:picLocks noChangeAspect="1"/>
                    </pic:cNvPicPr>
                  </pic:nvPicPr>
                  <pic:blipFill>
                    <a:blip r:embed="rId43"/>
                    <a:srcRect r="425" b="6104"/>
                    <a:stretch>
                      <a:fillRect/>
                    </a:stretch>
                  </pic:blipFill>
                  <pic:spPr>
                    <a:xfrm>
                      <a:off x="0" y="0"/>
                      <a:ext cx="6393815" cy="8526780"/>
                    </a:xfrm>
                    <a:prstGeom prst="rect">
                      <a:avLst/>
                    </a:prstGeom>
                  </pic:spPr>
                </pic:pic>
              </a:graphicData>
            </a:graphic>
          </wp:anchor>
        </w:drawing>
      </w:r>
      <w:r>
        <w:rPr>
          <w:rFonts w:hint="eastAsia" w:ascii="Times New Roman" w:hAnsi="Times New Roman" w:eastAsia="黑体"/>
          <w:color w:val="auto"/>
          <w:sz w:val="30"/>
          <w:szCs w:val="30"/>
        </w:rPr>
        <w:t>结论</w:t>
      </w:r>
    </w:p>
    <w:p w14:paraId="1012CD9B">
      <w:pPr>
        <w:pStyle w:val="204"/>
        <w:keepNext w:val="0"/>
        <w:keepLines w:val="0"/>
        <w:pageBreakBefore w:val="0"/>
        <w:widowControl/>
        <w:numPr>
          <w:ilvl w:val="0"/>
          <w:numId w:val="3"/>
        </w:numPr>
        <w:kinsoku/>
        <w:wordWrap/>
        <w:overflowPunct/>
        <w:topLinePunct w:val="0"/>
        <w:autoSpaceDE/>
        <w:autoSpaceDN/>
        <w:bidi w:val="0"/>
        <w:adjustRightInd/>
        <w:snapToGrid/>
        <w:spacing w:before="0" w:beforeAutospacing="0" w:after="0" w:afterAutospacing="0"/>
        <w:jc w:val="center"/>
        <w:textAlignment w:val="auto"/>
        <w:outlineLvl w:val="0"/>
        <w:rPr>
          <w:rFonts w:hint="eastAsia" w:ascii="Times New Roman" w:hAnsi="Times New Roman" w:eastAsia="黑体"/>
          <w:color w:val="auto"/>
          <w:sz w:val="30"/>
          <w:szCs w:val="30"/>
        </w:rPr>
      </w:pPr>
    </w:p>
    <w:tbl>
      <w:tblPr>
        <w:tblStyle w:val="38"/>
        <w:tblW w:w="0" w:type="auto"/>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
      <w:tblGrid>
        <w:gridCol w:w="8865"/>
      </w:tblGrid>
      <w:tr w14:paraId="231BFF0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108" w:type="dxa"/>
            <w:bottom w:w="0" w:type="dxa"/>
            <w:right w:w="108" w:type="dxa"/>
          </w:tblCellMar>
        </w:tblPrEx>
        <w:trPr>
          <w:trHeight w:val="11991" w:hRule="atLeast"/>
          <w:jc w:val="center"/>
        </w:trPr>
        <w:tc>
          <w:tcPr>
            <w:tcW w:w="8865" w:type="dxa"/>
            <w:noWrap w:val="0"/>
            <w:vAlign w:val="center"/>
          </w:tcPr>
          <w:p w14:paraId="001357D2">
            <w:pPr>
              <w:spacing w:line="360" w:lineRule="auto"/>
              <w:jc w:val="right"/>
              <w:rPr>
                <w:rFonts w:ascii="Times New Roman" w:hAnsi="Times New Roman" w:cs="宋体"/>
                <w:color w:val="auto"/>
                <w:sz w:val="24"/>
              </w:rPr>
            </w:pPr>
          </w:p>
        </w:tc>
      </w:tr>
    </w:tbl>
    <w:p w14:paraId="21229102">
      <w:pPr>
        <w:rPr>
          <w:rFonts w:ascii="Times New Roman" w:hAnsi="Times New Roman"/>
          <w:color w:val="auto"/>
        </w:rPr>
        <w:sectPr>
          <w:pgSz w:w="11906" w:h="16838" w:orient="landscape"/>
          <w:pgMar w:top="1701" w:right="1531" w:bottom="1701" w:left="1531" w:header="851" w:footer="851" w:gutter="0"/>
          <w:cols w:space="720" w:num="1"/>
        </w:sectPr>
      </w:pPr>
    </w:p>
    <w:p w14:paraId="52FE3E4C">
      <w:pPr>
        <w:pStyle w:val="20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textAlignment w:val="auto"/>
        <w:outlineLvl w:val="0"/>
        <w:rPr>
          <w:rFonts w:ascii="Times New Roman" w:hAnsi="Times New Roman" w:eastAsia="黑体"/>
          <w:color w:val="auto"/>
          <w:sz w:val="32"/>
          <w:szCs w:val="32"/>
        </w:rPr>
      </w:pPr>
      <w:r>
        <w:rPr>
          <w:rFonts w:hint="eastAsia" w:ascii="Times New Roman" w:hAnsi="Times New Roman" w:eastAsia="黑体"/>
          <w:color w:val="auto"/>
          <w:sz w:val="32"/>
          <w:szCs w:val="32"/>
        </w:rPr>
        <w:t>附表</w:t>
      </w:r>
    </w:p>
    <w:p w14:paraId="02F4DE1E">
      <w:pPr>
        <w:pStyle w:val="204"/>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center"/>
        <w:textAlignment w:val="auto"/>
        <w:outlineLvl w:val="0"/>
        <w:rPr>
          <w:rFonts w:hint="eastAsia" w:ascii="Times New Roman" w:hAnsi="Times New Roman" w:eastAsia="方正小标宋_GBK"/>
          <w:color w:val="auto"/>
          <w:sz w:val="38"/>
          <w:szCs w:val="38"/>
        </w:rPr>
      </w:pPr>
      <w:r>
        <w:rPr>
          <w:rFonts w:hint="eastAsia" w:ascii="Times New Roman" w:hAnsi="Times New Roman" w:eastAsia="方正小标宋_GBK"/>
          <w:color w:val="auto"/>
          <w:sz w:val="38"/>
          <w:szCs w:val="38"/>
        </w:rPr>
        <w:t>建设项目污染物排放量汇总表</w:t>
      </w:r>
    </w:p>
    <w:tbl>
      <w:tblPr>
        <w:tblStyle w:val="38"/>
        <w:tblW w:w="1251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578"/>
        <w:gridCol w:w="1695"/>
      </w:tblGrid>
      <w:tr w14:paraId="619D7B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noWrap w:val="0"/>
            <w:tcMar>
              <w:left w:w="28" w:type="dxa"/>
              <w:right w:w="28" w:type="dxa"/>
            </w:tcMar>
            <w:vAlign w:val="center"/>
          </w:tcPr>
          <w:p w14:paraId="4EC895CA">
            <w:pPr>
              <w:pStyle w:val="227"/>
              <w:bidi w:val="0"/>
              <w:jc w:val="right"/>
              <w:rPr>
                <w:rFonts w:hint="eastAsia" w:ascii="Times New Roman" w:hAnsi="Times New Roman"/>
                <w:color w:val="auto"/>
              </w:rPr>
            </w:pPr>
            <w:r>
              <w:rPr>
                <w:rFonts w:hint="eastAsia" w:ascii="Times New Roman" w:hAnsi="Times New Roman"/>
                <w:color w:val="auto"/>
              </w:rPr>
              <w:t>项目</w:t>
            </w:r>
          </w:p>
          <w:p w14:paraId="57C13DBD">
            <w:pPr>
              <w:pStyle w:val="227"/>
              <w:bidi w:val="0"/>
              <w:jc w:val="left"/>
              <w:rPr>
                <w:rFonts w:hint="eastAsia" w:ascii="Times New Roman" w:hAnsi="Times New Roman"/>
                <w:color w:val="auto"/>
              </w:rPr>
            </w:pPr>
            <w:r>
              <w:rPr>
                <w:rFonts w:hint="eastAsia" w:ascii="Times New Roman" w:hAnsi="Times New Roman"/>
                <w:color w:val="auto"/>
              </w:rPr>
              <w:t>分类</w:t>
            </w:r>
          </w:p>
        </w:tc>
        <w:tc>
          <w:tcPr>
            <w:tcW w:w="1417" w:type="dxa"/>
            <w:noWrap w:val="0"/>
            <w:tcMar>
              <w:left w:w="28" w:type="dxa"/>
              <w:right w:w="28" w:type="dxa"/>
            </w:tcMar>
            <w:vAlign w:val="center"/>
          </w:tcPr>
          <w:p w14:paraId="74B20CB4">
            <w:pPr>
              <w:pStyle w:val="227"/>
              <w:bidi w:val="0"/>
              <w:rPr>
                <w:rFonts w:hint="eastAsia" w:ascii="Times New Roman" w:hAnsi="Times New Roman"/>
                <w:color w:val="auto"/>
              </w:rPr>
            </w:pPr>
            <w:r>
              <w:rPr>
                <w:rFonts w:hint="eastAsia" w:ascii="Times New Roman" w:hAnsi="Times New Roman"/>
                <w:color w:val="auto"/>
              </w:rPr>
              <w:t>污染物名称</w:t>
            </w:r>
          </w:p>
        </w:tc>
        <w:tc>
          <w:tcPr>
            <w:tcW w:w="1701" w:type="dxa"/>
            <w:noWrap w:val="0"/>
            <w:tcMar>
              <w:left w:w="28" w:type="dxa"/>
              <w:right w:w="28" w:type="dxa"/>
            </w:tcMar>
            <w:vAlign w:val="center"/>
          </w:tcPr>
          <w:p w14:paraId="5C789D35">
            <w:pPr>
              <w:pStyle w:val="227"/>
              <w:bidi w:val="0"/>
              <w:rPr>
                <w:rFonts w:hint="eastAsia" w:ascii="Times New Roman" w:hAnsi="Times New Roman"/>
                <w:color w:val="auto"/>
              </w:rPr>
            </w:pPr>
            <w:r>
              <w:rPr>
                <w:rFonts w:ascii="Times New Roman" w:hAnsi="Times New Roman"/>
                <w:color w:val="auto"/>
              </w:rPr>
              <w:t>现有工程</w:t>
            </w:r>
          </w:p>
          <w:p w14:paraId="606A7C62">
            <w:pPr>
              <w:pStyle w:val="227"/>
              <w:bidi w:val="0"/>
              <w:rPr>
                <w:rFonts w:ascii="Times New Roman" w:hAnsi="Times New Roman"/>
                <w:color w:val="auto"/>
              </w:rPr>
            </w:pPr>
            <w:r>
              <w:rPr>
                <w:rFonts w:ascii="Times New Roman" w:hAnsi="Times New Roman"/>
                <w:color w:val="auto"/>
              </w:rPr>
              <w:t>排放量（固</w:t>
            </w:r>
            <w:r>
              <w:rPr>
                <w:rFonts w:hint="eastAsia" w:ascii="Times New Roman" w:hAnsi="Times New Roman"/>
                <w:color w:val="auto"/>
              </w:rPr>
              <w:t>体</w:t>
            </w:r>
            <w:r>
              <w:rPr>
                <w:rFonts w:ascii="Times New Roman" w:hAnsi="Times New Roman"/>
                <w:color w:val="auto"/>
              </w:rPr>
              <w:t>废</w:t>
            </w:r>
            <w:r>
              <w:rPr>
                <w:rFonts w:hint="eastAsia" w:ascii="Times New Roman" w:hAnsi="Times New Roman"/>
                <w:color w:val="auto"/>
              </w:rPr>
              <w:t>物</w:t>
            </w:r>
            <w:r>
              <w:rPr>
                <w:rFonts w:ascii="Times New Roman" w:hAnsi="Times New Roman"/>
                <w:color w:val="auto"/>
              </w:rPr>
              <w:t>产生量）</w:t>
            </w:r>
            <w:r>
              <w:rPr>
                <w:rFonts w:ascii="Times New Roman" w:hAnsi="Times New Roman"/>
                <w:color w:val="auto"/>
              </w:rPr>
              <w:fldChar w:fldCharType="begin"/>
            </w:r>
            <w:r>
              <w:rPr>
                <w:rFonts w:ascii="Times New Roman" w:hAnsi="Times New Roman"/>
                <w:color w:val="auto"/>
              </w:rPr>
              <w:instrText xml:space="preserve"> = 1 \* GB3 \* MERGEFORMAT </w:instrText>
            </w:r>
            <w:r>
              <w:rPr>
                <w:rFonts w:ascii="Times New Roman" w:hAnsi="Times New Roman"/>
                <w:color w:val="auto"/>
              </w:rPr>
              <w:fldChar w:fldCharType="separate"/>
            </w:r>
            <w:r>
              <w:rPr>
                <w:rFonts w:hint="eastAsia" w:ascii="Times New Roman" w:hAnsi="Times New Roman"/>
                <w:color w:val="auto"/>
              </w:rPr>
              <w:t>①</w:t>
            </w:r>
            <w:r>
              <w:rPr>
                <w:rFonts w:ascii="Times New Roman" w:hAnsi="Times New Roman"/>
                <w:color w:val="auto"/>
              </w:rPr>
              <w:fldChar w:fldCharType="end"/>
            </w:r>
          </w:p>
        </w:tc>
        <w:tc>
          <w:tcPr>
            <w:tcW w:w="1276" w:type="dxa"/>
            <w:noWrap w:val="0"/>
            <w:tcMar>
              <w:left w:w="28" w:type="dxa"/>
              <w:right w:w="28" w:type="dxa"/>
            </w:tcMar>
            <w:vAlign w:val="center"/>
          </w:tcPr>
          <w:p w14:paraId="040B97CA">
            <w:pPr>
              <w:pStyle w:val="227"/>
              <w:bidi w:val="0"/>
              <w:rPr>
                <w:rFonts w:ascii="Times New Roman" w:hAnsi="Times New Roman"/>
                <w:color w:val="auto"/>
              </w:rPr>
            </w:pPr>
            <w:r>
              <w:rPr>
                <w:rFonts w:ascii="Times New Roman" w:hAnsi="Times New Roman"/>
                <w:color w:val="auto"/>
              </w:rPr>
              <w:t>现有工程</w:t>
            </w:r>
          </w:p>
          <w:p w14:paraId="211B51F2">
            <w:pPr>
              <w:pStyle w:val="227"/>
              <w:bidi w:val="0"/>
              <w:rPr>
                <w:rFonts w:ascii="Times New Roman" w:hAnsi="Times New Roman"/>
                <w:color w:val="auto"/>
              </w:rPr>
            </w:pPr>
            <w:r>
              <w:rPr>
                <w:rFonts w:ascii="Times New Roman" w:hAnsi="Times New Roman"/>
                <w:color w:val="auto"/>
              </w:rPr>
              <w:t>许可排放量</w:t>
            </w:r>
          </w:p>
          <w:p w14:paraId="0793F219">
            <w:pPr>
              <w:pStyle w:val="227"/>
              <w:bidi w:val="0"/>
              <w:rPr>
                <w:rFonts w:ascii="Times New Roman" w:hAnsi="Times New Roman"/>
                <w:color w:val="auto"/>
              </w:rPr>
            </w:pPr>
            <w:r>
              <w:rPr>
                <w:rFonts w:ascii="Times New Roman" w:hAnsi="Times New Roman"/>
                <w:color w:val="auto"/>
              </w:rPr>
              <w:fldChar w:fldCharType="begin"/>
            </w:r>
            <w:r>
              <w:rPr>
                <w:rFonts w:ascii="Times New Roman" w:hAnsi="Times New Roman"/>
                <w:color w:val="auto"/>
              </w:rPr>
              <w:instrText xml:space="preserve"> = 2 \* GB3 \* MERGEFORMAT </w:instrText>
            </w:r>
            <w:r>
              <w:rPr>
                <w:rFonts w:ascii="Times New Roman" w:hAnsi="Times New Roman"/>
                <w:color w:val="auto"/>
              </w:rPr>
              <w:fldChar w:fldCharType="separate"/>
            </w:r>
            <w:r>
              <w:rPr>
                <w:rFonts w:hint="eastAsia" w:ascii="Times New Roman" w:hAnsi="Times New Roman"/>
                <w:color w:val="auto"/>
              </w:rPr>
              <w:t>②</w:t>
            </w:r>
            <w:r>
              <w:rPr>
                <w:rFonts w:ascii="Times New Roman" w:hAnsi="Times New Roman"/>
                <w:color w:val="auto"/>
              </w:rPr>
              <w:fldChar w:fldCharType="end"/>
            </w:r>
          </w:p>
        </w:tc>
        <w:tc>
          <w:tcPr>
            <w:tcW w:w="1701" w:type="dxa"/>
            <w:noWrap w:val="0"/>
            <w:tcMar>
              <w:left w:w="28" w:type="dxa"/>
              <w:right w:w="28" w:type="dxa"/>
            </w:tcMar>
            <w:vAlign w:val="center"/>
          </w:tcPr>
          <w:p w14:paraId="0B76CA59">
            <w:pPr>
              <w:pStyle w:val="227"/>
              <w:bidi w:val="0"/>
              <w:rPr>
                <w:rFonts w:hint="eastAsia" w:ascii="Times New Roman" w:hAnsi="Times New Roman"/>
                <w:color w:val="auto"/>
              </w:rPr>
            </w:pPr>
            <w:r>
              <w:rPr>
                <w:rFonts w:ascii="Times New Roman" w:hAnsi="Times New Roman"/>
                <w:color w:val="auto"/>
              </w:rPr>
              <w:t>在建工程</w:t>
            </w:r>
          </w:p>
          <w:p w14:paraId="32AA7C1A">
            <w:pPr>
              <w:pStyle w:val="227"/>
              <w:bidi w:val="0"/>
              <w:rPr>
                <w:rFonts w:ascii="Times New Roman" w:hAnsi="Times New Roman"/>
                <w:color w:val="auto"/>
              </w:rPr>
            </w:pPr>
            <w:r>
              <w:rPr>
                <w:rFonts w:ascii="Times New Roman" w:hAnsi="Times New Roman"/>
                <w:color w:val="auto"/>
              </w:rPr>
              <w:t>排放量（固</w:t>
            </w:r>
            <w:r>
              <w:rPr>
                <w:rFonts w:hint="eastAsia" w:ascii="Times New Roman" w:hAnsi="Times New Roman"/>
                <w:color w:val="auto"/>
              </w:rPr>
              <w:t>体</w:t>
            </w:r>
            <w:r>
              <w:rPr>
                <w:rFonts w:ascii="Times New Roman" w:hAnsi="Times New Roman"/>
                <w:color w:val="auto"/>
              </w:rPr>
              <w:t>废</w:t>
            </w:r>
            <w:r>
              <w:rPr>
                <w:rFonts w:hint="eastAsia" w:ascii="Times New Roman" w:hAnsi="Times New Roman"/>
                <w:color w:val="auto"/>
              </w:rPr>
              <w:t>物</w:t>
            </w:r>
            <w:r>
              <w:rPr>
                <w:rFonts w:ascii="Times New Roman" w:hAnsi="Times New Roman"/>
                <w:color w:val="auto"/>
              </w:rPr>
              <w:t>产生量）</w:t>
            </w:r>
            <w:r>
              <w:rPr>
                <w:rFonts w:ascii="Times New Roman" w:hAnsi="Times New Roman"/>
                <w:color w:val="auto"/>
              </w:rPr>
              <w:fldChar w:fldCharType="begin"/>
            </w:r>
            <w:r>
              <w:rPr>
                <w:rFonts w:ascii="Times New Roman" w:hAnsi="Times New Roman"/>
                <w:color w:val="auto"/>
              </w:rPr>
              <w:instrText xml:space="preserve"> = 3 \* GB3 \* MERGEFORMAT </w:instrText>
            </w:r>
            <w:r>
              <w:rPr>
                <w:rFonts w:ascii="Times New Roman" w:hAnsi="Times New Roman"/>
                <w:color w:val="auto"/>
              </w:rPr>
              <w:fldChar w:fldCharType="separate"/>
            </w:r>
            <w:r>
              <w:rPr>
                <w:rFonts w:hint="eastAsia" w:ascii="Times New Roman" w:hAnsi="Times New Roman"/>
                <w:color w:val="auto"/>
              </w:rPr>
              <w:t>③</w:t>
            </w:r>
            <w:r>
              <w:rPr>
                <w:rFonts w:ascii="Times New Roman" w:hAnsi="Times New Roman"/>
                <w:color w:val="auto"/>
              </w:rPr>
              <w:fldChar w:fldCharType="end"/>
            </w:r>
          </w:p>
        </w:tc>
        <w:tc>
          <w:tcPr>
            <w:tcW w:w="1559" w:type="dxa"/>
            <w:noWrap w:val="0"/>
            <w:tcMar>
              <w:left w:w="28" w:type="dxa"/>
              <w:right w:w="28" w:type="dxa"/>
            </w:tcMar>
            <w:vAlign w:val="center"/>
          </w:tcPr>
          <w:p w14:paraId="09F7A4AB">
            <w:pPr>
              <w:pStyle w:val="227"/>
              <w:bidi w:val="0"/>
              <w:rPr>
                <w:rFonts w:hint="eastAsia" w:ascii="Times New Roman" w:hAnsi="Times New Roman"/>
                <w:color w:val="auto"/>
              </w:rPr>
            </w:pPr>
            <w:r>
              <w:rPr>
                <w:rFonts w:ascii="Times New Roman" w:hAnsi="Times New Roman"/>
                <w:color w:val="auto"/>
              </w:rPr>
              <w:t>本项目</w:t>
            </w:r>
          </w:p>
          <w:p w14:paraId="0EA323B3">
            <w:pPr>
              <w:pStyle w:val="227"/>
              <w:bidi w:val="0"/>
              <w:rPr>
                <w:rFonts w:ascii="Times New Roman" w:hAnsi="Times New Roman"/>
                <w:color w:val="auto"/>
              </w:rPr>
            </w:pPr>
            <w:r>
              <w:rPr>
                <w:rFonts w:ascii="Times New Roman" w:hAnsi="Times New Roman"/>
                <w:color w:val="auto"/>
              </w:rPr>
              <w:t>排放量（固</w:t>
            </w:r>
            <w:r>
              <w:rPr>
                <w:rFonts w:hint="eastAsia" w:ascii="Times New Roman" w:hAnsi="Times New Roman"/>
                <w:color w:val="auto"/>
              </w:rPr>
              <w:t>体</w:t>
            </w:r>
            <w:r>
              <w:rPr>
                <w:rFonts w:ascii="Times New Roman" w:hAnsi="Times New Roman"/>
                <w:color w:val="auto"/>
              </w:rPr>
              <w:t>废</w:t>
            </w:r>
            <w:r>
              <w:rPr>
                <w:rFonts w:hint="eastAsia" w:ascii="Times New Roman" w:hAnsi="Times New Roman"/>
                <w:color w:val="auto"/>
              </w:rPr>
              <w:t>物</w:t>
            </w:r>
            <w:r>
              <w:rPr>
                <w:rFonts w:ascii="Times New Roman" w:hAnsi="Times New Roman"/>
                <w:color w:val="auto"/>
              </w:rPr>
              <w:t>产生量）</w:t>
            </w:r>
            <w:r>
              <w:rPr>
                <w:rFonts w:ascii="Times New Roman" w:hAnsi="Times New Roman"/>
                <w:color w:val="auto"/>
              </w:rPr>
              <w:fldChar w:fldCharType="begin"/>
            </w:r>
            <w:r>
              <w:rPr>
                <w:rFonts w:ascii="Times New Roman" w:hAnsi="Times New Roman"/>
                <w:color w:val="auto"/>
              </w:rPr>
              <w:instrText xml:space="preserve"> = 4 \* GB3 \* MERGEFORMAT </w:instrText>
            </w:r>
            <w:r>
              <w:rPr>
                <w:rFonts w:ascii="Times New Roman" w:hAnsi="Times New Roman"/>
                <w:color w:val="auto"/>
              </w:rPr>
              <w:fldChar w:fldCharType="separate"/>
            </w:r>
            <w:r>
              <w:rPr>
                <w:rFonts w:hint="eastAsia" w:ascii="Times New Roman" w:hAnsi="Times New Roman"/>
                <w:color w:val="auto"/>
              </w:rPr>
              <w:t>④</w:t>
            </w:r>
            <w:r>
              <w:rPr>
                <w:rFonts w:ascii="Times New Roman" w:hAnsi="Times New Roman"/>
                <w:color w:val="auto"/>
              </w:rPr>
              <w:fldChar w:fldCharType="end"/>
            </w:r>
          </w:p>
        </w:tc>
        <w:tc>
          <w:tcPr>
            <w:tcW w:w="1578" w:type="dxa"/>
            <w:noWrap w:val="0"/>
            <w:tcMar>
              <w:left w:w="28" w:type="dxa"/>
              <w:right w:w="28" w:type="dxa"/>
            </w:tcMar>
            <w:vAlign w:val="center"/>
          </w:tcPr>
          <w:p w14:paraId="59E2A5FA">
            <w:pPr>
              <w:pStyle w:val="227"/>
              <w:bidi w:val="0"/>
              <w:rPr>
                <w:rFonts w:hint="eastAsia" w:ascii="Times New Roman" w:hAnsi="Times New Roman"/>
                <w:color w:val="auto"/>
              </w:rPr>
            </w:pPr>
            <w:r>
              <w:rPr>
                <w:rFonts w:ascii="Times New Roman" w:hAnsi="Times New Roman"/>
                <w:color w:val="auto"/>
              </w:rPr>
              <w:t>以新带老削减量</w:t>
            </w:r>
          </w:p>
          <w:p w14:paraId="1ED8BDAD">
            <w:pPr>
              <w:pStyle w:val="227"/>
              <w:bidi w:val="0"/>
              <w:rPr>
                <w:rFonts w:ascii="Times New Roman" w:hAnsi="Times New Roman"/>
                <w:color w:val="auto"/>
              </w:rPr>
            </w:pPr>
            <w:r>
              <w:rPr>
                <w:rFonts w:ascii="Times New Roman" w:hAnsi="Times New Roman"/>
                <w:color w:val="auto"/>
              </w:rPr>
              <w:t>（新建项目不填）</w:t>
            </w:r>
            <w:r>
              <w:rPr>
                <w:rFonts w:ascii="Times New Roman" w:hAnsi="Times New Roman"/>
                <w:color w:val="auto"/>
              </w:rPr>
              <w:fldChar w:fldCharType="begin"/>
            </w:r>
            <w:r>
              <w:rPr>
                <w:rFonts w:ascii="Times New Roman" w:hAnsi="Times New Roman"/>
                <w:color w:val="auto"/>
              </w:rPr>
              <w:instrText xml:space="preserve"> = 5 \* GB3 \* MERGEFORMAT </w:instrText>
            </w:r>
            <w:r>
              <w:rPr>
                <w:rFonts w:ascii="Times New Roman" w:hAnsi="Times New Roman"/>
                <w:color w:val="auto"/>
              </w:rPr>
              <w:fldChar w:fldCharType="separate"/>
            </w:r>
            <w:r>
              <w:rPr>
                <w:rFonts w:hint="eastAsia" w:ascii="Times New Roman" w:hAnsi="Times New Roman"/>
                <w:color w:val="auto"/>
              </w:rPr>
              <w:t>⑤</w:t>
            </w:r>
            <w:r>
              <w:rPr>
                <w:rFonts w:ascii="Times New Roman" w:hAnsi="Times New Roman"/>
                <w:color w:val="auto"/>
              </w:rPr>
              <w:fldChar w:fldCharType="end"/>
            </w:r>
          </w:p>
        </w:tc>
        <w:tc>
          <w:tcPr>
            <w:tcW w:w="1695" w:type="dxa"/>
            <w:noWrap w:val="0"/>
            <w:tcMar>
              <w:left w:w="28" w:type="dxa"/>
              <w:right w:w="28" w:type="dxa"/>
            </w:tcMar>
            <w:vAlign w:val="center"/>
          </w:tcPr>
          <w:p w14:paraId="7E475CDC">
            <w:pPr>
              <w:pStyle w:val="227"/>
              <w:bidi w:val="0"/>
              <w:rPr>
                <w:rFonts w:hint="eastAsia" w:ascii="Times New Roman" w:hAnsi="Times New Roman"/>
                <w:color w:val="auto"/>
              </w:rPr>
            </w:pPr>
            <w:r>
              <w:rPr>
                <w:rFonts w:ascii="Times New Roman" w:hAnsi="Times New Roman"/>
                <w:color w:val="auto"/>
              </w:rPr>
              <w:t>本项目建成后</w:t>
            </w:r>
          </w:p>
          <w:p w14:paraId="694BF190">
            <w:pPr>
              <w:pStyle w:val="227"/>
              <w:bidi w:val="0"/>
              <w:rPr>
                <w:rFonts w:ascii="Times New Roman" w:hAnsi="Times New Roman"/>
                <w:color w:val="auto"/>
              </w:rPr>
            </w:pPr>
            <w:r>
              <w:rPr>
                <w:rFonts w:hint="eastAsia" w:ascii="Times New Roman" w:hAnsi="Times New Roman"/>
                <w:color w:val="auto"/>
              </w:rPr>
              <w:t>全厂</w:t>
            </w:r>
            <w:r>
              <w:rPr>
                <w:rFonts w:ascii="Times New Roman" w:hAnsi="Times New Roman"/>
                <w:color w:val="auto"/>
              </w:rPr>
              <w:t>排放量（固</w:t>
            </w:r>
            <w:r>
              <w:rPr>
                <w:rFonts w:hint="eastAsia" w:ascii="Times New Roman" w:hAnsi="Times New Roman"/>
                <w:color w:val="auto"/>
              </w:rPr>
              <w:t>体</w:t>
            </w:r>
            <w:r>
              <w:rPr>
                <w:rFonts w:ascii="Times New Roman" w:hAnsi="Times New Roman"/>
                <w:color w:val="auto"/>
              </w:rPr>
              <w:t>废</w:t>
            </w:r>
            <w:r>
              <w:rPr>
                <w:rFonts w:hint="eastAsia" w:ascii="Times New Roman" w:hAnsi="Times New Roman"/>
                <w:color w:val="auto"/>
              </w:rPr>
              <w:t>物</w:t>
            </w:r>
            <w:r>
              <w:rPr>
                <w:rFonts w:ascii="Times New Roman" w:hAnsi="Times New Roman"/>
                <w:color w:val="auto"/>
              </w:rPr>
              <w:t>产生量）</w:t>
            </w:r>
            <w:r>
              <w:rPr>
                <w:rFonts w:ascii="Times New Roman" w:hAnsi="Times New Roman"/>
                <w:color w:val="auto"/>
              </w:rPr>
              <w:fldChar w:fldCharType="begin"/>
            </w:r>
            <w:r>
              <w:rPr>
                <w:rFonts w:ascii="Times New Roman" w:hAnsi="Times New Roman"/>
                <w:color w:val="auto"/>
              </w:rPr>
              <w:instrText xml:space="preserve"> = 6 \* GB3 \* MERGEFORMAT </w:instrText>
            </w:r>
            <w:r>
              <w:rPr>
                <w:rFonts w:ascii="Times New Roman" w:hAnsi="Times New Roman"/>
                <w:color w:val="auto"/>
              </w:rPr>
              <w:fldChar w:fldCharType="separate"/>
            </w:r>
            <w:r>
              <w:rPr>
                <w:rFonts w:hint="eastAsia" w:ascii="Times New Roman" w:hAnsi="Times New Roman"/>
                <w:color w:val="auto"/>
              </w:rPr>
              <w:t>⑥</w:t>
            </w:r>
            <w:r>
              <w:rPr>
                <w:rFonts w:ascii="Times New Roman" w:hAnsi="Times New Roman"/>
                <w:color w:val="auto"/>
              </w:rPr>
              <w:fldChar w:fldCharType="end"/>
            </w:r>
          </w:p>
        </w:tc>
      </w:tr>
      <w:tr w14:paraId="5AE682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noWrap w:val="0"/>
            <w:vAlign w:val="center"/>
          </w:tcPr>
          <w:p w14:paraId="08688D98">
            <w:pPr>
              <w:pStyle w:val="227"/>
              <w:bidi w:val="0"/>
              <w:rPr>
                <w:rFonts w:hint="eastAsia" w:ascii="Times New Roman" w:hAnsi="Times New Roman"/>
                <w:color w:val="auto"/>
              </w:rPr>
            </w:pPr>
            <w:r>
              <w:rPr>
                <w:rFonts w:hint="eastAsia" w:ascii="Times New Roman" w:hAnsi="Times New Roman"/>
                <w:color w:val="auto"/>
              </w:rPr>
              <w:t>废气</w:t>
            </w:r>
          </w:p>
        </w:tc>
        <w:tc>
          <w:tcPr>
            <w:tcW w:w="1417" w:type="dxa"/>
            <w:noWrap w:val="0"/>
            <w:vAlign w:val="center"/>
          </w:tcPr>
          <w:p w14:paraId="2D47A19E">
            <w:pPr>
              <w:pStyle w:val="227"/>
              <w:bidi w:val="0"/>
              <w:rPr>
                <w:rFonts w:hint="default" w:ascii="Times New Roman" w:hAnsi="Times New Roman" w:eastAsia="宋体"/>
                <w:color w:val="auto"/>
                <w:lang w:val="en-US" w:eastAsia="zh-CN"/>
              </w:rPr>
            </w:pPr>
            <w:r>
              <w:rPr>
                <w:rFonts w:hint="eastAsia" w:ascii="Times New Roman" w:hAnsi="Times New Roman"/>
                <w:color w:val="auto"/>
                <w:lang w:val="en-US" w:eastAsia="zh-CN"/>
              </w:rPr>
              <w:t>VOCs（以非甲烷总烃计）</w:t>
            </w:r>
          </w:p>
        </w:tc>
        <w:tc>
          <w:tcPr>
            <w:tcW w:w="1701" w:type="dxa"/>
            <w:shd w:val="clear" w:color="auto" w:fill="auto"/>
            <w:noWrap w:val="0"/>
            <w:vAlign w:val="center"/>
          </w:tcPr>
          <w:p w14:paraId="0CE99D9B">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276" w:type="dxa"/>
            <w:shd w:val="clear" w:color="auto" w:fill="auto"/>
            <w:noWrap w:val="0"/>
            <w:vAlign w:val="center"/>
          </w:tcPr>
          <w:p w14:paraId="3DAE9626">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701" w:type="dxa"/>
            <w:noWrap w:val="0"/>
            <w:vAlign w:val="center"/>
          </w:tcPr>
          <w:p w14:paraId="367F0AF6">
            <w:pPr>
              <w:pStyle w:val="227"/>
              <w:bidi w:val="0"/>
              <w:rPr>
                <w:rFonts w:hint="eastAsia" w:ascii="Times New Roman" w:hAnsi="Times New Roman" w:eastAsia="宋体"/>
                <w:color w:val="auto"/>
                <w:lang w:val="en-US" w:eastAsia="zh-CN"/>
              </w:rPr>
            </w:pPr>
            <w:r>
              <w:rPr>
                <w:rFonts w:hint="eastAsia" w:ascii="Times New Roman" w:hAnsi="Times New Roman"/>
                <w:color w:val="auto"/>
                <w:lang w:val="en-US" w:eastAsia="zh-CN"/>
              </w:rPr>
              <w:t>/</w:t>
            </w:r>
          </w:p>
        </w:tc>
        <w:tc>
          <w:tcPr>
            <w:tcW w:w="1559" w:type="dxa"/>
            <w:noWrap w:val="0"/>
            <w:vAlign w:val="center"/>
          </w:tcPr>
          <w:p w14:paraId="55059F65">
            <w:pPr>
              <w:pStyle w:val="227"/>
              <w:bidi w:val="0"/>
              <w:rPr>
                <w:rFonts w:hint="default" w:ascii="Times New Roman" w:hAnsi="Times New Roman" w:eastAsia="宋体"/>
                <w:color w:val="auto"/>
                <w:lang w:val="en-US" w:eastAsia="zh-CN"/>
              </w:rPr>
            </w:pPr>
            <w:r>
              <w:rPr>
                <w:rFonts w:hint="eastAsia"/>
                <w:color w:val="auto"/>
                <w:lang w:val="en-US" w:eastAsia="zh-CN"/>
              </w:rPr>
              <w:t>0.286</w:t>
            </w:r>
            <w:r>
              <w:rPr>
                <w:rFonts w:hint="eastAsia"/>
                <w:color w:val="auto"/>
                <w:highlight w:val="none"/>
                <w:lang w:val="en-US" w:eastAsia="zh-CN"/>
              </w:rPr>
              <w:t>t/a</w:t>
            </w:r>
          </w:p>
        </w:tc>
        <w:tc>
          <w:tcPr>
            <w:tcW w:w="1578" w:type="dxa"/>
            <w:shd w:val="clear" w:color="auto" w:fill="auto"/>
            <w:noWrap w:val="0"/>
            <w:vAlign w:val="center"/>
          </w:tcPr>
          <w:p w14:paraId="01C0CE8D">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695" w:type="dxa"/>
            <w:shd w:val="clear" w:color="auto" w:fill="auto"/>
            <w:noWrap w:val="0"/>
            <w:vAlign w:val="center"/>
          </w:tcPr>
          <w:p w14:paraId="6829AFAA">
            <w:pPr>
              <w:pStyle w:val="227"/>
              <w:bidi w:val="0"/>
              <w:rPr>
                <w:rFonts w:hint="default" w:ascii="Times New Roman" w:hAnsi="Times New Roman" w:eastAsia="宋体" w:cs="Times New Roman"/>
                <w:color w:val="auto"/>
                <w:kern w:val="0"/>
                <w:sz w:val="21"/>
                <w:szCs w:val="21"/>
                <w:lang w:val="en-US" w:eastAsia="zh-CN" w:bidi="ar-SA"/>
              </w:rPr>
            </w:pPr>
            <w:r>
              <w:rPr>
                <w:rFonts w:hint="eastAsia"/>
                <w:color w:val="auto"/>
                <w:lang w:val="en-US" w:eastAsia="zh-CN"/>
              </w:rPr>
              <w:t>+0.286</w:t>
            </w:r>
            <w:r>
              <w:rPr>
                <w:rFonts w:hint="eastAsia"/>
                <w:color w:val="auto"/>
                <w:highlight w:val="none"/>
                <w:lang w:val="en-US" w:eastAsia="zh-CN"/>
              </w:rPr>
              <w:t>t/a</w:t>
            </w:r>
          </w:p>
        </w:tc>
      </w:tr>
      <w:tr w14:paraId="3CDE8A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restart"/>
            <w:noWrap w:val="0"/>
            <w:vAlign w:val="center"/>
          </w:tcPr>
          <w:p w14:paraId="145BCB92">
            <w:pPr>
              <w:pStyle w:val="227"/>
              <w:bidi w:val="0"/>
              <w:rPr>
                <w:rFonts w:hint="eastAsia" w:ascii="Times New Roman" w:hAnsi="Times New Roman"/>
                <w:color w:val="auto"/>
              </w:rPr>
            </w:pPr>
            <w:r>
              <w:rPr>
                <w:rFonts w:hint="eastAsia" w:ascii="Times New Roman" w:hAnsi="Times New Roman"/>
                <w:color w:val="auto"/>
              </w:rPr>
              <w:t>废水</w:t>
            </w:r>
          </w:p>
        </w:tc>
        <w:tc>
          <w:tcPr>
            <w:tcW w:w="1417" w:type="dxa"/>
            <w:noWrap w:val="0"/>
            <w:vAlign w:val="center"/>
          </w:tcPr>
          <w:p w14:paraId="266086C4">
            <w:pPr>
              <w:pStyle w:val="227"/>
              <w:bidi w:val="0"/>
              <w:rPr>
                <w:rFonts w:hint="default" w:ascii="Times New Roman" w:hAnsi="Times New Roman" w:eastAsia="宋体"/>
                <w:color w:val="auto"/>
                <w:lang w:val="en-US" w:eastAsia="zh-CN"/>
              </w:rPr>
            </w:pPr>
            <w:r>
              <w:rPr>
                <w:rFonts w:hint="eastAsia" w:ascii="Times New Roman" w:hAnsi="Times New Roman"/>
                <w:color w:val="auto"/>
                <w:lang w:val="en-US" w:eastAsia="zh-CN"/>
              </w:rPr>
              <w:t>SS</w:t>
            </w:r>
          </w:p>
        </w:tc>
        <w:tc>
          <w:tcPr>
            <w:tcW w:w="1701" w:type="dxa"/>
            <w:shd w:val="clear" w:color="auto" w:fill="auto"/>
            <w:noWrap w:val="0"/>
            <w:vAlign w:val="center"/>
          </w:tcPr>
          <w:p w14:paraId="0BB0D896">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276" w:type="dxa"/>
            <w:shd w:val="clear" w:color="auto" w:fill="auto"/>
            <w:noWrap w:val="0"/>
            <w:vAlign w:val="center"/>
          </w:tcPr>
          <w:p w14:paraId="516519AC">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701" w:type="dxa"/>
            <w:noWrap w:val="0"/>
            <w:vAlign w:val="center"/>
          </w:tcPr>
          <w:p w14:paraId="5E0F8BD7">
            <w:pPr>
              <w:pStyle w:val="227"/>
              <w:bidi w:val="0"/>
              <w:rPr>
                <w:rFonts w:ascii="Times New Roman" w:hAnsi="Times New Roman"/>
                <w:color w:val="auto"/>
              </w:rPr>
            </w:pPr>
            <w:r>
              <w:rPr>
                <w:rFonts w:hint="eastAsia" w:ascii="Times New Roman" w:hAnsi="Times New Roman"/>
                <w:color w:val="auto"/>
                <w:lang w:val="en-US" w:eastAsia="zh-CN"/>
              </w:rPr>
              <w:t>/</w:t>
            </w:r>
          </w:p>
        </w:tc>
        <w:tc>
          <w:tcPr>
            <w:tcW w:w="1559" w:type="dxa"/>
            <w:noWrap w:val="0"/>
            <w:vAlign w:val="center"/>
          </w:tcPr>
          <w:p w14:paraId="75DF1217">
            <w:pPr>
              <w:pStyle w:val="227"/>
              <w:bidi w:val="0"/>
              <w:rPr>
                <w:rFonts w:hint="default" w:ascii="Times New Roman" w:hAnsi="Times New Roman" w:eastAsia="宋体"/>
                <w:color w:val="auto"/>
                <w:lang w:val="en-US" w:eastAsia="zh-CN"/>
              </w:rPr>
            </w:pPr>
            <w:r>
              <w:rPr>
                <w:rFonts w:hint="eastAsia"/>
                <w:color w:val="auto"/>
                <w:lang w:val="en-US" w:eastAsia="zh-CN"/>
              </w:rPr>
              <w:t>0.0097</w:t>
            </w:r>
            <w:r>
              <w:rPr>
                <w:rFonts w:hint="eastAsia"/>
                <w:color w:val="auto"/>
                <w:highlight w:val="none"/>
                <w:lang w:val="en-US" w:eastAsia="zh-CN"/>
              </w:rPr>
              <w:t>t/a</w:t>
            </w:r>
          </w:p>
        </w:tc>
        <w:tc>
          <w:tcPr>
            <w:tcW w:w="1578" w:type="dxa"/>
            <w:shd w:val="clear" w:color="auto" w:fill="auto"/>
            <w:noWrap w:val="0"/>
            <w:vAlign w:val="center"/>
          </w:tcPr>
          <w:p w14:paraId="0C5E0A14">
            <w:pPr>
              <w:pStyle w:val="227"/>
              <w:bidi w:val="0"/>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695" w:type="dxa"/>
            <w:shd w:val="clear" w:color="auto" w:fill="auto"/>
            <w:noWrap w:val="0"/>
            <w:vAlign w:val="center"/>
          </w:tcPr>
          <w:p w14:paraId="6C11444F">
            <w:pPr>
              <w:pStyle w:val="227"/>
              <w:bidi w:val="0"/>
              <w:rPr>
                <w:rFonts w:hint="default" w:ascii="Times New Roman" w:hAnsi="Times New Roman" w:eastAsia="宋体" w:cs="Times New Roman"/>
                <w:color w:val="auto"/>
                <w:kern w:val="0"/>
                <w:sz w:val="21"/>
                <w:szCs w:val="21"/>
                <w:lang w:val="en-US" w:eastAsia="zh-CN" w:bidi="ar-SA"/>
              </w:rPr>
            </w:pPr>
            <w:r>
              <w:rPr>
                <w:rFonts w:hint="eastAsia"/>
                <w:color w:val="auto"/>
                <w:lang w:val="en-US" w:eastAsia="zh-CN"/>
              </w:rPr>
              <w:t>+0.0097</w:t>
            </w:r>
            <w:r>
              <w:rPr>
                <w:rFonts w:hint="eastAsia"/>
                <w:color w:val="auto"/>
                <w:highlight w:val="none"/>
                <w:lang w:val="en-US" w:eastAsia="zh-CN"/>
              </w:rPr>
              <w:t>t/a</w:t>
            </w:r>
          </w:p>
        </w:tc>
      </w:tr>
      <w:tr w14:paraId="4049BF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continue"/>
            <w:noWrap w:val="0"/>
            <w:vAlign w:val="center"/>
          </w:tcPr>
          <w:p w14:paraId="78931124">
            <w:pPr>
              <w:pStyle w:val="227"/>
              <w:bidi w:val="0"/>
              <w:rPr>
                <w:rFonts w:hint="eastAsia" w:ascii="Times New Roman" w:hAnsi="Times New Roman"/>
                <w:color w:val="auto"/>
              </w:rPr>
            </w:pPr>
          </w:p>
        </w:tc>
        <w:tc>
          <w:tcPr>
            <w:tcW w:w="1417" w:type="dxa"/>
            <w:noWrap w:val="0"/>
            <w:vAlign w:val="center"/>
          </w:tcPr>
          <w:p w14:paraId="2F7704F1">
            <w:pPr>
              <w:pStyle w:val="227"/>
              <w:bidi w:val="0"/>
              <w:rPr>
                <w:rFonts w:hint="default" w:ascii="Times New Roman" w:hAnsi="Times New Roman" w:eastAsia="宋体"/>
                <w:color w:val="auto"/>
                <w:lang w:val="en-US" w:eastAsia="zh-CN"/>
              </w:rPr>
            </w:pPr>
            <w:r>
              <w:rPr>
                <w:rFonts w:hint="eastAsia" w:ascii="Times New Roman" w:hAnsi="Times New Roman"/>
                <w:color w:val="auto"/>
                <w:lang w:val="en-US" w:eastAsia="zh-CN"/>
              </w:rPr>
              <w:t>COD</w:t>
            </w:r>
          </w:p>
        </w:tc>
        <w:tc>
          <w:tcPr>
            <w:tcW w:w="1701" w:type="dxa"/>
            <w:shd w:val="clear" w:color="auto" w:fill="auto"/>
            <w:noWrap w:val="0"/>
            <w:vAlign w:val="center"/>
          </w:tcPr>
          <w:p w14:paraId="4A106B1F">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276" w:type="dxa"/>
            <w:shd w:val="clear" w:color="auto" w:fill="auto"/>
            <w:noWrap w:val="0"/>
            <w:vAlign w:val="center"/>
          </w:tcPr>
          <w:p w14:paraId="29A07B8E">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701" w:type="dxa"/>
            <w:noWrap w:val="0"/>
            <w:vAlign w:val="center"/>
          </w:tcPr>
          <w:p w14:paraId="16DD5E54">
            <w:pPr>
              <w:pStyle w:val="227"/>
              <w:bidi w:val="0"/>
              <w:rPr>
                <w:rFonts w:ascii="Times New Roman" w:hAnsi="Times New Roman"/>
                <w:color w:val="auto"/>
              </w:rPr>
            </w:pPr>
            <w:r>
              <w:rPr>
                <w:rFonts w:hint="eastAsia" w:ascii="Times New Roman" w:hAnsi="Times New Roman"/>
                <w:color w:val="auto"/>
                <w:lang w:val="en-US" w:eastAsia="zh-CN"/>
              </w:rPr>
              <w:t>/</w:t>
            </w:r>
          </w:p>
        </w:tc>
        <w:tc>
          <w:tcPr>
            <w:tcW w:w="1559" w:type="dxa"/>
            <w:noWrap w:val="0"/>
            <w:vAlign w:val="center"/>
          </w:tcPr>
          <w:p w14:paraId="0C95DCF9">
            <w:pPr>
              <w:pStyle w:val="227"/>
              <w:bidi w:val="0"/>
              <w:rPr>
                <w:rFonts w:hint="default" w:ascii="Times New Roman" w:hAnsi="Times New Roman" w:eastAsia="宋体"/>
                <w:color w:val="auto"/>
                <w:lang w:val="en-US" w:eastAsia="zh-CN"/>
              </w:rPr>
            </w:pPr>
            <w:r>
              <w:rPr>
                <w:rFonts w:hint="eastAsia"/>
                <w:color w:val="auto"/>
                <w:lang w:val="en-US" w:eastAsia="zh-CN"/>
              </w:rPr>
              <w:t>0.0236</w:t>
            </w:r>
            <w:r>
              <w:rPr>
                <w:rFonts w:hint="eastAsia"/>
                <w:color w:val="auto"/>
                <w:highlight w:val="none"/>
                <w:lang w:val="en-US" w:eastAsia="zh-CN"/>
              </w:rPr>
              <w:t>t/a</w:t>
            </w:r>
          </w:p>
        </w:tc>
        <w:tc>
          <w:tcPr>
            <w:tcW w:w="1578" w:type="dxa"/>
            <w:shd w:val="clear" w:color="auto" w:fill="auto"/>
            <w:noWrap w:val="0"/>
            <w:vAlign w:val="center"/>
          </w:tcPr>
          <w:p w14:paraId="3F3F5575">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695" w:type="dxa"/>
            <w:shd w:val="clear" w:color="auto" w:fill="auto"/>
            <w:noWrap w:val="0"/>
            <w:vAlign w:val="center"/>
          </w:tcPr>
          <w:p w14:paraId="1081BEB7">
            <w:pPr>
              <w:pStyle w:val="227"/>
              <w:bidi w:val="0"/>
              <w:rPr>
                <w:rFonts w:hint="default" w:ascii="Times New Roman" w:hAnsi="Times New Roman" w:eastAsia="宋体" w:cs="Times New Roman"/>
                <w:color w:val="auto"/>
                <w:kern w:val="0"/>
                <w:sz w:val="21"/>
                <w:szCs w:val="21"/>
                <w:lang w:val="en-US" w:eastAsia="zh-CN" w:bidi="ar-SA"/>
              </w:rPr>
            </w:pPr>
            <w:r>
              <w:rPr>
                <w:rFonts w:hint="eastAsia"/>
                <w:color w:val="auto"/>
                <w:lang w:val="en-US" w:eastAsia="zh-CN"/>
              </w:rPr>
              <w:t>+0.0236</w:t>
            </w:r>
            <w:r>
              <w:rPr>
                <w:rFonts w:hint="eastAsia"/>
                <w:color w:val="auto"/>
                <w:highlight w:val="none"/>
                <w:lang w:val="en-US" w:eastAsia="zh-CN"/>
              </w:rPr>
              <w:t>t/a</w:t>
            </w:r>
          </w:p>
        </w:tc>
      </w:tr>
      <w:tr w14:paraId="3EC74F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continue"/>
            <w:noWrap w:val="0"/>
            <w:vAlign w:val="center"/>
          </w:tcPr>
          <w:p w14:paraId="019E4EF9">
            <w:pPr>
              <w:pStyle w:val="227"/>
              <w:bidi w:val="0"/>
              <w:rPr>
                <w:rFonts w:hint="eastAsia" w:ascii="Times New Roman" w:hAnsi="Times New Roman"/>
                <w:color w:val="auto"/>
              </w:rPr>
            </w:pPr>
          </w:p>
        </w:tc>
        <w:tc>
          <w:tcPr>
            <w:tcW w:w="1417" w:type="dxa"/>
            <w:noWrap w:val="0"/>
            <w:vAlign w:val="center"/>
          </w:tcPr>
          <w:p w14:paraId="71BA6E08">
            <w:pPr>
              <w:pStyle w:val="227"/>
              <w:bidi w:val="0"/>
              <w:rPr>
                <w:rFonts w:hint="default" w:ascii="Times New Roman" w:hAnsi="Times New Roman" w:eastAsia="宋体"/>
                <w:color w:val="auto"/>
                <w:lang w:val="en-US" w:eastAsia="zh-CN"/>
              </w:rPr>
            </w:pPr>
            <w:r>
              <w:rPr>
                <w:rFonts w:hint="eastAsia" w:ascii="Times New Roman" w:hAnsi="Times New Roman"/>
                <w:color w:val="auto"/>
                <w:lang w:val="en-US" w:eastAsia="zh-CN"/>
              </w:rPr>
              <w:t>BOD</w:t>
            </w:r>
            <w:r>
              <w:rPr>
                <w:rFonts w:hint="eastAsia" w:ascii="Times New Roman" w:hAnsi="Times New Roman"/>
                <w:color w:val="auto"/>
                <w:vertAlign w:val="subscript"/>
                <w:lang w:val="en-US" w:eastAsia="zh-CN"/>
              </w:rPr>
              <w:t>5</w:t>
            </w:r>
          </w:p>
        </w:tc>
        <w:tc>
          <w:tcPr>
            <w:tcW w:w="1701" w:type="dxa"/>
            <w:shd w:val="clear" w:color="auto" w:fill="auto"/>
            <w:noWrap w:val="0"/>
            <w:vAlign w:val="center"/>
          </w:tcPr>
          <w:p w14:paraId="2717E82B">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276" w:type="dxa"/>
            <w:shd w:val="clear" w:color="auto" w:fill="auto"/>
            <w:noWrap w:val="0"/>
            <w:vAlign w:val="center"/>
          </w:tcPr>
          <w:p w14:paraId="1C527B46">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701" w:type="dxa"/>
            <w:noWrap w:val="0"/>
            <w:vAlign w:val="center"/>
          </w:tcPr>
          <w:p w14:paraId="1834090F">
            <w:pPr>
              <w:pStyle w:val="227"/>
              <w:bidi w:val="0"/>
              <w:rPr>
                <w:rFonts w:ascii="Times New Roman" w:hAnsi="Times New Roman"/>
                <w:color w:val="auto"/>
              </w:rPr>
            </w:pPr>
            <w:r>
              <w:rPr>
                <w:rFonts w:hint="eastAsia" w:ascii="Times New Roman" w:hAnsi="Times New Roman"/>
                <w:color w:val="auto"/>
                <w:lang w:val="en-US" w:eastAsia="zh-CN"/>
              </w:rPr>
              <w:t>/</w:t>
            </w:r>
          </w:p>
        </w:tc>
        <w:tc>
          <w:tcPr>
            <w:tcW w:w="1559" w:type="dxa"/>
            <w:noWrap w:val="0"/>
            <w:vAlign w:val="center"/>
          </w:tcPr>
          <w:p w14:paraId="6DBA9FCF">
            <w:pPr>
              <w:pStyle w:val="227"/>
              <w:bidi w:val="0"/>
              <w:rPr>
                <w:rFonts w:hint="default" w:ascii="Times New Roman" w:hAnsi="Times New Roman" w:eastAsia="宋体"/>
                <w:color w:val="auto"/>
                <w:lang w:val="en-US" w:eastAsia="zh-CN"/>
              </w:rPr>
            </w:pPr>
            <w:r>
              <w:rPr>
                <w:rFonts w:hint="eastAsia"/>
                <w:color w:val="auto"/>
                <w:lang w:val="en-US" w:eastAsia="zh-CN"/>
              </w:rPr>
              <w:t>0.0107</w:t>
            </w:r>
            <w:r>
              <w:rPr>
                <w:rFonts w:hint="eastAsia"/>
                <w:color w:val="auto"/>
                <w:highlight w:val="none"/>
                <w:lang w:val="en-US" w:eastAsia="zh-CN"/>
              </w:rPr>
              <w:t>t/a</w:t>
            </w:r>
          </w:p>
        </w:tc>
        <w:tc>
          <w:tcPr>
            <w:tcW w:w="1578" w:type="dxa"/>
            <w:shd w:val="clear" w:color="auto" w:fill="auto"/>
            <w:noWrap w:val="0"/>
            <w:vAlign w:val="center"/>
          </w:tcPr>
          <w:p w14:paraId="761488C9">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695" w:type="dxa"/>
            <w:shd w:val="clear" w:color="auto" w:fill="auto"/>
            <w:noWrap w:val="0"/>
            <w:vAlign w:val="center"/>
          </w:tcPr>
          <w:p w14:paraId="7E21665F">
            <w:pPr>
              <w:pStyle w:val="227"/>
              <w:bidi w:val="0"/>
              <w:rPr>
                <w:rFonts w:hint="default" w:ascii="Times New Roman" w:hAnsi="Times New Roman" w:eastAsia="宋体" w:cs="Times New Roman"/>
                <w:color w:val="auto"/>
                <w:kern w:val="0"/>
                <w:sz w:val="21"/>
                <w:szCs w:val="21"/>
                <w:lang w:val="en-US" w:eastAsia="zh-CN" w:bidi="ar-SA"/>
              </w:rPr>
            </w:pPr>
            <w:r>
              <w:rPr>
                <w:rFonts w:hint="eastAsia"/>
                <w:color w:val="auto"/>
                <w:lang w:val="en-US" w:eastAsia="zh-CN"/>
              </w:rPr>
              <w:t>+0.0107</w:t>
            </w:r>
            <w:r>
              <w:rPr>
                <w:rFonts w:hint="eastAsia"/>
                <w:color w:val="auto"/>
                <w:highlight w:val="none"/>
                <w:lang w:val="en-US" w:eastAsia="zh-CN"/>
              </w:rPr>
              <w:t>t/a</w:t>
            </w:r>
          </w:p>
        </w:tc>
      </w:tr>
      <w:tr w14:paraId="048EF6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continue"/>
            <w:noWrap w:val="0"/>
            <w:vAlign w:val="center"/>
          </w:tcPr>
          <w:p w14:paraId="6E640298">
            <w:pPr>
              <w:pStyle w:val="227"/>
              <w:bidi w:val="0"/>
              <w:rPr>
                <w:rFonts w:hint="eastAsia" w:ascii="Times New Roman" w:hAnsi="Times New Roman"/>
                <w:color w:val="auto"/>
              </w:rPr>
            </w:pPr>
          </w:p>
        </w:tc>
        <w:tc>
          <w:tcPr>
            <w:tcW w:w="1417" w:type="dxa"/>
            <w:noWrap w:val="0"/>
            <w:vAlign w:val="center"/>
          </w:tcPr>
          <w:p w14:paraId="7E95B4BE">
            <w:pPr>
              <w:pStyle w:val="227"/>
              <w:bidi w:val="0"/>
              <w:rPr>
                <w:rFonts w:hint="default" w:ascii="Times New Roman" w:hAnsi="Times New Roman" w:eastAsia="宋体"/>
                <w:color w:val="auto"/>
                <w:lang w:val="en-US" w:eastAsia="zh-CN"/>
              </w:rPr>
            </w:pPr>
            <w:r>
              <w:rPr>
                <w:rFonts w:hint="eastAsia" w:ascii="Times New Roman" w:hAnsi="Times New Roman"/>
                <w:color w:val="auto"/>
                <w:lang w:val="en-US" w:eastAsia="zh-CN"/>
              </w:rPr>
              <w:t>NH</w:t>
            </w:r>
            <w:r>
              <w:rPr>
                <w:rFonts w:hint="eastAsia" w:ascii="Times New Roman" w:hAnsi="Times New Roman"/>
                <w:color w:val="auto"/>
                <w:vertAlign w:val="subscript"/>
                <w:lang w:val="en-US" w:eastAsia="zh-CN"/>
              </w:rPr>
              <w:t>3</w:t>
            </w:r>
            <w:r>
              <w:rPr>
                <w:rFonts w:hint="eastAsia" w:ascii="Times New Roman" w:hAnsi="Times New Roman"/>
                <w:color w:val="auto"/>
                <w:lang w:val="en-US" w:eastAsia="zh-CN"/>
              </w:rPr>
              <w:t>-N</w:t>
            </w:r>
          </w:p>
        </w:tc>
        <w:tc>
          <w:tcPr>
            <w:tcW w:w="1701" w:type="dxa"/>
            <w:shd w:val="clear" w:color="auto" w:fill="auto"/>
            <w:noWrap w:val="0"/>
            <w:vAlign w:val="center"/>
          </w:tcPr>
          <w:p w14:paraId="498D441A">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276" w:type="dxa"/>
            <w:shd w:val="clear" w:color="auto" w:fill="auto"/>
            <w:noWrap w:val="0"/>
            <w:vAlign w:val="center"/>
          </w:tcPr>
          <w:p w14:paraId="0B65FFF5">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701" w:type="dxa"/>
            <w:noWrap w:val="0"/>
            <w:vAlign w:val="center"/>
          </w:tcPr>
          <w:p w14:paraId="6495C9F8">
            <w:pPr>
              <w:pStyle w:val="227"/>
              <w:bidi w:val="0"/>
              <w:rPr>
                <w:rFonts w:ascii="Times New Roman" w:hAnsi="Times New Roman"/>
                <w:color w:val="auto"/>
              </w:rPr>
            </w:pPr>
            <w:r>
              <w:rPr>
                <w:rFonts w:hint="eastAsia" w:ascii="Times New Roman" w:hAnsi="Times New Roman"/>
                <w:color w:val="auto"/>
                <w:lang w:val="en-US" w:eastAsia="zh-CN"/>
              </w:rPr>
              <w:t>/</w:t>
            </w:r>
          </w:p>
        </w:tc>
        <w:tc>
          <w:tcPr>
            <w:tcW w:w="1559" w:type="dxa"/>
            <w:noWrap w:val="0"/>
            <w:vAlign w:val="center"/>
          </w:tcPr>
          <w:p w14:paraId="202F6BED">
            <w:pPr>
              <w:pStyle w:val="227"/>
              <w:bidi w:val="0"/>
              <w:rPr>
                <w:rFonts w:hint="default" w:ascii="Times New Roman" w:hAnsi="Times New Roman" w:eastAsia="宋体"/>
                <w:color w:val="auto"/>
                <w:lang w:val="en-US" w:eastAsia="zh-CN"/>
              </w:rPr>
            </w:pPr>
            <w:r>
              <w:rPr>
                <w:rFonts w:hint="eastAsia"/>
                <w:color w:val="auto"/>
                <w:lang w:val="en-US" w:eastAsia="zh-CN"/>
              </w:rPr>
              <w:t>0.002724</w:t>
            </w:r>
            <w:r>
              <w:rPr>
                <w:rFonts w:hint="eastAsia"/>
                <w:color w:val="auto"/>
                <w:highlight w:val="none"/>
                <w:lang w:val="en-US" w:eastAsia="zh-CN"/>
              </w:rPr>
              <w:t>t/a</w:t>
            </w:r>
          </w:p>
        </w:tc>
        <w:tc>
          <w:tcPr>
            <w:tcW w:w="1578" w:type="dxa"/>
            <w:shd w:val="clear" w:color="auto" w:fill="auto"/>
            <w:noWrap w:val="0"/>
            <w:vAlign w:val="center"/>
          </w:tcPr>
          <w:p w14:paraId="4F122F61">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695" w:type="dxa"/>
            <w:shd w:val="clear" w:color="auto" w:fill="auto"/>
            <w:noWrap w:val="0"/>
            <w:vAlign w:val="center"/>
          </w:tcPr>
          <w:p w14:paraId="33A65617">
            <w:pPr>
              <w:pStyle w:val="227"/>
              <w:bidi w:val="0"/>
              <w:rPr>
                <w:rFonts w:hint="default" w:ascii="Times New Roman" w:hAnsi="Times New Roman" w:eastAsia="宋体" w:cs="Times New Roman"/>
                <w:color w:val="auto"/>
                <w:kern w:val="0"/>
                <w:sz w:val="21"/>
                <w:szCs w:val="21"/>
                <w:lang w:val="en-US" w:eastAsia="zh-CN" w:bidi="ar-SA"/>
              </w:rPr>
            </w:pPr>
            <w:r>
              <w:rPr>
                <w:rFonts w:hint="eastAsia"/>
                <w:color w:val="auto"/>
                <w:lang w:val="en-US" w:eastAsia="zh-CN"/>
              </w:rPr>
              <w:t>+0.002724</w:t>
            </w:r>
            <w:r>
              <w:rPr>
                <w:rFonts w:hint="eastAsia"/>
                <w:color w:val="auto"/>
                <w:highlight w:val="none"/>
                <w:lang w:val="en-US" w:eastAsia="zh-CN"/>
              </w:rPr>
              <w:t>t/a</w:t>
            </w:r>
          </w:p>
        </w:tc>
      </w:tr>
      <w:tr w14:paraId="5C2620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restart"/>
            <w:noWrap w:val="0"/>
            <w:vAlign w:val="center"/>
          </w:tcPr>
          <w:p w14:paraId="7B6CAAFB">
            <w:pPr>
              <w:pStyle w:val="227"/>
              <w:bidi w:val="0"/>
              <w:rPr>
                <w:rFonts w:ascii="Times New Roman" w:hAnsi="Times New Roman"/>
                <w:color w:val="auto"/>
              </w:rPr>
            </w:pPr>
            <w:r>
              <w:rPr>
                <w:rFonts w:hint="eastAsia" w:ascii="Times New Roman" w:hAnsi="Times New Roman"/>
                <w:color w:val="auto"/>
              </w:rPr>
              <w:t>一般工业</w:t>
            </w:r>
          </w:p>
          <w:p w14:paraId="22B9E516">
            <w:pPr>
              <w:pStyle w:val="227"/>
              <w:bidi w:val="0"/>
              <w:rPr>
                <w:rFonts w:hint="eastAsia" w:ascii="Times New Roman" w:hAnsi="Times New Roman"/>
                <w:color w:val="auto"/>
              </w:rPr>
            </w:pPr>
            <w:r>
              <w:rPr>
                <w:rFonts w:hint="eastAsia" w:ascii="Times New Roman" w:hAnsi="Times New Roman"/>
                <w:color w:val="auto"/>
              </w:rPr>
              <w:t>固体废物</w:t>
            </w:r>
          </w:p>
        </w:tc>
        <w:tc>
          <w:tcPr>
            <w:tcW w:w="1417" w:type="dxa"/>
            <w:shd w:val="clear" w:color="auto" w:fill="auto"/>
            <w:noWrap w:val="0"/>
            <w:vAlign w:val="center"/>
          </w:tcPr>
          <w:p w14:paraId="126C16C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抛光残渣</w:t>
            </w:r>
          </w:p>
        </w:tc>
        <w:tc>
          <w:tcPr>
            <w:tcW w:w="1701" w:type="dxa"/>
            <w:shd w:val="clear" w:color="auto" w:fill="auto"/>
            <w:noWrap w:val="0"/>
            <w:vAlign w:val="center"/>
          </w:tcPr>
          <w:p w14:paraId="58902961">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276" w:type="dxa"/>
            <w:shd w:val="clear" w:color="auto" w:fill="auto"/>
            <w:noWrap w:val="0"/>
            <w:vAlign w:val="center"/>
          </w:tcPr>
          <w:p w14:paraId="2177960C">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701" w:type="dxa"/>
            <w:noWrap w:val="0"/>
            <w:vAlign w:val="center"/>
          </w:tcPr>
          <w:p w14:paraId="7E0F4B53">
            <w:pPr>
              <w:pStyle w:val="227"/>
              <w:bidi w:val="0"/>
              <w:rPr>
                <w:rFonts w:ascii="Times New Roman" w:hAnsi="Times New Roman"/>
                <w:color w:val="auto"/>
              </w:rPr>
            </w:pPr>
            <w:r>
              <w:rPr>
                <w:rFonts w:hint="eastAsia" w:ascii="Times New Roman" w:hAnsi="Times New Roman"/>
                <w:color w:val="auto"/>
                <w:lang w:val="en-US" w:eastAsia="zh-CN"/>
              </w:rPr>
              <w:t>/</w:t>
            </w:r>
          </w:p>
        </w:tc>
        <w:tc>
          <w:tcPr>
            <w:tcW w:w="1559" w:type="dxa"/>
            <w:shd w:val="clear" w:color="auto" w:fill="auto"/>
            <w:noWrap w:val="0"/>
            <w:vAlign w:val="center"/>
          </w:tcPr>
          <w:p w14:paraId="7BAB8799">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0.1</w:t>
            </w:r>
            <w:r>
              <w:rPr>
                <w:rFonts w:hint="eastAsia"/>
                <w:color w:val="auto"/>
                <w:highlight w:val="none"/>
                <w:lang w:val="en-US" w:eastAsia="zh-CN"/>
              </w:rPr>
              <w:t>t/a</w:t>
            </w:r>
          </w:p>
        </w:tc>
        <w:tc>
          <w:tcPr>
            <w:tcW w:w="1578" w:type="dxa"/>
            <w:shd w:val="clear" w:color="auto" w:fill="auto"/>
            <w:noWrap w:val="0"/>
            <w:vAlign w:val="center"/>
          </w:tcPr>
          <w:p w14:paraId="6BAD7079">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695" w:type="dxa"/>
            <w:shd w:val="clear" w:color="auto" w:fill="auto"/>
            <w:noWrap w:val="0"/>
            <w:vAlign w:val="center"/>
          </w:tcPr>
          <w:p w14:paraId="323A0B6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+0.1</w:t>
            </w:r>
            <w:r>
              <w:rPr>
                <w:rFonts w:hint="eastAsia"/>
                <w:color w:val="auto"/>
                <w:highlight w:val="none"/>
                <w:lang w:val="en-US" w:eastAsia="zh-CN"/>
              </w:rPr>
              <w:t>t/a</w:t>
            </w:r>
          </w:p>
        </w:tc>
      </w:tr>
      <w:tr w14:paraId="1E419F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continue"/>
            <w:noWrap w:val="0"/>
            <w:vAlign w:val="center"/>
          </w:tcPr>
          <w:p w14:paraId="57BB7654">
            <w:pPr>
              <w:pStyle w:val="227"/>
              <w:bidi w:val="0"/>
              <w:rPr>
                <w:rFonts w:ascii="Times New Roman" w:hAnsi="Times New Roman"/>
                <w:color w:val="auto"/>
              </w:rPr>
            </w:pPr>
          </w:p>
        </w:tc>
        <w:tc>
          <w:tcPr>
            <w:tcW w:w="1417" w:type="dxa"/>
            <w:shd w:val="clear" w:color="auto" w:fill="auto"/>
            <w:noWrap w:val="0"/>
            <w:vAlign w:val="center"/>
          </w:tcPr>
          <w:p w14:paraId="4BBC88C3">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废包装</w:t>
            </w:r>
          </w:p>
        </w:tc>
        <w:tc>
          <w:tcPr>
            <w:tcW w:w="1701" w:type="dxa"/>
            <w:shd w:val="clear" w:color="auto" w:fill="auto"/>
            <w:noWrap w:val="0"/>
            <w:vAlign w:val="center"/>
          </w:tcPr>
          <w:p w14:paraId="6114CDA4">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276" w:type="dxa"/>
            <w:shd w:val="clear" w:color="auto" w:fill="auto"/>
            <w:noWrap w:val="0"/>
            <w:vAlign w:val="center"/>
          </w:tcPr>
          <w:p w14:paraId="63A3336F">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701" w:type="dxa"/>
            <w:noWrap w:val="0"/>
            <w:vAlign w:val="center"/>
          </w:tcPr>
          <w:p w14:paraId="2040CE36">
            <w:pPr>
              <w:pStyle w:val="227"/>
              <w:bidi w:val="0"/>
              <w:rPr>
                <w:rFonts w:ascii="Times New Roman" w:hAnsi="Times New Roman"/>
                <w:color w:val="auto"/>
              </w:rPr>
            </w:pPr>
            <w:r>
              <w:rPr>
                <w:rFonts w:hint="eastAsia" w:ascii="Times New Roman" w:hAnsi="Times New Roman"/>
                <w:color w:val="auto"/>
                <w:lang w:val="en-US" w:eastAsia="zh-CN"/>
              </w:rPr>
              <w:t>/</w:t>
            </w:r>
          </w:p>
        </w:tc>
        <w:tc>
          <w:tcPr>
            <w:tcW w:w="1559" w:type="dxa"/>
            <w:shd w:val="clear" w:color="auto" w:fill="auto"/>
            <w:noWrap w:val="0"/>
            <w:vAlign w:val="center"/>
          </w:tcPr>
          <w:p w14:paraId="7E455145">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0.035</w:t>
            </w:r>
            <w:r>
              <w:rPr>
                <w:rFonts w:hint="eastAsia"/>
                <w:color w:val="auto"/>
                <w:highlight w:val="none"/>
                <w:lang w:val="en-US" w:eastAsia="zh-CN"/>
              </w:rPr>
              <w:t>t/a</w:t>
            </w:r>
          </w:p>
        </w:tc>
        <w:tc>
          <w:tcPr>
            <w:tcW w:w="1578" w:type="dxa"/>
            <w:shd w:val="clear" w:color="auto" w:fill="auto"/>
            <w:noWrap w:val="0"/>
            <w:vAlign w:val="center"/>
          </w:tcPr>
          <w:p w14:paraId="0415C7D3">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695" w:type="dxa"/>
            <w:shd w:val="clear" w:color="auto" w:fill="auto"/>
            <w:noWrap w:val="0"/>
            <w:vAlign w:val="center"/>
          </w:tcPr>
          <w:p w14:paraId="2C2B831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+0.035</w:t>
            </w:r>
            <w:r>
              <w:rPr>
                <w:rFonts w:hint="eastAsia"/>
                <w:color w:val="auto"/>
                <w:highlight w:val="none"/>
                <w:lang w:val="en-US" w:eastAsia="zh-CN"/>
              </w:rPr>
              <w:t>t/a</w:t>
            </w:r>
          </w:p>
        </w:tc>
      </w:tr>
      <w:tr w14:paraId="506231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continue"/>
            <w:noWrap w:val="0"/>
            <w:vAlign w:val="center"/>
          </w:tcPr>
          <w:p w14:paraId="587921A4">
            <w:pPr>
              <w:pStyle w:val="227"/>
              <w:bidi w:val="0"/>
              <w:rPr>
                <w:rFonts w:ascii="Times New Roman" w:hAnsi="Times New Roman"/>
                <w:color w:val="auto"/>
              </w:rPr>
            </w:pPr>
          </w:p>
        </w:tc>
        <w:tc>
          <w:tcPr>
            <w:tcW w:w="1417" w:type="dxa"/>
            <w:shd w:val="clear" w:color="auto" w:fill="auto"/>
            <w:noWrap w:val="0"/>
            <w:vAlign w:val="center"/>
          </w:tcPr>
          <w:p w14:paraId="1BD614D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沉淀</w:t>
            </w:r>
            <w:r>
              <w:rPr>
                <w:rFonts w:hint="eastAsia" w:cs="Times New Roman"/>
                <w:color w:val="auto"/>
                <w:kern w:val="0"/>
                <w:sz w:val="21"/>
                <w:szCs w:val="20"/>
                <w:lang w:val="en-US" w:eastAsia="zh-CN" w:bidi="ar-SA"/>
              </w:rPr>
              <w:t>桶</w:t>
            </w:r>
            <w:r>
              <w:rPr>
                <w:rFonts w:hint="eastAsia" w:ascii="Times New Roman" w:hAnsi="Times New Roman" w:eastAsia="宋体" w:cs="Times New Roman"/>
                <w:color w:val="auto"/>
                <w:kern w:val="0"/>
                <w:sz w:val="21"/>
                <w:szCs w:val="20"/>
                <w:lang w:val="en-US" w:eastAsia="zh-CN" w:bidi="ar-SA"/>
              </w:rPr>
              <w:t>污泥</w:t>
            </w:r>
          </w:p>
        </w:tc>
        <w:tc>
          <w:tcPr>
            <w:tcW w:w="1701" w:type="dxa"/>
            <w:shd w:val="clear" w:color="auto" w:fill="auto"/>
            <w:noWrap w:val="0"/>
            <w:vAlign w:val="center"/>
          </w:tcPr>
          <w:p w14:paraId="742271B6">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276" w:type="dxa"/>
            <w:shd w:val="clear" w:color="auto" w:fill="auto"/>
            <w:noWrap w:val="0"/>
            <w:vAlign w:val="center"/>
          </w:tcPr>
          <w:p w14:paraId="4B5B81A9">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701" w:type="dxa"/>
            <w:noWrap w:val="0"/>
            <w:vAlign w:val="center"/>
          </w:tcPr>
          <w:p w14:paraId="10EC1E7F">
            <w:pPr>
              <w:pStyle w:val="227"/>
              <w:bidi w:val="0"/>
              <w:rPr>
                <w:rFonts w:ascii="Times New Roman" w:hAnsi="Times New Roman"/>
                <w:color w:val="auto"/>
              </w:rPr>
            </w:pPr>
            <w:r>
              <w:rPr>
                <w:rFonts w:hint="eastAsia" w:ascii="Times New Roman" w:hAnsi="Times New Roman"/>
                <w:color w:val="auto"/>
                <w:lang w:val="en-US" w:eastAsia="zh-CN"/>
              </w:rPr>
              <w:t>/</w:t>
            </w:r>
          </w:p>
        </w:tc>
        <w:tc>
          <w:tcPr>
            <w:tcW w:w="1559" w:type="dxa"/>
            <w:shd w:val="clear" w:color="auto" w:fill="auto"/>
            <w:noWrap w:val="0"/>
            <w:vAlign w:val="center"/>
          </w:tcPr>
          <w:p w14:paraId="1606F210">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17.4</w:t>
            </w:r>
            <w:r>
              <w:rPr>
                <w:rFonts w:hint="eastAsia"/>
                <w:color w:val="auto"/>
                <w:highlight w:val="none"/>
                <w:lang w:val="en-US" w:eastAsia="zh-CN"/>
              </w:rPr>
              <w:t>t/a</w:t>
            </w:r>
          </w:p>
        </w:tc>
        <w:tc>
          <w:tcPr>
            <w:tcW w:w="1578" w:type="dxa"/>
            <w:shd w:val="clear" w:color="auto" w:fill="auto"/>
            <w:noWrap w:val="0"/>
            <w:vAlign w:val="center"/>
          </w:tcPr>
          <w:p w14:paraId="1791EBC1">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695" w:type="dxa"/>
            <w:shd w:val="clear" w:color="auto" w:fill="auto"/>
            <w:noWrap w:val="0"/>
            <w:vAlign w:val="center"/>
          </w:tcPr>
          <w:p w14:paraId="460324DC">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+17.4</w:t>
            </w:r>
            <w:r>
              <w:rPr>
                <w:rFonts w:hint="eastAsia"/>
                <w:color w:val="auto"/>
                <w:highlight w:val="none"/>
                <w:lang w:val="en-US" w:eastAsia="zh-CN"/>
              </w:rPr>
              <w:t>t/a</w:t>
            </w:r>
          </w:p>
        </w:tc>
      </w:tr>
      <w:tr w14:paraId="5E3DFF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continue"/>
            <w:noWrap w:val="0"/>
            <w:vAlign w:val="center"/>
          </w:tcPr>
          <w:p w14:paraId="5EFB391E">
            <w:pPr>
              <w:pStyle w:val="227"/>
              <w:bidi w:val="0"/>
              <w:rPr>
                <w:rFonts w:ascii="Times New Roman" w:hAnsi="Times New Roman"/>
                <w:color w:val="auto"/>
              </w:rPr>
            </w:pPr>
          </w:p>
        </w:tc>
        <w:tc>
          <w:tcPr>
            <w:tcW w:w="1417" w:type="dxa"/>
            <w:shd w:val="clear" w:color="auto" w:fill="auto"/>
            <w:noWrap w:val="0"/>
            <w:vAlign w:val="center"/>
          </w:tcPr>
          <w:p w14:paraId="1311F3F5">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不合格产品</w:t>
            </w:r>
          </w:p>
        </w:tc>
        <w:tc>
          <w:tcPr>
            <w:tcW w:w="1701" w:type="dxa"/>
            <w:shd w:val="clear" w:color="auto" w:fill="auto"/>
            <w:noWrap w:val="0"/>
            <w:vAlign w:val="center"/>
          </w:tcPr>
          <w:p w14:paraId="6B6BF9DE">
            <w:pPr>
              <w:pStyle w:val="227"/>
              <w:bidi w:val="0"/>
              <w:rPr>
                <w:rFonts w:hint="eastAsia" w:ascii="Times New Roman" w:hAnsi="Times New Roman"/>
                <w:color w:val="auto"/>
                <w:lang w:val="en-US" w:eastAsia="zh-CN"/>
              </w:rPr>
            </w:pPr>
          </w:p>
        </w:tc>
        <w:tc>
          <w:tcPr>
            <w:tcW w:w="1276" w:type="dxa"/>
            <w:shd w:val="clear" w:color="auto" w:fill="auto"/>
            <w:noWrap w:val="0"/>
            <w:vAlign w:val="center"/>
          </w:tcPr>
          <w:p w14:paraId="5D0EF983">
            <w:pPr>
              <w:pStyle w:val="227"/>
              <w:bidi w:val="0"/>
              <w:rPr>
                <w:rFonts w:hint="eastAsia" w:ascii="Times New Roman" w:hAnsi="Times New Roman"/>
                <w:color w:val="auto"/>
                <w:lang w:val="en-US" w:eastAsia="zh-CN"/>
              </w:rPr>
            </w:pPr>
          </w:p>
        </w:tc>
        <w:tc>
          <w:tcPr>
            <w:tcW w:w="1701" w:type="dxa"/>
            <w:noWrap w:val="0"/>
            <w:vAlign w:val="center"/>
          </w:tcPr>
          <w:p w14:paraId="5C1F6565">
            <w:pPr>
              <w:pStyle w:val="227"/>
              <w:bidi w:val="0"/>
              <w:rPr>
                <w:rFonts w:hint="eastAsia" w:ascii="Times New Roman" w:hAnsi="Times New Roman"/>
                <w:color w:val="auto"/>
                <w:lang w:val="en-US" w:eastAsia="zh-CN"/>
              </w:rPr>
            </w:pPr>
          </w:p>
        </w:tc>
        <w:tc>
          <w:tcPr>
            <w:tcW w:w="1559" w:type="dxa"/>
            <w:shd w:val="clear" w:color="auto" w:fill="auto"/>
            <w:noWrap w:val="0"/>
            <w:vAlign w:val="center"/>
          </w:tcPr>
          <w:p w14:paraId="1767FAC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cs="Times New Roman"/>
                <w:color w:val="auto"/>
                <w:kern w:val="0"/>
                <w:sz w:val="21"/>
                <w:szCs w:val="20"/>
                <w:lang w:val="en-US" w:eastAsia="zh-CN" w:bidi="ar-SA"/>
              </w:rPr>
              <w:t>0.7</w:t>
            </w:r>
            <w:r>
              <w:rPr>
                <w:rFonts w:hint="eastAsia"/>
                <w:color w:val="auto"/>
                <w:highlight w:val="none"/>
                <w:lang w:val="en-US" w:eastAsia="zh-CN"/>
              </w:rPr>
              <w:t>t/a</w:t>
            </w:r>
          </w:p>
        </w:tc>
        <w:tc>
          <w:tcPr>
            <w:tcW w:w="1578" w:type="dxa"/>
            <w:shd w:val="clear" w:color="auto" w:fill="auto"/>
            <w:noWrap w:val="0"/>
            <w:vAlign w:val="center"/>
          </w:tcPr>
          <w:p w14:paraId="743FEB40">
            <w:pPr>
              <w:pStyle w:val="227"/>
              <w:bidi w:val="0"/>
              <w:rPr>
                <w:rFonts w:hint="eastAsia" w:ascii="Times New Roman" w:hAnsi="Times New Roman" w:eastAsia="宋体" w:cs="Times New Roman"/>
                <w:color w:val="auto"/>
                <w:kern w:val="0"/>
                <w:sz w:val="21"/>
                <w:szCs w:val="21"/>
                <w:lang w:val="en-US" w:eastAsia="zh-CN" w:bidi="ar-SA"/>
              </w:rPr>
            </w:pPr>
          </w:p>
        </w:tc>
        <w:tc>
          <w:tcPr>
            <w:tcW w:w="1695" w:type="dxa"/>
            <w:shd w:val="clear" w:color="auto" w:fill="auto"/>
            <w:noWrap w:val="0"/>
            <w:vAlign w:val="center"/>
          </w:tcPr>
          <w:p w14:paraId="22D0839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cs="Times New Roman"/>
                <w:color w:val="auto"/>
                <w:kern w:val="0"/>
                <w:sz w:val="21"/>
                <w:szCs w:val="20"/>
                <w:lang w:val="en-US" w:eastAsia="zh-CN" w:bidi="ar-SA"/>
              </w:rPr>
              <w:t>+0.7</w:t>
            </w:r>
            <w:r>
              <w:rPr>
                <w:rFonts w:hint="eastAsia"/>
                <w:color w:val="auto"/>
                <w:highlight w:val="none"/>
                <w:lang w:val="en-US" w:eastAsia="zh-CN"/>
              </w:rPr>
              <w:t>t/a</w:t>
            </w:r>
          </w:p>
        </w:tc>
      </w:tr>
      <w:tr w14:paraId="7FBB77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noWrap w:val="0"/>
            <w:vAlign w:val="center"/>
          </w:tcPr>
          <w:p w14:paraId="0686E803">
            <w:pPr>
              <w:pStyle w:val="227"/>
              <w:bidi w:val="0"/>
              <w:rPr>
                <w:rFonts w:hint="eastAsia" w:ascii="Times New Roman" w:hAnsi="Times New Roman" w:eastAsia="宋体"/>
                <w:color w:val="auto"/>
                <w:lang w:val="en-US" w:eastAsia="zh-CN"/>
              </w:rPr>
            </w:pPr>
            <w:r>
              <w:rPr>
                <w:rFonts w:hint="eastAsia" w:ascii="Times New Roman" w:hAnsi="Times New Roman"/>
                <w:color w:val="auto"/>
                <w:lang w:val="en-US" w:eastAsia="zh-CN"/>
              </w:rPr>
              <w:t>生活垃圾</w:t>
            </w:r>
          </w:p>
        </w:tc>
        <w:tc>
          <w:tcPr>
            <w:tcW w:w="1417" w:type="dxa"/>
            <w:noWrap w:val="0"/>
            <w:vAlign w:val="center"/>
          </w:tcPr>
          <w:p w14:paraId="6C715694">
            <w:pPr>
              <w:pStyle w:val="227"/>
              <w:bidi w:val="0"/>
              <w:rPr>
                <w:rFonts w:hint="default" w:ascii="Times New Roman" w:hAnsi="Times New Roman"/>
                <w:color w:val="auto"/>
                <w:lang w:val="en-US" w:eastAsia="zh-CN"/>
              </w:rPr>
            </w:pPr>
            <w:r>
              <w:rPr>
                <w:rFonts w:hint="eastAsia" w:ascii="Times New Roman" w:hAnsi="Times New Roman"/>
                <w:color w:val="auto"/>
                <w:lang w:val="en-US" w:eastAsia="zh-CN"/>
              </w:rPr>
              <w:t>生活垃圾</w:t>
            </w:r>
          </w:p>
        </w:tc>
        <w:tc>
          <w:tcPr>
            <w:tcW w:w="1701" w:type="dxa"/>
            <w:noWrap w:val="0"/>
            <w:vAlign w:val="center"/>
          </w:tcPr>
          <w:p w14:paraId="0975F3E6">
            <w:pPr>
              <w:pStyle w:val="227"/>
              <w:bidi w:val="0"/>
              <w:rPr>
                <w:rFonts w:ascii="Times New Roman" w:hAnsi="Times New Roman"/>
                <w:color w:val="auto"/>
              </w:rPr>
            </w:pPr>
            <w:r>
              <w:rPr>
                <w:rFonts w:hint="eastAsia" w:ascii="Times New Roman" w:hAnsi="Times New Roman"/>
                <w:color w:val="auto"/>
                <w:lang w:val="en-US" w:eastAsia="zh-CN"/>
              </w:rPr>
              <w:t>/</w:t>
            </w:r>
          </w:p>
        </w:tc>
        <w:tc>
          <w:tcPr>
            <w:tcW w:w="1276" w:type="dxa"/>
            <w:noWrap w:val="0"/>
            <w:vAlign w:val="center"/>
          </w:tcPr>
          <w:p w14:paraId="0200911F">
            <w:pPr>
              <w:pStyle w:val="227"/>
              <w:bidi w:val="0"/>
              <w:rPr>
                <w:rFonts w:ascii="Times New Roman" w:hAnsi="Times New Roman"/>
                <w:color w:val="auto"/>
              </w:rPr>
            </w:pPr>
            <w:r>
              <w:rPr>
                <w:rFonts w:hint="eastAsia" w:ascii="Times New Roman" w:hAnsi="Times New Roman"/>
                <w:color w:val="auto"/>
                <w:lang w:val="en-US" w:eastAsia="zh-CN"/>
              </w:rPr>
              <w:t>/</w:t>
            </w:r>
          </w:p>
        </w:tc>
        <w:tc>
          <w:tcPr>
            <w:tcW w:w="1701" w:type="dxa"/>
            <w:noWrap w:val="0"/>
            <w:vAlign w:val="center"/>
          </w:tcPr>
          <w:p w14:paraId="29BA5C4F">
            <w:pPr>
              <w:pStyle w:val="227"/>
              <w:bidi w:val="0"/>
              <w:rPr>
                <w:rFonts w:ascii="Times New Roman" w:hAnsi="Times New Roman"/>
                <w:color w:val="auto"/>
              </w:rPr>
            </w:pPr>
            <w:r>
              <w:rPr>
                <w:rFonts w:hint="eastAsia" w:ascii="Times New Roman" w:hAnsi="Times New Roman"/>
                <w:color w:val="auto"/>
                <w:lang w:val="en-US" w:eastAsia="zh-CN"/>
              </w:rPr>
              <w:t>/</w:t>
            </w:r>
          </w:p>
        </w:tc>
        <w:tc>
          <w:tcPr>
            <w:tcW w:w="1559" w:type="dxa"/>
            <w:noWrap w:val="0"/>
            <w:vAlign w:val="center"/>
          </w:tcPr>
          <w:p w14:paraId="7DE58372">
            <w:pPr>
              <w:pStyle w:val="227"/>
              <w:bidi w:val="0"/>
              <w:rPr>
                <w:rFonts w:hint="default" w:ascii="Times New Roman" w:hAnsi="Times New Roman" w:eastAsia="宋体"/>
                <w:color w:val="auto"/>
                <w:highlight w:val="none"/>
                <w:lang w:val="en-US" w:eastAsia="zh-CN"/>
              </w:rPr>
            </w:pPr>
            <w:r>
              <w:rPr>
                <w:rFonts w:hint="eastAsia"/>
                <w:color w:val="auto"/>
                <w:highlight w:val="none"/>
                <w:lang w:val="en-US" w:eastAsia="zh-CN"/>
              </w:rPr>
              <w:t>9.96t/a</w:t>
            </w:r>
          </w:p>
        </w:tc>
        <w:tc>
          <w:tcPr>
            <w:tcW w:w="1578" w:type="dxa"/>
            <w:shd w:val="clear" w:color="auto" w:fill="auto"/>
            <w:noWrap w:val="0"/>
            <w:vAlign w:val="center"/>
          </w:tcPr>
          <w:p w14:paraId="568DE4CC">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695" w:type="dxa"/>
            <w:shd w:val="clear" w:color="auto" w:fill="auto"/>
            <w:noWrap w:val="0"/>
            <w:vAlign w:val="center"/>
          </w:tcPr>
          <w:p w14:paraId="353706F7">
            <w:pPr>
              <w:pStyle w:val="227"/>
              <w:bidi w:val="0"/>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+9.96t/a</w:t>
            </w:r>
          </w:p>
        </w:tc>
      </w:tr>
      <w:tr w14:paraId="6AAC90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restart"/>
            <w:noWrap w:val="0"/>
            <w:vAlign w:val="center"/>
          </w:tcPr>
          <w:p w14:paraId="391D662F">
            <w:pPr>
              <w:pStyle w:val="227"/>
              <w:bidi w:val="0"/>
              <w:rPr>
                <w:rFonts w:hint="eastAsia" w:ascii="Times New Roman" w:hAnsi="Times New Roman"/>
                <w:color w:val="auto"/>
              </w:rPr>
            </w:pPr>
            <w:r>
              <w:rPr>
                <w:rFonts w:hint="eastAsia" w:ascii="Times New Roman" w:hAnsi="Times New Roman"/>
                <w:color w:val="auto"/>
              </w:rPr>
              <w:t>危险废物</w:t>
            </w:r>
          </w:p>
        </w:tc>
        <w:tc>
          <w:tcPr>
            <w:tcW w:w="1417" w:type="dxa"/>
            <w:shd w:val="clear" w:color="auto" w:fill="auto"/>
            <w:noWrap w:val="0"/>
            <w:vAlign w:val="center"/>
          </w:tcPr>
          <w:p w14:paraId="2F0D1682">
            <w:pPr>
              <w:widowControl w:val="0"/>
              <w:bidi w:val="0"/>
              <w:adjustRightInd w:val="0"/>
              <w:snapToGrid w:val="0"/>
              <w:spacing w:before="10" w:beforeLines="10" w:after="10" w:afterLines="10" w:line="240" w:lineRule="auto"/>
              <w:jc w:val="center"/>
              <w:rPr>
                <w:rFonts w:hint="eastAsia"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废活性炭</w:t>
            </w:r>
          </w:p>
        </w:tc>
        <w:tc>
          <w:tcPr>
            <w:tcW w:w="1701" w:type="dxa"/>
            <w:noWrap w:val="0"/>
            <w:vAlign w:val="center"/>
          </w:tcPr>
          <w:p w14:paraId="54D0CEA2">
            <w:pPr>
              <w:pStyle w:val="227"/>
              <w:bidi w:val="0"/>
              <w:rPr>
                <w:rFonts w:ascii="Times New Roman" w:hAnsi="Times New Roman"/>
                <w:color w:val="auto"/>
              </w:rPr>
            </w:pPr>
            <w:r>
              <w:rPr>
                <w:rFonts w:hint="eastAsia" w:ascii="Times New Roman" w:hAnsi="Times New Roman"/>
                <w:color w:val="auto"/>
                <w:lang w:val="en-US" w:eastAsia="zh-CN"/>
              </w:rPr>
              <w:t>/</w:t>
            </w:r>
          </w:p>
        </w:tc>
        <w:tc>
          <w:tcPr>
            <w:tcW w:w="1276" w:type="dxa"/>
            <w:noWrap w:val="0"/>
            <w:vAlign w:val="center"/>
          </w:tcPr>
          <w:p w14:paraId="57148FE6">
            <w:pPr>
              <w:pStyle w:val="227"/>
              <w:bidi w:val="0"/>
              <w:rPr>
                <w:rFonts w:ascii="Times New Roman" w:hAnsi="Times New Roman"/>
                <w:color w:val="auto"/>
              </w:rPr>
            </w:pPr>
            <w:r>
              <w:rPr>
                <w:rFonts w:hint="eastAsia" w:ascii="Times New Roman" w:hAnsi="Times New Roman"/>
                <w:color w:val="auto"/>
                <w:lang w:val="en-US" w:eastAsia="zh-CN"/>
              </w:rPr>
              <w:t>/</w:t>
            </w:r>
          </w:p>
        </w:tc>
        <w:tc>
          <w:tcPr>
            <w:tcW w:w="1701" w:type="dxa"/>
            <w:noWrap w:val="0"/>
            <w:vAlign w:val="center"/>
          </w:tcPr>
          <w:p w14:paraId="2E684B84">
            <w:pPr>
              <w:pStyle w:val="227"/>
              <w:bidi w:val="0"/>
              <w:rPr>
                <w:rFonts w:ascii="Times New Roman" w:hAnsi="Times New Roman"/>
                <w:color w:val="auto"/>
              </w:rPr>
            </w:pPr>
            <w:r>
              <w:rPr>
                <w:rFonts w:hint="eastAsia" w:ascii="Times New Roman" w:hAnsi="Times New Roman"/>
                <w:color w:val="auto"/>
                <w:lang w:val="en-US" w:eastAsia="zh-CN"/>
              </w:rPr>
              <w:t>/</w:t>
            </w:r>
          </w:p>
        </w:tc>
        <w:tc>
          <w:tcPr>
            <w:tcW w:w="1559" w:type="dxa"/>
            <w:shd w:val="clear" w:color="auto" w:fill="auto"/>
            <w:noWrap w:val="0"/>
            <w:vAlign w:val="center"/>
          </w:tcPr>
          <w:p w14:paraId="7B52A7F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1.239t/a</w:t>
            </w:r>
          </w:p>
        </w:tc>
        <w:tc>
          <w:tcPr>
            <w:tcW w:w="1578" w:type="dxa"/>
            <w:shd w:val="clear" w:color="auto" w:fill="auto"/>
            <w:noWrap w:val="0"/>
            <w:vAlign w:val="center"/>
          </w:tcPr>
          <w:p w14:paraId="240167CD">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695" w:type="dxa"/>
            <w:shd w:val="clear" w:color="auto" w:fill="auto"/>
            <w:noWrap w:val="0"/>
            <w:vAlign w:val="center"/>
          </w:tcPr>
          <w:p w14:paraId="6FB637AC">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+1.239t/a</w:t>
            </w:r>
          </w:p>
        </w:tc>
      </w:tr>
      <w:tr w14:paraId="610DA3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continue"/>
            <w:noWrap w:val="0"/>
            <w:vAlign w:val="center"/>
          </w:tcPr>
          <w:p w14:paraId="47914290">
            <w:pPr>
              <w:pStyle w:val="227"/>
              <w:bidi w:val="0"/>
              <w:rPr>
                <w:rFonts w:ascii="Times New Roman" w:hAnsi="Times New Roman"/>
                <w:color w:val="auto"/>
              </w:rPr>
            </w:pPr>
          </w:p>
        </w:tc>
        <w:tc>
          <w:tcPr>
            <w:tcW w:w="1417" w:type="dxa"/>
            <w:shd w:val="clear" w:color="auto" w:fill="auto"/>
            <w:noWrap w:val="0"/>
            <w:vAlign w:val="center"/>
          </w:tcPr>
          <w:p w14:paraId="01AE9C3B">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废无尘布</w:t>
            </w:r>
          </w:p>
        </w:tc>
        <w:tc>
          <w:tcPr>
            <w:tcW w:w="1701" w:type="dxa"/>
            <w:noWrap w:val="0"/>
            <w:vAlign w:val="center"/>
          </w:tcPr>
          <w:p w14:paraId="7B5685C0">
            <w:pPr>
              <w:pStyle w:val="227"/>
              <w:bidi w:val="0"/>
              <w:rPr>
                <w:rFonts w:hint="default" w:ascii="Times New Roman" w:hAnsi="Times New Roman"/>
                <w:color w:val="auto"/>
                <w:highlight w:val="none"/>
                <w:lang w:val="en-US"/>
              </w:rPr>
            </w:pPr>
            <w:r>
              <w:rPr>
                <w:rFonts w:hint="eastAsia"/>
                <w:color w:val="auto"/>
                <w:highlight w:val="none"/>
                <w:lang w:val="en-US" w:eastAsia="zh-CN"/>
              </w:rPr>
              <w:t>/</w:t>
            </w:r>
          </w:p>
        </w:tc>
        <w:tc>
          <w:tcPr>
            <w:tcW w:w="1276" w:type="dxa"/>
            <w:noWrap w:val="0"/>
            <w:vAlign w:val="center"/>
          </w:tcPr>
          <w:p w14:paraId="66AC31F5">
            <w:pPr>
              <w:pStyle w:val="227"/>
              <w:bidi w:val="0"/>
              <w:rPr>
                <w:rFonts w:ascii="Times New Roman" w:hAnsi="Times New Roman"/>
                <w:color w:val="auto"/>
              </w:rPr>
            </w:pPr>
            <w:r>
              <w:rPr>
                <w:rFonts w:hint="eastAsia" w:ascii="Times New Roman" w:hAnsi="Times New Roman"/>
                <w:color w:val="auto"/>
                <w:lang w:val="en-US" w:eastAsia="zh-CN"/>
              </w:rPr>
              <w:t>/</w:t>
            </w:r>
          </w:p>
        </w:tc>
        <w:tc>
          <w:tcPr>
            <w:tcW w:w="1701" w:type="dxa"/>
            <w:noWrap w:val="0"/>
            <w:vAlign w:val="center"/>
          </w:tcPr>
          <w:p w14:paraId="5ECA7A2C">
            <w:pPr>
              <w:pStyle w:val="227"/>
              <w:bidi w:val="0"/>
              <w:rPr>
                <w:rFonts w:ascii="Times New Roman" w:hAnsi="Times New Roman"/>
                <w:color w:val="auto"/>
              </w:rPr>
            </w:pPr>
            <w:r>
              <w:rPr>
                <w:rFonts w:hint="eastAsia" w:ascii="Times New Roman" w:hAnsi="Times New Roman"/>
                <w:color w:val="auto"/>
                <w:lang w:val="en-US" w:eastAsia="zh-CN"/>
              </w:rPr>
              <w:t>/</w:t>
            </w:r>
          </w:p>
        </w:tc>
        <w:tc>
          <w:tcPr>
            <w:tcW w:w="1559" w:type="dxa"/>
            <w:shd w:val="clear" w:color="auto" w:fill="auto"/>
            <w:noWrap w:val="0"/>
            <w:vAlign w:val="center"/>
          </w:tcPr>
          <w:p w14:paraId="723B8E0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0.13t/a</w:t>
            </w:r>
          </w:p>
        </w:tc>
        <w:tc>
          <w:tcPr>
            <w:tcW w:w="1578" w:type="dxa"/>
            <w:shd w:val="clear" w:color="auto" w:fill="auto"/>
            <w:noWrap w:val="0"/>
            <w:vAlign w:val="center"/>
          </w:tcPr>
          <w:p w14:paraId="508D919C">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695" w:type="dxa"/>
            <w:shd w:val="clear" w:color="auto" w:fill="auto"/>
            <w:noWrap w:val="0"/>
            <w:vAlign w:val="center"/>
          </w:tcPr>
          <w:p w14:paraId="53C9EEE2">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+0.13t/a</w:t>
            </w:r>
          </w:p>
        </w:tc>
      </w:tr>
      <w:tr w14:paraId="791147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continue"/>
            <w:noWrap w:val="0"/>
            <w:vAlign w:val="center"/>
          </w:tcPr>
          <w:p w14:paraId="13F831DB">
            <w:pPr>
              <w:pStyle w:val="227"/>
              <w:bidi w:val="0"/>
              <w:rPr>
                <w:rFonts w:ascii="Times New Roman" w:hAnsi="Times New Roman"/>
                <w:color w:val="auto"/>
              </w:rPr>
            </w:pPr>
          </w:p>
        </w:tc>
        <w:tc>
          <w:tcPr>
            <w:tcW w:w="1417" w:type="dxa"/>
            <w:shd w:val="clear" w:color="auto" w:fill="auto"/>
            <w:noWrap w:val="0"/>
            <w:vAlign w:val="center"/>
          </w:tcPr>
          <w:p w14:paraId="1FC3E5F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废包装容器</w:t>
            </w:r>
          </w:p>
        </w:tc>
        <w:tc>
          <w:tcPr>
            <w:tcW w:w="1701" w:type="dxa"/>
            <w:noWrap w:val="0"/>
            <w:vAlign w:val="center"/>
          </w:tcPr>
          <w:p w14:paraId="013BFA24">
            <w:pPr>
              <w:pStyle w:val="227"/>
              <w:bidi w:val="0"/>
              <w:rPr>
                <w:rFonts w:hint="default" w:ascii="Times New Roman" w:hAnsi="Times New Roman"/>
                <w:color w:val="auto"/>
                <w:lang w:val="en-US"/>
              </w:rPr>
            </w:pPr>
            <w:r>
              <w:rPr>
                <w:rFonts w:hint="eastAsia"/>
                <w:color w:val="auto"/>
                <w:lang w:val="en-US" w:eastAsia="zh-CN"/>
              </w:rPr>
              <w:t>/</w:t>
            </w:r>
          </w:p>
        </w:tc>
        <w:tc>
          <w:tcPr>
            <w:tcW w:w="1276" w:type="dxa"/>
            <w:noWrap w:val="0"/>
            <w:vAlign w:val="center"/>
          </w:tcPr>
          <w:p w14:paraId="230046F5">
            <w:pPr>
              <w:pStyle w:val="227"/>
              <w:bidi w:val="0"/>
              <w:rPr>
                <w:rFonts w:ascii="Times New Roman" w:hAnsi="Times New Roman"/>
                <w:color w:val="auto"/>
              </w:rPr>
            </w:pPr>
            <w:r>
              <w:rPr>
                <w:rFonts w:hint="eastAsia" w:ascii="Times New Roman" w:hAnsi="Times New Roman"/>
                <w:color w:val="auto"/>
                <w:lang w:val="en-US" w:eastAsia="zh-CN"/>
              </w:rPr>
              <w:t>/</w:t>
            </w:r>
          </w:p>
        </w:tc>
        <w:tc>
          <w:tcPr>
            <w:tcW w:w="1701" w:type="dxa"/>
            <w:noWrap w:val="0"/>
            <w:vAlign w:val="center"/>
          </w:tcPr>
          <w:p w14:paraId="52D753A2">
            <w:pPr>
              <w:pStyle w:val="227"/>
              <w:bidi w:val="0"/>
              <w:rPr>
                <w:rFonts w:ascii="Times New Roman" w:hAnsi="Times New Roman"/>
                <w:color w:val="auto"/>
              </w:rPr>
            </w:pPr>
            <w:r>
              <w:rPr>
                <w:rFonts w:hint="eastAsia" w:ascii="Times New Roman" w:hAnsi="Times New Roman"/>
                <w:color w:val="auto"/>
                <w:lang w:val="en-US" w:eastAsia="zh-CN"/>
              </w:rPr>
              <w:t>/</w:t>
            </w:r>
          </w:p>
        </w:tc>
        <w:tc>
          <w:tcPr>
            <w:tcW w:w="1559" w:type="dxa"/>
            <w:shd w:val="clear" w:color="auto" w:fill="auto"/>
            <w:noWrap w:val="0"/>
            <w:vAlign w:val="center"/>
          </w:tcPr>
          <w:p w14:paraId="76B6BF8F">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0.5t/a</w:t>
            </w:r>
          </w:p>
        </w:tc>
        <w:tc>
          <w:tcPr>
            <w:tcW w:w="1578" w:type="dxa"/>
            <w:shd w:val="clear" w:color="auto" w:fill="auto"/>
            <w:noWrap w:val="0"/>
            <w:vAlign w:val="center"/>
          </w:tcPr>
          <w:p w14:paraId="76AD6F08">
            <w:pPr>
              <w:pStyle w:val="227"/>
              <w:bidi w:val="0"/>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olor w:val="auto"/>
                <w:lang w:val="en-US" w:eastAsia="zh-CN"/>
              </w:rPr>
              <w:t>/</w:t>
            </w:r>
          </w:p>
        </w:tc>
        <w:tc>
          <w:tcPr>
            <w:tcW w:w="1695" w:type="dxa"/>
            <w:shd w:val="clear" w:color="auto" w:fill="auto"/>
            <w:noWrap w:val="0"/>
            <w:vAlign w:val="center"/>
          </w:tcPr>
          <w:p w14:paraId="6F198E3E">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ascii="Times New Roman" w:hAnsi="Times New Roman" w:eastAsia="宋体" w:cs="Times New Roman"/>
                <w:color w:val="auto"/>
                <w:kern w:val="0"/>
                <w:sz w:val="21"/>
                <w:szCs w:val="20"/>
                <w:lang w:val="en-US" w:eastAsia="zh-CN" w:bidi="ar-SA"/>
              </w:rPr>
              <w:t>+0.5t/a</w:t>
            </w:r>
          </w:p>
        </w:tc>
      </w:tr>
      <w:tr w14:paraId="19840D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continue"/>
            <w:noWrap w:val="0"/>
            <w:vAlign w:val="center"/>
          </w:tcPr>
          <w:p w14:paraId="60DDB5A9">
            <w:pPr>
              <w:pStyle w:val="227"/>
              <w:bidi w:val="0"/>
              <w:rPr>
                <w:rFonts w:ascii="Times New Roman" w:hAnsi="Times New Roman"/>
                <w:color w:val="auto"/>
              </w:rPr>
            </w:pPr>
          </w:p>
        </w:tc>
        <w:tc>
          <w:tcPr>
            <w:tcW w:w="1417" w:type="dxa"/>
            <w:shd w:val="clear" w:color="auto" w:fill="auto"/>
            <w:noWrap w:val="0"/>
            <w:vAlign w:val="center"/>
          </w:tcPr>
          <w:p w14:paraId="4EDC60FF">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废切削液</w:t>
            </w:r>
          </w:p>
        </w:tc>
        <w:tc>
          <w:tcPr>
            <w:tcW w:w="1701" w:type="dxa"/>
            <w:noWrap w:val="0"/>
            <w:vAlign w:val="center"/>
          </w:tcPr>
          <w:p w14:paraId="00066622">
            <w:pPr>
              <w:pStyle w:val="227"/>
              <w:bidi w:val="0"/>
              <w:rPr>
                <w:rFonts w:hint="default" w:ascii="Times New Roman" w:hAnsi="Times New Roman"/>
                <w:color w:val="auto"/>
                <w:lang w:val="en-US" w:eastAsia="zh-CN"/>
              </w:rPr>
            </w:pPr>
            <w:r>
              <w:rPr>
                <w:rFonts w:hint="eastAsia"/>
                <w:color w:val="auto"/>
                <w:lang w:val="en-US" w:eastAsia="zh-CN"/>
              </w:rPr>
              <w:t>/</w:t>
            </w:r>
          </w:p>
        </w:tc>
        <w:tc>
          <w:tcPr>
            <w:tcW w:w="1276" w:type="dxa"/>
            <w:noWrap w:val="0"/>
            <w:vAlign w:val="center"/>
          </w:tcPr>
          <w:p w14:paraId="6552505C">
            <w:pPr>
              <w:pStyle w:val="227"/>
              <w:bidi w:val="0"/>
              <w:rPr>
                <w:rFonts w:hint="default" w:ascii="Times New Roman" w:hAnsi="Times New Roman"/>
                <w:color w:val="auto"/>
                <w:lang w:val="en-US" w:eastAsia="zh-CN"/>
              </w:rPr>
            </w:pPr>
            <w:r>
              <w:rPr>
                <w:rFonts w:hint="eastAsia"/>
                <w:color w:val="auto"/>
                <w:lang w:val="en-US" w:eastAsia="zh-CN"/>
              </w:rPr>
              <w:t>/</w:t>
            </w:r>
          </w:p>
        </w:tc>
        <w:tc>
          <w:tcPr>
            <w:tcW w:w="1701" w:type="dxa"/>
            <w:noWrap w:val="0"/>
            <w:vAlign w:val="center"/>
          </w:tcPr>
          <w:p w14:paraId="1F78F217">
            <w:pPr>
              <w:pStyle w:val="227"/>
              <w:bidi w:val="0"/>
              <w:rPr>
                <w:rFonts w:hint="default" w:ascii="Times New Roman" w:hAnsi="Times New Roman"/>
                <w:color w:val="auto"/>
                <w:lang w:val="en-US" w:eastAsia="zh-CN"/>
              </w:rPr>
            </w:pPr>
            <w:r>
              <w:rPr>
                <w:rFonts w:hint="eastAsia"/>
                <w:color w:val="auto"/>
                <w:lang w:val="en-US" w:eastAsia="zh-CN"/>
              </w:rPr>
              <w:t>/</w:t>
            </w:r>
          </w:p>
        </w:tc>
        <w:tc>
          <w:tcPr>
            <w:tcW w:w="1559" w:type="dxa"/>
            <w:shd w:val="clear" w:color="auto" w:fill="auto"/>
            <w:noWrap w:val="0"/>
            <w:vAlign w:val="center"/>
          </w:tcPr>
          <w:p w14:paraId="1C55A568">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0.11</w:t>
            </w:r>
            <w:r>
              <w:rPr>
                <w:rFonts w:hint="eastAsia" w:ascii="Times New Roman" w:hAnsi="Times New Roman" w:eastAsia="宋体" w:cs="Times New Roman"/>
                <w:color w:val="auto"/>
                <w:kern w:val="0"/>
                <w:sz w:val="21"/>
                <w:szCs w:val="20"/>
                <w:lang w:val="en-US" w:eastAsia="zh-CN" w:bidi="ar-SA"/>
              </w:rPr>
              <w:t>t/a</w:t>
            </w:r>
          </w:p>
        </w:tc>
        <w:tc>
          <w:tcPr>
            <w:tcW w:w="1578" w:type="dxa"/>
            <w:shd w:val="clear" w:color="auto" w:fill="auto"/>
            <w:noWrap w:val="0"/>
            <w:vAlign w:val="center"/>
          </w:tcPr>
          <w:p w14:paraId="134AC90F">
            <w:pPr>
              <w:pStyle w:val="227"/>
              <w:bidi w:val="0"/>
              <w:rPr>
                <w:rFonts w:hint="eastAsia" w:ascii="Times New Roman" w:hAnsi="Times New Roman" w:eastAsia="宋体" w:cs="Times New Roman"/>
                <w:color w:val="auto"/>
                <w:kern w:val="0"/>
                <w:sz w:val="21"/>
                <w:szCs w:val="21"/>
                <w:lang w:val="en-US" w:eastAsia="zh-CN" w:bidi="ar-SA"/>
              </w:rPr>
            </w:pPr>
            <w:r>
              <w:rPr>
                <w:rFonts w:hint="eastAsia"/>
                <w:color w:val="auto"/>
                <w:lang w:val="en-US" w:eastAsia="zh-CN"/>
              </w:rPr>
              <w:t>/</w:t>
            </w:r>
          </w:p>
        </w:tc>
        <w:tc>
          <w:tcPr>
            <w:tcW w:w="1695" w:type="dxa"/>
            <w:shd w:val="clear" w:color="auto" w:fill="auto"/>
            <w:noWrap w:val="0"/>
            <w:vAlign w:val="center"/>
          </w:tcPr>
          <w:p w14:paraId="1B57E134">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+0.11</w:t>
            </w:r>
            <w:r>
              <w:rPr>
                <w:rFonts w:hint="eastAsia" w:ascii="Times New Roman" w:hAnsi="Times New Roman" w:eastAsia="宋体" w:cs="Times New Roman"/>
                <w:color w:val="auto"/>
                <w:kern w:val="0"/>
                <w:sz w:val="21"/>
                <w:szCs w:val="20"/>
                <w:lang w:val="en-US" w:eastAsia="zh-CN" w:bidi="ar-SA"/>
              </w:rPr>
              <w:t>t/a</w:t>
            </w:r>
          </w:p>
        </w:tc>
      </w:tr>
      <w:tr w14:paraId="20E8A1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continue"/>
            <w:noWrap w:val="0"/>
            <w:vAlign w:val="center"/>
          </w:tcPr>
          <w:p w14:paraId="63DCCB0B">
            <w:pPr>
              <w:pStyle w:val="227"/>
              <w:bidi w:val="0"/>
              <w:rPr>
                <w:rFonts w:ascii="Times New Roman" w:hAnsi="Times New Roman"/>
                <w:color w:val="auto"/>
              </w:rPr>
            </w:pPr>
          </w:p>
        </w:tc>
        <w:tc>
          <w:tcPr>
            <w:tcW w:w="1417" w:type="dxa"/>
            <w:shd w:val="clear" w:color="auto" w:fill="auto"/>
            <w:noWrap w:val="0"/>
            <w:vAlign w:val="center"/>
          </w:tcPr>
          <w:p w14:paraId="62D5CD06">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废切削液污泥</w:t>
            </w:r>
          </w:p>
        </w:tc>
        <w:tc>
          <w:tcPr>
            <w:tcW w:w="1701" w:type="dxa"/>
            <w:noWrap w:val="0"/>
            <w:vAlign w:val="center"/>
          </w:tcPr>
          <w:p w14:paraId="161B52C8">
            <w:pPr>
              <w:pStyle w:val="227"/>
              <w:bidi w:val="0"/>
              <w:rPr>
                <w:rFonts w:hint="default" w:ascii="Times New Roman" w:hAnsi="Times New Roman"/>
                <w:color w:val="auto"/>
                <w:lang w:val="en-US" w:eastAsia="zh-CN"/>
              </w:rPr>
            </w:pPr>
            <w:r>
              <w:rPr>
                <w:rFonts w:hint="eastAsia"/>
                <w:color w:val="auto"/>
                <w:lang w:val="en-US" w:eastAsia="zh-CN"/>
              </w:rPr>
              <w:t>/</w:t>
            </w:r>
          </w:p>
        </w:tc>
        <w:tc>
          <w:tcPr>
            <w:tcW w:w="1276" w:type="dxa"/>
            <w:noWrap w:val="0"/>
            <w:vAlign w:val="center"/>
          </w:tcPr>
          <w:p w14:paraId="5F5D6A3D">
            <w:pPr>
              <w:pStyle w:val="227"/>
              <w:bidi w:val="0"/>
              <w:rPr>
                <w:rFonts w:hint="default" w:ascii="Times New Roman" w:hAnsi="Times New Roman"/>
                <w:color w:val="auto"/>
                <w:lang w:val="en-US" w:eastAsia="zh-CN"/>
              </w:rPr>
            </w:pPr>
            <w:r>
              <w:rPr>
                <w:rFonts w:hint="eastAsia"/>
                <w:color w:val="auto"/>
                <w:lang w:val="en-US" w:eastAsia="zh-CN"/>
              </w:rPr>
              <w:t>/</w:t>
            </w:r>
          </w:p>
        </w:tc>
        <w:tc>
          <w:tcPr>
            <w:tcW w:w="1701" w:type="dxa"/>
            <w:noWrap w:val="0"/>
            <w:vAlign w:val="center"/>
          </w:tcPr>
          <w:p w14:paraId="69BFEA16">
            <w:pPr>
              <w:pStyle w:val="227"/>
              <w:bidi w:val="0"/>
              <w:rPr>
                <w:rFonts w:hint="default" w:ascii="Times New Roman" w:hAnsi="Times New Roman"/>
                <w:color w:val="auto"/>
                <w:lang w:val="en-US" w:eastAsia="zh-CN"/>
              </w:rPr>
            </w:pPr>
            <w:r>
              <w:rPr>
                <w:rFonts w:hint="eastAsia"/>
                <w:color w:val="auto"/>
                <w:lang w:val="en-US" w:eastAsia="zh-CN"/>
              </w:rPr>
              <w:t>/</w:t>
            </w:r>
          </w:p>
        </w:tc>
        <w:tc>
          <w:tcPr>
            <w:tcW w:w="1559" w:type="dxa"/>
            <w:shd w:val="clear" w:color="auto" w:fill="auto"/>
            <w:noWrap w:val="0"/>
            <w:vAlign w:val="center"/>
          </w:tcPr>
          <w:p w14:paraId="3F106611">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0.8</w:t>
            </w:r>
            <w:r>
              <w:rPr>
                <w:rFonts w:hint="eastAsia" w:ascii="Times New Roman" w:hAnsi="Times New Roman" w:eastAsia="宋体" w:cs="Times New Roman"/>
                <w:color w:val="auto"/>
                <w:kern w:val="0"/>
                <w:sz w:val="21"/>
                <w:szCs w:val="20"/>
                <w:lang w:val="en-US" w:eastAsia="zh-CN" w:bidi="ar-SA"/>
              </w:rPr>
              <w:t>t/a</w:t>
            </w:r>
          </w:p>
        </w:tc>
        <w:tc>
          <w:tcPr>
            <w:tcW w:w="1578" w:type="dxa"/>
            <w:shd w:val="clear" w:color="auto" w:fill="auto"/>
            <w:noWrap w:val="0"/>
            <w:vAlign w:val="center"/>
          </w:tcPr>
          <w:p w14:paraId="5B5C9EFD">
            <w:pPr>
              <w:pStyle w:val="227"/>
              <w:bidi w:val="0"/>
              <w:rPr>
                <w:rFonts w:hint="eastAsia" w:ascii="Times New Roman" w:hAnsi="Times New Roman" w:eastAsia="宋体" w:cs="Times New Roman"/>
                <w:color w:val="auto"/>
                <w:kern w:val="0"/>
                <w:sz w:val="21"/>
                <w:szCs w:val="21"/>
                <w:lang w:val="en-US" w:eastAsia="zh-CN" w:bidi="ar-SA"/>
              </w:rPr>
            </w:pPr>
            <w:r>
              <w:rPr>
                <w:rFonts w:hint="eastAsia"/>
                <w:color w:val="auto"/>
                <w:lang w:val="en-US" w:eastAsia="zh-CN"/>
              </w:rPr>
              <w:t>/</w:t>
            </w:r>
          </w:p>
        </w:tc>
        <w:tc>
          <w:tcPr>
            <w:tcW w:w="1695" w:type="dxa"/>
            <w:shd w:val="clear" w:color="auto" w:fill="auto"/>
            <w:noWrap w:val="0"/>
            <w:vAlign w:val="center"/>
          </w:tcPr>
          <w:p w14:paraId="0F97D4F3">
            <w:pPr>
              <w:widowControl w:val="0"/>
              <w:bidi w:val="0"/>
              <w:adjustRightInd w:val="0"/>
              <w:snapToGrid w:val="0"/>
              <w:spacing w:before="10" w:beforeLines="10" w:after="10" w:afterLines="10" w:line="240" w:lineRule="auto"/>
              <w:jc w:val="center"/>
              <w:rPr>
                <w:rFonts w:hint="default" w:ascii="Times New Roman" w:hAnsi="Times New Roman" w:eastAsia="宋体" w:cs="Times New Roman"/>
                <w:color w:val="auto"/>
                <w:kern w:val="0"/>
                <w:sz w:val="21"/>
                <w:szCs w:val="20"/>
                <w:lang w:val="en-US" w:eastAsia="zh-CN" w:bidi="ar-SA"/>
              </w:rPr>
            </w:pPr>
            <w:r>
              <w:rPr>
                <w:rFonts w:hint="eastAsia" w:cs="Times New Roman"/>
                <w:color w:val="auto"/>
                <w:kern w:val="0"/>
                <w:sz w:val="21"/>
                <w:szCs w:val="20"/>
                <w:lang w:val="en-US" w:eastAsia="zh-CN" w:bidi="ar-SA"/>
              </w:rPr>
              <w:t>+0.8</w:t>
            </w:r>
            <w:r>
              <w:rPr>
                <w:rFonts w:hint="eastAsia" w:ascii="Times New Roman" w:hAnsi="Times New Roman" w:eastAsia="宋体" w:cs="Times New Roman"/>
                <w:color w:val="auto"/>
                <w:kern w:val="0"/>
                <w:sz w:val="21"/>
                <w:szCs w:val="20"/>
                <w:lang w:val="en-US" w:eastAsia="zh-CN" w:bidi="ar-SA"/>
              </w:rPr>
              <w:t>t/a</w:t>
            </w:r>
          </w:p>
        </w:tc>
      </w:tr>
      <w:tr w14:paraId="2993EB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continue"/>
            <w:noWrap w:val="0"/>
            <w:vAlign w:val="center"/>
          </w:tcPr>
          <w:p w14:paraId="4F8E1188">
            <w:pPr>
              <w:pStyle w:val="227"/>
              <w:bidi w:val="0"/>
              <w:rPr>
                <w:rFonts w:ascii="Times New Roman" w:hAnsi="Times New Roman"/>
                <w:color w:val="auto"/>
              </w:rPr>
            </w:pPr>
          </w:p>
        </w:tc>
        <w:tc>
          <w:tcPr>
            <w:tcW w:w="1417" w:type="dxa"/>
            <w:shd w:val="clear" w:color="auto" w:fill="auto"/>
            <w:noWrap w:val="0"/>
            <w:vAlign w:val="center"/>
          </w:tcPr>
          <w:p w14:paraId="7B03074B">
            <w:pPr>
              <w:widowControl w:val="0"/>
              <w:bidi w:val="0"/>
              <w:adjustRightInd w:val="0"/>
              <w:snapToGrid w:val="0"/>
              <w:spacing w:before="10" w:beforeLines="10" w:after="10" w:afterLines="10" w:line="240" w:lineRule="auto"/>
              <w:jc w:val="center"/>
              <w:rPr>
                <w:rFonts w:hint="default" w:cs="Times New Roman"/>
                <w:color w:val="auto"/>
                <w:kern w:val="0"/>
                <w:sz w:val="21"/>
                <w:szCs w:val="20"/>
                <w:lang w:val="en-US" w:eastAsia="zh-CN" w:bidi="ar-SA"/>
              </w:rPr>
            </w:pPr>
            <w:r>
              <w:rPr>
                <w:rFonts w:hint="eastAsia" w:cs="Times New Roman"/>
                <w:color w:val="auto"/>
                <w:kern w:val="0"/>
                <w:sz w:val="21"/>
                <w:szCs w:val="20"/>
                <w:lang w:val="en-US" w:eastAsia="zh-CN" w:bidi="ar-SA"/>
              </w:rPr>
              <w:t>废抛光垫</w:t>
            </w:r>
          </w:p>
        </w:tc>
        <w:tc>
          <w:tcPr>
            <w:tcW w:w="1701" w:type="dxa"/>
            <w:noWrap w:val="0"/>
            <w:vAlign w:val="center"/>
          </w:tcPr>
          <w:p w14:paraId="036183A6">
            <w:pPr>
              <w:pStyle w:val="227"/>
              <w:bidi w:val="0"/>
              <w:rPr>
                <w:rFonts w:hint="eastAsia"/>
                <w:color w:val="auto"/>
                <w:lang w:val="en-US" w:eastAsia="zh-CN"/>
              </w:rPr>
            </w:pPr>
          </w:p>
        </w:tc>
        <w:tc>
          <w:tcPr>
            <w:tcW w:w="1276" w:type="dxa"/>
            <w:noWrap w:val="0"/>
            <w:vAlign w:val="center"/>
          </w:tcPr>
          <w:p w14:paraId="73338DDE">
            <w:pPr>
              <w:pStyle w:val="227"/>
              <w:bidi w:val="0"/>
              <w:rPr>
                <w:rFonts w:hint="eastAsia"/>
                <w:color w:val="auto"/>
                <w:lang w:val="en-US" w:eastAsia="zh-CN"/>
              </w:rPr>
            </w:pPr>
          </w:p>
        </w:tc>
        <w:tc>
          <w:tcPr>
            <w:tcW w:w="1701" w:type="dxa"/>
            <w:noWrap w:val="0"/>
            <w:vAlign w:val="center"/>
          </w:tcPr>
          <w:p w14:paraId="15765B3D">
            <w:pPr>
              <w:pStyle w:val="227"/>
              <w:bidi w:val="0"/>
              <w:rPr>
                <w:rFonts w:hint="eastAsia"/>
                <w:color w:val="auto"/>
                <w:lang w:val="en-US" w:eastAsia="zh-CN"/>
              </w:rPr>
            </w:pPr>
          </w:p>
        </w:tc>
        <w:tc>
          <w:tcPr>
            <w:tcW w:w="1559" w:type="dxa"/>
            <w:shd w:val="clear" w:color="auto" w:fill="auto"/>
            <w:noWrap w:val="0"/>
            <w:vAlign w:val="center"/>
          </w:tcPr>
          <w:p w14:paraId="604B5CCE">
            <w:pPr>
              <w:widowControl w:val="0"/>
              <w:bidi w:val="0"/>
              <w:adjustRightInd w:val="0"/>
              <w:snapToGrid w:val="0"/>
              <w:spacing w:before="10" w:beforeLines="10" w:after="10" w:afterLines="10" w:line="240" w:lineRule="auto"/>
              <w:jc w:val="center"/>
              <w:rPr>
                <w:rFonts w:hint="default" w:cs="Times New Roman"/>
                <w:color w:val="auto"/>
                <w:kern w:val="0"/>
                <w:sz w:val="21"/>
                <w:szCs w:val="20"/>
                <w:lang w:val="en-US" w:eastAsia="zh-CN" w:bidi="ar-SA"/>
              </w:rPr>
            </w:pPr>
            <w:r>
              <w:rPr>
                <w:rFonts w:hint="eastAsia" w:cs="Times New Roman"/>
                <w:color w:val="auto"/>
                <w:kern w:val="0"/>
                <w:sz w:val="21"/>
                <w:szCs w:val="20"/>
                <w:lang w:val="en-US" w:eastAsia="zh-CN" w:bidi="ar-SA"/>
              </w:rPr>
              <w:t>0.2t/a</w:t>
            </w:r>
          </w:p>
        </w:tc>
        <w:tc>
          <w:tcPr>
            <w:tcW w:w="1578" w:type="dxa"/>
            <w:shd w:val="clear" w:color="auto" w:fill="auto"/>
            <w:noWrap w:val="0"/>
            <w:vAlign w:val="center"/>
          </w:tcPr>
          <w:p w14:paraId="4FB4C4A5">
            <w:pPr>
              <w:pStyle w:val="227"/>
              <w:bidi w:val="0"/>
              <w:rPr>
                <w:rFonts w:hint="eastAsia"/>
                <w:color w:val="auto"/>
                <w:lang w:val="en-US" w:eastAsia="zh-CN"/>
              </w:rPr>
            </w:pPr>
          </w:p>
        </w:tc>
        <w:tc>
          <w:tcPr>
            <w:tcW w:w="1695" w:type="dxa"/>
            <w:shd w:val="clear" w:color="auto" w:fill="auto"/>
            <w:noWrap w:val="0"/>
            <w:vAlign w:val="center"/>
          </w:tcPr>
          <w:p w14:paraId="2C338717">
            <w:pPr>
              <w:widowControl w:val="0"/>
              <w:bidi w:val="0"/>
              <w:adjustRightInd w:val="0"/>
              <w:snapToGrid w:val="0"/>
              <w:spacing w:before="10" w:beforeLines="10" w:after="10" w:afterLines="10" w:line="240" w:lineRule="auto"/>
              <w:jc w:val="center"/>
              <w:rPr>
                <w:rFonts w:hint="eastAsia" w:cs="Times New Roman"/>
                <w:color w:val="auto"/>
                <w:kern w:val="0"/>
                <w:sz w:val="21"/>
                <w:szCs w:val="20"/>
                <w:lang w:val="en-US" w:eastAsia="zh-CN" w:bidi="ar-SA"/>
              </w:rPr>
            </w:pPr>
            <w:r>
              <w:rPr>
                <w:rFonts w:hint="eastAsia" w:cs="Times New Roman"/>
                <w:color w:val="auto"/>
                <w:kern w:val="0"/>
                <w:sz w:val="21"/>
                <w:szCs w:val="20"/>
                <w:lang w:val="en-US" w:eastAsia="zh-CN" w:bidi="ar-SA"/>
              </w:rPr>
              <w:t>+0.2t/a</w:t>
            </w:r>
          </w:p>
        </w:tc>
      </w:tr>
    </w:tbl>
    <w:p w14:paraId="05A67307">
      <w:pPr>
        <w:rPr>
          <w:rFonts w:ascii="Times New Roman" w:hAnsi="Times New Roman"/>
          <w:snapToGrid w:val="0"/>
          <w:color w:val="auto"/>
          <w:spacing w:val="-6"/>
          <w:kern w:val="21"/>
          <w:szCs w:val="21"/>
        </w:rPr>
        <w:sectPr>
          <w:footerReference r:id="rId6" w:type="default"/>
          <w:pgSz w:w="16838" w:h="11906" w:orient="landscape"/>
          <w:pgMar w:top="1474" w:right="1701" w:bottom="1474"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ascii="Times New Roman" w:hAnsi="Times New Roman"/>
          <w:snapToGrid w:val="0"/>
          <w:color w:val="auto"/>
          <w:kern w:val="21"/>
          <w:szCs w:val="21"/>
        </w:rPr>
        <w:t>注：</w:t>
      </w:r>
      <w:r>
        <w:rPr>
          <w:rFonts w:ascii="Times New Roman" w:hAnsi="Times New Roman"/>
          <w:snapToGrid w:val="0"/>
          <w:color w:val="auto"/>
          <w:spacing w:val="-16"/>
          <w:kern w:val="21"/>
          <w:szCs w:val="21"/>
        </w:rPr>
        <w:fldChar w:fldCharType="begin"/>
      </w:r>
      <w:r>
        <w:rPr>
          <w:rFonts w:ascii="Times New Roman" w:hAnsi="Times New Roman"/>
          <w:snapToGrid w:val="0"/>
          <w:color w:val="auto"/>
          <w:spacing w:val="-16"/>
          <w:kern w:val="21"/>
          <w:szCs w:val="21"/>
        </w:rPr>
        <w:instrText xml:space="preserve"> = 6 \* GB3 \* MERGEFORMAT </w:instrText>
      </w:r>
      <w:r>
        <w:rPr>
          <w:rFonts w:ascii="Times New Roman" w:hAnsi="Times New Roman"/>
          <w:snapToGrid w:val="0"/>
          <w:color w:val="auto"/>
          <w:spacing w:val="-16"/>
          <w:kern w:val="21"/>
          <w:szCs w:val="21"/>
        </w:rPr>
        <w:fldChar w:fldCharType="separate"/>
      </w:r>
      <w:r>
        <w:rPr>
          <w:rFonts w:hint="eastAsia" w:ascii="Times New Roman" w:hAnsi="Times New Roman"/>
          <w:color w:val="auto"/>
          <w:szCs w:val="21"/>
        </w:rPr>
        <w:t>⑥</w:t>
      </w:r>
      <w:r>
        <w:rPr>
          <w:rFonts w:ascii="Times New Roman" w:hAnsi="Times New Roman"/>
          <w:snapToGrid w:val="0"/>
          <w:color w:val="auto"/>
          <w:spacing w:val="-16"/>
          <w:kern w:val="21"/>
          <w:szCs w:val="21"/>
        </w:rPr>
        <w:fldChar w:fldCharType="end"/>
      </w:r>
      <w:r>
        <w:rPr>
          <w:rFonts w:ascii="Times New Roman" w:hAnsi="Times New Roman"/>
          <w:snapToGrid w:val="0"/>
          <w:color w:val="auto"/>
          <w:spacing w:val="-16"/>
          <w:kern w:val="21"/>
          <w:szCs w:val="21"/>
        </w:rPr>
        <w:t>=</w:t>
      </w:r>
      <w:r>
        <w:rPr>
          <w:rFonts w:ascii="Times New Roman" w:hAnsi="Times New Roman"/>
          <w:snapToGrid w:val="0"/>
          <w:color w:val="auto"/>
          <w:spacing w:val="-6"/>
          <w:kern w:val="21"/>
          <w:szCs w:val="21"/>
        </w:rPr>
        <w:fldChar w:fldCharType="begin"/>
      </w:r>
      <w:r>
        <w:rPr>
          <w:rFonts w:ascii="Times New Roman" w:hAnsi="Times New Roman"/>
          <w:snapToGrid w:val="0"/>
          <w:color w:val="auto"/>
          <w:spacing w:val="-6"/>
          <w:kern w:val="21"/>
          <w:szCs w:val="21"/>
        </w:rPr>
        <w:instrText xml:space="preserve"> = 1 \* GB3 \* MERGEFORMAT </w:instrText>
      </w:r>
      <w:r>
        <w:rPr>
          <w:rFonts w:ascii="Times New Roman" w:hAnsi="Times New Roman"/>
          <w:snapToGrid w:val="0"/>
          <w:color w:val="auto"/>
          <w:spacing w:val="-6"/>
          <w:kern w:val="21"/>
          <w:szCs w:val="21"/>
        </w:rPr>
        <w:fldChar w:fldCharType="separate"/>
      </w:r>
      <w:r>
        <w:rPr>
          <w:rFonts w:hint="eastAsia" w:ascii="Times New Roman" w:hAnsi="Times New Roman"/>
          <w:color w:val="auto"/>
          <w:szCs w:val="21"/>
        </w:rPr>
        <w:t>①</w:t>
      </w:r>
      <w:r>
        <w:rPr>
          <w:rFonts w:ascii="Times New Roman" w:hAnsi="Times New Roman"/>
          <w:snapToGrid w:val="0"/>
          <w:color w:val="auto"/>
          <w:spacing w:val="-6"/>
          <w:kern w:val="21"/>
          <w:szCs w:val="21"/>
        </w:rPr>
        <w:fldChar w:fldCharType="end"/>
      </w:r>
      <w:r>
        <w:rPr>
          <w:rFonts w:ascii="Times New Roman" w:hAnsi="Times New Roman"/>
          <w:snapToGrid w:val="0"/>
          <w:color w:val="auto"/>
          <w:spacing w:val="-6"/>
          <w:kern w:val="21"/>
          <w:szCs w:val="21"/>
        </w:rPr>
        <w:t>+</w:t>
      </w:r>
      <w:r>
        <w:rPr>
          <w:rFonts w:ascii="Times New Roman" w:hAnsi="Times New Roman"/>
          <w:snapToGrid w:val="0"/>
          <w:color w:val="auto"/>
          <w:spacing w:val="-6"/>
          <w:kern w:val="21"/>
          <w:szCs w:val="21"/>
        </w:rPr>
        <w:fldChar w:fldCharType="begin"/>
      </w:r>
      <w:r>
        <w:rPr>
          <w:rFonts w:ascii="Times New Roman" w:hAnsi="Times New Roman"/>
          <w:snapToGrid w:val="0"/>
          <w:color w:val="auto"/>
          <w:spacing w:val="-6"/>
          <w:kern w:val="21"/>
          <w:szCs w:val="21"/>
        </w:rPr>
        <w:instrText xml:space="preserve"> = 3 \* GB3 \* MERGEFORMAT </w:instrText>
      </w:r>
      <w:r>
        <w:rPr>
          <w:rFonts w:ascii="Times New Roman" w:hAnsi="Times New Roman"/>
          <w:snapToGrid w:val="0"/>
          <w:color w:val="auto"/>
          <w:spacing w:val="-6"/>
          <w:kern w:val="21"/>
          <w:szCs w:val="21"/>
        </w:rPr>
        <w:fldChar w:fldCharType="separate"/>
      </w:r>
      <w:r>
        <w:rPr>
          <w:rFonts w:hint="eastAsia" w:ascii="Times New Roman" w:hAnsi="Times New Roman"/>
          <w:color w:val="auto"/>
          <w:szCs w:val="21"/>
        </w:rPr>
        <w:t>③</w:t>
      </w:r>
      <w:r>
        <w:rPr>
          <w:rFonts w:ascii="Times New Roman" w:hAnsi="Times New Roman"/>
          <w:snapToGrid w:val="0"/>
          <w:color w:val="auto"/>
          <w:spacing w:val="-6"/>
          <w:kern w:val="21"/>
          <w:szCs w:val="21"/>
        </w:rPr>
        <w:fldChar w:fldCharType="end"/>
      </w:r>
      <w:r>
        <w:rPr>
          <w:rFonts w:ascii="Times New Roman" w:hAnsi="Times New Roman"/>
          <w:snapToGrid w:val="0"/>
          <w:color w:val="auto"/>
          <w:spacing w:val="-6"/>
          <w:kern w:val="21"/>
          <w:szCs w:val="21"/>
        </w:rPr>
        <w:t>+</w:t>
      </w:r>
      <w:r>
        <w:rPr>
          <w:rFonts w:ascii="Times New Roman" w:hAnsi="Times New Roman"/>
          <w:snapToGrid w:val="0"/>
          <w:color w:val="auto"/>
          <w:spacing w:val="-6"/>
          <w:kern w:val="21"/>
          <w:szCs w:val="21"/>
        </w:rPr>
        <w:fldChar w:fldCharType="begin"/>
      </w:r>
      <w:r>
        <w:rPr>
          <w:rFonts w:ascii="Times New Roman" w:hAnsi="Times New Roman"/>
          <w:snapToGrid w:val="0"/>
          <w:color w:val="auto"/>
          <w:spacing w:val="-6"/>
          <w:kern w:val="21"/>
          <w:szCs w:val="21"/>
        </w:rPr>
        <w:instrText xml:space="preserve"> = 4 \* GB3 \* MERGEFORMAT </w:instrText>
      </w:r>
      <w:r>
        <w:rPr>
          <w:rFonts w:ascii="Times New Roman" w:hAnsi="Times New Roman"/>
          <w:snapToGrid w:val="0"/>
          <w:color w:val="auto"/>
          <w:spacing w:val="-6"/>
          <w:kern w:val="21"/>
          <w:szCs w:val="21"/>
        </w:rPr>
        <w:fldChar w:fldCharType="separate"/>
      </w:r>
      <w:r>
        <w:rPr>
          <w:rFonts w:hint="eastAsia" w:ascii="Times New Roman" w:hAnsi="Times New Roman"/>
          <w:color w:val="auto"/>
          <w:szCs w:val="21"/>
        </w:rPr>
        <w:t>④</w:t>
      </w:r>
      <w:r>
        <w:rPr>
          <w:rFonts w:ascii="Times New Roman" w:hAnsi="Times New Roman"/>
          <w:snapToGrid w:val="0"/>
          <w:color w:val="auto"/>
          <w:spacing w:val="-6"/>
          <w:kern w:val="21"/>
          <w:szCs w:val="21"/>
        </w:rPr>
        <w:fldChar w:fldCharType="end"/>
      </w:r>
      <w:r>
        <w:rPr>
          <w:rFonts w:ascii="Times New Roman" w:hAnsi="Times New Roman"/>
          <w:snapToGrid w:val="0"/>
          <w:color w:val="auto"/>
          <w:spacing w:val="-6"/>
          <w:kern w:val="21"/>
          <w:szCs w:val="21"/>
        </w:rPr>
        <w:t>-</w:t>
      </w:r>
      <w:r>
        <w:rPr>
          <w:rFonts w:ascii="Times New Roman" w:hAnsi="Times New Roman"/>
          <w:snapToGrid w:val="0"/>
          <w:color w:val="auto"/>
          <w:spacing w:val="-16"/>
          <w:kern w:val="21"/>
          <w:szCs w:val="21"/>
        </w:rPr>
        <w:fldChar w:fldCharType="begin"/>
      </w:r>
      <w:r>
        <w:rPr>
          <w:rFonts w:ascii="Times New Roman" w:hAnsi="Times New Roman"/>
          <w:snapToGrid w:val="0"/>
          <w:color w:val="auto"/>
          <w:spacing w:val="-16"/>
          <w:kern w:val="21"/>
          <w:szCs w:val="21"/>
        </w:rPr>
        <w:instrText xml:space="preserve"> = 5 \* GB3 \* MERGEFORMAT </w:instrText>
      </w:r>
      <w:r>
        <w:rPr>
          <w:rFonts w:ascii="Times New Roman" w:hAnsi="Times New Roman"/>
          <w:snapToGrid w:val="0"/>
          <w:color w:val="auto"/>
          <w:spacing w:val="-16"/>
          <w:kern w:val="21"/>
          <w:szCs w:val="21"/>
        </w:rPr>
        <w:fldChar w:fldCharType="separate"/>
      </w:r>
      <w:r>
        <w:rPr>
          <w:rFonts w:hint="eastAsia" w:ascii="Times New Roman" w:hAnsi="Times New Roman"/>
          <w:color w:val="auto"/>
          <w:szCs w:val="21"/>
        </w:rPr>
        <w:t>⑤</w:t>
      </w:r>
      <w:r>
        <w:rPr>
          <w:rFonts w:ascii="Times New Roman" w:hAnsi="Times New Roman"/>
          <w:snapToGrid w:val="0"/>
          <w:color w:val="auto"/>
          <w:spacing w:val="-16"/>
          <w:kern w:val="21"/>
          <w:szCs w:val="21"/>
        </w:rPr>
        <w:fldChar w:fldCharType="end"/>
      </w:r>
      <w:r>
        <w:rPr>
          <w:rFonts w:ascii="Times New Roman" w:hAnsi="Times New Roman"/>
          <w:snapToGrid w:val="0"/>
          <w:color w:val="auto"/>
          <w:spacing w:val="-16"/>
          <w:kern w:val="21"/>
          <w:szCs w:val="21"/>
        </w:rPr>
        <w:t>；</w:t>
      </w:r>
      <w:r>
        <w:rPr>
          <w:rFonts w:ascii="Times New Roman" w:hAnsi="Times New Roman"/>
          <w:snapToGrid w:val="0"/>
          <w:color w:val="auto"/>
          <w:spacing w:val="-6"/>
          <w:kern w:val="21"/>
          <w:szCs w:val="21"/>
        </w:rPr>
        <w:fldChar w:fldCharType="begin"/>
      </w:r>
      <w:r>
        <w:rPr>
          <w:rFonts w:ascii="Times New Roman" w:hAnsi="Times New Roman"/>
          <w:snapToGrid w:val="0"/>
          <w:color w:val="auto"/>
          <w:spacing w:val="-6"/>
          <w:kern w:val="21"/>
          <w:szCs w:val="21"/>
        </w:rPr>
        <w:instrText xml:space="preserve"> = 7 \* GB3 \* MERGEFORMAT </w:instrText>
      </w:r>
      <w:r>
        <w:rPr>
          <w:rFonts w:ascii="Times New Roman" w:hAnsi="Times New Roman"/>
          <w:snapToGrid w:val="0"/>
          <w:color w:val="auto"/>
          <w:spacing w:val="-6"/>
          <w:kern w:val="21"/>
          <w:szCs w:val="21"/>
        </w:rPr>
        <w:fldChar w:fldCharType="separate"/>
      </w:r>
      <w:r>
        <w:rPr>
          <w:rFonts w:hint="eastAsia" w:ascii="Times New Roman" w:hAnsi="Times New Roman"/>
          <w:color w:val="auto"/>
          <w:szCs w:val="21"/>
        </w:rPr>
        <w:t>⑦</w:t>
      </w:r>
      <w:r>
        <w:rPr>
          <w:rFonts w:ascii="Times New Roman" w:hAnsi="Times New Roman"/>
          <w:snapToGrid w:val="0"/>
          <w:color w:val="auto"/>
          <w:spacing w:val="-6"/>
          <w:kern w:val="21"/>
          <w:szCs w:val="21"/>
        </w:rPr>
        <w:fldChar w:fldCharType="end"/>
      </w:r>
      <w:r>
        <w:rPr>
          <w:rFonts w:ascii="Times New Roman" w:hAnsi="Times New Roman"/>
          <w:snapToGrid w:val="0"/>
          <w:color w:val="auto"/>
          <w:spacing w:val="-6"/>
          <w:kern w:val="21"/>
          <w:szCs w:val="21"/>
        </w:rPr>
        <w:t>=</w:t>
      </w:r>
      <w:r>
        <w:rPr>
          <w:rFonts w:ascii="Times New Roman" w:hAnsi="Times New Roman"/>
          <w:snapToGrid w:val="0"/>
          <w:color w:val="auto"/>
          <w:spacing w:val="-16"/>
          <w:kern w:val="21"/>
          <w:szCs w:val="21"/>
        </w:rPr>
        <w:fldChar w:fldCharType="begin"/>
      </w:r>
      <w:r>
        <w:rPr>
          <w:rFonts w:ascii="Times New Roman" w:hAnsi="Times New Roman"/>
          <w:snapToGrid w:val="0"/>
          <w:color w:val="auto"/>
          <w:spacing w:val="-16"/>
          <w:kern w:val="21"/>
          <w:szCs w:val="21"/>
        </w:rPr>
        <w:instrText xml:space="preserve"> = 6 \* GB3 \* MERGEFORMAT </w:instrText>
      </w:r>
      <w:r>
        <w:rPr>
          <w:rFonts w:ascii="Times New Roman" w:hAnsi="Times New Roman"/>
          <w:snapToGrid w:val="0"/>
          <w:color w:val="auto"/>
          <w:spacing w:val="-16"/>
          <w:kern w:val="21"/>
          <w:szCs w:val="21"/>
        </w:rPr>
        <w:fldChar w:fldCharType="separate"/>
      </w:r>
      <w:r>
        <w:rPr>
          <w:rFonts w:hint="eastAsia" w:ascii="Times New Roman" w:hAnsi="Times New Roman"/>
          <w:color w:val="auto"/>
          <w:szCs w:val="21"/>
        </w:rPr>
        <w:t>⑥</w:t>
      </w:r>
      <w:r>
        <w:rPr>
          <w:rFonts w:ascii="Times New Roman" w:hAnsi="Times New Roman"/>
          <w:snapToGrid w:val="0"/>
          <w:color w:val="auto"/>
          <w:spacing w:val="-16"/>
          <w:kern w:val="21"/>
          <w:szCs w:val="21"/>
        </w:rPr>
        <w:fldChar w:fldCharType="end"/>
      </w:r>
      <w:r>
        <w:rPr>
          <w:rFonts w:ascii="Times New Roman" w:hAnsi="Times New Roman"/>
          <w:snapToGrid w:val="0"/>
          <w:color w:val="auto"/>
          <w:spacing w:val="-16"/>
          <w:kern w:val="21"/>
          <w:szCs w:val="21"/>
        </w:rPr>
        <w:t>-</w:t>
      </w:r>
      <w:r>
        <w:rPr>
          <w:rFonts w:ascii="Times New Roman" w:hAnsi="Times New Roman"/>
          <w:snapToGrid w:val="0"/>
          <w:color w:val="auto"/>
          <w:spacing w:val="-6"/>
          <w:kern w:val="21"/>
          <w:szCs w:val="21"/>
        </w:rPr>
        <w:fldChar w:fldCharType="begin"/>
      </w:r>
      <w:r>
        <w:rPr>
          <w:rFonts w:ascii="Times New Roman" w:hAnsi="Times New Roman"/>
          <w:snapToGrid w:val="0"/>
          <w:color w:val="auto"/>
          <w:spacing w:val="-6"/>
          <w:kern w:val="21"/>
          <w:szCs w:val="21"/>
        </w:rPr>
        <w:instrText xml:space="preserve"> = 1 \* GB3 \* MERGEFORMAT </w:instrText>
      </w:r>
      <w:r>
        <w:rPr>
          <w:rFonts w:ascii="Times New Roman" w:hAnsi="Times New Roman"/>
          <w:snapToGrid w:val="0"/>
          <w:color w:val="auto"/>
          <w:spacing w:val="-6"/>
          <w:kern w:val="21"/>
          <w:szCs w:val="21"/>
        </w:rPr>
        <w:fldChar w:fldCharType="separate"/>
      </w:r>
      <w:r>
        <w:rPr>
          <w:rFonts w:hint="eastAsia" w:ascii="Times New Roman" w:hAnsi="Times New Roman"/>
          <w:color w:val="auto"/>
          <w:szCs w:val="21"/>
        </w:rPr>
        <w:t>①</w:t>
      </w:r>
      <w:r>
        <w:rPr>
          <w:rFonts w:ascii="Times New Roman" w:hAnsi="Times New Roman"/>
          <w:snapToGrid w:val="0"/>
          <w:color w:val="auto"/>
          <w:spacing w:val="-6"/>
          <w:kern w:val="21"/>
          <w:szCs w:val="21"/>
        </w:rPr>
        <w:fldChar w:fldCharType="end"/>
      </w:r>
    </w:p>
    <w:p w14:paraId="571894F6">
      <w:pPr>
        <w:pStyle w:val="228"/>
        <w:bidi w:val="0"/>
        <w:outlineLvl w:val="0"/>
        <w:rPr>
          <w:rFonts w:hint="eastAsia"/>
          <w:color w:val="auto"/>
          <w:lang w:val="en-US" w:eastAsia="zh-CN"/>
        </w:rPr>
      </w:pPr>
      <w:r>
        <w:rPr>
          <w:rFonts w:hint="eastAsia"/>
          <w:color w:val="auto"/>
          <w:lang w:val="en-US" w:eastAsia="zh-CN"/>
        </w:rPr>
        <w:t>附图一：项目地理位置图</w:t>
      </w:r>
    </w:p>
    <w:p w14:paraId="4C6E6710">
      <w:pPr>
        <w:rPr>
          <w:rFonts w:hint="default" w:ascii="Times New Roman" w:hAnsi="Times New Roman" w:eastAsia="宋体" w:cs="仿宋_GB2312"/>
          <w:b/>
          <w:color w:val="auto"/>
          <w:kern w:val="2"/>
          <w:sz w:val="28"/>
          <w:szCs w:val="36"/>
          <w:lang w:val="en-US" w:eastAsia="zh-CN" w:bidi="ar-SA"/>
        </w:rPr>
      </w:pPr>
      <w:r>
        <w:rPr>
          <w:rFonts w:hint="default"/>
          <w:color w:val="auto"/>
          <w:lang w:val="en-US" w:eastAsia="zh-CN"/>
        </w:rPr>
        <mc:AlternateContent>
          <mc:Choice Requires="wps">
            <w:drawing>
              <wp:anchor distT="0" distB="0" distL="114300" distR="114300" simplePos="0" relativeHeight="251659264" behindDoc="0" locked="0" layoutInCell="1" allowOverlap="1">
                <wp:simplePos x="0" y="0"/>
                <wp:positionH relativeFrom="column">
                  <wp:posOffset>2937510</wp:posOffset>
                </wp:positionH>
                <wp:positionV relativeFrom="paragraph">
                  <wp:posOffset>4583430</wp:posOffset>
                </wp:positionV>
                <wp:extent cx="107950" cy="107950"/>
                <wp:effectExtent l="12700" t="12700" r="12700" b="12700"/>
                <wp:wrapNone/>
                <wp:docPr id="6" name="五角星 6"/>
                <wp:cNvGraphicFramePr/>
                <a:graphic xmlns:a="http://schemas.openxmlformats.org/drawingml/2006/main">
                  <a:graphicData uri="http://schemas.microsoft.com/office/word/2010/wordprocessingShape">
                    <wps:wsp>
                      <wps:cNvSpPr/>
                      <wps:spPr>
                        <a:xfrm>
                          <a:off x="3617595" y="4787265"/>
                          <a:ext cx="107950" cy="107950"/>
                        </a:xfrm>
                        <a:prstGeom prst="star5">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31.3pt;margin-top:360.9pt;height:8.5pt;width:8.5pt;z-index:251659264;v-text-anchor:middle;mso-width-relative:page;mso-height-relative:page;" fillcolor="#FF0000" filled="t" stroked="t" coordsize="107950,107950" o:gfxdata="UEsDBAoAAAAAAIdO4kAAAAAAAAAAAAAAAAAEAAAAZHJzL1BLAwQUAAAACACHTuJAkxRyhdsAAAAL&#10;AQAADwAAAGRycy9kb3ducmV2LnhtbE2PPU/DMBCGdyT+g3VIbNRJWiUhjdMBKQIxRGqpEKMbu3FK&#10;fI5ipy3/nmOi47336P0oN1c7sLOefO9QQLyIgGlsneqxE7D/qJ9yYD5IVHJwqAX8aA+b6v6ulIVy&#10;F9zq8y50jEzQF1KACWEsOPet0Vb6hRs10u/oJisDnVPH1SQvZG4HnkRRyq3skRKMHPWL0e33brYC&#10;ts3rW62+jnlrlk1m631z+nyfhXh8iKM1sKCv4R+Gv/pUHSrqdHAzKs8GAas0SQkVkCUxbSBilT2T&#10;ciBlmefAq5Lfbqh+AVBLAwQUAAAACACHTuJAaHNrGXgCAAD6BAAADgAAAGRycy9lMm9Eb2MueG1s&#10;rVTNjtMwEL4j8Q6W72za0rS71aaraqsipBVbaUGcXcdpIvkP2226PAbiwG2PvAPPgxCPwWcn+wuH&#10;PZCDM5OZfDPzzYxPzw5Kkr1wvjG6oMOjASVCc1M2elvQD+9Xr44p8YHpkkmjRUGvhadn85cvTls7&#10;EyNTG1kKRwCi/ay1Ba1DsLMs87wWivkjY4WGsTJOsQDVbbPSsRboSmajwWCStcaV1hkuvMfXZWek&#10;PaJ7DqCpqoaLpeE7JXToUJ2QLKAkXzfW03nKtqoED5dV5UUgsqCoNKQTQSBv4pnNT9ls65itG96n&#10;wJ6TwpOaFGs0gt5BLVlgZOeav6BUw53xpgpH3KisKyQxgiqGgyfcXNXMilQLqPb2jnT//2D5u/3a&#10;kaYs6IQSzRQa/vPH19/fv/z6dkMmkZ7W+hm8ruza9ZqHGGs9VE7FN6ogh4K+ngyn+UlOyXVBx9Pj&#10;6WiSd/SKQyAcDsPB9CQH8RwOvQzE7B7IOh/eCKNIFAqKKXR5YpXtL3zofG99YmBvZFOuGimT4rab&#10;c+nInqHVq9UATwwP+EduUpO2oKN8DDPhDANcYXAgKgsSvN5SwuQWm8GDS7Ef/e2fFyQmuWS+7pJJ&#10;CH0uUsdcRZrMvqZIcEdplDamvEZHnOlG1Vu+aoB2wXxYM4fZRNrY3nCJo5IGtZheoqQ27vO/vkd/&#10;jAyslLSYddT5acecoES+1Rimk+F4DNiQlHE+HUFxDy2bhxa9U+cGHA9xT1iexOgf5K1YOaM+YskX&#10;MSpMTHPE7hjtlfPQ7SCuCS4Wi+SGhbAsXOgryyN45EmbxS6Yqkm9v2cHXY0KViL1t1/fuHMP9eR1&#10;f2XN/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TFHKF2wAAAAsBAAAPAAAAAAAAAAEAIAAAACIA&#10;AABkcnMvZG93bnJldi54bWxQSwECFAAUAAAACACHTuJAaHNrGXgCAAD6BAAADgAAAAAAAAABACAA&#10;AAAqAQAAZHJzL2Uyb0RvYy54bWxQSwUGAAAAAAYABgBZAQAAFAYAAAAA&#10;" path="m0,41233l41233,41233,53975,0,66716,41233,107949,41233,74591,66716,87333,107949,53975,82465,20616,107949,33358,66716xe">
                <v:path o:connectlocs="53975,0;0,41233;20616,107949;87333,107949;107949,41233" o:connectangles="247,164,82,82,0"/>
                <v:fill on="t" focussize="0,0"/>
                <v:stroke weight="2pt" color="#FF0000" joinstyle="round"/>
                <v:imagedata o:title=""/>
                <o:lock v:ext="edit" aspectratio="f"/>
              </v:shape>
            </w:pict>
          </mc:Fallback>
        </mc:AlternateContent>
      </w:r>
      <w:r>
        <w:rPr>
          <w:rFonts w:hint="default"/>
          <w:color w:val="auto"/>
          <w:lang w:val="en-US" w:eastAsia="zh-CN"/>
        </w:rPr>
        <mc:AlternateContent>
          <mc:Choice Requires="wps">
            <w:drawing>
              <wp:anchor distT="0" distB="0" distL="114300" distR="114300" simplePos="0" relativeHeight="251660288" behindDoc="0" locked="0" layoutInCell="1" allowOverlap="1">
                <wp:simplePos x="0" y="0"/>
                <wp:positionH relativeFrom="column">
                  <wp:posOffset>2781935</wp:posOffset>
                </wp:positionH>
                <wp:positionV relativeFrom="paragraph">
                  <wp:posOffset>3995420</wp:posOffset>
                </wp:positionV>
                <wp:extent cx="847725" cy="476250"/>
                <wp:effectExtent l="12700" t="12700" r="15875" b="82550"/>
                <wp:wrapNone/>
                <wp:docPr id="9" name="矩形标注 9"/>
                <wp:cNvGraphicFramePr/>
                <a:graphic xmlns:a="http://schemas.openxmlformats.org/drawingml/2006/main">
                  <a:graphicData uri="http://schemas.microsoft.com/office/word/2010/wordprocessingShape">
                    <wps:wsp>
                      <wps:cNvSpPr/>
                      <wps:spPr>
                        <a:xfrm>
                          <a:off x="3446145" y="4225290"/>
                          <a:ext cx="847725" cy="476250"/>
                        </a:xfrm>
                        <a:prstGeom prst="wedgeRectCallout">
                          <a:avLst/>
                        </a:prstGeom>
                        <a:noFill/>
                        <a:ln w="25400" cap="flat" cmpd="sng" algn="ctr">
                          <a:solidFill>
                            <a:srgbClr val="FF0000"/>
                          </a:solidFill>
                          <a:prstDash val="solid"/>
                        </a:ln>
                        <a:effectLst/>
                      </wps:spPr>
                      <wps:txbx>
                        <w:txbxContent>
                          <w:p w14:paraId="435DD612">
                            <w:pPr>
                              <w:jc w:val="center"/>
                              <w:rPr>
                                <w:rFonts w:hint="default" w:eastAsia="宋体"/>
                                <w:color w:val="FF0000"/>
                                <w:lang w:val="en-US" w:eastAsia="zh-CN"/>
                              </w:rPr>
                            </w:pPr>
                            <w:r>
                              <w:rPr>
                                <w:rFonts w:hint="eastAsia"/>
                                <w:color w:val="FF0000"/>
                                <w:lang w:val="en-US" w:eastAsia="zh-CN"/>
                              </w:rPr>
                              <w:t>项目所在地理位</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19.05pt;margin-top:314.6pt;height:37.5pt;width:66.75pt;z-index:251660288;v-text-anchor:middle;mso-width-relative:page;mso-height-relative:page;" filled="f" stroked="t" coordsize="21600,21600" o:gfxdata="UEsDBAoAAAAAAIdO4kAAAAAAAAAAAAAAAAAEAAAAZHJzL1BLAwQUAAAACACHTuJAkTkvudcAAAAL&#10;AQAADwAAAGRycy9kb3ducmV2LnhtbE2PMU/DMBCFdyT+g3VILIjaCW0SQpwOFbATWNic+EisxnZk&#10;u2n59xwTjKf36b3vmv3FzmzFEI13ErKNAIZu8Nq4UcLH+8t9BSwm5bSavUMJ3xhh315fNarW/uze&#10;cO3SyKjExVpJmFJaas7jMKFVceMXdJR9+WBVojOMXAd1pnI781yIgltlHC1MasHDhMOxO1ka6Z7L&#10;NZZ4DKLqX03xebgzu07K25tMPAFLeEl/MPzqkzq05NT7k9ORzRK2D1VGqIQif8yBEbErswJYL6EU&#10;2xx42/D/P7Q/UEsDBBQAAAAIAIdO4kCh8+7KjAIAAOoEAAAOAAAAZHJzL2Uyb0RvYy54bWytVM1u&#10;EzEQviPxDpbvZJNl0zRRN1WUKAipohEFcXa89q4l/2E72ZQX4DFAnODMmcehvAZj77YNhUMP5LCZ&#10;2Zn9xt83Mz47PyiJ9sx5YXSJR4MhRkxTUwldl/jtm/WzU4x8ILoi0mhW4mvm8fn86ZOz1s5Ybhoj&#10;K+YQgGg/a22JmxDsLMs8bZgifmAs0xDkxikSwHV1VjnSArqSWT4cnmStcZV1hjLv4e2qC+Ie0T0G&#10;0HAuKFsZulNMhw7VMUkCUPKNsB7P02k5ZzRccu5ZQLLEwDSkJxQBexuf2fyMzGpHbCNofwTymCM8&#10;4KSI0FD0DmpFAkE7J/6CUoI64w0PA2pU1hFJigCL0fCBNlcNsSxxAam9vRPd/z9Y+mq/cUhUJZ5i&#10;pImChv/69O3njy83nz/efP+KplGh1voZJF7Zjes9D2ake+BOxX8ggg4lfl4UJ6NijNF1iYs8H+fT&#10;XmF2CIhCwmkxmeQQpzFhcpKPUzy7B7LOhxfMKBSNEresqtlr6OKSSGl2IWlM9hc+wEHgs9v0eAZt&#10;1kLK1FCpUVvifFwMoc+UwJRymA4wlQWmXtcYEVnD+NPgEqQ3UlTx8wjkXb1dSof2BIZmvR7CL6oA&#10;5f5Ii7VXxDddXgr1aVJHGJbGrz9qlLATLVrhsD30Sm5NdQ0dcKYbTW/pWgDwBfFhQxzMIjCAbQ2X&#10;8ODSAC3TWxg1xn341/uYDyMCUYxamG2g/H5HHMNIvtQwPNNRUcRlSE4xnuTguOPI9jiid2ppQIkR&#10;3AuWJjPmB3lrcmfUO1jqRawKIaIp1O7E7Z1l6HYOrgXKFouUBgtgSbjQV5ZG8K6Fi10wXKTuRqE6&#10;dUD76MAKpC706xp37NhPWfdX1Pw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kTkvudcAAAALAQAA&#10;DwAAAAAAAAABACAAAAAiAAAAZHJzL2Rvd25yZXYueG1sUEsBAhQAFAAAAAgAh07iQKHz7sqMAgAA&#10;6gQAAA4AAAAAAAAAAQAgAAAAJgEAAGRycy9lMm9Eb2MueG1sUEsFBgAAAAAGAAYAWQEAACQGAAAA&#10;AA==&#10;" adj="6300,24300">
                <v:fill on="f" focussize="0,0"/>
                <v:stroke weight="2pt" color="#FF0000" joinstyle="round"/>
                <v:imagedata o:title=""/>
                <o:lock v:ext="edit" aspectratio="f"/>
                <v:textbox>
                  <w:txbxContent>
                    <w:p w14:paraId="435DD612">
                      <w:pPr>
                        <w:jc w:val="center"/>
                        <w:rPr>
                          <w:rFonts w:hint="default" w:eastAsia="宋体"/>
                          <w:color w:val="FF0000"/>
                          <w:lang w:val="en-US" w:eastAsia="zh-CN"/>
                        </w:rPr>
                      </w:pPr>
                      <w:r>
                        <w:rPr>
                          <w:rFonts w:hint="eastAsia"/>
                          <w:color w:val="FF0000"/>
                          <w:lang w:val="en-US" w:eastAsia="zh-CN"/>
                        </w:rPr>
                        <w:t>项目所在地理位</w:t>
                      </w:r>
                    </w:p>
                  </w:txbxContent>
                </v:textbox>
              </v:shape>
            </w:pict>
          </mc:Fallback>
        </mc:AlternateContent>
      </w:r>
      <w:r>
        <w:rPr>
          <w:rFonts w:ascii="宋体" w:hAnsi="宋体" w:eastAsia="宋体" w:cs="宋体"/>
          <w:color w:val="auto"/>
          <w:sz w:val="24"/>
          <w:szCs w:val="24"/>
        </w:rPr>
        <w:drawing>
          <wp:inline distT="0" distB="0" distL="114300" distR="114300">
            <wp:extent cx="5288280" cy="7694930"/>
            <wp:effectExtent l="0" t="0" r="7620" b="1270"/>
            <wp:docPr id="57" name="图片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3" descr="IMG_256"/>
                    <pic:cNvPicPr>
                      <a:picLocks noChangeAspect="1"/>
                    </pic:cNvPicPr>
                  </pic:nvPicPr>
                  <pic:blipFill>
                    <a:blip r:embed="rId44"/>
                    <a:stretch>
                      <a:fillRect/>
                    </a:stretch>
                  </pic:blipFill>
                  <pic:spPr>
                    <a:xfrm>
                      <a:off x="0" y="0"/>
                      <a:ext cx="5288280" cy="7694930"/>
                    </a:xfrm>
                    <a:prstGeom prst="rect">
                      <a:avLst/>
                    </a:prstGeom>
                    <a:noFill/>
                    <a:ln>
                      <a:noFill/>
                    </a:ln>
                  </pic:spPr>
                </pic:pic>
              </a:graphicData>
            </a:graphic>
          </wp:inline>
        </w:drawing>
      </w:r>
      <w:r>
        <w:rPr>
          <w:rFonts w:hint="default"/>
          <w:color w:val="auto"/>
          <w:lang w:val="en-US" w:eastAsia="zh-CN"/>
        </w:rPr>
        <w:drawing>
          <wp:anchor distT="0" distB="0" distL="114300" distR="114300" simplePos="0" relativeHeight="251661312" behindDoc="0" locked="0" layoutInCell="1" allowOverlap="1">
            <wp:simplePos x="0" y="0"/>
            <wp:positionH relativeFrom="column">
              <wp:posOffset>7408545</wp:posOffset>
            </wp:positionH>
            <wp:positionV relativeFrom="paragraph">
              <wp:posOffset>426720</wp:posOffset>
            </wp:positionV>
            <wp:extent cx="571500" cy="847725"/>
            <wp:effectExtent l="0" t="0" r="0" b="9525"/>
            <wp:wrapNone/>
            <wp:docPr id="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pic:cNvPicPr>
                      <a:picLocks noChangeAspect="1"/>
                    </pic:cNvPicPr>
                  </pic:nvPicPr>
                  <pic:blipFill>
                    <a:blip r:embed="rId45"/>
                    <a:stretch>
                      <a:fillRect/>
                    </a:stretch>
                  </pic:blipFill>
                  <pic:spPr>
                    <a:xfrm>
                      <a:off x="0" y="0"/>
                      <a:ext cx="571500" cy="847725"/>
                    </a:xfrm>
                    <a:prstGeom prst="rect">
                      <a:avLst/>
                    </a:prstGeom>
                    <a:noFill/>
                    <a:ln>
                      <a:noFill/>
                    </a:ln>
                  </pic:spPr>
                </pic:pic>
              </a:graphicData>
            </a:graphic>
          </wp:anchor>
        </w:drawing>
      </w:r>
    </w:p>
    <w:sectPr>
      <w:footerReference r:id="rId7" w:type="default"/>
      <w:pgSz w:w="11906" w:h="16838"/>
      <w:pgMar w:top="1701" w:right="1531" w:bottom="1701" w:left="1531" w:header="851" w:footer="851" w:gutter="0"/>
      <w:pgBorders>
        <w:top w:val="none" w:sz="0" w:space="0"/>
        <w:left w:val="none" w:sz="0" w:space="0"/>
        <w:bottom w:val="none" w:sz="0" w:space="0"/>
        <w:right w:val="none" w:sz="0" w:space="0"/>
      </w:pgBorders>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Arial Unicode MS"/>
    <w:panose1 w:val="02010600030101010101"/>
    <w:charset w:val="86"/>
    <w:family w:val="auto"/>
    <w:pitch w:val="default"/>
    <w:sig w:usb0="00000000" w:usb1="00000000" w:usb2="00000016" w:usb3="00000000" w:csb0="0004000F" w:csb1="00000000"/>
  </w:font>
  <w:font w:name="仿宋_GB2312">
    <w:altName w:val="仿宋"/>
    <w:panose1 w:val="02010609030101010101"/>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楷体简体">
    <w:altName w:val="宋体"/>
    <w:panose1 w:val="00000000000000000000"/>
    <w:charset w:val="86"/>
    <w:family w:val="auto"/>
    <w:pitch w:val="default"/>
    <w:sig w:usb0="00000000" w:usb1="00000000" w:usb2="00000010" w:usb3="00000000" w:csb0="00040000" w:csb1="00000000"/>
  </w:font>
  <w:font w:name="方正小标宋_GBK">
    <w:altName w:val="微软雅黑"/>
    <w:panose1 w:val="02000000000000000000"/>
    <w:charset w:val="86"/>
    <w:family w:val="auto"/>
    <w:pitch w:val="default"/>
    <w:sig w:usb0="00000000" w:usb1="00000000" w:usb2="00082016" w:usb3="00000000" w:csb0="00040001" w:csb1="00000000"/>
  </w:font>
  <w:font w:name="微软雅黑">
    <w:panose1 w:val="020B0503020204020204"/>
    <w:charset w:val="86"/>
    <w:family w:val="auto"/>
    <w:pitch w:val="default"/>
    <w:sig w:usb0="80000287" w:usb1="280F3C52" w:usb2="00000016" w:usb3="00000000" w:csb0="0004001F" w:csb1="00000000"/>
  </w:font>
  <w:font w:name="楷体_GB2312">
    <w:altName w:val="楷体"/>
    <w:panose1 w:val="02010609030101010101"/>
    <w:charset w:val="86"/>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0"/>
    <w:family w:val="auto"/>
    <w:pitch w:val="default"/>
    <w:sig w:usb0="00000000" w:usb1="00000000" w:usb2="00000000" w:usb3="00000000" w:csb0="80000000"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2B3518">
    <w:pPr>
      <w:pStyle w:val="199"/>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09A39F">
    <w:pPr>
      <w:pStyle w:val="199"/>
      <w:framePr w:wrap="around" w:vAnchor="text" w:hAnchor="margin" w:xAlign="center" w:y="1"/>
      <w:rPr>
        <w:rStyle w:val="197"/>
      </w:rPr>
    </w:pPr>
    <w:r>
      <w:fldChar w:fldCharType="begin"/>
    </w:r>
    <w:r>
      <w:rPr>
        <w:rStyle w:val="197"/>
      </w:rPr>
      <w:instrText xml:space="preserve">PAGE  </w:instrText>
    </w:r>
    <w:r>
      <w:fldChar w:fldCharType="end"/>
    </w:r>
  </w:p>
  <w:p w14:paraId="428C8939">
    <w:pPr>
      <w:pStyle w:val="199"/>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4A831B">
    <w:pPr>
      <w:pStyle w:val="199"/>
      <w:framePr w:wrap="around" w:vAnchor="text" w:hAnchor="margin" w:xAlign="outside" w:y="1"/>
      <w:rPr>
        <w:rStyle w:val="197"/>
        <w:rFonts w:ascii="宋体" w:hAnsi="宋体"/>
        <w:sz w:val="28"/>
        <w:szCs w:val="28"/>
      </w:rPr>
    </w:pPr>
    <w:r>
      <w:rPr>
        <w:rStyle w:val="197"/>
        <w:rFonts w:hint="eastAsia" w:ascii="宋体" w:hAnsi="宋体"/>
        <w:sz w:val="28"/>
        <w:szCs w:val="28"/>
      </w:rPr>
      <w:t>—</w:t>
    </w:r>
    <w:r>
      <w:rPr>
        <w:rStyle w:val="197"/>
        <w:rFonts w:hint="eastAsia" w:ascii="宋体" w:hAnsi="宋体"/>
        <w:sz w:val="20"/>
      </w:rPr>
      <w:t xml:space="preserve">  </w:t>
    </w:r>
    <w:r>
      <w:rPr>
        <w:rStyle w:val="197"/>
        <w:rFonts w:ascii="宋体" w:hAnsi="宋体"/>
        <w:sz w:val="26"/>
        <w:szCs w:val="26"/>
      </w:rPr>
      <w:fldChar w:fldCharType="begin"/>
    </w:r>
    <w:r>
      <w:rPr>
        <w:rStyle w:val="197"/>
        <w:rFonts w:ascii="宋体" w:hAnsi="宋体"/>
        <w:sz w:val="26"/>
        <w:szCs w:val="26"/>
      </w:rPr>
      <w:instrText xml:space="preserve">PAGE  </w:instrText>
    </w:r>
    <w:r>
      <w:rPr>
        <w:rStyle w:val="197"/>
        <w:rFonts w:ascii="宋体" w:hAnsi="宋体"/>
        <w:sz w:val="26"/>
        <w:szCs w:val="26"/>
      </w:rPr>
      <w:fldChar w:fldCharType="separate"/>
    </w:r>
    <w:r>
      <w:rPr>
        <w:rStyle w:val="197"/>
        <w:rFonts w:ascii="宋体" w:hAnsi="宋体"/>
        <w:sz w:val="26"/>
        <w:szCs w:val="26"/>
      </w:rPr>
      <w:t>9</w:t>
    </w:r>
    <w:r>
      <w:rPr>
        <w:rStyle w:val="197"/>
        <w:rFonts w:ascii="宋体" w:hAnsi="宋体"/>
        <w:sz w:val="26"/>
        <w:szCs w:val="26"/>
      </w:rPr>
      <w:fldChar w:fldCharType="end"/>
    </w:r>
    <w:r>
      <w:rPr>
        <w:rStyle w:val="197"/>
        <w:rFonts w:hint="eastAsia" w:ascii="宋体" w:hAnsi="宋体"/>
        <w:sz w:val="20"/>
      </w:rPr>
      <w:t xml:space="preserve">  </w:t>
    </w:r>
    <w:r>
      <w:rPr>
        <w:rStyle w:val="197"/>
        <w:rFonts w:hint="eastAsia" w:ascii="宋体" w:hAnsi="宋体"/>
        <w:sz w:val="28"/>
        <w:szCs w:val="28"/>
      </w:rPr>
      <w:t>—</w:t>
    </w:r>
  </w:p>
  <w:p w14:paraId="600F736C">
    <w:pPr>
      <w:pStyle w:val="199"/>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EDCE4A">
    <w:pPr>
      <w:tabs>
        <w:tab w:val="center" w:pos="4153"/>
        <w:tab w:val="right" w:pos="8306"/>
      </w:tabs>
      <w:ind w:right="360" w:firstLine="360"/>
      <w:jc w:val="center"/>
    </w:pPr>
    <w:r>
      <w:rPr>
        <w:sz w:val="21"/>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9" name="文本框 8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3761477F">
                          <w:pPr>
                            <w:tabs>
                              <w:tab w:val="center" w:pos="4153"/>
                              <w:tab w:val="right" w:pos="8306"/>
                            </w:tabs>
                          </w:pPr>
                          <w:r>
                            <w:fldChar w:fldCharType="begin"/>
                          </w:r>
                          <w:r>
                            <w:instrText xml:space="preserve"> PAGE  \* MERGEFORMAT </w:instrText>
                          </w:r>
                          <w:r>
                            <w:fldChar w:fldCharType="separate"/>
                          </w:r>
                          <w:r>
                            <w:t>90</w:t>
                          </w:r>
                          <w:r>
                            <w:fldChar w:fldCharType="end"/>
                          </w:r>
                        </w:p>
                      </w:txbxContent>
                    </wps:txbx>
                    <wps:bodyPr wrap="none" lIns="0" tIns="0" rIns="0" bIns="0" upright="0">
                      <a:spAutoFit/>
                    </wps:bodyPr>
                  </wps:wsp>
                </a:graphicData>
              </a:graphic>
            </wp:anchor>
          </w:drawing>
        </mc:Choice>
        <mc:Fallback>
          <w:pict>
            <v:shape id="文本框 80"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MbqBM4BAACqAwAADgAAAGRycy9lMm9Eb2MueG1srVNLbtswEN0XyB0I&#10;7mMpXhSqYDlIYKQIELQF0h6ApkiLAH/g0JZ8gfYGXXXTfc/lc3RISXabbrLohpof38x7HK1uB6PJ&#10;QQRQzjb0ZlFSIix3rbK7hn75/HBdUQKR2ZZpZ0VDjwLo7frqzar3tVi6zulWBIIgFureN7SL0ddF&#10;AbwThsHCeWExKV0wLKIbdkUbWI/oRhfLsnxb9C60PjguADC6GZN0QgyvAXRSKi42ju+NsHFEDUKz&#10;iJSgUx7oOk8rpeDxo5QgItENRaYxn9gE7W06i/WK1bvAfKf4NAJ7zQgvOBmmLDY9Q21YZGQf1D9Q&#10;RvHgwMm44M4UI5GsCLK4KV9o89wxLzIXlBr8WXT4f7D8w+FTIKrFTSjfUWKZwSc/ff92+vHr9PMr&#10;qbJCvYcaC589lsbh3g1YnZRLccBgIj7IYNIXKRHMo77Hs75iiISnS9WyqkpMcczNDuIUl+s+QHwv&#10;nCHJaGjAB8y6ssMTxLF0LkndrHtQWudH1PavAGKOEZG3YLp9mThZcdgOE42ta4/IrsdNaKjFxadE&#10;P1oUOi3NbITZ2M7G3ge16/JWpe7g7/YRR8qTpg4jLDJMDj5h5jqtW9qRP/1cdfnF1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zql5uc8AAAAFAQAADwAAAAAAAAABACAAAAAiAAAAZHJzL2Rvd25y&#10;ZXYueG1sUEsBAhQAFAAAAAgAh07iQJjG6gTOAQAAqgMAAA4AAAAAAAAAAQAgAAAAHgEAAGRycy9l&#10;Mm9Eb2MueG1sUEsFBgAAAAAGAAYAWQEAAF4FAAAAAA==&#10;">
              <v:fill on="f" focussize="0,0"/>
              <v:stroke on="f"/>
              <v:imagedata o:title=""/>
              <o:lock v:ext="edit" aspectratio="f"/>
              <v:textbox inset="0mm,0mm,0mm,0mm" style="mso-fit-shape-to-text:t;">
                <w:txbxContent>
                  <w:p w14:paraId="3761477F">
                    <w:pPr>
                      <w:tabs>
                        <w:tab w:val="center" w:pos="4153"/>
                        <w:tab w:val="right" w:pos="8306"/>
                      </w:tabs>
                    </w:pPr>
                    <w:r>
                      <w:fldChar w:fldCharType="begin"/>
                    </w:r>
                    <w:r>
                      <w:instrText xml:space="preserve"> PAGE  \* MERGEFORMAT </w:instrText>
                    </w:r>
                    <w:r>
                      <w:fldChar w:fldCharType="separate"/>
                    </w:r>
                    <w:r>
                      <w:t>90</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04C3F9">
    <w:pPr>
      <w:pStyle w:val="199"/>
      <w:framePr w:wrap="around" w:vAnchor="text" w:hAnchor="margin" w:xAlign="outside" w:y="1"/>
      <w:rPr>
        <w:rStyle w:val="197"/>
        <w:rFonts w:ascii="宋体" w:hAnsi="宋体"/>
        <w:sz w:val="28"/>
        <w:szCs w:val="28"/>
      </w:rPr>
    </w:pPr>
    <w:r>
      <w:rPr>
        <w:rStyle w:val="197"/>
        <w:rFonts w:hint="eastAsia" w:ascii="宋体" w:hAnsi="宋体"/>
        <w:sz w:val="28"/>
        <w:szCs w:val="28"/>
      </w:rPr>
      <w:t>—</w:t>
    </w:r>
    <w:r>
      <w:rPr>
        <w:rStyle w:val="197"/>
        <w:rFonts w:hint="eastAsia" w:ascii="宋体" w:hAnsi="宋体"/>
        <w:sz w:val="20"/>
      </w:rPr>
      <w:t xml:space="preserve">  </w:t>
    </w:r>
    <w:r>
      <w:rPr>
        <w:rStyle w:val="197"/>
        <w:rFonts w:ascii="宋体" w:hAnsi="宋体"/>
        <w:sz w:val="26"/>
        <w:szCs w:val="26"/>
      </w:rPr>
      <w:fldChar w:fldCharType="begin"/>
    </w:r>
    <w:r>
      <w:rPr>
        <w:rStyle w:val="197"/>
        <w:rFonts w:ascii="宋体" w:hAnsi="宋体"/>
        <w:sz w:val="26"/>
        <w:szCs w:val="26"/>
      </w:rPr>
      <w:instrText xml:space="preserve">PAGE  </w:instrText>
    </w:r>
    <w:r>
      <w:rPr>
        <w:rStyle w:val="197"/>
        <w:rFonts w:ascii="宋体" w:hAnsi="宋体"/>
        <w:sz w:val="26"/>
        <w:szCs w:val="26"/>
      </w:rPr>
      <w:fldChar w:fldCharType="separate"/>
    </w:r>
    <w:r>
      <w:rPr>
        <w:rStyle w:val="197"/>
        <w:rFonts w:ascii="宋体" w:hAnsi="宋体"/>
        <w:sz w:val="26"/>
        <w:szCs w:val="26"/>
      </w:rPr>
      <w:t>11</w:t>
    </w:r>
    <w:r>
      <w:rPr>
        <w:rStyle w:val="197"/>
        <w:rFonts w:ascii="宋体" w:hAnsi="宋体"/>
        <w:sz w:val="26"/>
        <w:szCs w:val="26"/>
      </w:rPr>
      <w:fldChar w:fldCharType="end"/>
    </w:r>
    <w:r>
      <w:rPr>
        <w:rStyle w:val="197"/>
        <w:rFonts w:hint="eastAsia" w:ascii="宋体" w:hAnsi="宋体"/>
        <w:sz w:val="20"/>
      </w:rPr>
      <w:t xml:space="preserve">  </w:t>
    </w:r>
    <w:r>
      <w:rPr>
        <w:rStyle w:val="197"/>
        <w:rFonts w:hint="eastAsia" w:ascii="宋体" w:hAnsi="宋体"/>
        <w:sz w:val="28"/>
        <w:szCs w:val="28"/>
      </w:rPr>
      <w:t>—</w:t>
    </w:r>
  </w:p>
  <w:p w14:paraId="0D56CC3D">
    <w:pPr>
      <w:pStyle w:val="199"/>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B86F316"/>
    <w:multiLevelType w:val="singleLevel"/>
    <w:tmpl w:val="0B86F316"/>
    <w:lvl w:ilvl="0" w:tentative="0">
      <w:start w:val="2"/>
      <w:numFmt w:val="decimal"/>
      <w:suff w:val="nothing"/>
      <w:lvlText w:val="（%1）"/>
      <w:lvlJc w:val="left"/>
    </w:lvl>
  </w:abstractNum>
  <w:abstractNum w:abstractNumId="1">
    <w:nsid w:val="4EE1D446"/>
    <w:multiLevelType w:val="singleLevel"/>
    <w:tmpl w:val="4EE1D446"/>
    <w:lvl w:ilvl="0" w:tentative="0">
      <w:start w:val="6"/>
      <w:numFmt w:val="chineseCounting"/>
      <w:suff w:val="nothing"/>
      <w:lvlText w:val="%1、"/>
      <w:lvlJc w:val="left"/>
      <w:rPr>
        <w:rFonts w:hint="eastAsia"/>
      </w:rPr>
    </w:lvl>
  </w:abstractNum>
  <w:abstractNum w:abstractNumId="2">
    <w:nsid w:val="6D196F0D"/>
    <w:multiLevelType w:val="multilevel"/>
    <w:tmpl w:val="6D196F0D"/>
    <w:lvl w:ilvl="0" w:tentative="0">
      <w:start w:val="1"/>
      <w:numFmt w:val="chineseCounting"/>
      <w:suff w:val="nothing"/>
      <w:lvlText w:val="%1、"/>
      <w:lvlJc w:val="left"/>
      <w:pPr>
        <w:tabs>
          <w:tab w:val="left" w:pos="0"/>
        </w:tabs>
        <w:ind w:left="432" w:hanging="432"/>
      </w:pPr>
      <w:rPr>
        <w:rFonts w:hint="eastAsia" w:ascii="宋体" w:hAnsi="宋体" w:eastAsia="宋体" w:cs="宋体"/>
        <w:b/>
        <w:bCs/>
        <w:sz w:val="32"/>
        <w:szCs w:val="32"/>
      </w:rPr>
    </w:lvl>
    <w:lvl w:ilvl="1" w:tentative="0">
      <w:start w:val="1"/>
      <w:numFmt w:val="decimal"/>
      <w:isLgl/>
      <w:suff w:val="space"/>
      <w:lvlText w:val="%1.%2"/>
      <w:lvlJc w:val="left"/>
      <w:pPr>
        <w:tabs>
          <w:tab w:val="left" w:pos="420"/>
        </w:tabs>
        <w:ind w:left="0" w:firstLine="0"/>
      </w:pPr>
      <w:rPr>
        <w:rFonts w:hint="default" w:ascii="Times New Roman" w:hAnsi="Times New Roman" w:eastAsia="宋体" w:cs="Times New Roman"/>
        <w:b/>
        <w:bCs/>
        <w:sz w:val="30"/>
        <w:szCs w:val="30"/>
      </w:rPr>
    </w:lvl>
    <w:lvl w:ilvl="2" w:tentative="0">
      <w:start w:val="1"/>
      <w:numFmt w:val="decimal"/>
      <w:isLgl/>
      <w:suff w:val="space"/>
      <w:lvlText w:val="%1.%2.%3"/>
      <w:lvlJc w:val="left"/>
      <w:pPr>
        <w:tabs>
          <w:tab w:val="left" w:pos="0"/>
        </w:tabs>
        <w:ind w:left="720" w:hanging="720"/>
      </w:pPr>
      <w:rPr>
        <w:rFonts w:hint="default" w:ascii="Times New Roman" w:hAnsi="Times New Roman" w:eastAsia="宋体" w:cs="Times New Roman"/>
        <w:b/>
        <w:bCs/>
        <w:sz w:val="24"/>
        <w:szCs w:val="28"/>
      </w:rPr>
    </w:lvl>
    <w:lvl w:ilvl="3" w:tentative="0">
      <w:start w:val="1"/>
      <w:numFmt w:val="decimal"/>
      <w:isLgl/>
      <w:suff w:val="space"/>
      <w:lvlText w:val="%1.%2.%3.%4"/>
      <w:lvlJc w:val="left"/>
      <w:pPr>
        <w:tabs>
          <w:tab w:val="left" w:pos="0"/>
        </w:tabs>
        <w:ind w:left="864" w:hanging="864"/>
      </w:pPr>
      <w:rPr>
        <w:rFonts w:hint="default" w:ascii="Times New Roman" w:hAnsi="Times New Roman" w:eastAsia="宋体" w:cs="Times New Roman"/>
        <w:sz w:val="24"/>
        <w:szCs w:val="24"/>
      </w:rPr>
    </w:lvl>
    <w:lvl w:ilvl="4" w:tentative="0">
      <w:start w:val="1"/>
      <w:numFmt w:val="decimal"/>
      <w:isLgl/>
      <w:suff w:val="nothing"/>
      <w:lvlText w:val="   （%5）"/>
      <w:lvlJc w:val="left"/>
      <w:pPr>
        <w:tabs>
          <w:tab w:val="left" w:pos="420"/>
        </w:tabs>
        <w:ind w:left="0" w:firstLine="0"/>
      </w:pPr>
      <w:rPr>
        <w:rFonts w:hint="eastAsia" w:ascii="宋体" w:hAnsi="宋体" w:eastAsia="宋体" w:cs="宋体"/>
        <w:sz w:val="24"/>
        <w:szCs w:val="24"/>
      </w:rPr>
    </w:lvl>
    <w:lvl w:ilvl="5" w:tentative="0">
      <w:start w:val="1"/>
      <w:numFmt w:val="decimalEnclosedCircleChinese"/>
      <w:suff w:val="nothing"/>
      <w:lvlText w:val="%6"/>
      <w:lvlJc w:val="left"/>
      <w:pPr>
        <w:tabs>
          <w:tab w:val="left" w:pos="420"/>
        </w:tabs>
        <w:ind w:left="1151" w:hanging="1151"/>
      </w:pPr>
      <w:rPr>
        <w:rFonts w:hint="eastAsia" w:ascii="宋体" w:hAnsi="宋体" w:eastAsia="宋体" w:cs="宋体"/>
      </w:rPr>
    </w:lvl>
    <w:lvl w:ilvl="6" w:tentative="0">
      <w:start w:val="1"/>
      <w:numFmt w:val="upperLetter"/>
      <w:lvlText w:val="%7."/>
      <w:lvlJc w:val="center"/>
      <w:pPr>
        <w:tabs>
          <w:tab w:val="left" w:pos="0"/>
        </w:tabs>
        <w:ind w:left="0" w:leftChars="0" w:firstLine="0" w:firstLineChars="0"/>
      </w:pPr>
      <w:rPr>
        <w:rFonts w:hint="eastAsia" w:ascii="宋体" w:hAnsi="宋体" w:eastAsia="宋体" w:cs="宋体"/>
      </w:rPr>
    </w:lvl>
    <w:lvl w:ilvl="7" w:tentative="0">
      <w:start w:val="1"/>
      <w:numFmt w:val="decimal"/>
      <w:lvlRestart w:val="2"/>
      <w:pStyle w:val="235"/>
      <w:isLgl/>
      <w:suff w:val="space"/>
      <w:lvlText w:val="表%1.%2-%8"/>
      <w:lvlJc w:val="center"/>
      <w:pPr>
        <w:tabs>
          <w:tab w:val="left" w:pos="0"/>
        </w:tabs>
        <w:ind w:left="420" w:leftChars="0" w:firstLine="0" w:firstLineChars="0"/>
      </w:pPr>
      <w:rPr>
        <w:rFonts w:hint="eastAsia" w:ascii="Times New Roman" w:hAnsi="Times New Roman" w:eastAsia="宋体" w:cs="宋体"/>
      </w:rPr>
    </w:lvl>
    <w:lvl w:ilvl="8" w:tentative="0">
      <w:start w:val="1"/>
      <w:numFmt w:val="decimal"/>
      <w:lvlRestart w:val="2"/>
      <w:isLgl/>
      <w:suff w:val="space"/>
      <w:lvlText w:val="图%1.%2-%9"/>
      <w:lvlJc w:val="left"/>
      <w:pPr>
        <w:tabs>
          <w:tab w:val="left" w:pos="420"/>
        </w:tabs>
        <w:ind w:left="1583" w:hanging="1583"/>
      </w:pPr>
      <w:rPr>
        <w:rFonts w:hint="eastAsia" w:ascii="Times New Roman" w:hAnsi="Times New Roman" w:eastAsia="宋体" w:cs="宋体"/>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isplayHorizontalDrawingGridEvery w:val="1"/>
  <w:displayVerticalDrawingGridEvery w:val="1"/>
  <w:noPunctuationKerning w:val="1"/>
  <w:characterSpacingControl w:val="doNotCompress"/>
  <w:compat>
    <w:balanceSingleByteDoubleByteWidth/>
    <w:ulTrailSpace/>
    <w:doNotExpandShiftReturn/>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WMzMTVjNGJlNGY4OTZlOGQwYjZlMTcxMGI3ODhkNDkifQ=="/>
  </w:docVars>
  <w:rsids>
    <w:rsidRoot w:val="00000000"/>
    <w:rsid w:val="00FC206D"/>
    <w:rsid w:val="0147778C"/>
    <w:rsid w:val="017D6A20"/>
    <w:rsid w:val="01910DE7"/>
    <w:rsid w:val="01C56903"/>
    <w:rsid w:val="02105DD0"/>
    <w:rsid w:val="022C24DE"/>
    <w:rsid w:val="025E458E"/>
    <w:rsid w:val="03463A74"/>
    <w:rsid w:val="03DF1D64"/>
    <w:rsid w:val="0405748B"/>
    <w:rsid w:val="048605CC"/>
    <w:rsid w:val="049E5C9C"/>
    <w:rsid w:val="04AD4D59"/>
    <w:rsid w:val="04D32E79"/>
    <w:rsid w:val="04E66B3B"/>
    <w:rsid w:val="05E82A63"/>
    <w:rsid w:val="06712BB6"/>
    <w:rsid w:val="0882554E"/>
    <w:rsid w:val="099D5E06"/>
    <w:rsid w:val="0A56459C"/>
    <w:rsid w:val="0A83110A"/>
    <w:rsid w:val="0C13045B"/>
    <w:rsid w:val="0CAC309D"/>
    <w:rsid w:val="0D416AB9"/>
    <w:rsid w:val="0DE620DB"/>
    <w:rsid w:val="0E1A3B33"/>
    <w:rsid w:val="0ECC7523"/>
    <w:rsid w:val="0F846FC0"/>
    <w:rsid w:val="10305890"/>
    <w:rsid w:val="111725AC"/>
    <w:rsid w:val="1170602F"/>
    <w:rsid w:val="11D64A53"/>
    <w:rsid w:val="129D12D0"/>
    <w:rsid w:val="12AF5E5F"/>
    <w:rsid w:val="13903264"/>
    <w:rsid w:val="13C655F9"/>
    <w:rsid w:val="141F00F5"/>
    <w:rsid w:val="153031F8"/>
    <w:rsid w:val="15796A47"/>
    <w:rsid w:val="16133262"/>
    <w:rsid w:val="17876430"/>
    <w:rsid w:val="180D39FA"/>
    <w:rsid w:val="1A2975D8"/>
    <w:rsid w:val="1A3418C5"/>
    <w:rsid w:val="1A730451"/>
    <w:rsid w:val="1B666609"/>
    <w:rsid w:val="1BEE5AEC"/>
    <w:rsid w:val="1CF9636E"/>
    <w:rsid w:val="1D4A7A2F"/>
    <w:rsid w:val="1D65301C"/>
    <w:rsid w:val="1E177107"/>
    <w:rsid w:val="1E432DEF"/>
    <w:rsid w:val="1E5310C7"/>
    <w:rsid w:val="1E842620"/>
    <w:rsid w:val="1EC2702E"/>
    <w:rsid w:val="1EDC7F1C"/>
    <w:rsid w:val="1F3C513A"/>
    <w:rsid w:val="1F426278"/>
    <w:rsid w:val="213F37C6"/>
    <w:rsid w:val="21EC126E"/>
    <w:rsid w:val="22502157"/>
    <w:rsid w:val="229D3EC2"/>
    <w:rsid w:val="23AA303F"/>
    <w:rsid w:val="23B4085A"/>
    <w:rsid w:val="250B7307"/>
    <w:rsid w:val="252B4ADE"/>
    <w:rsid w:val="27481489"/>
    <w:rsid w:val="27871DE1"/>
    <w:rsid w:val="298E38FB"/>
    <w:rsid w:val="2B2A2C2B"/>
    <w:rsid w:val="2B944ACD"/>
    <w:rsid w:val="2C7F5513"/>
    <w:rsid w:val="2CEF46B1"/>
    <w:rsid w:val="2D144984"/>
    <w:rsid w:val="2D314CC9"/>
    <w:rsid w:val="2DE54E9C"/>
    <w:rsid w:val="2DFA155F"/>
    <w:rsid w:val="2DFE26D1"/>
    <w:rsid w:val="2E8A241A"/>
    <w:rsid w:val="2F212B1B"/>
    <w:rsid w:val="2F831AE9"/>
    <w:rsid w:val="2FC81F56"/>
    <w:rsid w:val="31701B38"/>
    <w:rsid w:val="3182492A"/>
    <w:rsid w:val="326E42CA"/>
    <w:rsid w:val="327572B8"/>
    <w:rsid w:val="32B5521C"/>
    <w:rsid w:val="32DA22BD"/>
    <w:rsid w:val="33C00B55"/>
    <w:rsid w:val="33C30645"/>
    <w:rsid w:val="34527FC0"/>
    <w:rsid w:val="34B34216"/>
    <w:rsid w:val="35326A11"/>
    <w:rsid w:val="354B4447"/>
    <w:rsid w:val="35D03E8B"/>
    <w:rsid w:val="36047377"/>
    <w:rsid w:val="379245B6"/>
    <w:rsid w:val="379973DA"/>
    <w:rsid w:val="3851621F"/>
    <w:rsid w:val="38777FB4"/>
    <w:rsid w:val="38804D57"/>
    <w:rsid w:val="38C310B4"/>
    <w:rsid w:val="38C574F4"/>
    <w:rsid w:val="38FE73CC"/>
    <w:rsid w:val="3AF83FD5"/>
    <w:rsid w:val="3C595B8C"/>
    <w:rsid w:val="3DB633CE"/>
    <w:rsid w:val="3DC22264"/>
    <w:rsid w:val="3DD664F3"/>
    <w:rsid w:val="3E35637B"/>
    <w:rsid w:val="408E606F"/>
    <w:rsid w:val="40AA1BA1"/>
    <w:rsid w:val="417C1E33"/>
    <w:rsid w:val="41A35612"/>
    <w:rsid w:val="41B82972"/>
    <w:rsid w:val="41E55C2A"/>
    <w:rsid w:val="4201746D"/>
    <w:rsid w:val="42865627"/>
    <w:rsid w:val="42982C9D"/>
    <w:rsid w:val="42A45AE6"/>
    <w:rsid w:val="42E0138D"/>
    <w:rsid w:val="454B3FF6"/>
    <w:rsid w:val="45541FB3"/>
    <w:rsid w:val="457D012D"/>
    <w:rsid w:val="458F0387"/>
    <w:rsid w:val="463D4287"/>
    <w:rsid w:val="483E5F26"/>
    <w:rsid w:val="486E5B5B"/>
    <w:rsid w:val="48A40BBA"/>
    <w:rsid w:val="49016556"/>
    <w:rsid w:val="491945BD"/>
    <w:rsid w:val="494A4E97"/>
    <w:rsid w:val="4A7E09CA"/>
    <w:rsid w:val="4B2D633B"/>
    <w:rsid w:val="4B383A94"/>
    <w:rsid w:val="4B555BCF"/>
    <w:rsid w:val="4C9610F9"/>
    <w:rsid w:val="4C997629"/>
    <w:rsid w:val="4D830D7F"/>
    <w:rsid w:val="4E4A6A0E"/>
    <w:rsid w:val="4FD07F1A"/>
    <w:rsid w:val="50F07BF0"/>
    <w:rsid w:val="5176689F"/>
    <w:rsid w:val="51FD2B1C"/>
    <w:rsid w:val="539179C0"/>
    <w:rsid w:val="53CE20C9"/>
    <w:rsid w:val="5408687A"/>
    <w:rsid w:val="540C3BAA"/>
    <w:rsid w:val="54EB395A"/>
    <w:rsid w:val="559574DD"/>
    <w:rsid w:val="56B22127"/>
    <w:rsid w:val="56E0419E"/>
    <w:rsid w:val="57502FB0"/>
    <w:rsid w:val="57883A6E"/>
    <w:rsid w:val="586B5B85"/>
    <w:rsid w:val="588B2C33"/>
    <w:rsid w:val="594A6647"/>
    <w:rsid w:val="596B134D"/>
    <w:rsid w:val="598D4786"/>
    <w:rsid w:val="5AA77AC9"/>
    <w:rsid w:val="5AA81D80"/>
    <w:rsid w:val="5B2305D1"/>
    <w:rsid w:val="5B647768"/>
    <w:rsid w:val="5C0F2D3F"/>
    <w:rsid w:val="5D0E3E30"/>
    <w:rsid w:val="5D123920"/>
    <w:rsid w:val="5D275A4F"/>
    <w:rsid w:val="5D514872"/>
    <w:rsid w:val="5D7E0072"/>
    <w:rsid w:val="5E1A7EE8"/>
    <w:rsid w:val="5E963FE5"/>
    <w:rsid w:val="5EC40C4A"/>
    <w:rsid w:val="5EC74292"/>
    <w:rsid w:val="5EE959B4"/>
    <w:rsid w:val="5F6B37BB"/>
    <w:rsid w:val="5F942042"/>
    <w:rsid w:val="5FB7255D"/>
    <w:rsid w:val="5FC91E5C"/>
    <w:rsid w:val="603C2C42"/>
    <w:rsid w:val="606D2C19"/>
    <w:rsid w:val="60B92304"/>
    <w:rsid w:val="61CA69A5"/>
    <w:rsid w:val="61D27B22"/>
    <w:rsid w:val="61D31D86"/>
    <w:rsid w:val="62685D90"/>
    <w:rsid w:val="62F00BE4"/>
    <w:rsid w:val="631374A6"/>
    <w:rsid w:val="636E73D6"/>
    <w:rsid w:val="63987168"/>
    <w:rsid w:val="639A466F"/>
    <w:rsid w:val="64C10CA7"/>
    <w:rsid w:val="64E4239C"/>
    <w:rsid w:val="64F47DAF"/>
    <w:rsid w:val="651858C7"/>
    <w:rsid w:val="65D05081"/>
    <w:rsid w:val="660E5D4A"/>
    <w:rsid w:val="665B6338"/>
    <w:rsid w:val="669058B5"/>
    <w:rsid w:val="67401DC1"/>
    <w:rsid w:val="693D7F76"/>
    <w:rsid w:val="6A2E3D04"/>
    <w:rsid w:val="6A627569"/>
    <w:rsid w:val="6A835E5D"/>
    <w:rsid w:val="6AF12374"/>
    <w:rsid w:val="6B8B0732"/>
    <w:rsid w:val="6C791FBE"/>
    <w:rsid w:val="6DE035C6"/>
    <w:rsid w:val="6F0931B7"/>
    <w:rsid w:val="6F1129BC"/>
    <w:rsid w:val="6F7653C3"/>
    <w:rsid w:val="6FCB7D7F"/>
    <w:rsid w:val="7055201D"/>
    <w:rsid w:val="705B6F34"/>
    <w:rsid w:val="70B825D8"/>
    <w:rsid w:val="70F51137"/>
    <w:rsid w:val="71584194"/>
    <w:rsid w:val="719234C8"/>
    <w:rsid w:val="71B92D4A"/>
    <w:rsid w:val="723637B5"/>
    <w:rsid w:val="724539F8"/>
    <w:rsid w:val="72F42C94"/>
    <w:rsid w:val="737443BB"/>
    <w:rsid w:val="73A36C3E"/>
    <w:rsid w:val="73DD4830"/>
    <w:rsid w:val="744E5BB3"/>
    <w:rsid w:val="753A7498"/>
    <w:rsid w:val="7592164A"/>
    <w:rsid w:val="759E3B4B"/>
    <w:rsid w:val="75D76F26"/>
    <w:rsid w:val="76591C2B"/>
    <w:rsid w:val="768F7791"/>
    <w:rsid w:val="772B4900"/>
    <w:rsid w:val="774D3A7A"/>
    <w:rsid w:val="778A71C6"/>
    <w:rsid w:val="77FE01A5"/>
    <w:rsid w:val="790A14F7"/>
    <w:rsid w:val="7958272C"/>
    <w:rsid w:val="79DD6C0C"/>
    <w:rsid w:val="7A146B01"/>
    <w:rsid w:val="7A47723D"/>
    <w:rsid w:val="7A7E03EF"/>
    <w:rsid w:val="7B7B4630"/>
    <w:rsid w:val="7C122593"/>
    <w:rsid w:val="7C8516C8"/>
    <w:rsid w:val="7CC42EB7"/>
    <w:rsid w:val="7CDB7267"/>
    <w:rsid w:val="7DF807CB"/>
    <w:rsid w:val="7E094473"/>
    <w:rsid w:val="7EB937A4"/>
    <w:rsid w:val="7F47123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semiHidden="0" w:name="heading 8"/>
    <w:lsdException w:qFormat="1"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qFormat="1"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qFormat="1" w:uiPriority="99" w:semiHidden="0" w:name="table of figures"/>
    <w:lsdException w:uiPriority="99" w:name="envelope address"/>
    <w:lsdException w:uiPriority="99" w:name="envelope return"/>
    <w:lsdException w:qFormat="1" w:uiPriority="99" w:semiHidden="0" w:name="footnote reference"/>
    <w:lsdException w:uiPriority="99" w:name="annotation reference"/>
    <w:lsdException w:uiPriority="99" w:name="line number"/>
    <w:lsdException w:uiPriority="99" w:name="page number"/>
    <w:lsdException w:qFormat="1" w:uiPriority="99" w:name="endnote reference"/>
    <w:lsdException w:qFormat="1" w:uiPriority="99" w:name="endnote text"/>
    <w:lsdException w:uiPriority="99" w:name="table of authorities"/>
    <w:lsdException w:uiPriority="99" w:name="macro"/>
    <w:lsdException w:uiPriority="99" w:name="toa heading"/>
    <w:lsdException w:qFormat="1" w:uiPriority="99"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219"/>
    <w:qFormat/>
    <w:uiPriority w:val="0"/>
    <w:pPr>
      <w:widowControl w:val="0"/>
      <w:jc w:val="both"/>
    </w:pPr>
    <w:rPr>
      <w:rFonts w:hint="default" w:ascii="Times New Roman" w:hAnsi="Times New Roman" w:eastAsia="宋体" w:cs="Times New Roman"/>
      <w:sz w:val="21"/>
      <w:szCs w:val="24"/>
      <w:lang w:val="en-US" w:eastAsia="zh-CN" w:bidi="ar-SA"/>
    </w:rPr>
  </w:style>
  <w:style w:type="paragraph" w:styleId="2">
    <w:name w:val="heading 1"/>
    <w:basedOn w:val="1"/>
    <w:next w:val="1"/>
    <w:link w:val="45"/>
    <w:qFormat/>
    <w:uiPriority w:val="9"/>
    <w:pPr>
      <w:keepNext/>
      <w:keepLines/>
      <w:spacing w:before="480" w:after="200"/>
      <w:outlineLvl w:val="0"/>
    </w:pPr>
    <w:rPr>
      <w:rFonts w:ascii="等线" w:hAnsi="等线" w:eastAsia="等线" w:cs="等线"/>
      <w:sz w:val="40"/>
      <w:szCs w:val="40"/>
    </w:rPr>
  </w:style>
  <w:style w:type="paragraph" w:styleId="3">
    <w:name w:val="heading 2"/>
    <w:basedOn w:val="2"/>
    <w:next w:val="1"/>
    <w:link w:val="46"/>
    <w:unhideWhenUsed/>
    <w:qFormat/>
    <w:uiPriority w:val="9"/>
    <w:pPr>
      <w:keepNext/>
      <w:keepLines/>
      <w:spacing w:before="360" w:after="200"/>
      <w:outlineLvl w:val="1"/>
    </w:pPr>
    <w:rPr>
      <w:rFonts w:ascii="等线" w:hAnsi="等线" w:eastAsia="等线" w:cs="等线"/>
      <w:sz w:val="34"/>
    </w:rPr>
  </w:style>
  <w:style w:type="paragraph" w:styleId="4">
    <w:name w:val="heading 3"/>
    <w:basedOn w:val="1"/>
    <w:next w:val="5"/>
    <w:link w:val="47"/>
    <w:unhideWhenUsed/>
    <w:qFormat/>
    <w:uiPriority w:val="9"/>
    <w:pPr>
      <w:keepNext/>
      <w:keepLines/>
      <w:spacing w:before="320" w:after="200"/>
      <w:outlineLvl w:val="2"/>
    </w:pPr>
    <w:rPr>
      <w:rFonts w:ascii="等线" w:hAnsi="等线" w:eastAsia="等线" w:cs="等线"/>
      <w:sz w:val="30"/>
      <w:szCs w:val="30"/>
    </w:rPr>
  </w:style>
  <w:style w:type="paragraph" w:styleId="6">
    <w:name w:val="heading 4"/>
    <w:basedOn w:val="1"/>
    <w:next w:val="1"/>
    <w:link w:val="48"/>
    <w:unhideWhenUsed/>
    <w:qFormat/>
    <w:uiPriority w:val="9"/>
    <w:pPr>
      <w:keepNext/>
      <w:keepLines/>
      <w:spacing w:before="320" w:after="200"/>
      <w:outlineLvl w:val="3"/>
    </w:pPr>
    <w:rPr>
      <w:rFonts w:ascii="等线" w:hAnsi="等线" w:eastAsia="等线" w:cs="等线"/>
      <w:b/>
      <w:bCs/>
      <w:sz w:val="26"/>
      <w:szCs w:val="26"/>
    </w:rPr>
  </w:style>
  <w:style w:type="paragraph" w:styleId="7">
    <w:name w:val="heading 5"/>
    <w:basedOn w:val="1"/>
    <w:next w:val="1"/>
    <w:link w:val="49"/>
    <w:unhideWhenUsed/>
    <w:qFormat/>
    <w:uiPriority w:val="9"/>
    <w:pPr>
      <w:keepNext/>
      <w:keepLines/>
      <w:spacing w:before="320" w:after="200"/>
      <w:outlineLvl w:val="4"/>
    </w:pPr>
    <w:rPr>
      <w:rFonts w:ascii="等线" w:hAnsi="等线" w:eastAsia="等线" w:cs="等线"/>
      <w:b/>
      <w:bCs/>
      <w:sz w:val="24"/>
      <w:szCs w:val="24"/>
    </w:rPr>
  </w:style>
  <w:style w:type="paragraph" w:styleId="8">
    <w:name w:val="heading 6"/>
    <w:basedOn w:val="1"/>
    <w:next w:val="1"/>
    <w:link w:val="50"/>
    <w:unhideWhenUsed/>
    <w:qFormat/>
    <w:uiPriority w:val="9"/>
    <w:pPr>
      <w:keepNext/>
      <w:keepLines/>
      <w:spacing w:before="320" w:after="200"/>
      <w:outlineLvl w:val="5"/>
    </w:pPr>
    <w:rPr>
      <w:rFonts w:ascii="等线" w:hAnsi="等线" w:eastAsia="等线" w:cs="等线"/>
      <w:b/>
      <w:bCs/>
      <w:sz w:val="22"/>
      <w:szCs w:val="22"/>
    </w:rPr>
  </w:style>
  <w:style w:type="paragraph" w:styleId="9">
    <w:name w:val="heading 7"/>
    <w:basedOn w:val="1"/>
    <w:next w:val="1"/>
    <w:link w:val="51"/>
    <w:unhideWhenUsed/>
    <w:qFormat/>
    <w:uiPriority w:val="9"/>
    <w:pPr>
      <w:keepNext/>
      <w:keepLines/>
      <w:spacing w:before="320" w:after="200"/>
      <w:outlineLvl w:val="6"/>
    </w:pPr>
    <w:rPr>
      <w:rFonts w:ascii="等线" w:hAnsi="等线" w:eastAsia="等线" w:cs="等线"/>
      <w:b/>
      <w:bCs/>
      <w:i/>
      <w:iCs/>
      <w:sz w:val="22"/>
      <w:szCs w:val="22"/>
    </w:rPr>
  </w:style>
  <w:style w:type="paragraph" w:styleId="10">
    <w:name w:val="heading 8"/>
    <w:basedOn w:val="1"/>
    <w:next w:val="1"/>
    <w:link w:val="52"/>
    <w:unhideWhenUsed/>
    <w:qFormat/>
    <w:uiPriority w:val="9"/>
    <w:pPr>
      <w:keepNext/>
      <w:keepLines/>
      <w:spacing w:before="320" w:after="200"/>
      <w:outlineLvl w:val="7"/>
    </w:pPr>
    <w:rPr>
      <w:rFonts w:ascii="等线" w:hAnsi="等线" w:eastAsia="等线" w:cs="等线"/>
      <w:i/>
      <w:iCs/>
      <w:sz w:val="22"/>
      <w:szCs w:val="22"/>
    </w:rPr>
  </w:style>
  <w:style w:type="paragraph" w:styleId="11">
    <w:name w:val="heading 9"/>
    <w:basedOn w:val="1"/>
    <w:next w:val="1"/>
    <w:link w:val="53"/>
    <w:unhideWhenUsed/>
    <w:qFormat/>
    <w:uiPriority w:val="9"/>
    <w:pPr>
      <w:keepNext/>
      <w:keepLines/>
      <w:spacing w:before="320" w:after="200"/>
      <w:outlineLvl w:val="8"/>
    </w:pPr>
    <w:rPr>
      <w:rFonts w:ascii="等线" w:hAnsi="等线" w:eastAsia="等线" w:cs="等线"/>
      <w:i/>
      <w:iCs/>
      <w:sz w:val="21"/>
      <w:szCs w:val="21"/>
    </w:rPr>
  </w:style>
  <w:style w:type="character" w:default="1" w:styleId="40">
    <w:name w:val="Default Paragraph Font"/>
    <w:semiHidden/>
    <w:unhideWhenUsed/>
    <w:qFormat/>
    <w:uiPriority w:val="1"/>
  </w:style>
  <w:style w:type="table" w:default="1" w:styleId="38">
    <w:name w:val="Normal Table"/>
    <w:semiHidden/>
    <w:unhideWhenUsed/>
    <w:qFormat/>
    <w:uiPriority w:val="99"/>
    <w:tblPr>
      <w:tblCellMar>
        <w:top w:w="0" w:type="dxa"/>
        <w:left w:w="108" w:type="dxa"/>
        <w:bottom w:w="0" w:type="dxa"/>
        <w:right w:w="108" w:type="dxa"/>
      </w:tblCellMar>
    </w:tbl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paragraph" w:customStyle="1" w:styleId="5">
    <w:name w:val="正文内容"/>
    <w:basedOn w:val="1"/>
    <w:qFormat/>
    <w:uiPriority w:val="0"/>
    <w:pPr>
      <w:spacing w:line="360" w:lineRule="auto"/>
      <w:ind w:firstLine="720" w:firstLineChars="200"/>
    </w:pPr>
    <w:rPr>
      <w:rFonts w:ascii="Times New Roman" w:hAnsi="Times New Roman" w:eastAsia="宋体" w:cs="宋体"/>
      <w:sz w:val="24"/>
    </w:rPr>
  </w:style>
  <w:style w:type="paragraph" w:styleId="12">
    <w:name w:val="toc 7"/>
    <w:basedOn w:val="1"/>
    <w:next w:val="1"/>
    <w:unhideWhenUsed/>
    <w:qFormat/>
    <w:uiPriority w:val="39"/>
    <w:pPr>
      <w:spacing w:after="57"/>
      <w:ind w:left="1701" w:right="0" w:firstLine="0"/>
    </w:pPr>
  </w:style>
  <w:style w:type="paragraph" w:styleId="13">
    <w:name w:val="Note Heading"/>
    <w:basedOn w:val="1"/>
    <w:next w:val="1"/>
    <w:qFormat/>
    <w:uiPriority w:val="0"/>
    <w:pPr>
      <w:spacing w:line="360" w:lineRule="auto"/>
      <w:ind w:firstLine="200" w:firstLineChars="200"/>
      <w:jc w:val="center"/>
    </w:pPr>
    <w:rPr>
      <w:rFonts w:ascii="Calibri" w:hAnsi="Calibri" w:eastAsia="宋体" w:cs="Times New Roman"/>
      <w:bCs/>
      <w:snapToGrid w:val="0"/>
      <w:kern w:val="2"/>
      <w:sz w:val="24"/>
      <w:szCs w:val="24"/>
      <w:lang w:val="en-GB" w:eastAsia="zh-CN" w:bidi="ar-SA"/>
    </w:rPr>
  </w:style>
  <w:style w:type="paragraph" w:styleId="14">
    <w:name w:val="caption"/>
    <w:basedOn w:val="1"/>
    <w:next w:val="1"/>
    <w:semiHidden/>
    <w:unhideWhenUsed/>
    <w:qFormat/>
    <w:uiPriority w:val="35"/>
    <w:pPr>
      <w:spacing w:line="276" w:lineRule="auto"/>
    </w:pPr>
    <w:rPr>
      <w:b/>
      <w:bCs/>
      <w:color w:val="4F81BD" w:themeColor="accent1"/>
      <w:sz w:val="18"/>
      <w:szCs w:val="18"/>
      <w14:textFill>
        <w14:solidFill>
          <w14:schemeClr w14:val="accent1"/>
        </w14:solidFill>
      </w14:textFill>
    </w:rPr>
  </w:style>
  <w:style w:type="paragraph" w:styleId="15">
    <w:name w:val="annotation text"/>
    <w:basedOn w:val="1"/>
    <w:semiHidden/>
    <w:unhideWhenUsed/>
    <w:qFormat/>
    <w:uiPriority w:val="99"/>
    <w:pPr>
      <w:jc w:val="left"/>
    </w:pPr>
  </w:style>
  <w:style w:type="paragraph" w:styleId="16">
    <w:name w:val="Body Text"/>
    <w:basedOn w:val="1"/>
    <w:next w:val="13"/>
    <w:qFormat/>
    <w:uiPriority w:val="0"/>
    <w:pPr>
      <w:spacing w:line="240" w:lineRule="exact"/>
      <w:jc w:val="center"/>
    </w:pPr>
    <w:rPr>
      <w:sz w:val="18"/>
      <w:szCs w:val="20"/>
    </w:rPr>
  </w:style>
  <w:style w:type="paragraph" w:styleId="17">
    <w:name w:val="Body Text Indent"/>
    <w:basedOn w:val="1"/>
    <w:next w:val="18"/>
    <w:qFormat/>
    <w:uiPriority w:val="0"/>
    <w:pPr>
      <w:spacing w:line="480" w:lineRule="exact"/>
      <w:ind w:firstLine="645"/>
    </w:pPr>
    <w:rPr>
      <w:sz w:val="28"/>
      <w:szCs w:val="20"/>
    </w:rPr>
  </w:style>
  <w:style w:type="paragraph" w:styleId="18">
    <w:name w:val="Body Text First Indent 2"/>
    <w:basedOn w:val="17"/>
    <w:next w:val="19"/>
    <w:qFormat/>
    <w:uiPriority w:val="0"/>
    <w:pPr>
      <w:spacing w:after="0" w:line="420" w:lineRule="exact"/>
      <w:ind w:left="0" w:leftChars="0" w:firstLine="420" w:firstLineChars="200"/>
    </w:pPr>
    <w:rPr>
      <w:rFonts w:eastAsia="Times New Roman"/>
      <w:szCs w:val="22"/>
    </w:rPr>
  </w:style>
  <w:style w:type="paragraph" w:styleId="19">
    <w:name w:val="Body Text First Indent"/>
    <w:basedOn w:val="16"/>
    <w:next w:val="1"/>
    <w:qFormat/>
    <w:uiPriority w:val="0"/>
    <w:pPr>
      <w:ind w:firstLine="420" w:firstLineChars="100"/>
    </w:pPr>
    <w:rPr>
      <w:rFonts w:eastAsia="宋体"/>
      <w:sz w:val="28"/>
    </w:rPr>
  </w:style>
  <w:style w:type="paragraph" w:styleId="20">
    <w:name w:val="toc 5"/>
    <w:basedOn w:val="1"/>
    <w:next w:val="1"/>
    <w:unhideWhenUsed/>
    <w:qFormat/>
    <w:uiPriority w:val="39"/>
    <w:pPr>
      <w:spacing w:after="57"/>
      <w:ind w:left="1134" w:right="0" w:firstLine="0"/>
    </w:pPr>
  </w:style>
  <w:style w:type="paragraph" w:styleId="21">
    <w:name w:val="toc 3"/>
    <w:basedOn w:val="1"/>
    <w:next w:val="1"/>
    <w:unhideWhenUsed/>
    <w:qFormat/>
    <w:uiPriority w:val="39"/>
    <w:pPr>
      <w:spacing w:after="57"/>
      <w:ind w:left="567" w:right="0" w:firstLine="0"/>
    </w:pPr>
  </w:style>
  <w:style w:type="paragraph" w:styleId="22">
    <w:name w:val="Plain Text"/>
    <w:basedOn w:val="1"/>
    <w:next w:val="1"/>
    <w:qFormat/>
    <w:uiPriority w:val="0"/>
    <w:rPr>
      <w:rFonts w:ascii="宋体" w:hAnsi="Courier New" w:eastAsia="仿宋_GB2312"/>
      <w:sz w:val="24"/>
      <w:szCs w:val="20"/>
    </w:rPr>
  </w:style>
  <w:style w:type="paragraph" w:styleId="23">
    <w:name w:val="toc 8"/>
    <w:basedOn w:val="1"/>
    <w:next w:val="1"/>
    <w:unhideWhenUsed/>
    <w:qFormat/>
    <w:uiPriority w:val="39"/>
    <w:pPr>
      <w:spacing w:after="57"/>
      <w:ind w:left="1984" w:right="0" w:firstLine="0"/>
    </w:pPr>
  </w:style>
  <w:style w:type="paragraph" w:styleId="24">
    <w:name w:val="endnote text"/>
    <w:basedOn w:val="1"/>
    <w:link w:val="191"/>
    <w:semiHidden/>
    <w:unhideWhenUsed/>
    <w:qFormat/>
    <w:uiPriority w:val="99"/>
    <w:pPr>
      <w:spacing w:after="0" w:line="240" w:lineRule="auto"/>
    </w:pPr>
    <w:rPr>
      <w:sz w:val="20"/>
    </w:rPr>
  </w:style>
  <w:style w:type="paragraph" w:styleId="25">
    <w:name w:val="footer"/>
    <w:basedOn w:val="1"/>
    <w:link w:val="64"/>
    <w:unhideWhenUsed/>
    <w:qFormat/>
    <w:uiPriority w:val="99"/>
    <w:pPr>
      <w:tabs>
        <w:tab w:val="center" w:pos="7143"/>
        <w:tab w:val="right" w:pos="14287"/>
      </w:tabs>
      <w:spacing w:after="0" w:line="240" w:lineRule="auto"/>
    </w:pPr>
  </w:style>
  <w:style w:type="paragraph" w:styleId="26">
    <w:name w:val="header"/>
    <w:basedOn w:val="1"/>
    <w:link w:val="62"/>
    <w:unhideWhenUsed/>
    <w:qFormat/>
    <w:uiPriority w:val="99"/>
    <w:pPr>
      <w:tabs>
        <w:tab w:val="center" w:pos="7143"/>
        <w:tab w:val="right" w:pos="14287"/>
      </w:tabs>
      <w:spacing w:after="0" w:line="240" w:lineRule="auto"/>
    </w:pPr>
  </w:style>
  <w:style w:type="paragraph" w:styleId="27">
    <w:name w:val="toc 1"/>
    <w:basedOn w:val="1"/>
    <w:next w:val="1"/>
    <w:unhideWhenUsed/>
    <w:qFormat/>
    <w:uiPriority w:val="39"/>
    <w:pPr>
      <w:spacing w:after="57"/>
      <w:ind w:left="0" w:right="0" w:firstLine="0"/>
    </w:pPr>
  </w:style>
  <w:style w:type="paragraph" w:styleId="28">
    <w:name w:val="toc 4"/>
    <w:basedOn w:val="1"/>
    <w:next w:val="1"/>
    <w:unhideWhenUsed/>
    <w:qFormat/>
    <w:uiPriority w:val="39"/>
    <w:pPr>
      <w:spacing w:after="57"/>
      <w:ind w:left="850" w:right="0" w:firstLine="0"/>
    </w:pPr>
  </w:style>
  <w:style w:type="paragraph" w:styleId="29">
    <w:name w:val="Subtitle"/>
    <w:basedOn w:val="1"/>
    <w:next w:val="1"/>
    <w:link w:val="57"/>
    <w:qFormat/>
    <w:uiPriority w:val="11"/>
    <w:pPr>
      <w:spacing w:before="200" w:after="200"/>
    </w:pPr>
    <w:rPr>
      <w:sz w:val="24"/>
      <w:szCs w:val="24"/>
    </w:rPr>
  </w:style>
  <w:style w:type="paragraph" w:styleId="30">
    <w:name w:val="List"/>
    <w:basedOn w:val="1"/>
    <w:unhideWhenUsed/>
    <w:qFormat/>
    <w:uiPriority w:val="99"/>
    <w:pPr>
      <w:ind w:left="200" w:hanging="200" w:hangingChars="200"/>
      <w:contextualSpacing/>
    </w:pPr>
  </w:style>
  <w:style w:type="paragraph" w:styleId="31">
    <w:name w:val="footnote text"/>
    <w:basedOn w:val="1"/>
    <w:link w:val="190"/>
    <w:semiHidden/>
    <w:unhideWhenUsed/>
    <w:qFormat/>
    <w:uiPriority w:val="99"/>
    <w:pPr>
      <w:spacing w:after="40" w:line="240" w:lineRule="auto"/>
    </w:pPr>
    <w:rPr>
      <w:sz w:val="18"/>
    </w:rPr>
  </w:style>
  <w:style w:type="paragraph" w:styleId="32">
    <w:name w:val="toc 6"/>
    <w:basedOn w:val="1"/>
    <w:next w:val="1"/>
    <w:unhideWhenUsed/>
    <w:qFormat/>
    <w:uiPriority w:val="39"/>
    <w:pPr>
      <w:spacing w:after="57"/>
      <w:ind w:left="1417" w:right="0" w:firstLine="0"/>
    </w:pPr>
  </w:style>
  <w:style w:type="paragraph" w:styleId="33">
    <w:name w:val="table of figures"/>
    <w:basedOn w:val="1"/>
    <w:next w:val="1"/>
    <w:unhideWhenUsed/>
    <w:qFormat/>
    <w:uiPriority w:val="99"/>
    <w:pPr>
      <w:spacing w:after="0" w:afterAutospacing="0"/>
    </w:pPr>
  </w:style>
  <w:style w:type="paragraph" w:styleId="34">
    <w:name w:val="toc 2"/>
    <w:basedOn w:val="1"/>
    <w:next w:val="1"/>
    <w:unhideWhenUsed/>
    <w:qFormat/>
    <w:uiPriority w:val="39"/>
    <w:pPr>
      <w:spacing w:after="57"/>
      <w:ind w:left="283" w:right="0" w:firstLine="0"/>
    </w:pPr>
  </w:style>
  <w:style w:type="paragraph" w:styleId="35">
    <w:name w:val="toc 9"/>
    <w:basedOn w:val="1"/>
    <w:next w:val="1"/>
    <w:unhideWhenUsed/>
    <w:qFormat/>
    <w:uiPriority w:val="39"/>
    <w:pPr>
      <w:spacing w:after="57"/>
      <w:ind w:left="2268" w:right="0" w:firstLine="0"/>
    </w:pPr>
  </w:style>
  <w:style w:type="paragraph" w:styleId="36">
    <w:name w:val="Normal (Web)"/>
    <w:basedOn w:val="1"/>
    <w:semiHidden/>
    <w:unhideWhenUsed/>
    <w:qFormat/>
    <w:uiPriority w:val="99"/>
    <w:rPr>
      <w:sz w:val="24"/>
    </w:rPr>
  </w:style>
  <w:style w:type="paragraph" w:styleId="37">
    <w:name w:val="Title"/>
    <w:basedOn w:val="1"/>
    <w:next w:val="1"/>
    <w:link w:val="56"/>
    <w:qFormat/>
    <w:uiPriority w:val="10"/>
    <w:pPr>
      <w:spacing w:before="300" w:after="200"/>
      <w:contextualSpacing/>
    </w:pPr>
    <w:rPr>
      <w:sz w:val="48"/>
      <w:szCs w:val="48"/>
    </w:rPr>
  </w:style>
  <w:style w:type="table" w:styleId="39">
    <w:name w:val="Table Grid"/>
    <w:qFormat/>
    <w:uiPriority w:val="59"/>
    <w:pPr>
      <w:spacing w:after="0" w:line="240" w:lineRule="auto"/>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character" w:styleId="41">
    <w:name w:val="Strong"/>
    <w:basedOn w:val="40"/>
    <w:qFormat/>
    <w:uiPriority w:val="0"/>
    <w:rPr>
      <w:b/>
    </w:rPr>
  </w:style>
  <w:style w:type="character" w:styleId="42">
    <w:name w:val="endnote reference"/>
    <w:semiHidden/>
    <w:unhideWhenUsed/>
    <w:qFormat/>
    <w:uiPriority w:val="99"/>
    <w:rPr>
      <w:vertAlign w:val="superscript"/>
    </w:rPr>
  </w:style>
  <w:style w:type="character" w:styleId="43">
    <w:name w:val="Hyperlink"/>
    <w:unhideWhenUsed/>
    <w:qFormat/>
    <w:uiPriority w:val="99"/>
    <w:rPr>
      <w:color w:val="0000FF" w:themeColor="hyperlink"/>
      <w:u w:val="single"/>
      <w14:textFill>
        <w14:solidFill>
          <w14:schemeClr w14:val="hlink"/>
        </w14:solidFill>
      </w14:textFill>
    </w:rPr>
  </w:style>
  <w:style w:type="character" w:styleId="44">
    <w:name w:val="footnote reference"/>
    <w:unhideWhenUsed/>
    <w:qFormat/>
    <w:uiPriority w:val="99"/>
    <w:rPr>
      <w:vertAlign w:val="superscript"/>
    </w:rPr>
  </w:style>
  <w:style w:type="character" w:customStyle="1" w:styleId="45">
    <w:name w:val="Heading 1 Char"/>
    <w:link w:val="2"/>
    <w:qFormat/>
    <w:uiPriority w:val="9"/>
    <w:rPr>
      <w:rFonts w:ascii="等线" w:hAnsi="等线" w:eastAsia="等线" w:cs="等线"/>
      <w:sz w:val="40"/>
      <w:szCs w:val="40"/>
    </w:rPr>
  </w:style>
  <w:style w:type="character" w:customStyle="1" w:styleId="46">
    <w:name w:val="Heading 2 Char"/>
    <w:link w:val="3"/>
    <w:qFormat/>
    <w:uiPriority w:val="9"/>
    <w:rPr>
      <w:rFonts w:ascii="等线" w:hAnsi="等线" w:eastAsia="等线" w:cs="等线"/>
      <w:sz w:val="34"/>
    </w:rPr>
  </w:style>
  <w:style w:type="character" w:customStyle="1" w:styleId="47">
    <w:name w:val="Heading 3 Char"/>
    <w:link w:val="4"/>
    <w:qFormat/>
    <w:uiPriority w:val="9"/>
    <w:rPr>
      <w:rFonts w:ascii="等线" w:hAnsi="等线" w:eastAsia="等线" w:cs="等线"/>
      <w:sz w:val="30"/>
      <w:szCs w:val="30"/>
    </w:rPr>
  </w:style>
  <w:style w:type="character" w:customStyle="1" w:styleId="48">
    <w:name w:val="Heading 4 Char"/>
    <w:link w:val="6"/>
    <w:qFormat/>
    <w:uiPriority w:val="9"/>
    <w:rPr>
      <w:rFonts w:ascii="等线" w:hAnsi="等线" w:eastAsia="等线" w:cs="等线"/>
      <w:b/>
      <w:bCs/>
      <w:sz w:val="26"/>
      <w:szCs w:val="26"/>
    </w:rPr>
  </w:style>
  <w:style w:type="character" w:customStyle="1" w:styleId="49">
    <w:name w:val="Heading 5 Char"/>
    <w:link w:val="7"/>
    <w:qFormat/>
    <w:uiPriority w:val="9"/>
    <w:rPr>
      <w:rFonts w:ascii="等线" w:hAnsi="等线" w:eastAsia="等线" w:cs="等线"/>
      <w:b/>
      <w:bCs/>
      <w:sz w:val="24"/>
      <w:szCs w:val="24"/>
    </w:rPr>
  </w:style>
  <w:style w:type="character" w:customStyle="1" w:styleId="50">
    <w:name w:val="Heading 6 Char"/>
    <w:link w:val="8"/>
    <w:qFormat/>
    <w:uiPriority w:val="9"/>
    <w:rPr>
      <w:rFonts w:ascii="等线" w:hAnsi="等线" w:eastAsia="等线" w:cs="等线"/>
      <w:b/>
      <w:bCs/>
      <w:sz w:val="22"/>
      <w:szCs w:val="22"/>
    </w:rPr>
  </w:style>
  <w:style w:type="character" w:customStyle="1" w:styleId="51">
    <w:name w:val="Heading 7 Char"/>
    <w:link w:val="9"/>
    <w:qFormat/>
    <w:uiPriority w:val="9"/>
    <w:rPr>
      <w:rFonts w:ascii="等线" w:hAnsi="等线" w:eastAsia="等线" w:cs="等线"/>
      <w:b/>
      <w:bCs/>
      <w:i/>
      <w:iCs/>
      <w:sz w:val="22"/>
      <w:szCs w:val="22"/>
    </w:rPr>
  </w:style>
  <w:style w:type="character" w:customStyle="1" w:styleId="52">
    <w:name w:val="Heading 8 Char"/>
    <w:link w:val="10"/>
    <w:qFormat/>
    <w:uiPriority w:val="9"/>
    <w:rPr>
      <w:rFonts w:ascii="等线" w:hAnsi="等线" w:eastAsia="等线" w:cs="等线"/>
      <w:i/>
      <w:iCs/>
      <w:sz w:val="22"/>
      <w:szCs w:val="22"/>
    </w:rPr>
  </w:style>
  <w:style w:type="character" w:customStyle="1" w:styleId="53">
    <w:name w:val="Heading 9 Char"/>
    <w:link w:val="11"/>
    <w:qFormat/>
    <w:uiPriority w:val="9"/>
    <w:rPr>
      <w:rFonts w:ascii="等线" w:hAnsi="等线" w:eastAsia="等线" w:cs="等线"/>
      <w:i/>
      <w:iCs/>
      <w:sz w:val="21"/>
      <w:szCs w:val="21"/>
    </w:rPr>
  </w:style>
  <w:style w:type="paragraph" w:styleId="54">
    <w:name w:val="List Paragraph"/>
    <w:basedOn w:val="1"/>
    <w:qFormat/>
    <w:uiPriority w:val="34"/>
    <w:pPr>
      <w:ind w:left="720"/>
      <w:contextualSpacing/>
    </w:pPr>
  </w:style>
  <w:style w:type="paragraph" w:styleId="55">
    <w:name w:val="No Spacing"/>
    <w:qFormat/>
    <w:uiPriority w:val="1"/>
    <w:pPr>
      <w:spacing w:before="0" w:after="0" w:line="240" w:lineRule="auto"/>
    </w:pPr>
    <w:rPr>
      <w:rFonts w:hint="default" w:ascii="Times New Roman" w:hAnsi="Times New Roman" w:eastAsia="宋体" w:cs="Times New Roman"/>
    </w:rPr>
  </w:style>
  <w:style w:type="character" w:customStyle="1" w:styleId="56">
    <w:name w:val="Title Char"/>
    <w:link w:val="37"/>
    <w:qFormat/>
    <w:uiPriority w:val="10"/>
    <w:rPr>
      <w:sz w:val="48"/>
      <w:szCs w:val="48"/>
    </w:rPr>
  </w:style>
  <w:style w:type="character" w:customStyle="1" w:styleId="57">
    <w:name w:val="Subtitle Char"/>
    <w:link w:val="29"/>
    <w:qFormat/>
    <w:uiPriority w:val="11"/>
    <w:rPr>
      <w:sz w:val="24"/>
      <w:szCs w:val="24"/>
    </w:rPr>
  </w:style>
  <w:style w:type="paragraph" w:styleId="58">
    <w:name w:val="Quote"/>
    <w:basedOn w:val="1"/>
    <w:next w:val="1"/>
    <w:link w:val="59"/>
    <w:qFormat/>
    <w:uiPriority w:val="29"/>
    <w:pPr>
      <w:ind w:left="720" w:right="720"/>
    </w:pPr>
    <w:rPr>
      <w:i/>
    </w:rPr>
  </w:style>
  <w:style w:type="character" w:customStyle="1" w:styleId="59">
    <w:name w:val="Quote Char"/>
    <w:link w:val="58"/>
    <w:qFormat/>
    <w:uiPriority w:val="29"/>
    <w:rPr>
      <w:i/>
    </w:rPr>
  </w:style>
  <w:style w:type="paragraph" w:styleId="60">
    <w:name w:val="Intense Quote"/>
    <w:basedOn w:val="1"/>
    <w:next w:val="1"/>
    <w:link w:val="61"/>
    <w:qFormat/>
    <w:uiPriority w:val="30"/>
    <w:pPr>
      <w:pBdr>
        <w:top w:val="single" w:color="FFFFFF" w:sz="4" w:space="5"/>
        <w:left w:val="single" w:color="FFFFFF" w:sz="4" w:space="10"/>
        <w:bottom w:val="single" w:color="FFFFFF" w:sz="4" w:space="5"/>
        <w:right w:val="single" w:color="FFFFFF" w:sz="4" w:space="10"/>
      </w:pBdr>
      <w:shd w:val="clear" w:color="auto" w:fill="F2F2F2"/>
      <w:ind w:left="720" w:right="720"/>
      <w:contextualSpacing w:val="0"/>
    </w:pPr>
    <w:rPr>
      <w:i/>
    </w:rPr>
  </w:style>
  <w:style w:type="character" w:customStyle="1" w:styleId="61">
    <w:name w:val="Intense Quote Char"/>
    <w:link w:val="60"/>
    <w:qFormat/>
    <w:uiPriority w:val="30"/>
    <w:rPr>
      <w:i/>
    </w:rPr>
  </w:style>
  <w:style w:type="character" w:customStyle="1" w:styleId="62">
    <w:name w:val="Header Char"/>
    <w:link w:val="26"/>
    <w:qFormat/>
    <w:uiPriority w:val="99"/>
  </w:style>
  <w:style w:type="character" w:customStyle="1" w:styleId="63">
    <w:name w:val="Footer Char"/>
    <w:link w:val="25"/>
    <w:qFormat/>
    <w:uiPriority w:val="99"/>
  </w:style>
  <w:style w:type="character" w:customStyle="1" w:styleId="64">
    <w:name w:val="Caption Char"/>
    <w:link w:val="25"/>
    <w:qFormat/>
    <w:uiPriority w:val="99"/>
  </w:style>
  <w:style w:type="table" w:customStyle="1" w:styleId="65">
    <w:name w:val="Table Grid Light"/>
    <w:qFormat/>
    <w:uiPriority w:val="59"/>
    <w:pPr>
      <w:spacing w:after="0" w:line="240" w:lineRule="auto"/>
    </w:pPr>
    <w:tblPr>
      <w:tblBorders>
        <w:top w:val="single" w:color="AEAEAE" w:themeColor="text1" w:themeTint="50" w:sz="4" w:space="0"/>
        <w:left w:val="single" w:color="AEAEAE" w:themeColor="text1" w:themeTint="50" w:sz="4" w:space="0"/>
        <w:bottom w:val="single" w:color="AEAEAE" w:themeColor="text1" w:themeTint="50" w:sz="4" w:space="0"/>
        <w:right w:val="single" w:color="AEAEAE" w:themeColor="text1" w:themeTint="50" w:sz="4" w:space="0"/>
        <w:insideH w:val="single" w:color="AEAEAE" w:themeColor="text1" w:themeTint="50" w:sz="4" w:space="0"/>
        <w:insideV w:val="single" w:color="AEAEAE" w:themeColor="text1" w:themeTint="50" w:sz="4" w:space="0"/>
      </w:tblBorders>
      <w:tblCellMar>
        <w:top w:w="0" w:type="dxa"/>
        <w:left w:w="108" w:type="dxa"/>
        <w:bottom w:w="0" w:type="dxa"/>
        <w:right w:w="108" w:type="dxa"/>
      </w:tblCellMar>
    </w:tbl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table" w:customStyle="1" w:styleId="66">
    <w:name w:val="Plain Table 1"/>
    <w:qFormat/>
    <w:uiPriority w:val="59"/>
    <w:pPr>
      <w:spacing w:after="0" w:line="240" w:lineRule="auto"/>
    </w:pPr>
    <w:tblPr>
      <w:tblBorders>
        <w:top w:val="single" w:color="AEAEAE" w:themeColor="text1" w:themeTint="50" w:sz="4" w:space="0"/>
        <w:left w:val="single" w:color="AEAEAE" w:themeColor="text1" w:themeTint="50" w:sz="4" w:space="0"/>
        <w:bottom w:val="single" w:color="AEAEAE" w:themeColor="text1" w:themeTint="50" w:sz="4" w:space="0"/>
        <w:right w:val="single" w:color="AEAEAE" w:themeColor="text1" w:themeTint="50" w:sz="4" w:space="0"/>
        <w:insideH w:val="single" w:color="AEAEAE" w:themeColor="text1" w:themeTint="50" w:sz="4" w:space="0"/>
        <w:insideV w:val="single" w:color="AEAEAE" w:themeColor="text1" w:themeTint="50" w:sz="4" w:space="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cPr>
        <w:shd w:val="clear" w:color="F1F1F1" w:themeColor="text1" w:themeTint="0D" w:fill="F1F1F1" w:themeFill="text1" w:themeFillTint="0D"/>
      </w:tcPr>
    </w:tblStylePr>
    <w:tblStylePr w:type="band2Vert"/>
    <w:tblStylePr w:type="band1Horz">
      <w:tcPr>
        <w:shd w:val="clear" w:color="F1F1F1" w:themeColor="text1" w:themeTint="0D" w:fill="F1F1F1" w:themeFill="text1" w:themeFillTint="0D"/>
      </w:tcPr>
    </w:tblStylePr>
    <w:tblStylePr w:type="band2Horz"/>
    <w:tblStylePr w:type="neCell"/>
    <w:tblStylePr w:type="nwCell"/>
    <w:tblStylePr w:type="seCell"/>
    <w:tblStylePr w:type="swCell"/>
  </w:style>
  <w:style w:type="table" w:customStyle="1" w:styleId="67">
    <w:name w:val="Plain Table 2"/>
    <w:qFormat/>
    <w:uiPriority w:val="59"/>
    <w:pPr>
      <w:spacing w:after="0" w:line="240" w:lineRule="auto"/>
    </w:pPr>
    <w:tblPr>
      <w:tblBorders>
        <w:top w:val="single" w:color="000000" w:themeColor="text1" w:sz="4" w:space="0"/>
        <w:left w:val="none" w:color="000000" w:themeColor="text1" w:sz="4" w:space="0"/>
        <w:bottom w:val="single" w:color="000000" w:themeColor="text1" w:sz="4" w:space="0"/>
        <w:right w:val="none" w:color="000000" w:themeColor="text1" w:sz="4" w:space="0"/>
      </w:tblBorders>
      <w:tblCellMar>
        <w:top w:w="0" w:type="dxa"/>
        <w:left w:w="108" w:type="dxa"/>
        <w:bottom w:w="0" w:type="dxa"/>
        <w:right w:w="108" w:type="dxa"/>
      </w:tblCellMar>
    </w:tbl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band1Horz">
      <w:tcPr>
        <w:tcBorders>
          <w:top w:val="single" w:color="000000" w:themeColor="text1" w:sz="4" w:space="0"/>
          <w:bottom w:val="single" w:color="000000" w:themeColor="text1" w:sz="4" w:space="0"/>
        </w:tcBorders>
      </w:tcPr>
    </w:tblStylePr>
    <w:tblStylePr w:type="band2Horz"/>
    <w:tblStylePr w:type="neCell"/>
    <w:tblStylePr w:type="nwCell"/>
    <w:tblStylePr w:type="seCell"/>
    <w:tblStylePr w:type="swCell"/>
  </w:style>
  <w:style w:type="table" w:customStyle="1" w:styleId="68">
    <w:name w:val="Plain Table 3"/>
    <w:qFormat/>
    <w:uiPriority w:val="99"/>
    <w:pPr>
      <w:spacing w:after="0" w:line="240" w:lineRule="auto"/>
    </w:pPr>
    <w:tblStylePr w:type="firstRow">
      <w:rPr>
        <w:b/>
        <w:caps/>
        <w:color w:val="404040"/>
      </w:rPr>
      <w:tcPr>
        <w:tcBorders>
          <w:top w:val="nil"/>
          <w:left w:val="nil"/>
          <w:bottom w:val="single" w:color="404040" w:sz="4" w:space="0"/>
          <w:right w:val="nil"/>
        </w:tcBorders>
      </w:tcPr>
    </w:tblStylePr>
    <w:tblStylePr w:type="lastRow">
      <w:rPr>
        <w:b/>
        <w:caps/>
        <w:color w:val="404040"/>
      </w:rPr>
    </w:tblStylePr>
    <w:tblStylePr w:type="firstCol">
      <w:rPr>
        <w:b/>
        <w:caps/>
        <w:color w:val="404040"/>
      </w:rPr>
      <w:tcPr>
        <w:tcBorders>
          <w:top w:val="nil"/>
          <w:left w:val="nil"/>
          <w:bottom w:val="nil"/>
          <w:right w:val="single" w:color="404040" w:sz="4" w:space="0"/>
        </w:tcBorders>
      </w:tcPr>
    </w:tblStylePr>
    <w:tblStylePr w:type="lastCol">
      <w:rPr>
        <w:b/>
        <w:caps/>
        <w:color w:val="404040"/>
      </w:rPr>
    </w:tblStylePr>
    <w:tblStylePr w:type="band1Vert">
      <w:rPr>
        <w:rFonts w:ascii="Arial" w:hAnsi="Arial"/>
        <w:color w:val="404040"/>
        <w:sz w:val="22"/>
      </w:rPr>
      <w:tcPr>
        <w:shd w:val="clear" w:color="F1F1F1" w:themeColor="text1" w:themeTint="0D" w:fill="F1F1F1" w:themeFill="text1" w:themeFillTint="0D"/>
      </w:tcPr>
    </w:tblStylePr>
    <w:tblStylePr w:type="band2Vert"/>
    <w:tblStylePr w:type="band1Horz">
      <w:rPr>
        <w:rFonts w:ascii="Arial" w:hAnsi="Arial"/>
        <w:color w:val="404040"/>
        <w:sz w:val="22"/>
      </w:rPr>
      <w:tcPr>
        <w:shd w:val="clear" w:color="F1F1F1" w:themeColor="text1" w:themeTint="0D" w:fill="F1F1F1" w:themeFill="text1" w:themeFillTint="0D"/>
      </w:tcPr>
    </w:tblStylePr>
    <w:tblStylePr w:type="band2Horz"/>
    <w:tblStylePr w:type="neCell"/>
    <w:tblStylePr w:type="nwCell"/>
    <w:tblStylePr w:type="seCell"/>
    <w:tblStylePr w:type="swCell"/>
  </w:style>
  <w:style w:type="table" w:customStyle="1" w:styleId="69">
    <w:name w:val="Plain Table 4"/>
    <w:qFormat/>
    <w:uiPriority w:val="99"/>
    <w:pPr>
      <w:spacing w:after="0" w:line="240" w:lineRule="auto"/>
    </w:p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F1F1F1" w:themeColor="text1" w:themeTint="0D" w:fill="F1F1F1" w:themeFill="text1" w:themeFillTint="0D"/>
      </w:tcPr>
    </w:tblStylePr>
    <w:tblStylePr w:type="band2Vert"/>
    <w:tblStylePr w:type="band1Horz">
      <w:rPr>
        <w:rFonts w:ascii="Arial" w:hAnsi="Arial"/>
        <w:color w:val="404040"/>
        <w:sz w:val="22"/>
      </w:rPr>
      <w:tcPr>
        <w:shd w:val="clear" w:color="F1F1F1" w:themeColor="text1" w:themeTint="0D" w:fill="F1F1F1" w:themeFill="text1" w:themeFillTint="0D"/>
      </w:tcPr>
    </w:tblStylePr>
    <w:tblStylePr w:type="band2Horz"/>
    <w:tblStylePr w:type="neCell"/>
    <w:tblStylePr w:type="nwCell"/>
    <w:tblStylePr w:type="seCell"/>
    <w:tblStylePr w:type="swCell"/>
  </w:style>
  <w:style w:type="table" w:customStyle="1" w:styleId="70">
    <w:name w:val="Plain Table 5"/>
    <w:qFormat/>
    <w:uiPriority w:val="99"/>
    <w:pPr>
      <w:spacing w:after="0" w:line="240" w:lineRule="auto"/>
    </w:pPr>
    <w:tblStylePr w:type="firstRow">
      <w:rPr>
        <w:i/>
        <w:color w:val="404040"/>
      </w:rPr>
      <w:tcPr>
        <w:tcBorders>
          <w:left w:val="nil"/>
          <w:bottom w:val="single" w:color="404040" w:sz="4" w:space="0"/>
          <w:right w:val="nil"/>
        </w:tcBorders>
        <w:shd w:val="clear" w:color="FFFFFF" w:fill="auto"/>
      </w:tcPr>
    </w:tblStylePr>
    <w:tblStylePr w:type="lastRow">
      <w:rPr>
        <w:i/>
        <w:color w:val="404040"/>
      </w:rPr>
      <w:tcPr>
        <w:tcBorders>
          <w:top w:val="single" w:color="404040" w:sz="4" w:space="0"/>
          <w:left w:val="nil"/>
          <w:right w:val="nil"/>
        </w:tcBorders>
        <w:shd w:val="clear" w:color="FFFFFF" w:fill="auto"/>
      </w:tcPr>
    </w:tblStylePr>
    <w:tblStylePr w:type="firstCol">
      <w:pPr>
        <w:jc w:val="right"/>
      </w:pPr>
      <w:rPr>
        <w:i/>
        <w:color w:val="404040"/>
      </w:rPr>
      <w:tcPr>
        <w:tcBorders>
          <w:right w:val="single" w:color="404040" w:sz="4" w:space="0"/>
        </w:tcBorders>
        <w:shd w:val="clear" w:color="FFFFFF" w:fill="auto"/>
      </w:tcPr>
    </w:tblStylePr>
    <w:tblStylePr w:type="lastCol">
      <w:rPr>
        <w:i/>
        <w:color w:val="404040"/>
      </w:rPr>
      <w:tcPr>
        <w:tcBorders>
          <w:left w:val="single" w:color="404040" w:sz="4" w:space="0"/>
        </w:tcBorders>
        <w:shd w:val="clear" w:color="FFFFFF" w:fill="auto"/>
      </w:tcPr>
    </w:tblStylePr>
    <w:tblStylePr w:type="band1Vert">
      <w:rPr>
        <w:rFonts w:ascii="Arial" w:hAnsi="Arial"/>
        <w:color w:val="404040"/>
        <w:sz w:val="22"/>
      </w:rPr>
      <w:tcPr>
        <w:shd w:val="clear" w:color="F1F1F1" w:themeColor="text1" w:themeTint="0D" w:fill="F1F1F1" w:themeFill="text1" w:themeFillTint="0D"/>
      </w:tcPr>
    </w:tblStylePr>
    <w:tblStylePr w:type="band2Vert"/>
    <w:tblStylePr w:type="band1Horz">
      <w:rPr>
        <w:rFonts w:ascii="Arial" w:hAnsi="Arial"/>
        <w:color w:val="404040"/>
        <w:sz w:val="22"/>
      </w:rPr>
      <w:tcPr>
        <w:shd w:val="clear" w:color="F1F1F1" w:themeColor="text1" w:themeTint="0D" w:fill="F1F1F1" w:themeFill="text1" w:themeFillTint="0D"/>
      </w:tcPr>
    </w:tblStylePr>
    <w:tblStylePr w:type="band2Horz"/>
    <w:tblStylePr w:type="neCell"/>
    <w:tblStylePr w:type="nwCell"/>
    <w:tblStylePr w:type="seCell"/>
    <w:tblStylePr w:type="swCell"/>
  </w:style>
  <w:style w:type="table" w:customStyle="1" w:styleId="71">
    <w:name w:val="Grid Table 1 Light"/>
    <w:qFormat/>
    <w:uiPriority w:val="99"/>
    <w:pPr>
      <w:spacing w:after="0" w:line="240" w:lineRule="auto"/>
    </w:pPr>
    <w:tblPr>
      <w:tblBorders>
        <w:top w:val="single" w:color="979797" w:themeColor="text1" w:themeTint="67" w:sz="4" w:space="0"/>
        <w:left w:val="single" w:color="979797" w:themeColor="text1" w:themeTint="67" w:sz="4" w:space="0"/>
        <w:bottom w:val="single" w:color="979797" w:themeColor="text1" w:themeTint="67" w:sz="4" w:space="0"/>
        <w:right w:val="single" w:color="979797" w:themeColor="text1" w:themeTint="67" w:sz="4" w:space="0"/>
        <w:insideH w:val="single" w:color="979797" w:themeColor="text1" w:themeTint="67" w:sz="4" w:space="0"/>
        <w:insideV w:val="single" w:color="979797" w:themeColor="text1" w:themeTint="67" w:sz="4" w:space="0"/>
      </w:tblBorders>
    </w:tblPr>
    <w:tblStylePr w:type="firstRow">
      <w:rPr>
        <w:b/>
        <w:color w:val="404040"/>
      </w:rPr>
      <w:tcPr>
        <w:tcBorders>
          <w:bottom w:val="single" w:color="696969" w:themeColor="text1"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Vert"/>
    <w:tblStylePr w:type="band2Vert"/>
    <w:tblStylePr w:type="band1Horz">
      <w:rPr>
        <w:rFonts w:ascii="Arial" w:hAnsi="Arial"/>
        <w:color w:val="404040"/>
        <w:sz w:val="22"/>
      </w:rPr>
      <w:tcPr>
        <w:tcBorders>
          <w:top w:val="single" w:color="979797" w:themeColor="text1" w:themeTint="67" w:sz="4" w:space="0"/>
          <w:left w:val="single" w:color="979797" w:themeColor="text1" w:themeTint="67" w:sz="4" w:space="0"/>
          <w:bottom w:val="single" w:color="979797" w:themeColor="text1" w:themeTint="67" w:sz="4" w:space="0"/>
          <w:right w:val="single" w:color="979797" w:themeColor="text1" w:themeTint="67" w:sz="4" w:space="0"/>
        </w:tcBorders>
      </w:tcPr>
    </w:tblStylePr>
    <w:tblStylePr w:type="band2Horz"/>
    <w:tblStylePr w:type="neCell"/>
    <w:tblStylePr w:type="nwCell"/>
    <w:tblStylePr w:type="seCell"/>
    <w:tblStylePr w:type="swCell"/>
  </w:style>
  <w:style w:type="table" w:customStyle="1" w:styleId="72">
    <w:name w:val="Grid Table 1 Light - Accent 1"/>
    <w:qFormat/>
    <w:uiPriority w:val="99"/>
    <w:pPr>
      <w:spacing w:after="0" w:line="240" w:lineRule="auto"/>
    </w:pPr>
    <w:tblPr>
      <w:tblBorders>
        <w:top w:val="single" w:color="B7CCE4" w:themeColor="accent1" w:themeTint="67" w:sz="4" w:space="0"/>
        <w:left w:val="single" w:color="B7CCE4" w:themeColor="accent1" w:themeTint="67" w:sz="4" w:space="0"/>
        <w:bottom w:val="single" w:color="B7CCE4" w:themeColor="accent1" w:themeTint="67" w:sz="4" w:space="0"/>
        <w:right w:val="single" w:color="B7CCE4" w:themeColor="accent1" w:themeTint="67" w:sz="4" w:space="0"/>
        <w:insideH w:val="single" w:color="B7CCE4" w:themeColor="accent1" w:themeTint="67" w:sz="4" w:space="0"/>
        <w:insideV w:val="single" w:color="B7CCE4" w:themeColor="accent1" w:themeTint="67" w:sz="4" w:space="0"/>
      </w:tblBorders>
    </w:tblPr>
    <w:tblStylePr w:type="firstRow">
      <w:rPr>
        <w:b/>
        <w:color w:val="404040"/>
      </w:rPr>
      <w:tcPr>
        <w:tcBorders>
          <w:bottom w:val="single" w:color="98B5D8" w:themeColor="accent1"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Vert"/>
    <w:tblStylePr w:type="band2Vert"/>
    <w:tblStylePr w:type="band1Horz">
      <w:rPr>
        <w:rFonts w:ascii="Arial" w:hAnsi="Arial"/>
        <w:color w:val="404040"/>
        <w:sz w:val="22"/>
      </w:rPr>
      <w:tcPr>
        <w:tcBorders>
          <w:top w:val="single" w:color="B7CCE4" w:themeColor="accent1" w:themeTint="67" w:sz="4" w:space="0"/>
          <w:left w:val="single" w:color="B7CCE4" w:themeColor="accent1" w:themeTint="67" w:sz="4" w:space="0"/>
          <w:bottom w:val="single" w:color="B7CCE4" w:themeColor="accent1" w:themeTint="67" w:sz="4" w:space="0"/>
          <w:right w:val="single" w:color="B7CCE4" w:themeColor="accent1" w:themeTint="67" w:sz="4" w:space="0"/>
        </w:tcBorders>
      </w:tcPr>
    </w:tblStylePr>
    <w:tblStylePr w:type="band2Horz"/>
    <w:tblStylePr w:type="neCell"/>
    <w:tblStylePr w:type="nwCell"/>
    <w:tblStylePr w:type="seCell"/>
    <w:tblStylePr w:type="swCell"/>
  </w:style>
  <w:style w:type="table" w:customStyle="1" w:styleId="73">
    <w:name w:val="Grid Table 1 Light - Accent 2"/>
    <w:qFormat/>
    <w:uiPriority w:val="99"/>
    <w:pPr>
      <w:spacing w:after="0" w:line="240" w:lineRule="auto"/>
    </w:pPr>
    <w:tblPr>
      <w:tblBorders>
        <w:top w:val="single" w:color="E5B8B7" w:themeColor="accent2" w:themeTint="67" w:sz="4" w:space="0"/>
        <w:left w:val="single" w:color="E5B8B7" w:themeColor="accent2" w:themeTint="67" w:sz="4" w:space="0"/>
        <w:bottom w:val="single" w:color="E5B8B7" w:themeColor="accent2" w:themeTint="67" w:sz="4" w:space="0"/>
        <w:right w:val="single" w:color="E5B8B7" w:themeColor="accent2" w:themeTint="67" w:sz="4" w:space="0"/>
        <w:insideH w:val="single" w:color="E5B8B7" w:themeColor="accent2" w:themeTint="67" w:sz="4" w:space="0"/>
        <w:insideV w:val="single" w:color="E5B8B7" w:themeColor="accent2" w:themeTint="67" w:sz="4" w:space="0"/>
      </w:tblBorders>
    </w:tblPr>
    <w:tblStylePr w:type="firstRow">
      <w:rPr>
        <w:b/>
        <w:color w:val="404040"/>
      </w:rPr>
      <w:tcPr>
        <w:tcBorders>
          <w:bottom w:val="single" w:color="DA9896" w:themeColor="accent2"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Vert"/>
    <w:tblStylePr w:type="band2Vert"/>
    <w:tblStylePr w:type="band1Horz">
      <w:rPr>
        <w:rFonts w:ascii="Arial" w:hAnsi="Arial"/>
        <w:color w:val="404040"/>
        <w:sz w:val="22"/>
      </w:rPr>
      <w:tcPr>
        <w:tcBorders>
          <w:top w:val="single" w:color="E5B8B7" w:themeColor="accent2" w:themeTint="67" w:sz="4" w:space="0"/>
          <w:left w:val="single" w:color="E5B8B7" w:themeColor="accent2" w:themeTint="67" w:sz="4" w:space="0"/>
          <w:bottom w:val="single" w:color="E5B8B7" w:themeColor="accent2" w:themeTint="67" w:sz="4" w:space="0"/>
          <w:right w:val="single" w:color="E5B8B7" w:themeColor="accent2" w:themeTint="67" w:sz="4" w:space="0"/>
        </w:tcBorders>
      </w:tcPr>
    </w:tblStylePr>
    <w:tblStylePr w:type="band2Horz"/>
    <w:tblStylePr w:type="neCell"/>
    <w:tblStylePr w:type="nwCell"/>
    <w:tblStylePr w:type="seCell"/>
    <w:tblStylePr w:type="swCell"/>
  </w:style>
  <w:style w:type="table" w:customStyle="1" w:styleId="74">
    <w:name w:val="Grid Table 1 Light - Accent 3"/>
    <w:qFormat/>
    <w:uiPriority w:val="99"/>
    <w:pPr>
      <w:spacing w:after="0" w:line="240" w:lineRule="auto"/>
    </w:pPr>
    <w:tblPr>
      <w:tbl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insideH w:val="single" w:color="D6E3BB" w:themeColor="accent3" w:themeTint="67" w:sz="4" w:space="0"/>
        <w:insideV w:val="single" w:color="D6E3BB" w:themeColor="accent3" w:themeTint="67" w:sz="4" w:space="0"/>
      </w:tblBorders>
    </w:tblPr>
    <w:tblStylePr w:type="firstRow">
      <w:rPr>
        <w:b/>
        <w:color w:val="404040"/>
      </w:rPr>
      <w:tcPr>
        <w:tcBorders>
          <w:bottom w:val="single" w:color="C4D79E" w:themeColor="accent3"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Vert"/>
    <w:tblStylePr w:type="band2Vert"/>
    <w:tblStylePr w:type="band1Horz">
      <w:rPr>
        <w:rFonts w:ascii="Arial" w:hAnsi="Arial"/>
        <w:color w:val="404040"/>
        <w:sz w:val="22"/>
      </w:rPr>
      <w:tcPr>
        <w:tc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tcBorders>
      </w:tcPr>
    </w:tblStylePr>
    <w:tblStylePr w:type="band2Horz"/>
    <w:tblStylePr w:type="neCell"/>
    <w:tblStylePr w:type="nwCell"/>
    <w:tblStylePr w:type="seCell"/>
    <w:tblStylePr w:type="swCell"/>
  </w:style>
  <w:style w:type="table" w:customStyle="1" w:styleId="75">
    <w:name w:val="Grid Table 1 Light - Accent 4"/>
    <w:qFormat/>
    <w:uiPriority w:val="99"/>
    <w:pPr>
      <w:spacing w:after="0" w:line="240" w:lineRule="auto"/>
    </w:pPr>
    <w:tblPr>
      <w:tbl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insideH w:val="single" w:color="CBC0D9" w:themeColor="accent4" w:themeTint="67" w:sz="4" w:space="0"/>
        <w:insideV w:val="single" w:color="CBC0D9" w:themeColor="accent4" w:themeTint="67" w:sz="4" w:space="0"/>
      </w:tblBorders>
    </w:tblPr>
    <w:tblStylePr w:type="firstRow">
      <w:rPr>
        <w:b/>
        <w:color w:val="404040"/>
      </w:rPr>
      <w:tcPr>
        <w:tcBorders>
          <w:bottom w:val="single" w:color="B4A4C8" w:themeColor="accent4"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Vert"/>
    <w:tblStylePr w:type="band2Vert"/>
    <w:tblStylePr w:type="band1Horz">
      <w:rPr>
        <w:rFonts w:ascii="Arial" w:hAnsi="Arial"/>
        <w:color w:val="404040"/>
        <w:sz w:val="22"/>
      </w:rPr>
      <w:tcPr>
        <w:tc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tcBorders>
      </w:tcPr>
    </w:tblStylePr>
    <w:tblStylePr w:type="band2Horz"/>
    <w:tblStylePr w:type="neCell"/>
    <w:tblStylePr w:type="nwCell"/>
    <w:tblStylePr w:type="seCell"/>
    <w:tblStylePr w:type="swCell"/>
  </w:style>
  <w:style w:type="table" w:customStyle="1" w:styleId="76">
    <w:name w:val="Grid Table 1 Light - Accent 5"/>
    <w:qFormat/>
    <w:uiPriority w:val="99"/>
    <w:pPr>
      <w:spacing w:after="0" w:line="240" w:lineRule="auto"/>
    </w:pPr>
    <w:tblPr>
      <w:tblBorders>
        <w:top w:val="single" w:color="B6DDE7" w:themeColor="accent5" w:themeTint="67" w:sz="4" w:space="0"/>
        <w:left w:val="single" w:color="B6DDE7" w:themeColor="accent5" w:themeTint="67" w:sz="4" w:space="0"/>
        <w:bottom w:val="single" w:color="B6DDE7" w:themeColor="accent5" w:themeTint="67" w:sz="4" w:space="0"/>
        <w:right w:val="single" w:color="B6DDE7" w:themeColor="accent5" w:themeTint="67" w:sz="4" w:space="0"/>
        <w:insideH w:val="single" w:color="B6DDE7" w:themeColor="accent5" w:themeTint="67" w:sz="4" w:space="0"/>
        <w:insideV w:val="single" w:color="B6DDE7" w:themeColor="accent5" w:themeTint="67" w:sz="4" w:space="0"/>
      </w:tblBorders>
    </w:tblPr>
    <w:tblStylePr w:type="firstRow">
      <w:rPr>
        <w:b/>
        <w:color w:val="404040"/>
      </w:rPr>
      <w:tcPr>
        <w:tcBorders>
          <w:bottom w:val="single" w:color="95CEDD" w:themeColor="accent5"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Vert"/>
    <w:tblStylePr w:type="band2Vert"/>
    <w:tblStylePr w:type="band1Horz">
      <w:rPr>
        <w:rFonts w:ascii="Arial" w:hAnsi="Arial"/>
        <w:color w:val="404040"/>
        <w:sz w:val="22"/>
      </w:rPr>
      <w:tcPr>
        <w:tcBorders>
          <w:top w:val="single" w:color="B6DDE7" w:themeColor="accent5" w:themeTint="67" w:sz="4" w:space="0"/>
          <w:left w:val="single" w:color="B6DDE7" w:themeColor="accent5" w:themeTint="67" w:sz="4" w:space="0"/>
          <w:bottom w:val="single" w:color="B6DDE7" w:themeColor="accent5" w:themeTint="67" w:sz="4" w:space="0"/>
          <w:right w:val="single" w:color="B6DDE7" w:themeColor="accent5" w:themeTint="67" w:sz="4" w:space="0"/>
        </w:tcBorders>
      </w:tcPr>
    </w:tblStylePr>
    <w:tblStylePr w:type="band2Horz"/>
    <w:tblStylePr w:type="neCell"/>
    <w:tblStylePr w:type="nwCell"/>
    <w:tblStylePr w:type="seCell"/>
    <w:tblStylePr w:type="swCell"/>
  </w:style>
  <w:style w:type="table" w:customStyle="1" w:styleId="77">
    <w:name w:val="Grid Table 1 Light - Accent 6"/>
    <w:qFormat/>
    <w:uiPriority w:val="99"/>
    <w:pPr>
      <w:spacing w:after="0" w:line="240" w:lineRule="auto"/>
    </w:pPr>
    <w:tblPr>
      <w:tbl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insideH w:val="single" w:color="FBD4B4" w:themeColor="accent6" w:themeTint="67" w:sz="4" w:space="0"/>
        <w:insideV w:val="single" w:color="FBD4B4" w:themeColor="accent6" w:themeTint="67" w:sz="4" w:space="0"/>
      </w:tblBorders>
    </w:tblPr>
    <w:tblStylePr w:type="firstRow">
      <w:rPr>
        <w:b/>
        <w:color w:val="404040"/>
      </w:rPr>
      <w:tcPr>
        <w:tcBorders>
          <w:bottom w:val="single" w:color="FAC192" w:themeColor="accent6" w:themeTint="95" w:sz="12" w:space="0"/>
        </w:tcBorders>
      </w:tcPr>
    </w:tblStylePr>
    <w:tblStylePr w:type="lastRow">
      <w:rPr>
        <w:b/>
        <w:color w:val="404040"/>
      </w:rPr>
    </w:tblStylePr>
    <w:tblStylePr w:type="firstCol">
      <w:rPr>
        <w:b/>
        <w:color w:val="404040"/>
      </w:rPr>
    </w:tblStylePr>
    <w:tblStylePr w:type="lastCol">
      <w:rPr>
        <w:b/>
        <w:color w:val="404040"/>
      </w:rPr>
    </w:tblStylePr>
    <w:tblStylePr w:type="band1Vert"/>
    <w:tblStylePr w:type="band2Vert"/>
    <w:tblStylePr w:type="band1Horz">
      <w:rPr>
        <w:rFonts w:ascii="Arial" w:hAnsi="Arial"/>
        <w:color w:val="404040"/>
        <w:sz w:val="22"/>
      </w:rPr>
      <w:tcPr>
        <w:tc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tcBorders>
      </w:tcPr>
    </w:tblStylePr>
    <w:tblStylePr w:type="band2Horz"/>
    <w:tblStylePr w:type="neCell"/>
    <w:tblStylePr w:type="nwCell"/>
    <w:tblStylePr w:type="seCell"/>
    <w:tblStylePr w:type="swCell"/>
  </w:style>
  <w:style w:type="table" w:customStyle="1" w:styleId="78">
    <w:name w:val="Grid Table 2"/>
    <w:qFormat/>
    <w:uiPriority w:val="99"/>
    <w:pPr>
      <w:spacing w:after="0" w:line="240" w:lineRule="auto"/>
    </w:pPr>
    <w:tblPr>
      <w:tblBorders>
        <w:bottom w:val="single" w:color="696969" w:themeColor="text1" w:themeTint="95" w:sz="4" w:space="0"/>
        <w:insideH w:val="single" w:color="696969" w:themeColor="text1" w:themeTint="95" w:sz="4" w:space="0"/>
        <w:insideV w:val="single" w:color="696969" w:themeColor="text1" w:themeTint="95" w:sz="4" w:space="0"/>
      </w:tblBorders>
    </w:tblPr>
    <w:tblStylePr w:type="firstRow">
      <w:rPr>
        <w:b/>
        <w:color w:val="404040"/>
      </w:rPr>
      <w:tcPr>
        <w:tcBorders>
          <w:top w:val="nil"/>
          <w:left w:val="nil"/>
          <w:bottom w:val="single" w:color="696969" w:themeColor="text1" w:themeTint="95" w:sz="12" w:space="0"/>
          <w:right w:val="nil"/>
        </w:tcBorders>
        <w:shd w:val="clear" w:color="FFFFFF" w:fill="auto"/>
      </w:tcPr>
    </w:tblStylePr>
    <w:tblStylePr w:type="lastRow">
      <w:rPr>
        <w:b/>
        <w:color w:val="404040"/>
      </w:rPr>
      <w:tcPr>
        <w:tcBorders>
          <w:top w:val="single" w:color="696969" w:themeColor="text1" w:themeTint="95"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CACACA" w:themeColor="text1" w:themeTint="34" w:fill="CACACA" w:themeFill="text1" w:themeFillTint="34"/>
      </w:tcPr>
    </w:tblStylePr>
    <w:tblStylePr w:type="band2Vert"/>
    <w:tblStylePr w:type="band1Horz">
      <w:rPr>
        <w:rFonts w:ascii="Arial" w:hAnsi="Arial"/>
        <w:color w:val="404040"/>
        <w:sz w:val="22"/>
      </w:rPr>
      <w:tcPr>
        <w:shd w:val="clear" w:color="CACACA" w:themeColor="text1" w:themeTint="34" w:fill="CACACA" w:themeFill="text1" w:themeFillTint="34"/>
      </w:tcPr>
    </w:tblStylePr>
    <w:tblStylePr w:type="band2Horz"/>
    <w:tblStylePr w:type="neCell"/>
    <w:tblStylePr w:type="nwCell"/>
    <w:tblStylePr w:type="seCell"/>
    <w:tblStylePr w:type="swCell"/>
  </w:style>
  <w:style w:type="table" w:customStyle="1" w:styleId="79">
    <w:name w:val="Grid Table 2 - Accent 1"/>
    <w:qFormat/>
    <w:uiPriority w:val="99"/>
    <w:pPr>
      <w:spacing w:after="0" w:line="240" w:lineRule="auto"/>
    </w:pPr>
    <w:tblPr>
      <w:tblBorders>
        <w:bottom w:val="single" w:color="5D8BC2" w:themeColor="accent1" w:themeTint="EA" w:sz="4" w:space="0"/>
        <w:insideH w:val="single" w:color="5D8BC2" w:themeColor="accent1" w:themeTint="EA" w:sz="4" w:space="0"/>
        <w:insideV w:val="single" w:color="5D8BC2" w:themeColor="accent1" w:themeTint="EA" w:sz="4" w:space="0"/>
      </w:tblBorders>
    </w:tblPr>
    <w:tblStylePr w:type="firstRow">
      <w:rPr>
        <w:b/>
        <w:color w:val="404040"/>
      </w:rPr>
      <w:tcPr>
        <w:tcBorders>
          <w:top w:val="nil"/>
          <w:left w:val="nil"/>
          <w:bottom w:val="single" w:color="5D8BC2" w:themeColor="accent1" w:themeTint="EA" w:sz="12" w:space="0"/>
          <w:right w:val="nil"/>
        </w:tcBorders>
        <w:shd w:val="clear" w:color="FFFFFF" w:fill="auto"/>
      </w:tcPr>
    </w:tblStylePr>
    <w:tblStylePr w:type="lastRow">
      <w:rPr>
        <w:b/>
        <w:color w:val="404040"/>
      </w:rPr>
      <w:tcPr>
        <w:tcBorders>
          <w:top w:val="single" w:color="5D8BC2" w:themeColor="accent1" w:themeTint="EA"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DBE5F1" w:themeColor="accent1" w:themeTint="34" w:fill="DBE5F1" w:themeFill="accent1" w:themeFillTint="34"/>
      </w:tcPr>
    </w:tblStylePr>
    <w:tblStylePr w:type="band2Vert"/>
    <w:tblStylePr w:type="band1Horz">
      <w:rPr>
        <w:rFonts w:ascii="Arial" w:hAnsi="Arial"/>
        <w:color w:val="404040"/>
        <w:sz w:val="22"/>
      </w:rPr>
      <w:tcPr>
        <w:shd w:val="clear" w:color="DBE5F1" w:themeColor="accent1" w:themeTint="34" w:fill="DBE5F1" w:themeFill="accent1" w:themeFillTint="34"/>
      </w:tcPr>
    </w:tblStylePr>
    <w:tblStylePr w:type="band2Horz"/>
    <w:tblStylePr w:type="neCell"/>
    <w:tblStylePr w:type="nwCell"/>
    <w:tblStylePr w:type="seCell"/>
    <w:tblStylePr w:type="swCell"/>
  </w:style>
  <w:style w:type="table" w:customStyle="1" w:styleId="80">
    <w:name w:val="Grid Table 2 - Accent 2"/>
    <w:qFormat/>
    <w:uiPriority w:val="99"/>
    <w:pPr>
      <w:spacing w:after="0" w:line="240" w:lineRule="auto"/>
    </w:pPr>
    <w:tblPr>
      <w:tblBorders>
        <w:bottom w:val="single" w:color="D99795" w:themeColor="accent2" w:themeTint="97" w:sz="4" w:space="0"/>
        <w:insideH w:val="single" w:color="D99795" w:themeColor="accent2" w:themeTint="97" w:sz="4" w:space="0"/>
        <w:insideV w:val="single" w:color="D99795" w:themeColor="accent2" w:themeTint="97" w:sz="4" w:space="0"/>
      </w:tblBorders>
    </w:tblPr>
    <w:tblStylePr w:type="firstRow">
      <w:rPr>
        <w:b/>
        <w:color w:val="404040"/>
      </w:rPr>
      <w:tcPr>
        <w:tcBorders>
          <w:top w:val="nil"/>
          <w:left w:val="nil"/>
          <w:bottom w:val="single" w:color="D99795" w:themeColor="accent2" w:themeTint="97" w:sz="12" w:space="0"/>
          <w:right w:val="nil"/>
        </w:tcBorders>
        <w:shd w:val="clear" w:color="FFFFFF" w:fill="auto"/>
      </w:tcPr>
    </w:tblStylePr>
    <w:tblStylePr w:type="lastRow">
      <w:rPr>
        <w:b/>
        <w:color w:val="404040"/>
      </w:rPr>
      <w:tcPr>
        <w:tcBorders>
          <w:top w:val="single" w:color="D99795" w:themeColor="accent2" w:themeTint="97"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F2DCDC" w:themeColor="accent2" w:themeTint="32" w:fill="F2DCDC" w:themeFill="accent2" w:themeFillTint="32"/>
      </w:tcPr>
    </w:tblStylePr>
    <w:tblStylePr w:type="band2Vert"/>
    <w:tblStylePr w:type="band1Horz">
      <w:rPr>
        <w:rFonts w:ascii="Arial" w:hAnsi="Arial"/>
        <w:color w:val="404040"/>
        <w:sz w:val="22"/>
      </w:rPr>
      <w:tcPr>
        <w:shd w:val="clear" w:color="F2DCDC" w:themeColor="accent2" w:themeTint="32" w:fill="F2DCDC" w:themeFill="accent2" w:themeFillTint="32"/>
      </w:tcPr>
    </w:tblStylePr>
    <w:tblStylePr w:type="band2Horz"/>
    <w:tblStylePr w:type="neCell"/>
    <w:tblStylePr w:type="nwCell"/>
    <w:tblStylePr w:type="seCell"/>
    <w:tblStylePr w:type="swCell"/>
  </w:style>
  <w:style w:type="table" w:customStyle="1" w:styleId="81">
    <w:name w:val="Grid Table 2 - Accent 3"/>
    <w:qFormat/>
    <w:uiPriority w:val="99"/>
    <w:pPr>
      <w:spacing w:after="0" w:line="240" w:lineRule="auto"/>
    </w:pPr>
    <w:tblPr>
      <w:tblBorders>
        <w:bottom w:val="single" w:color="9BBB59" w:themeColor="accent3" w:themeTint="FE" w:sz="4" w:space="0"/>
        <w:insideH w:val="single" w:color="9BBB59" w:themeColor="accent3" w:themeTint="FE" w:sz="4" w:space="0"/>
        <w:insideV w:val="single" w:color="9BBB59" w:themeColor="accent3" w:themeTint="FE" w:sz="4" w:space="0"/>
      </w:tblBorders>
    </w:tblPr>
    <w:tblStylePr w:type="firstRow">
      <w:rPr>
        <w:b/>
        <w:color w:val="404040"/>
      </w:rPr>
      <w:tcPr>
        <w:tcBorders>
          <w:top w:val="nil"/>
          <w:left w:val="nil"/>
          <w:bottom w:val="single" w:color="9BBB59" w:themeColor="accent3" w:themeTint="FE" w:sz="12" w:space="0"/>
          <w:right w:val="nil"/>
        </w:tcBorders>
        <w:shd w:val="clear" w:color="FFFFFF" w:fill="auto"/>
      </w:tcPr>
    </w:tblStylePr>
    <w:tblStylePr w:type="lastRow">
      <w:rPr>
        <w:b/>
        <w:color w:val="404040"/>
      </w:rPr>
      <w:tcPr>
        <w:tcBorders>
          <w:top w:val="single" w:color="9BBB59" w:themeColor="accent3" w:themeTint="FE"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EAF1DD" w:themeColor="accent3" w:themeTint="34" w:fill="EAF1DD" w:themeFill="accent3" w:themeFillTint="34"/>
      </w:tcPr>
    </w:tblStylePr>
    <w:tblStylePr w:type="band2Vert"/>
    <w:tblStylePr w:type="band1Horz">
      <w:rPr>
        <w:rFonts w:ascii="Arial" w:hAnsi="Arial"/>
        <w:color w:val="404040"/>
        <w:sz w:val="22"/>
      </w:rPr>
      <w:tcPr>
        <w:shd w:val="clear" w:color="EAF1DD" w:themeColor="accent3" w:themeTint="34" w:fill="EAF1DD" w:themeFill="accent3" w:themeFillTint="34"/>
      </w:tcPr>
    </w:tblStylePr>
    <w:tblStylePr w:type="band2Horz"/>
    <w:tblStylePr w:type="neCell"/>
    <w:tblStylePr w:type="nwCell"/>
    <w:tblStylePr w:type="seCell"/>
    <w:tblStylePr w:type="swCell"/>
  </w:style>
  <w:style w:type="table" w:customStyle="1" w:styleId="82">
    <w:name w:val="Grid Table 2 - Accent 4"/>
    <w:qFormat/>
    <w:uiPriority w:val="99"/>
    <w:pPr>
      <w:spacing w:after="0" w:line="240" w:lineRule="auto"/>
    </w:pPr>
    <w:tblPr>
      <w:tblBorders>
        <w:bottom w:val="single" w:color="B2A1C6" w:themeColor="accent4" w:themeTint="9A" w:sz="4" w:space="0"/>
        <w:insideH w:val="single" w:color="B2A1C6" w:themeColor="accent4" w:themeTint="9A" w:sz="4" w:space="0"/>
        <w:insideV w:val="single" w:color="B2A1C6" w:themeColor="accent4" w:themeTint="9A" w:sz="4" w:space="0"/>
      </w:tblBorders>
    </w:tblPr>
    <w:tblStylePr w:type="firstRow">
      <w:rPr>
        <w:b/>
        <w:color w:val="404040"/>
      </w:rPr>
      <w:tcPr>
        <w:tcBorders>
          <w:top w:val="nil"/>
          <w:left w:val="nil"/>
          <w:bottom w:val="single" w:color="B2A1C6" w:themeColor="accent4" w:themeTint="9A" w:sz="12" w:space="0"/>
          <w:right w:val="nil"/>
        </w:tcBorders>
        <w:shd w:val="clear" w:color="FFFFFF" w:fill="auto"/>
      </w:tcPr>
    </w:tblStylePr>
    <w:tblStylePr w:type="lastRow">
      <w:rPr>
        <w:b/>
        <w:color w:val="404040"/>
      </w:rPr>
      <w:tcPr>
        <w:tcBorders>
          <w:top w:val="single" w:color="B2A1C6" w:themeColor="accent4" w:themeTint="9A"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E5DFEC" w:themeColor="accent4" w:themeTint="34" w:fill="E5DFEC" w:themeFill="accent4" w:themeFillTint="34"/>
      </w:tcPr>
    </w:tblStylePr>
    <w:tblStylePr w:type="band2Vert"/>
    <w:tblStylePr w:type="band1Horz">
      <w:rPr>
        <w:rFonts w:ascii="Arial" w:hAnsi="Arial"/>
        <w:color w:val="404040"/>
        <w:sz w:val="22"/>
      </w:rPr>
      <w:tcPr>
        <w:shd w:val="clear" w:color="E5DFEC" w:themeColor="accent4" w:themeTint="34" w:fill="E5DFEC" w:themeFill="accent4" w:themeFillTint="34"/>
      </w:tcPr>
    </w:tblStylePr>
    <w:tblStylePr w:type="band2Horz"/>
    <w:tblStylePr w:type="neCell"/>
    <w:tblStylePr w:type="nwCell"/>
    <w:tblStylePr w:type="seCell"/>
    <w:tblStylePr w:type="swCell"/>
  </w:style>
  <w:style w:type="table" w:customStyle="1" w:styleId="83">
    <w:name w:val="Grid Table 2 - Accent 5"/>
    <w:qFormat/>
    <w:uiPriority w:val="99"/>
    <w:pPr>
      <w:spacing w:after="0" w:line="240" w:lineRule="auto"/>
    </w:pPr>
    <w:tblPr>
      <w:tblBorders>
        <w:bottom w:val="single" w:color="4BACC6" w:themeColor="accent5" w:sz="4" w:space="0"/>
        <w:insideH w:val="single" w:color="4BACC6" w:themeColor="accent5" w:sz="4" w:space="0"/>
        <w:insideV w:val="single" w:color="4BACC6" w:themeColor="accent5" w:sz="4" w:space="0"/>
      </w:tblBorders>
    </w:tblPr>
    <w:tblStylePr w:type="firstRow">
      <w:rPr>
        <w:b/>
        <w:color w:val="404040"/>
      </w:rPr>
      <w:tcPr>
        <w:tcBorders>
          <w:top w:val="nil"/>
          <w:left w:val="nil"/>
          <w:bottom w:val="single" w:color="4BACC6" w:themeColor="accent5" w:sz="12" w:space="0"/>
          <w:right w:val="nil"/>
        </w:tcBorders>
        <w:shd w:val="clear" w:color="FFFFFF" w:fill="auto"/>
      </w:tcPr>
    </w:tblStylePr>
    <w:tblStylePr w:type="lastRow">
      <w:rPr>
        <w:b/>
        <w:color w:val="404040"/>
      </w:rPr>
      <w:tcPr>
        <w:tcBorders>
          <w:top w:val="single" w:color="4BACC6" w:themeColor="accent5"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DAEEF3" w:themeColor="accent5" w:themeTint="34" w:fill="DAEEF3" w:themeFill="accent5" w:themeFillTint="34"/>
      </w:tcPr>
    </w:tblStylePr>
    <w:tblStylePr w:type="band2Vert"/>
    <w:tblStylePr w:type="band1Horz">
      <w:rPr>
        <w:rFonts w:ascii="Arial" w:hAnsi="Arial"/>
        <w:color w:val="404040"/>
        <w:sz w:val="22"/>
      </w:rPr>
      <w:tcPr>
        <w:shd w:val="clear" w:color="DAEEF3" w:themeColor="accent5" w:themeTint="34" w:fill="DAEEF3" w:themeFill="accent5" w:themeFillTint="34"/>
      </w:tcPr>
    </w:tblStylePr>
    <w:tblStylePr w:type="band2Horz"/>
    <w:tblStylePr w:type="neCell"/>
    <w:tblStylePr w:type="nwCell"/>
    <w:tblStylePr w:type="seCell"/>
    <w:tblStylePr w:type="swCell"/>
  </w:style>
  <w:style w:type="table" w:customStyle="1" w:styleId="84">
    <w:name w:val="Grid Table 2 - Accent 6"/>
    <w:qFormat/>
    <w:uiPriority w:val="99"/>
    <w:pPr>
      <w:spacing w:after="0" w:line="240" w:lineRule="auto"/>
    </w:pPr>
    <w:tblPr>
      <w:tblBorders>
        <w:bottom w:val="single" w:color="F79646" w:themeColor="accent6" w:sz="4" w:space="0"/>
        <w:insideH w:val="single" w:color="F79646" w:themeColor="accent6" w:sz="4" w:space="0"/>
        <w:insideV w:val="single" w:color="F79646" w:themeColor="accent6" w:sz="4" w:space="0"/>
      </w:tblBorders>
    </w:tblPr>
    <w:tblStylePr w:type="firstRow">
      <w:rPr>
        <w:b/>
        <w:color w:val="404040"/>
      </w:rPr>
      <w:tcPr>
        <w:tcBorders>
          <w:top w:val="nil"/>
          <w:left w:val="nil"/>
          <w:bottom w:val="single" w:color="F79646" w:themeColor="accent6" w:sz="12" w:space="0"/>
          <w:right w:val="nil"/>
        </w:tcBorders>
        <w:shd w:val="clear" w:color="FFFFFF" w:fill="auto"/>
      </w:tcPr>
    </w:tblStylePr>
    <w:tblStylePr w:type="lastRow">
      <w:rPr>
        <w:b/>
        <w:color w:val="404040"/>
      </w:rPr>
      <w:tcPr>
        <w:tcBorders>
          <w:top w:val="single" w:color="F79646" w:themeColor="accent6" w:sz="4" w:space="0"/>
          <w:left w:val="nil"/>
          <w:bottom w:val="nil"/>
          <w:right w:val="nil"/>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FDE9D9" w:themeColor="accent6" w:themeTint="34" w:fill="FDE9D9" w:themeFill="accent6" w:themeFillTint="34"/>
      </w:tcPr>
    </w:tblStylePr>
    <w:tblStylePr w:type="band2Vert"/>
    <w:tblStylePr w:type="band1Horz">
      <w:rPr>
        <w:rFonts w:ascii="Arial" w:hAnsi="Arial"/>
        <w:color w:val="404040"/>
        <w:sz w:val="22"/>
      </w:rPr>
      <w:tcPr>
        <w:shd w:val="clear" w:color="FDE9D9" w:themeColor="accent6" w:themeTint="34" w:fill="FDE9D9" w:themeFill="accent6" w:themeFillTint="34"/>
      </w:tcPr>
    </w:tblStylePr>
    <w:tblStylePr w:type="band2Horz"/>
    <w:tblStylePr w:type="neCell"/>
    <w:tblStylePr w:type="nwCell"/>
    <w:tblStylePr w:type="seCell"/>
    <w:tblStylePr w:type="swCell"/>
  </w:style>
  <w:style w:type="table" w:customStyle="1" w:styleId="85">
    <w:name w:val="Grid Table 3"/>
    <w:qFormat/>
    <w:uiPriority w:val="99"/>
    <w:pPr>
      <w:spacing w:after="0" w:line="240" w:lineRule="auto"/>
    </w:pPr>
    <w:tblPr>
      <w:tblBorders>
        <w:bottom w:val="single" w:color="696969" w:themeColor="text1" w:themeTint="95" w:sz="4" w:space="0"/>
        <w:insideH w:val="single" w:color="696969" w:themeColor="text1" w:themeTint="95" w:sz="4" w:space="0"/>
        <w:insideV w:val="single" w:color="696969" w:themeColor="text1" w:themeTint="95"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CACACA" w:themeColor="text1" w:themeTint="34" w:fill="CACACA" w:themeFill="text1" w:themeFillTint="34"/>
      </w:tcPr>
    </w:tblStylePr>
    <w:tblStylePr w:type="band2Vert"/>
    <w:tblStylePr w:type="band1Horz">
      <w:rPr>
        <w:rFonts w:ascii="Arial" w:hAnsi="Arial"/>
        <w:color w:val="404040"/>
        <w:sz w:val="22"/>
      </w:rPr>
      <w:tcPr>
        <w:shd w:val="clear" w:color="CACACA" w:themeColor="text1" w:themeTint="34" w:fill="CACACA" w:themeFill="text1" w:themeFillTint="34"/>
      </w:tcPr>
    </w:tblStylePr>
    <w:tblStylePr w:type="band2Horz"/>
    <w:tblStylePr w:type="neCell"/>
    <w:tblStylePr w:type="nwCell"/>
    <w:tblStylePr w:type="seCell"/>
    <w:tblStylePr w:type="swCell"/>
  </w:style>
  <w:style w:type="table" w:customStyle="1" w:styleId="86">
    <w:name w:val="Grid Table 3 - Accent 1"/>
    <w:qFormat/>
    <w:uiPriority w:val="99"/>
    <w:pPr>
      <w:spacing w:after="0" w:line="240" w:lineRule="auto"/>
    </w:pPr>
    <w:tblPr>
      <w:tblBorders>
        <w:bottom w:val="single" w:color="5D8BC2" w:themeColor="accent1" w:themeTint="EA" w:sz="4" w:space="0"/>
        <w:insideH w:val="single" w:color="5D8BC2" w:themeColor="accent1" w:themeTint="EA" w:sz="4" w:space="0"/>
        <w:insideV w:val="single" w:color="5D8BC2" w:themeColor="accent1" w:themeTint="EA"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DBE5F1" w:themeColor="accent1" w:themeTint="34" w:fill="DBE5F1" w:themeFill="accent1" w:themeFillTint="34"/>
      </w:tcPr>
    </w:tblStylePr>
    <w:tblStylePr w:type="band2Vert"/>
    <w:tblStylePr w:type="band1Horz">
      <w:rPr>
        <w:rFonts w:ascii="Arial" w:hAnsi="Arial"/>
        <w:color w:val="404040"/>
        <w:sz w:val="22"/>
      </w:rPr>
      <w:tcPr>
        <w:shd w:val="clear" w:color="DBE5F1" w:themeColor="accent1" w:themeTint="34" w:fill="DBE5F1" w:themeFill="accent1" w:themeFillTint="34"/>
      </w:tcPr>
    </w:tblStylePr>
    <w:tblStylePr w:type="band2Horz"/>
    <w:tblStylePr w:type="neCell"/>
    <w:tblStylePr w:type="nwCell"/>
    <w:tblStylePr w:type="seCell"/>
    <w:tblStylePr w:type="swCell"/>
  </w:style>
  <w:style w:type="table" w:customStyle="1" w:styleId="87">
    <w:name w:val="Grid Table 3 - Accent 2"/>
    <w:qFormat/>
    <w:uiPriority w:val="99"/>
    <w:pPr>
      <w:spacing w:after="0" w:line="240" w:lineRule="auto"/>
    </w:pPr>
    <w:tblPr>
      <w:tblBorders>
        <w:bottom w:val="single" w:color="D99795" w:themeColor="accent2" w:themeTint="97" w:sz="4" w:space="0"/>
        <w:insideH w:val="single" w:color="D99795" w:themeColor="accent2" w:themeTint="97" w:sz="4" w:space="0"/>
        <w:insideV w:val="single" w:color="D99795" w:themeColor="accent2" w:themeTint="97"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F2DCDC" w:themeColor="accent2" w:themeTint="32" w:fill="F2DCDC" w:themeFill="accent2" w:themeFillTint="32"/>
      </w:tcPr>
    </w:tblStylePr>
    <w:tblStylePr w:type="band2Vert"/>
    <w:tblStylePr w:type="band1Horz">
      <w:rPr>
        <w:rFonts w:ascii="Arial" w:hAnsi="Arial"/>
        <w:color w:val="404040"/>
        <w:sz w:val="22"/>
      </w:rPr>
      <w:tcPr>
        <w:shd w:val="clear" w:color="F2DCDC" w:themeColor="accent2" w:themeTint="32" w:fill="F2DCDC" w:themeFill="accent2" w:themeFillTint="32"/>
      </w:tcPr>
    </w:tblStylePr>
    <w:tblStylePr w:type="band2Horz"/>
    <w:tblStylePr w:type="neCell"/>
    <w:tblStylePr w:type="nwCell"/>
    <w:tblStylePr w:type="seCell"/>
    <w:tblStylePr w:type="swCell"/>
  </w:style>
  <w:style w:type="table" w:customStyle="1" w:styleId="88">
    <w:name w:val="Grid Table 3 - Accent 3"/>
    <w:qFormat/>
    <w:uiPriority w:val="99"/>
    <w:pPr>
      <w:spacing w:after="0" w:line="240" w:lineRule="auto"/>
    </w:pPr>
    <w:tblPr>
      <w:tblBorders>
        <w:bottom w:val="single" w:color="9BBB59" w:themeColor="accent3" w:themeTint="FE" w:sz="4" w:space="0"/>
        <w:insideH w:val="single" w:color="9BBB59" w:themeColor="accent3" w:themeTint="FE" w:sz="4" w:space="0"/>
        <w:insideV w:val="single" w:color="9BBB59" w:themeColor="accent3" w:themeTint="FE"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EAF1DD" w:themeColor="accent3" w:themeTint="34" w:fill="EAF1DD" w:themeFill="accent3" w:themeFillTint="34"/>
      </w:tcPr>
    </w:tblStylePr>
    <w:tblStylePr w:type="band2Vert"/>
    <w:tblStylePr w:type="band1Horz">
      <w:rPr>
        <w:rFonts w:ascii="Arial" w:hAnsi="Arial"/>
        <w:color w:val="404040"/>
        <w:sz w:val="22"/>
      </w:rPr>
      <w:tcPr>
        <w:shd w:val="clear" w:color="EAF1DD" w:themeColor="accent3" w:themeTint="34" w:fill="EAF1DD" w:themeFill="accent3" w:themeFillTint="34"/>
      </w:tcPr>
    </w:tblStylePr>
    <w:tblStylePr w:type="band2Horz"/>
    <w:tblStylePr w:type="neCell"/>
    <w:tblStylePr w:type="nwCell"/>
    <w:tblStylePr w:type="seCell"/>
    <w:tblStylePr w:type="swCell"/>
  </w:style>
  <w:style w:type="table" w:customStyle="1" w:styleId="89">
    <w:name w:val="Grid Table 3 - Accent 4"/>
    <w:qFormat/>
    <w:uiPriority w:val="99"/>
    <w:pPr>
      <w:spacing w:after="0" w:line="240" w:lineRule="auto"/>
    </w:pPr>
    <w:tblPr>
      <w:tblBorders>
        <w:bottom w:val="single" w:color="B2A1C6" w:themeColor="accent4" w:themeTint="9A" w:sz="4" w:space="0"/>
        <w:insideH w:val="single" w:color="B2A1C6" w:themeColor="accent4" w:themeTint="9A" w:sz="4" w:space="0"/>
        <w:insideV w:val="single" w:color="B2A1C6" w:themeColor="accent4" w:themeTint="9A"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E5DFEC" w:themeColor="accent4" w:themeTint="34" w:fill="E5DFEC" w:themeFill="accent4" w:themeFillTint="34"/>
      </w:tcPr>
    </w:tblStylePr>
    <w:tblStylePr w:type="band2Vert"/>
    <w:tblStylePr w:type="band1Horz">
      <w:rPr>
        <w:rFonts w:ascii="Arial" w:hAnsi="Arial"/>
        <w:color w:val="404040"/>
        <w:sz w:val="22"/>
      </w:rPr>
      <w:tcPr>
        <w:shd w:val="clear" w:color="E5DFEC" w:themeColor="accent4" w:themeTint="34" w:fill="E5DFEC" w:themeFill="accent4" w:themeFillTint="34"/>
      </w:tcPr>
    </w:tblStylePr>
    <w:tblStylePr w:type="band2Horz"/>
    <w:tblStylePr w:type="neCell"/>
    <w:tblStylePr w:type="nwCell"/>
    <w:tblStylePr w:type="seCell"/>
    <w:tblStylePr w:type="swCell"/>
  </w:style>
  <w:style w:type="table" w:customStyle="1" w:styleId="90">
    <w:name w:val="Grid Table 3 - Accent 5"/>
    <w:qFormat/>
    <w:uiPriority w:val="99"/>
    <w:pPr>
      <w:spacing w:after="0" w:line="240" w:lineRule="auto"/>
    </w:pPr>
    <w:tblPr>
      <w:tblBorders>
        <w:bottom w:val="single" w:color="4BACC6" w:themeColor="accent5" w:sz="4" w:space="0"/>
        <w:insideH w:val="single" w:color="4BACC6" w:themeColor="accent5" w:sz="4" w:space="0"/>
        <w:insideV w:val="single" w:color="4BACC6" w:themeColor="accent5"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DAEEF3" w:themeColor="accent5" w:themeTint="34" w:fill="DAEEF3" w:themeFill="accent5" w:themeFillTint="34"/>
      </w:tcPr>
    </w:tblStylePr>
    <w:tblStylePr w:type="band2Vert"/>
    <w:tblStylePr w:type="band1Horz">
      <w:rPr>
        <w:rFonts w:ascii="Arial" w:hAnsi="Arial"/>
        <w:color w:val="404040"/>
        <w:sz w:val="22"/>
      </w:rPr>
      <w:tcPr>
        <w:shd w:val="clear" w:color="DAEEF3" w:themeColor="accent5" w:themeTint="34" w:fill="DAEEF3" w:themeFill="accent5" w:themeFillTint="34"/>
      </w:tcPr>
    </w:tblStylePr>
    <w:tblStylePr w:type="band2Horz"/>
    <w:tblStylePr w:type="neCell"/>
    <w:tblStylePr w:type="nwCell"/>
    <w:tblStylePr w:type="seCell"/>
    <w:tblStylePr w:type="swCell"/>
  </w:style>
  <w:style w:type="table" w:customStyle="1" w:styleId="91">
    <w:name w:val="Grid Table 3 - Accent 6"/>
    <w:qFormat/>
    <w:uiPriority w:val="99"/>
    <w:pPr>
      <w:spacing w:after="0" w:line="240" w:lineRule="auto"/>
    </w:pPr>
    <w:tblPr>
      <w:tblBorders>
        <w:bottom w:val="single" w:color="F79646" w:themeColor="accent6" w:sz="4" w:space="0"/>
        <w:insideH w:val="single" w:color="F79646" w:themeColor="accent6" w:sz="4" w:space="0"/>
        <w:insideV w:val="single" w:color="F79646" w:themeColor="accent6" w:sz="4" w:space="0"/>
      </w:tblBorders>
    </w:tblPr>
    <w:tblStylePr w:type="firstRow">
      <w:rPr>
        <w:b/>
        <w:color w:val="404040"/>
      </w:rPr>
      <w:tcPr>
        <w:tcBorders>
          <w:top w:val="nil"/>
          <w:left w:val="nil"/>
          <w:bottom w:val="nil"/>
          <w:right w:val="nil"/>
        </w:tcBorders>
        <w:shd w:val="clear" w:color="FFFFFF" w:fill="auto"/>
      </w:tcPr>
    </w:tblStylePr>
    <w:tblStylePr w:type="lastRow">
      <w:rPr>
        <w:b/>
        <w:color w:val="404040"/>
      </w:rPr>
      <w:tcPr>
        <w:tcBorders>
          <w:top w:val="nil"/>
          <w:left w:val="nil"/>
          <w:bottom w:val="nil"/>
          <w:right w:val="nil"/>
        </w:tcBorders>
        <w:shd w:val="clear" w:color="FFFFFF" w:fill="auto"/>
      </w:tcPr>
    </w:tblStylePr>
    <w:tblStylePr w:type="firstCol">
      <w:pPr>
        <w:jc w:val="right"/>
      </w:pPr>
      <w:rPr>
        <w:i/>
        <w:color w:val="404040"/>
      </w:rPr>
      <w:tcPr>
        <w:tcBorders>
          <w:top w:val="nil"/>
          <w:left w:val="nil"/>
          <w:bottom w:val="nil"/>
          <w:right w:val="nil"/>
        </w:tcBorders>
        <w:shd w:val="clear" w:color="FFFFFF" w:fill="auto"/>
      </w:tcPr>
    </w:tblStylePr>
    <w:tblStylePr w:type="lastCol">
      <w:rPr>
        <w:i/>
        <w:color w:val="404040"/>
      </w:rPr>
      <w:tcPr>
        <w:tcBorders>
          <w:top w:val="nil"/>
          <w:left w:val="nil"/>
          <w:bottom w:val="nil"/>
          <w:right w:val="nil"/>
        </w:tcBorders>
        <w:shd w:val="clear" w:color="FFFFFF" w:fill="auto"/>
      </w:tcPr>
    </w:tblStylePr>
    <w:tblStylePr w:type="band1Vert">
      <w:rPr>
        <w:rFonts w:ascii="Arial" w:hAnsi="Arial"/>
        <w:color w:val="404040"/>
        <w:sz w:val="22"/>
      </w:rPr>
      <w:tcPr>
        <w:shd w:val="clear" w:color="FDE9D9" w:themeColor="accent6" w:themeTint="34" w:fill="FDE9D9" w:themeFill="accent6" w:themeFillTint="34"/>
      </w:tcPr>
    </w:tblStylePr>
    <w:tblStylePr w:type="band2Vert"/>
    <w:tblStylePr w:type="band1Horz">
      <w:rPr>
        <w:rFonts w:ascii="Arial" w:hAnsi="Arial"/>
        <w:color w:val="404040"/>
        <w:sz w:val="22"/>
      </w:rPr>
      <w:tcPr>
        <w:shd w:val="clear" w:color="FDE9D9" w:themeColor="accent6" w:themeTint="34" w:fill="FDE9D9" w:themeFill="accent6" w:themeFillTint="34"/>
      </w:tcPr>
    </w:tblStylePr>
    <w:tblStylePr w:type="band2Horz"/>
    <w:tblStylePr w:type="neCell"/>
    <w:tblStylePr w:type="nwCell"/>
    <w:tblStylePr w:type="seCell"/>
    <w:tblStylePr w:type="swCell"/>
  </w:style>
  <w:style w:type="table" w:customStyle="1" w:styleId="92">
    <w:name w:val="Grid Table 4"/>
    <w:qFormat/>
    <w:uiPriority w:val="59"/>
    <w:pPr>
      <w:spacing w:after="0" w:line="240" w:lineRule="auto"/>
    </w:pPr>
    <w:tblPr>
      <w:tblBorders>
        <w:top w:val="single" w:color="6E6E6E" w:themeColor="text1" w:themeTint="90" w:sz="4" w:space="0"/>
        <w:left w:val="single" w:color="6E6E6E" w:themeColor="text1" w:themeTint="90" w:sz="4" w:space="0"/>
        <w:bottom w:val="single" w:color="6E6E6E" w:themeColor="text1" w:themeTint="90" w:sz="4" w:space="0"/>
        <w:right w:val="single" w:color="6E6E6E" w:themeColor="text1" w:themeTint="90" w:sz="4" w:space="0"/>
        <w:insideH w:val="single" w:color="6E6E6E" w:themeColor="text1" w:themeTint="90" w:sz="4" w:space="0"/>
        <w:insideV w:val="single" w:color="6E6E6E" w:themeColor="text1" w:themeTint="90" w:sz="4" w:space="0"/>
      </w:tblBorders>
    </w:tblPr>
    <w:tblStylePr w:type="firstRow">
      <w:rPr>
        <w:rFonts w:ascii="Arial" w:hAnsi="Arial"/>
        <w:b/>
        <w:color w:val="FFFFFF"/>
        <w:sz w:val="22"/>
      </w:rPr>
      <w:tcPr>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000000" w:themeColor="text1" w:fill="000000" w:themeFill="text1"/>
      </w:tcPr>
    </w:tblStylePr>
    <w:tblStylePr w:type="lastRow">
      <w:rPr>
        <w:b/>
        <w:color w:val="404040"/>
      </w:rPr>
      <w:tcPr>
        <w:tcBorders>
          <w:top w:val="single" w:color="000000" w:themeColor="text1"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CACACA" w:themeColor="text1" w:themeTint="34" w:fill="CACACA" w:themeFill="text1" w:themeFillTint="34"/>
      </w:tcPr>
    </w:tblStylePr>
    <w:tblStylePr w:type="band2Vert"/>
    <w:tblStylePr w:type="band1Horz">
      <w:rPr>
        <w:rFonts w:ascii="Arial" w:hAnsi="Arial"/>
        <w:color w:val="404040"/>
        <w:sz w:val="22"/>
      </w:rPr>
      <w:tcPr>
        <w:shd w:val="clear" w:color="CACACA" w:themeColor="text1" w:themeTint="34" w:fill="CACACA" w:themeFill="text1" w:themeFillTint="34"/>
      </w:tcPr>
    </w:tblStylePr>
    <w:tblStylePr w:type="band2Horz"/>
    <w:tblStylePr w:type="neCell"/>
    <w:tblStylePr w:type="nwCell"/>
    <w:tblStylePr w:type="seCell"/>
    <w:tblStylePr w:type="swCell"/>
  </w:style>
  <w:style w:type="table" w:customStyle="1" w:styleId="93">
    <w:name w:val="Grid Table 4 - Accent 1"/>
    <w:qFormat/>
    <w:uiPriority w:val="59"/>
    <w:pPr>
      <w:spacing w:after="0" w:line="240" w:lineRule="auto"/>
    </w:pPr>
    <w:tblPr>
      <w:tblBorders>
        <w:top w:val="single" w:color="9BB7D9" w:themeColor="accent1" w:themeTint="90" w:sz="4" w:space="0"/>
        <w:left w:val="single" w:color="9BB7D9" w:themeColor="accent1" w:themeTint="90" w:sz="4" w:space="0"/>
        <w:bottom w:val="single" w:color="9BB7D9" w:themeColor="accent1" w:themeTint="90" w:sz="4" w:space="0"/>
        <w:right w:val="single" w:color="9BB7D9" w:themeColor="accent1" w:themeTint="90" w:sz="4" w:space="0"/>
        <w:insideH w:val="single" w:color="9BB7D9" w:themeColor="accent1" w:themeTint="90" w:sz="4" w:space="0"/>
        <w:insideV w:val="single" w:color="9BB7D9" w:themeColor="accent1" w:themeTint="90" w:sz="4" w:space="0"/>
      </w:tblBorders>
    </w:tblPr>
    <w:tblStylePr w:type="firstRow">
      <w:rPr>
        <w:rFonts w:ascii="Arial" w:hAnsi="Arial"/>
        <w:b/>
        <w:color w:val="FFFFFF"/>
        <w:sz w:val="22"/>
      </w:rPr>
      <w:tcPr>
        <w:tcBorders>
          <w:top w:val="single" w:color="5D8BC2" w:themeColor="accent1" w:themeTint="EA" w:sz="4" w:space="0"/>
          <w:left w:val="single" w:color="5D8BC2" w:themeColor="accent1" w:themeTint="EA" w:sz="4" w:space="0"/>
          <w:bottom w:val="single" w:color="5D8BC2" w:themeColor="accent1" w:themeTint="EA" w:sz="4" w:space="0"/>
          <w:right w:val="single" w:color="5D8BC2" w:themeColor="accent1" w:themeTint="EA" w:sz="4" w:space="0"/>
        </w:tcBorders>
        <w:shd w:val="clear" w:color="5D8BC2" w:themeColor="accent1" w:themeTint="EA" w:fill="5D8BC2" w:themeFill="accent1" w:themeFillTint="EA"/>
      </w:tcPr>
    </w:tblStylePr>
    <w:tblStylePr w:type="lastRow">
      <w:rPr>
        <w:b/>
        <w:color w:val="404040"/>
      </w:rPr>
      <w:tcPr>
        <w:tcBorders>
          <w:top w:val="single" w:color="5D8BC2" w:themeColor="accent1" w:themeTint="EA"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DCE6F2" w:themeColor="accent1" w:themeTint="32" w:fill="DCE6F2" w:themeFill="accent1" w:themeFillTint="32"/>
      </w:tcPr>
    </w:tblStylePr>
    <w:tblStylePr w:type="band2Vert"/>
    <w:tblStylePr w:type="band1Horz">
      <w:rPr>
        <w:rFonts w:ascii="Arial" w:hAnsi="Arial"/>
        <w:color w:val="404040"/>
        <w:sz w:val="22"/>
      </w:rPr>
      <w:tcPr>
        <w:shd w:val="clear" w:color="DCE6F2" w:themeColor="accent1" w:themeTint="32" w:fill="DCE6F2" w:themeFill="accent1" w:themeFillTint="32"/>
      </w:tcPr>
    </w:tblStylePr>
    <w:tblStylePr w:type="band2Horz"/>
    <w:tblStylePr w:type="neCell"/>
    <w:tblStylePr w:type="nwCell"/>
    <w:tblStylePr w:type="seCell"/>
    <w:tblStylePr w:type="swCell"/>
  </w:style>
  <w:style w:type="table" w:customStyle="1" w:styleId="94">
    <w:name w:val="Grid Table 4 - Accent 2"/>
    <w:qFormat/>
    <w:uiPriority w:val="59"/>
    <w:pPr>
      <w:spacing w:after="0" w:line="240" w:lineRule="auto"/>
    </w:pPr>
    <w:tblPr>
      <w:tblBorders>
        <w:top w:val="single" w:color="DB9C9A" w:themeColor="accent2" w:themeTint="90" w:sz="4" w:space="0"/>
        <w:left w:val="single" w:color="DB9C9A" w:themeColor="accent2" w:themeTint="90" w:sz="4" w:space="0"/>
        <w:bottom w:val="single" w:color="DB9C9A" w:themeColor="accent2" w:themeTint="90" w:sz="4" w:space="0"/>
        <w:right w:val="single" w:color="DB9C9A" w:themeColor="accent2" w:themeTint="90" w:sz="4" w:space="0"/>
        <w:insideH w:val="single" w:color="DB9C9A" w:themeColor="accent2" w:themeTint="90" w:sz="4" w:space="0"/>
        <w:insideV w:val="single" w:color="DB9C9A" w:themeColor="accent2" w:themeTint="90" w:sz="4" w:space="0"/>
      </w:tblBorders>
    </w:tblPr>
    <w:tblStylePr w:type="firstRow">
      <w:rPr>
        <w:rFonts w:ascii="Arial" w:hAnsi="Arial"/>
        <w:b/>
        <w:color w:val="FFFFFF"/>
        <w:sz w:val="22"/>
      </w:rPr>
      <w:tcPr>
        <w:tcBorders>
          <w:top w:val="single" w:color="D99795" w:themeColor="accent2" w:themeTint="97" w:sz="4" w:space="0"/>
          <w:left w:val="single" w:color="D99795" w:themeColor="accent2" w:themeTint="97" w:sz="4" w:space="0"/>
          <w:bottom w:val="single" w:color="D99795" w:themeColor="accent2" w:themeTint="97" w:sz="4" w:space="0"/>
          <w:right w:val="single" w:color="D99795" w:themeColor="accent2" w:themeTint="97" w:sz="4" w:space="0"/>
        </w:tcBorders>
        <w:shd w:val="clear" w:color="D99795" w:themeColor="accent2" w:themeTint="97" w:fill="D99795" w:themeFill="accent2" w:themeFillTint="97"/>
      </w:tcPr>
    </w:tblStylePr>
    <w:tblStylePr w:type="lastRow">
      <w:rPr>
        <w:b/>
        <w:color w:val="404040"/>
      </w:rPr>
      <w:tcPr>
        <w:tcBorders>
          <w:top w:val="single" w:color="D99795" w:themeColor="accent2" w:themeTint="97"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F2DCDC" w:themeColor="accent2" w:themeTint="32" w:fill="F2DCDC" w:themeFill="accent2" w:themeFillTint="32"/>
      </w:tcPr>
    </w:tblStylePr>
    <w:tblStylePr w:type="band2Vert"/>
    <w:tblStylePr w:type="band1Horz">
      <w:rPr>
        <w:rFonts w:ascii="Arial" w:hAnsi="Arial"/>
        <w:color w:val="404040"/>
        <w:sz w:val="22"/>
      </w:rPr>
      <w:tcPr>
        <w:shd w:val="clear" w:color="F2DCDC" w:themeColor="accent2" w:themeTint="32" w:fill="F2DCDC" w:themeFill="accent2" w:themeFillTint="32"/>
      </w:tcPr>
    </w:tblStylePr>
    <w:tblStylePr w:type="band2Horz"/>
    <w:tblStylePr w:type="neCell"/>
    <w:tblStylePr w:type="nwCell"/>
    <w:tblStylePr w:type="seCell"/>
    <w:tblStylePr w:type="swCell"/>
  </w:style>
  <w:style w:type="table" w:customStyle="1" w:styleId="95">
    <w:name w:val="Grid Table 4 - Accent 3"/>
    <w:qFormat/>
    <w:uiPriority w:val="59"/>
    <w:pPr>
      <w:spacing w:after="0" w:line="240" w:lineRule="auto"/>
    </w:pPr>
    <w:tblPr>
      <w:tblBorders>
        <w:top w:val="single" w:color="C6D8A1" w:themeColor="accent3" w:themeTint="90" w:sz="4" w:space="0"/>
        <w:left w:val="single" w:color="C6D8A1" w:themeColor="accent3" w:themeTint="90" w:sz="4" w:space="0"/>
        <w:bottom w:val="single" w:color="C6D8A1" w:themeColor="accent3" w:themeTint="90" w:sz="4" w:space="0"/>
        <w:right w:val="single" w:color="C6D8A1" w:themeColor="accent3" w:themeTint="90" w:sz="4" w:space="0"/>
        <w:insideH w:val="single" w:color="C6D8A1" w:themeColor="accent3" w:themeTint="90" w:sz="4" w:space="0"/>
        <w:insideV w:val="single" w:color="C6D8A1" w:themeColor="accent3" w:themeTint="90" w:sz="4" w:space="0"/>
      </w:tblBorders>
    </w:tblPr>
    <w:tblStylePr w:type="firstRow">
      <w:rPr>
        <w:rFonts w:ascii="Arial" w:hAnsi="Arial"/>
        <w:b/>
        <w:color w:val="FFFFFF"/>
        <w:sz w:val="22"/>
      </w:rPr>
      <w:tcPr>
        <w:tcBorders>
          <w:top w:val="single" w:color="9BBB59" w:themeColor="accent3" w:themeTint="FE" w:sz="4" w:space="0"/>
          <w:left w:val="single" w:color="9BBB59" w:themeColor="accent3" w:themeTint="FE" w:sz="4" w:space="0"/>
          <w:bottom w:val="single" w:color="9BBB59" w:themeColor="accent3" w:themeTint="FE" w:sz="4" w:space="0"/>
          <w:right w:val="single" w:color="9BBB59" w:themeColor="accent3" w:themeTint="FE" w:sz="4" w:space="0"/>
        </w:tcBorders>
        <w:shd w:val="clear" w:color="9BBB59" w:themeColor="accent3" w:themeTint="FE" w:fill="9BBB59" w:themeFill="accent3" w:themeFillTint="FE"/>
      </w:tcPr>
    </w:tblStylePr>
    <w:tblStylePr w:type="lastRow">
      <w:rPr>
        <w:b/>
        <w:color w:val="404040"/>
      </w:rPr>
      <w:tcPr>
        <w:tcBorders>
          <w:top w:val="single" w:color="9BBB59" w:themeColor="accent3" w:themeTint="FE"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EAF1DD" w:themeColor="accent3" w:themeTint="34" w:fill="EAF1DD" w:themeFill="accent3" w:themeFillTint="34"/>
      </w:tcPr>
    </w:tblStylePr>
    <w:tblStylePr w:type="band2Vert"/>
    <w:tblStylePr w:type="band1Horz">
      <w:rPr>
        <w:rFonts w:ascii="Arial" w:hAnsi="Arial"/>
        <w:color w:val="404040"/>
        <w:sz w:val="22"/>
      </w:rPr>
      <w:tcPr>
        <w:shd w:val="clear" w:color="EAF1DD" w:themeColor="accent3" w:themeTint="34" w:fill="EAF1DD" w:themeFill="accent3" w:themeFillTint="34"/>
      </w:tcPr>
    </w:tblStylePr>
    <w:tblStylePr w:type="band2Horz"/>
    <w:tblStylePr w:type="neCell"/>
    <w:tblStylePr w:type="nwCell"/>
    <w:tblStylePr w:type="seCell"/>
    <w:tblStylePr w:type="swCell"/>
  </w:style>
  <w:style w:type="table" w:customStyle="1" w:styleId="96">
    <w:name w:val="Grid Table 4 - Accent 4"/>
    <w:qFormat/>
    <w:uiPriority w:val="59"/>
    <w:pPr>
      <w:spacing w:after="0" w:line="240" w:lineRule="auto"/>
    </w:pPr>
    <w:tblPr>
      <w:tblBorders>
        <w:top w:val="single" w:color="B7A7CA" w:themeColor="accent4" w:themeTint="90" w:sz="4" w:space="0"/>
        <w:left w:val="single" w:color="B7A7CA" w:themeColor="accent4" w:themeTint="90" w:sz="4" w:space="0"/>
        <w:bottom w:val="single" w:color="B7A7CA" w:themeColor="accent4" w:themeTint="90" w:sz="4" w:space="0"/>
        <w:right w:val="single" w:color="B7A7CA" w:themeColor="accent4" w:themeTint="90" w:sz="4" w:space="0"/>
        <w:insideH w:val="single" w:color="B7A7CA" w:themeColor="accent4" w:themeTint="90" w:sz="4" w:space="0"/>
        <w:insideV w:val="single" w:color="B7A7CA" w:themeColor="accent4" w:themeTint="90" w:sz="4" w:space="0"/>
      </w:tblBorders>
    </w:tblPr>
    <w:tblStylePr w:type="firstRow">
      <w:rPr>
        <w:rFonts w:ascii="Arial" w:hAnsi="Arial"/>
        <w:b/>
        <w:color w:val="FFFFFF"/>
        <w:sz w:val="22"/>
      </w:rPr>
      <w:tcPr>
        <w:tcBorders>
          <w:top w:val="single" w:color="B2A1C6" w:themeColor="accent4" w:themeTint="9A" w:sz="4" w:space="0"/>
          <w:left w:val="single" w:color="B2A1C6" w:themeColor="accent4" w:themeTint="9A" w:sz="4" w:space="0"/>
          <w:bottom w:val="single" w:color="B2A1C6" w:themeColor="accent4" w:themeTint="9A" w:sz="4" w:space="0"/>
          <w:right w:val="single" w:color="B2A1C6" w:themeColor="accent4" w:themeTint="9A" w:sz="4" w:space="0"/>
        </w:tcBorders>
        <w:shd w:val="clear" w:color="B2A1C6" w:themeColor="accent4" w:themeTint="9A" w:fill="B2A1C6" w:themeFill="accent4" w:themeFillTint="9A"/>
      </w:tcPr>
    </w:tblStylePr>
    <w:tblStylePr w:type="lastRow">
      <w:rPr>
        <w:b/>
        <w:color w:val="404040"/>
      </w:rPr>
      <w:tcPr>
        <w:tcBorders>
          <w:top w:val="single" w:color="B2A1C6" w:themeColor="accent4" w:themeTint="9A"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E5DFEC" w:themeColor="accent4" w:themeTint="34" w:fill="E5DFEC" w:themeFill="accent4" w:themeFillTint="34"/>
      </w:tcPr>
    </w:tblStylePr>
    <w:tblStylePr w:type="band2Vert"/>
    <w:tblStylePr w:type="band1Horz">
      <w:rPr>
        <w:rFonts w:ascii="Arial" w:hAnsi="Arial"/>
        <w:color w:val="404040"/>
        <w:sz w:val="22"/>
      </w:rPr>
      <w:tcPr>
        <w:shd w:val="clear" w:color="E5DFEC" w:themeColor="accent4" w:themeTint="34" w:fill="E5DFEC" w:themeFill="accent4" w:themeFillTint="34"/>
      </w:tcPr>
    </w:tblStylePr>
    <w:tblStylePr w:type="band2Horz"/>
    <w:tblStylePr w:type="neCell"/>
    <w:tblStylePr w:type="nwCell"/>
    <w:tblStylePr w:type="seCell"/>
    <w:tblStylePr w:type="swCell"/>
  </w:style>
  <w:style w:type="table" w:customStyle="1" w:styleId="97">
    <w:name w:val="Grid Table 4 - Accent 5"/>
    <w:qFormat/>
    <w:uiPriority w:val="59"/>
    <w:pPr>
      <w:spacing w:after="0" w:line="240" w:lineRule="auto"/>
    </w:pPr>
    <w:tblPr>
      <w:tblBorders>
        <w:top w:val="single" w:color="99D0DE" w:themeColor="accent5" w:themeTint="90" w:sz="4" w:space="0"/>
        <w:left w:val="single" w:color="99D0DE" w:themeColor="accent5" w:themeTint="90" w:sz="4" w:space="0"/>
        <w:bottom w:val="single" w:color="99D0DE" w:themeColor="accent5" w:themeTint="90" w:sz="4" w:space="0"/>
        <w:right w:val="single" w:color="99D0DE" w:themeColor="accent5" w:themeTint="90" w:sz="4" w:space="0"/>
        <w:insideH w:val="single" w:color="99D0DE" w:themeColor="accent5" w:themeTint="90" w:sz="4" w:space="0"/>
        <w:insideV w:val="single" w:color="99D0DE" w:themeColor="accent5" w:themeTint="90" w:sz="4" w:space="0"/>
      </w:tblBorders>
    </w:tblPr>
    <w:tblStylePr w:type="firstRow">
      <w:rPr>
        <w:rFonts w:ascii="Arial" w:hAnsi="Arial"/>
        <w:b/>
        <w:color w:val="FFFFFF"/>
        <w:sz w:val="22"/>
      </w:rPr>
      <w:tcPr>
        <w:tcBorders>
          <w:top w:val="single" w:color="4BACC6" w:themeColor="accent5" w:sz="4" w:space="0"/>
          <w:left w:val="single" w:color="4BACC6" w:themeColor="accent5" w:sz="4" w:space="0"/>
          <w:bottom w:val="single" w:color="4BACC6" w:themeColor="accent5" w:sz="4" w:space="0"/>
          <w:right w:val="single" w:color="4BACC6" w:themeColor="accent5" w:sz="4" w:space="0"/>
        </w:tcBorders>
        <w:shd w:val="clear" w:color="4BACC6" w:themeColor="accent5" w:fill="4BACC6" w:themeFill="accent5"/>
      </w:tcPr>
    </w:tblStylePr>
    <w:tblStylePr w:type="lastRow">
      <w:rPr>
        <w:b/>
        <w:color w:val="404040"/>
      </w:rPr>
      <w:tcPr>
        <w:tcBorders>
          <w:top w:val="single" w:color="4BACC6" w:themeColor="accent5"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DAEEF3" w:themeColor="accent5" w:themeTint="34" w:fill="DAEEF3" w:themeFill="accent5" w:themeFillTint="34"/>
      </w:tcPr>
    </w:tblStylePr>
    <w:tblStylePr w:type="band2Vert"/>
    <w:tblStylePr w:type="band1Horz">
      <w:rPr>
        <w:rFonts w:ascii="Arial" w:hAnsi="Arial"/>
        <w:color w:val="404040"/>
        <w:sz w:val="22"/>
      </w:rPr>
      <w:tcPr>
        <w:shd w:val="clear" w:color="DAEEF3" w:themeColor="accent5" w:themeTint="34" w:fill="DAEEF3" w:themeFill="accent5" w:themeFillTint="34"/>
      </w:tcPr>
    </w:tblStylePr>
    <w:tblStylePr w:type="band2Horz"/>
    <w:tblStylePr w:type="neCell"/>
    <w:tblStylePr w:type="nwCell"/>
    <w:tblStylePr w:type="seCell"/>
    <w:tblStylePr w:type="swCell"/>
  </w:style>
  <w:style w:type="table" w:customStyle="1" w:styleId="98">
    <w:name w:val="Grid Table 4 - Accent 6"/>
    <w:qFormat/>
    <w:uiPriority w:val="59"/>
    <w:pPr>
      <w:spacing w:after="0" w:line="240" w:lineRule="auto"/>
    </w:pPr>
    <w:tblPr>
      <w:tblBorders>
        <w:top w:val="single" w:color="FAC396" w:themeColor="accent6" w:themeTint="90" w:sz="4" w:space="0"/>
        <w:left w:val="single" w:color="FAC396" w:themeColor="accent6" w:themeTint="90" w:sz="4" w:space="0"/>
        <w:bottom w:val="single" w:color="FAC396" w:themeColor="accent6" w:themeTint="90" w:sz="4" w:space="0"/>
        <w:right w:val="single" w:color="FAC396" w:themeColor="accent6" w:themeTint="90" w:sz="4" w:space="0"/>
        <w:insideH w:val="single" w:color="FAC396" w:themeColor="accent6" w:themeTint="90" w:sz="4" w:space="0"/>
        <w:insideV w:val="single" w:color="FAC396" w:themeColor="accent6" w:themeTint="90" w:sz="4" w:space="0"/>
      </w:tblBorders>
    </w:tblPr>
    <w:tblStylePr w:type="firstRow">
      <w:rPr>
        <w:rFonts w:ascii="Arial" w:hAnsi="Arial"/>
        <w:b/>
        <w:color w:val="FFFFFF"/>
        <w:sz w:val="22"/>
      </w:rPr>
      <w:tcPr>
        <w:tcBorders>
          <w:top w:val="single" w:color="F79646" w:themeColor="accent6" w:sz="4" w:space="0"/>
          <w:left w:val="single" w:color="F79646" w:themeColor="accent6" w:sz="4" w:space="0"/>
          <w:bottom w:val="single" w:color="F79646" w:themeColor="accent6" w:sz="4" w:space="0"/>
          <w:right w:val="single" w:color="F79646" w:themeColor="accent6" w:sz="4" w:space="0"/>
        </w:tcBorders>
        <w:shd w:val="clear" w:color="F79646" w:themeColor="accent6" w:fill="F79646" w:themeFill="accent6"/>
      </w:tcPr>
    </w:tblStylePr>
    <w:tblStylePr w:type="lastRow">
      <w:rPr>
        <w:b/>
        <w:color w:val="404040"/>
      </w:rPr>
      <w:tcPr>
        <w:tcBorders>
          <w:top w:val="single" w:color="F79646" w:themeColor="accent6" w:sz="4" w:space="0"/>
        </w:tcBorders>
      </w:tcPr>
    </w:tblStylePr>
    <w:tblStylePr w:type="firstCol">
      <w:rPr>
        <w:b/>
        <w:color w:val="404040"/>
      </w:rPr>
    </w:tblStylePr>
    <w:tblStylePr w:type="lastCol">
      <w:rPr>
        <w:b/>
        <w:color w:val="404040"/>
      </w:rPr>
    </w:tblStylePr>
    <w:tblStylePr w:type="band1Vert">
      <w:rPr>
        <w:rFonts w:ascii="Arial" w:hAnsi="Arial"/>
        <w:color w:val="404040"/>
        <w:sz w:val="22"/>
      </w:rPr>
      <w:tcPr>
        <w:shd w:val="clear" w:color="FDE9D9" w:themeColor="accent6" w:themeTint="34" w:fill="FDE9D9" w:themeFill="accent6" w:themeFillTint="34"/>
      </w:tcPr>
    </w:tblStylePr>
    <w:tblStylePr w:type="band2Vert"/>
    <w:tblStylePr w:type="band1Horz">
      <w:rPr>
        <w:rFonts w:ascii="Arial" w:hAnsi="Arial"/>
        <w:color w:val="404040"/>
        <w:sz w:val="22"/>
      </w:rPr>
      <w:tcPr>
        <w:shd w:val="clear" w:color="FDE9D9" w:themeColor="accent6" w:themeTint="34" w:fill="FDE9D9" w:themeFill="accent6" w:themeFillTint="34"/>
      </w:tcPr>
    </w:tblStylePr>
    <w:tblStylePr w:type="band2Horz"/>
    <w:tblStylePr w:type="neCell"/>
    <w:tblStylePr w:type="nwCell"/>
    <w:tblStylePr w:type="seCell"/>
    <w:tblStylePr w:type="swCell"/>
  </w:style>
  <w:style w:type="table" w:customStyle="1" w:styleId="99">
    <w:name w:val="Grid Table 5 Dark"/>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000000" w:themeColor="text1" w:fill="000000" w:themeFill="text1"/>
      </w:tcPr>
    </w:tblStylePr>
    <w:tblStylePr w:type="lastRow">
      <w:rPr>
        <w:rFonts w:ascii="Arial" w:hAnsi="Arial"/>
        <w:b/>
        <w:color w:val="FFFFFF"/>
        <w:sz w:val="22"/>
      </w:rPr>
      <w:tcPr>
        <w:tcBorders>
          <w:top w:val="single" w:color="FFFFFF" w:themeColor="light1" w:sz="4" w:space="0"/>
        </w:tcBorders>
        <w:shd w:val="clear" w:color="000000" w:themeColor="text1" w:fill="000000" w:themeFill="text1"/>
      </w:tcPr>
    </w:tblStylePr>
    <w:tblStylePr w:type="firstCol">
      <w:rPr>
        <w:rFonts w:ascii="Arial" w:hAnsi="Arial"/>
        <w:b/>
        <w:color w:val="FFFFFF"/>
        <w:sz w:val="22"/>
      </w:rPr>
      <w:tcPr>
        <w:shd w:val="clear" w:color="000000" w:themeColor="text1" w:fill="000000" w:themeFill="text1"/>
      </w:tcPr>
    </w:tblStylePr>
    <w:tblStylePr w:type="lastCol">
      <w:rPr>
        <w:rFonts w:ascii="Arial" w:hAnsi="Arial"/>
        <w:b/>
        <w:color w:val="FFFFFF"/>
        <w:sz w:val="22"/>
      </w:rPr>
      <w:tcPr>
        <w:shd w:val="clear" w:color="000000" w:themeColor="text1" w:fill="000000" w:themeFill="text1"/>
      </w:tcPr>
    </w:tblStylePr>
    <w:tblStylePr w:type="band1Vert">
      <w:tcPr>
        <w:shd w:val="clear" w:color="898989" w:themeColor="text1" w:themeTint="75" w:fill="898989" w:themeFill="text1" w:themeFillTint="75"/>
      </w:tcPr>
    </w:tblStylePr>
    <w:tblStylePr w:type="band2Vert"/>
    <w:tblStylePr w:type="band1Horz">
      <w:tcPr>
        <w:shd w:val="clear" w:color="898989" w:themeColor="text1" w:themeTint="75" w:fill="898989" w:themeFill="text1" w:themeFillTint="75"/>
      </w:tcPr>
    </w:tblStylePr>
    <w:tblStylePr w:type="band2Horz"/>
    <w:tblStylePr w:type="neCell"/>
    <w:tblStylePr w:type="nwCell"/>
    <w:tblStylePr w:type="seCell"/>
    <w:tblStylePr w:type="swCell"/>
  </w:style>
  <w:style w:type="table" w:customStyle="1" w:styleId="100">
    <w:name w:val="Grid Table 5 Dark- Accent 1"/>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4F81BD" w:themeColor="accent1" w:fill="4F81BD" w:themeFill="accent1"/>
      </w:tcPr>
    </w:tblStylePr>
    <w:tblStylePr w:type="lastRow">
      <w:rPr>
        <w:rFonts w:ascii="Arial" w:hAnsi="Arial"/>
        <w:b/>
        <w:color w:val="FFFFFF"/>
        <w:sz w:val="22"/>
      </w:rPr>
      <w:tcPr>
        <w:tcBorders>
          <w:top w:val="single" w:color="FFFFFF" w:themeColor="light1" w:sz="4" w:space="0"/>
        </w:tcBorders>
        <w:shd w:val="clear" w:color="4F81BD" w:themeColor="accent1" w:fill="4F81BD" w:themeFill="accent1"/>
      </w:tcPr>
    </w:tblStylePr>
    <w:tblStylePr w:type="firstCol">
      <w:rPr>
        <w:rFonts w:ascii="Arial" w:hAnsi="Arial"/>
        <w:b/>
        <w:color w:val="FFFFFF"/>
        <w:sz w:val="22"/>
      </w:rPr>
      <w:tcPr>
        <w:shd w:val="clear" w:color="4F81BD" w:themeColor="accent1" w:fill="4F81BD" w:themeFill="accent1"/>
      </w:tcPr>
    </w:tblStylePr>
    <w:tblStylePr w:type="lastCol">
      <w:rPr>
        <w:rFonts w:ascii="Arial" w:hAnsi="Arial"/>
        <w:b/>
        <w:color w:val="FFFFFF"/>
        <w:sz w:val="22"/>
      </w:rPr>
      <w:tcPr>
        <w:shd w:val="clear" w:color="4F81BD" w:themeColor="accent1" w:fill="4F81BD" w:themeFill="accent1"/>
      </w:tcPr>
    </w:tblStylePr>
    <w:tblStylePr w:type="band1Vert">
      <w:tcPr>
        <w:shd w:val="clear" w:color="AEC5E0" w:themeColor="accent1" w:themeTint="75" w:fill="AEC5E0" w:themeFill="accent1" w:themeFillTint="75"/>
      </w:tcPr>
    </w:tblStylePr>
    <w:tblStylePr w:type="band2Vert"/>
    <w:tblStylePr w:type="band1Horz">
      <w:tcPr>
        <w:shd w:val="clear" w:color="AEC5E0" w:themeColor="accent1" w:themeTint="75" w:fill="AEC5E0" w:themeFill="accent1" w:themeFillTint="75"/>
      </w:tcPr>
    </w:tblStylePr>
    <w:tblStylePr w:type="band2Horz"/>
    <w:tblStylePr w:type="neCell"/>
    <w:tblStylePr w:type="nwCell"/>
    <w:tblStylePr w:type="seCell"/>
    <w:tblStylePr w:type="swCell"/>
  </w:style>
  <w:style w:type="table" w:customStyle="1" w:styleId="101">
    <w:name w:val="Grid Table 5 Dark - Accent 2"/>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C0504D" w:themeColor="accent2" w:fill="C0504D" w:themeFill="accent2"/>
      </w:tcPr>
    </w:tblStylePr>
    <w:tblStylePr w:type="lastRow">
      <w:rPr>
        <w:rFonts w:ascii="Arial" w:hAnsi="Arial"/>
        <w:b/>
        <w:color w:val="FFFFFF"/>
        <w:sz w:val="22"/>
      </w:rPr>
      <w:tcPr>
        <w:tcBorders>
          <w:top w:val="single" w:color="FFFFFF" w:themeColor="light1" w:sz="4" w:space="0"/>
        </w:tcBorders>
        <w:shd w:val="clear" w:color="C0504D" w:themeColor="accent2" w:fill="C0504D" w:themeFill="accent2"/>
      </w:tcPr>
    </w:tblStylePr>
    <w:tblStylePr w:type="firstCol">
      <w:rPr>
        <w:rFonts w:ascii="Arial" w:hAnsi="Arial"/>
        <w:b/>
        <w:color w:val="FFFFFF"/>
        <w:sz w:val="22"/>
      </w:rPr>
      <w:tcPr>
        <w:shd w:val="clear" w:color="C0504D" w:themeColor="accent2" w:fill="C0504D" w:themeFill="accent2"/>
      </w:tcPr>
    </w:tblStylePr>
    <w:tblStylePr w:type="lastCol">
      <w:rPr>
        <w:rFonts w:ascii="Arial" w:hAnsi="Arial"/>
        <w:b/>
        <w:color w:val="FFFFFF"/>
        <w:sz w:val="22"/>
      </w:rPr>
      <w:tcPr>
        <w:shd w:val="clear" w:color="C0504D" w:themeColor="accent2" w:fill="C0504D" w:themeFill="accent2"/>
      </w:tcPr>
    </w:tblStylePr>
    <w:tblStylePr w:type="band1Vert">
      <w:tcPr>
        <w:shd w:val="clear" w:color="E2AEAD" w:themeColor="accent2" w:themeTint="75" w:fill="E2AEAD" w:themeFill="accent2" w:themeFillTint="75"/>
      </w:tcPr>
    </w:tblStylePr>
    <w:tblStylePr w:type="band2Vert"/>
    <w:tblStylePr w:type="band1Horz">
      <w:tcPr>
        <w:shd w:val="clear" w:color="E2AEAD" w:themeColor="accent2" w:themeTint="75" w:fill="E2AEAD" w:themeFill="accent2" w:themeFillTint="75"/>
      </w:tcPr>
    </w:tblStylePr>
    <w:tblStylePr w:type="band2Horz"/>
    <w:tblStylePr w:type="neCell"/>
    <w:tblStylePr w:type="nwCell"/>
    <w:tblStylePr w:type="seCell"/>
    <w:tblStylePr w:type="swCell"/>
  </w:style>
  <w:style w:type="table" w:customStyle="1" w:styleId="102">
    <w:name w:val="Grid Table 5 Dark - Accent 3"/>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9BBB59" w:themeColor="accent3" w:fill="9BBB59" w:themeFill="accent3"/>
      </w:tcPr>
    </w:tblStylePr>
    <w:tblStylePr w:type="lastRow">
      <w:rPr>
        <w:rFonts w:ascii="Arial" w:hAnsi="Arial"/>
        <w:b/>
        <w:color w:val="FFFFFF"/>
        <w:sz w:val="22"/>
      </w:rPr>
      <w:tcPr>
        <w:tcBorders>
          <w:top w:val="single" w:color="FFFFFF" w:themeColor="light1" w:sz="4" w:space="0"/>
        </w:tcBorders>
        <w:shd w:val="clear" w:color="9BBB59" w:themeColor="accent3" w:fill="9BBB59" w:themeFill="accent3"/>
      </w:tcPr>
    </w:tblStylePr>
    <w:tblStylePr w:type="firstCol">
      <w:rPr>
        <w:rFonts w:ascii="Arial" w:hAnsi="Arial"/>
        <w:b/>
        <w:color w:val="FFFFFF"/>
        <w:sz w:val="22"/>
      </w:rPr>
      <w:tcPr>
        <w:shd w:val="clear" w:color="9BBB59" w:themeColor="accent3" w:fill="9BBB59" w:themeFill="accent3"/>
      </w:tcPr>
    </w:tblStylePr>
    <w:tblStylePr w:type="lastCol">
      <w:rPr>
        <w:rFonts w:ascii="Arial" w:hAnsi="Arial"/>
        <w:b/>
        <w:color w:val="FFFFFF"/>
        <w:sz w:val="22"/>
      </w:rPr>
      <w:tcPr>
        <w:shd w:val="clear" w:color="9BBB59" w:themeColor="accent3" w:fill="9BBB59" w:themeFill="accent3"/>
      </w:tcPr>
    </w:tblStylePr>
    <w:tblStylePr w:type="band1Vert">
      <w:tcPr>
        <w:shd w:val="clear" w:color="D1DFB2" w:themeColor="accent3" w:themeTint="75" w:fill="D1DFB2" w:themeFill="accent3" w:themeFillTint="75"/>
      </w:tcPr>
    </w:tblStylePr>
    <w:tblStylePr w:type="band2Vert"/>
    <w:tblStylePr w:type="band1Horz">
      <w:tcPr>
        <w:shd w:val="clear" w:color="D1DFB2" w:themeColor="accent3" w:themeTint="75" w:fill="D1DFB2" w:themeFill="accent3" w:themeFillTint="75"/>
      </w:tcPr>
    </w:tblStylePr>
    <w:tblStylePr w:type="band2Horz"/>
    <w:tblStylePr w:type="neCell"/>
    <w:tblStylePr w:type="nwCell"/>
    <w:tblStylePr w:type="seCell"/>
    <w:tblStylePr w:type="swCell"/>
  </w:style>
  <w:style w:type="table" w:customStyle="1" w:styleId="103">
    <w:name w:val="Grid Table 5 Dark- Accent 4"/>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8064A2" w:themeColor="accent4" w:fill="8064A2" w:themeFill="accent4"/>
      </w:tcPr>
    </w:tblStylePr>
    <w:tblStylePr w:type="lastRow">
      <w:rPr>
        <w:rFonts w:ascii="Arial" w:hAnsi="Arial"/>
        <w:b/>
        <w:color w:val="FFFFFF"/>
        <w:sz w:val="22"/>
      </w:rPr>
      <w:tcPr>
        <w:tcBorders>
          <w:top w:val="single" w:color="FFFFFF" w:themeColor="light1" w:sz="4" w:space="0"/>
        </w:tcBorders>
        <w:shd w:val="clear" w:color="8064A2" w:themeColor="accent4" w:fill="8064A2" w:themeFill="accent4"/>
      </w:tcPr>
    </w:tblStylePr>
    <w:tblStylePr w:type="firstCol">
      <w:rPr>
        <w:rFonts w:ascii="Arial" w:hAnsi="Arial"/>
        <w:b/>
        <w:color w:val="FFFFFF"/>
        <w:sz w:val="22"/>
      </w:rPr>
      <w:tcPr>
        <w:shd w:val="clear" w:color="8064A2" w:themeColor="accent4" w:fill="8064A2" w:themeFill="accent4"/>
      </w:tcPr>
    </w:tblStylePr>
    <w:tblStylePr w:type="lastCol">
      <w:rPr>
        <w:rFonts w:ascii="Arial" w:hAnsi="Arial"/>
        <w:b/>
        <w:color w:val="FFFFFF"/>
        <w:sz w:val="22"/>
      </w:rPr>
      <w:tcPr>
        <w:shd w:val="clear" w:color="8064A2" w:themeColor="accent4" w:fill="8064A2" w:themeFill="accent4"/>
      </w:tcPr>
    </w:tblStylePr>
    <w:tblStylePr w:type="band1Vert">
      <w:tcPr>
        <w:shd w:val="clear" w:color="C4B7D4" w:themeColor="accent4" w:themeTint="75" w:fill="C4B7D4" w:themeFill="accent4" w:themeFillTint="75"/>
      </w:tcPr>
    </w:tblStylePr>
    <w:tblStylePr w:type="band2Vert"/>
    <w:tblStylePr w:type="band1Horz">
      <w:tcPr>
        <w:shd w:val="clear" w:color="C4B7D4" w:themeColor="accent4" w:themeTint="75" w:fill="C4B7D4" w:themeFill="accent4" w:themeFillTint="75"/>
      </w:tcPr>
    </w:tblStylePr>
    <w:tblStylePr w:type="band2Horz"/>
    <w:tblStylePr w:type="neCell"/>
    <w:tblStylePr w:type="nwCell"/>
    <w:tblStylePr w:type="seCell"/>
    <w:tblStylePr w:type="swCell"/>
  </w:style>
  <w:style w:type="table" w:customStyle="1" w:styleId="104">
    <w:name w:val="Grid Table 5 Dark - Accent 5"/>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4BACC6" w:themeColor="accent5" w:fill="4BACC6" w:themeFill="accent5"/>
      </w:tcPr>
    </w:tblStylePr>
    <w:tblStylePr w:type="lastRow">
      <w:rPr>
        <w:rFonts w:ascii="Arial" w:hAnsi="Arial"/>
        <w:b/>
        <w:color w:val="FFFFFF"/>
        <w:sz w:val="22"/>
      </w:rPr>
      <w:tcPr>
        <w:tcBorders>
          <w:top w:val="single" w:color="FFFFFF" w:themeColor="light1" w:sz="4" w:space="0"/>
        </w:tcBorders>
        <w:shd w:val="clear" w:color="4BACC6" w:themeColor="accent5" w:fill="4BACC6" w:themeFill="accent5"/>
      </w:tcPr>
    </w:tblStylePr>
    <w:tblStylePr w:type="firstCol">
      <w:rPr>
        <w:rFonts w:ascii="Arial" w:hAnsi="Arial"/>
        <w:b/>
        <w:color w:val="FFFFFF"/>
        <w:sz w:val="22"/>
      </w:rPr>
      <w:tcPr>
        <w:shd w:val="clear" w:color="4BACC6" w:themeColor="accent5" w:fill="4BACC6" w:themeFill="accent5"/>
      </w:tcPr>
    </w:tblStylePr>
    <w:tblStylePr w:type="lastCol">
      <w:rPr>
        <w:rFonts w:ascii="Arial" w:hAnsi="Arial"/>
        <w:b/>
        <w:color w:val="FFFFFF"/>
        <w:sz w:val="22"/>
      </w:rPr>
      <w:tcPr>
        <w:shd w:val="clear" w:color="4BACC6" w:themeColor="accent5" w:fill="4BACC6" w:themeFill="accent5"/>
      </w:tcPr>
    </w:tblStylePr>
    <w:tblStylePr w:type="band1Vert">
      <w:tcPr>
        <w:shd w:val="clear" w:color="ACD8E4" w:themeColor="accent5" w:themeTint="75" w:fill="ACD8E4" w:themeFill="accent5" w:themeFillTint="75"/>
      </w:tcPr>
    </w:tblStylePr>
    <w:tblStylePr w:type="band2Vert"/>
    <w:tblStylePr w:type="band1Horz">
      <w:tcPr>
        <w:shd w:val="clear" w:color="ACD8E4" w:themeColor="accent5" w:themeTint="75" w:fill="ACD8E4" w:themeFill="accent5" w:themeFillTint="75"/>
      </w:tcPr>
    </w:tblStylePr>
    <w:tblStylePr w:type="band2Horz"/>
    <w:tblStylePr w:type="neCell"/>
    <w:tblStylePr w:type="nwCell"/>
    <w:tblStylePr w:type="seCell"/>
    <w:tblStylePr w:type="swCell"/>
  </w:style>
  <w:style w:type="table" w:customStyle="1" w:styleId="105">
    <w:name w:val="Grid Table 5 Dark - Accent 6"/>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cPr>
        <w:shd w:val="clear" w:color="F79646" w:themeColor="accent6" w:fill="F79646" w:themeFill="accent6"/>
      </w:tcPr>
    </w:tblStylePr>
    <w:tblStylePr w:type="lastRow">
      <w:rPr>
        <w:rFonts w:ascii="Arial" w:hAnsi="Arial"/>
        <w:b/>
        <w:color w:val="FFFFFF"/>
        <w:sz w:val="22"/>
      </w:rPr>
      <w:tcPr>
        <w:tcBorders>
          <w:top w:val="single" w:color="FFFFFF" w:themeColor="light1" w:sz="4" w:space="0"/>
        </w:tcBorders>
        <w:shd w:val="clear" w:color="F79646" w:themeColor="accent6" w:fill="F79646" w:themeFill="accent6"/>
      </w:tcPr>
    </w:tblStylePr>
    <w:tblStylePr w:type="firstCol">
      <w:rPr>
        <w:rFonts w:ascii="Arial" w:hAnsi="Arial"/>
        <w:b/>
        <w:color w:val="FFFFFF"/>
        <w:sz w:val="22"/>
      </w:rPr>
      <w:tcPr>
        <w:shd w:val="clear" w:color="F79646" w:themeColor="accent6" w:fill="F79646" w:themeFill="accent6"/>
      </w:tcPr>
    </w:tblStylePr>
    <w:tblStylePr w:type="lastCol">
      <w:rPr>
        <w:rFonts w:ascii="Arial" w:hAnsi="Arial"/>
        <w:b/>
        <w:color w:val="FFFFFF"/>
        <w:sz w:val="22"/>
      </w:rPr>
      <w:tcPr>
        <w:shd w:val="clear" w:color="F79646" w:themeColor="accent6" w:fill="F79646" w:themeFill="accent6"/>
      </w:tcPr>
    </w:tblStylePr>
    <w:tblStylePr w:type="band1Vert">
      <w:tcPr>
        <w:shd w:val="clear" w:color="FBCEAA" w:themeColor="accent6" w:themeTint="75" w:fill="FBCEAA" w:themeFill="accent6" w:themeFillTint="75"/>
      </w:tcPr>
    </w:tblStylePr>
    <w:tblStylePr w:type="band2Vert"/>
    <w:tblStylePr w:type="band1Horz">
      <w:tcPr>
        <w:shd w:val="clear" w:color="FBCEAA" w:themeColor="accent6" w:themeTint="75" w:fill="FBCEAA" w:themeFill="accent6" w:themeFillTint="75"/>
      </w:tcPr>
    </w:tblStylePr>
    <w:tblStylePr w:type="band2Horz"/>
    <w:tblStylePr w:type="neCell"/>
    <w:tblStylePr w:type="nwCell"/>
    <w:tblStylePr w:type="seCell"/>
    <w:tblStylePr w:type="swCell"/>
  </w:style>
  <w:style w:type="table" w:customStyle="1" w:styleId="106">
    <w:name w:val="Grid Table 6 Colorful"/>
    <w:qFormat/>
    <w:uiPriority w:val="99"/>
    <w:pPr>
      <w:spacing w:after="0" w:line="240" w:lineRule="auto"/>
    </w:pPr>
    <w:tblP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Pr>
    <w:tblStylePr w:type="firstRow">
      <w:rPr>
        <w:b/>
        <w:color w:val="808080" w:themeColor="text1" w:themeTint="80"/>
        <w14:textFill>
          <w14:solidFill>
            <w14:schemeClr w14:val="tx1">
              <w14:lumMod w14:val="50000"/>
              <w14:lumOff w14:val="50000"/>
            </w14:schemeClr>
          </w14:solidFill>
        </w14:textFill>
      </w:rPr>
      <w:tcPr>
        <w:tcBorders>
          <w:bottom w:val="single" w:color="7E7E7E" w:themeColor="text1" w:themeTint="80" w:sz="12" w:space="0"/>
        </w:tcBorders>
      </w:tcPr>
    </w:tblStylePr>
    <w:tblStylePr w:type="lastRow">
      <w:rPr>
        <w:b/>
        <w:color w:val="808080" w:themeColor="text1" w:themeTint="80"/>
        <w14:textFill>
          <w14:solidFill>
            <w14:schemeClr w14:val="tx1">
              <w14:lumMod w14:val="50000"/>
              <w14:lumOff w14:val="50000"/>
            </w14:schemeClr>
          </w14:solidFill>
        </w14:textFill>
      </w:rPr>
    </w:tblStylePr>
    <w:tblStylePr w:type="firstCol">
      <w:rPr>
        <w:b/>
        <w:color w:val="808080" w:themeColor="text1" w:themeTint="80"/>
        <w14:textFill>
          <w14:solidFill>
            <w14:schemeClr w14:val="tx1">
              <w14:lumMod w14:val="50000"/>
              <w14:lumOff w14:val="50000"/>
            </w14:schemeClr>
          </w14:solidFill>
        </w14:textFill>
      </w:rPr>
    </w:tblStylePr>
    <w:tblStylePr w:type="lastCol">
      <w:rPr>
        <w:b/>
        <w:color w:val="808080" w:themeColor="text1" w:themeTint="80"/>
        <w14:textFill>
          <w14:solidFill>
            <w14:schemeClr w14:val="tx1">
              <w14:lumMod w14:val="50000"/>
              <w14:lumOff w14:val="50000"/>
            </w14:schemeClr>
          </w14:solidFill>
        </w14:textFill>
      </w:rPr>
    </w:tblStylePr>
    <w:tblStylePr w:type="band1Vert">
      <w:tcPr>
        <w:shd w:val="clear" w:color="CACACA" w:themeColor="text1" w:themeTint="34" w:fill="CACACA" w:themeFill="text1" w:themeFillTint="34"/>
      </w:tcPr>
    </w:tblStylePr>
    <w:tblStylePr w:type="band2Vert"/>
    <w:tblStylePr w:type="band1Horz">
      <w:rPr>
        <w:rFonts w:ascii="Arial" w:hAnsi="Arial"/>
        <w:color w:val="808080" w:themeColor="text1" w:themeTint="80"/>
        <w:sz w:val="22"/>
        <w14:textFill>
          <w14:solidFill>
            <w14:schemeClr w14:val="tx1">
              <w14:lumMod w14:val="50000"/>
              <w14:lumOff w14:val="50000"/>
            </w14:schemeClr>
          </w14:solidFill>
        </w14:textFill>
      </w:rPr>
      <w:tcPr>
        <w:shd w:val="clear" w:color="CACACA" w:themeColor="text1" w:themeTint="34" w:fill="CACACA" w:themeFill="text1" w:themeFillTint="34"/>
      </w:tcPr>
    </w:tblStylePr>
    <w:tblStylePr w:type="band2Horz">
      <w:rPr>
        <w:rFonts w:ascii="Arial" w:hAnsi="Arial"/>
        <w:color w:val="808080" w:themeColor="text1" w:themeTint="80"/>
        <w:sz w:val="22"/>
        <w14:textFill>
          <w14:solidFill>
            <w14:schemeClr w14:val="tx1">
              <w14:lumMod w14:val="50000"/>
              <w14:lumOff w14:val="50000"/>
            </w14:schemeClr>
          </w14:solidFill>
        </w14:textFill>
      </w:rPr>
    </w:tblStylePr>
    <w:tblStylePr w:type="neCell"/>
    <w:tblStylePr w:type="nwCell"/>
    <w:tblStylePr w:type="seCell"/>
    <w:tblStylePr w:type="swCell"/>
  </w:style>
  <w:style w:type="table" w:customStyle="1" w:styleId="107">
    <w:name w:val="Grid Table 6 Colorful - Accent 1"/>
    <w:qFormat/>
    <w:uiPriority w:val="99"/>
    <w:pPr>
      <w:spacing w:after="0" w:line="240" w:lineRule="auto"/>
    </w:pPr>
    <w:tblPr>
      <w:tblBorders>
        <w:top w:val="single" w:color="A6BFDD" w:themeColor="accent1" w:themeTint="80" w:sz="4" w:space="0"/>
        <w:left w:val="single" w:color="A6BFDD" w:themeColor="accent1" w:themeTint="80" w:sz="4" w:space="0"/>
        <w:bottom w:val="single" w:color="A6BFDD" w:themeColor="accent1" w:themeTint="80" w:sz="4" w:space="0"/>
        <w:right w:val="single" w:color="A6BFDD" w:themeColor="accent1" w:themeTint="80" w:sz="4" w:space="0"/>
        <w:insideH w:val="single" w:color="A6BFDD" w:themeColor="accent1" w:themeTint="80" w:sz="4" w:space="0"/>
        <w:insideV w:val="single" w:color="A6BFDD" w:themeColor="accent1" w:themeTint="80" w:sz="4" w:space="0"/>
      </w:tblBorders>
    </w:tblPr>
    <w:tblStylePr w:type="firstRow">
      <w:rPr>
        <w:b/>
        <w:color w:val="A7C0DE" w:themeColor="accent1" w:themeTint="80"/>
        <w14:textFill>
          <w14:solidFill>
            <w14:schemeClr w14:val="accent1">
              <w14:lumMod w14:val="50000"/>
              <w14:lumOff w14:val="50000"/>
            </w14:schemeClr>
          </w14:solidFill>
        </w14:textFill>
      </w:rPr>
      <w:tcPr>
        <w:tcBorders>
          <w:bottom w:val="single" w:color="A6BFDD" w:themeColor="accent1" w:themeTint="80" w:sz="12" w:space="0"/>
        </w:tcBorders>
      </w:tcPr>
    </w:tblStylePr>
    <w:tblStylePr w:type="lastRow">
      <w:rPr>
        <w:b/>
        <w:color w:val="A7C0DE" w:themeColor="accent1" w:themeTint="80"/>
        <w14:textFill>
          <w14:solidFill>
            <w14:schemeClr w14:val="accent1">
              <w14:lumMod w14:val="50000"/>
              <w14:lumOff w14:val="50000"/>
            </w14:schemeClr>
          </w14:solidFill>
        </w14:textFill>
      </w:rPr>
    </w:tblStylePr>
    <w:tblStylePr w:type="firstCol">
      <w:rPr>
        <w:b/>
        <w:color w:val="A7C0DE" w:themeColor="accent1" w:themeTint="80"/>
        <w14:textFill>
          <w14:solidFill>
            <w14:schemeClr w14:val="accent1">
              <w14:lumMod w14:val="50000"/>
              <w14:lumOff w14:val="50000"/>
            </w14:schemeClr>
          </w14:solidFill>
        </w14:textFill>
      </w:rPr>
    </w:tblStylePr>
    <w:tblStylePr w:type="lastCol">
      <w:rPr>
        <w:b/>
        <w:color w:val="A7C0DE" w:themeColor="accent1" w:themeTint="80"/>
        <w14:textFill>
          <w14:solidFill>
            <w14:schemeClr w14:val="accent1">
              <w14:lumMod w14:val="50000"/>
              <w14:lumOff w14:val="50000"/>
            </w14:schemeClr>
          </w14:solidFill>
        </w14:textFill>
      </w:rPr>
    </w:tblStylePr>
    <w:tblStylePr w:type="band1Vert">
      <w:tcPr>
        <w:shd w:val="clear" w:color="DBE5F1" w:themeColor="accent1" w:themeTint="34" w:fill="DBE5F1" w:themeFill="accent1" w:themeFillTint="34"/>
      </w:tcPr>
    </w:tblStylePr>
    <w:tblStylePr w:type="band2Vert"/>
    <w:tblStylePr w:type="band1Horz">
      <w:rPr>
        <w:rFonts w:ascii="Arial" w:hAnsi="Arial"/>
        <w:color w:val="A7C0DE" w:themeColor="accent1" w:themeTint="80"/>
        <w:sz w:val="22"/>
        <w14:textFill>
          <w14:solidFill>
            <w14:schemeClr w14:val="accent1">
              <w14:lumMod w14:val="50000"/>
              <w14:lumOff w14:val="50000"/>
            </w14:schemeClr>
          </w14:solidFill>
        </w14:textFill>
      </w:rPr>
      <w:tcPr>
        <w:shd w:val="clear" w:color="DBE5F1" w:themeColor="accent1" w:themeTint="34" w:fill="DBE5F1" w:themeFill="accent1" w:themeFillTint="34"/>
      </w:tcPr>
    </w:tblStylePr>
    <w:tblStylePr w:type="band2Horz">
      <w:rPr>
        <w:rFonts w:ascii="Arial" w:hAnsi="Arial"/>
        <w:color w:val="A7C0DE" w:themeColor="accent1" w:themeTint="80"/>
        <w:sz w:val="22"/>
        <w14:textFill>
          <w14:solidFill>
            <w14:schemeClr w14:val="accent1">
              <w14:lumMod w14:val="50000"/>
              <w14:lumOff w14:val="50000"/>
            </w14:schemeClr>
          </w14:solidFill>
        </w14:textFill>
      </w:rPr>
    </w:tblStylePr>
    <w:tblStylePr w:type="neCell"/>
    <w:tblStylePr w:type="nwCell"/>
    <w:tblStylePr w:type="seCell"/>
    <w:tblStylePr w:type="swCell"/>
  </w:style>
  <w:style w:type="table" w:customStyle="1" w:styleId="108">
    <w:name w:val="Grid Table 6 Colorful - Accent 2"/>
    <w:qFormat/>
    <w:uiPriority w:val="99"/>
    <w:pPr>
      <w:spacing w:after="0" w:line="240" w:lineRule="auto"/>
    </w:pPr>
    <w:tblPr>
      <w:tblBorders>
        <w:top w:val="single" w:color="D99795" w:themeColor="accent2" w:themeTint="97" w:sz="4" w:space="0"/>
        <w:left w:val="single" w:color="D99795" w:themeColor="accent2" w:themeTint="97" w:sz="4" w:space="0"/>
        <w:bottom w:val="single" w:color="D99795" w:themeColor="accent2" w:themeTint="97" w:sz="4" w:space="0"/>
        <w:right w:val="single" w:color="D99795" w:themeColor="accent2" w:themeTint="97" w:sz="4" w:space="0"/>
        <w:insideH w:val="single" w:color="D99795" w:themeColor="accent2" w:themeTint="97" w:sz="4" w:space="0"/>
        <w:insideV w:val="single" w:color="D99795" w:themeColor="accent2" w:themeTint="97" w:sz="4" w:space="0"/>
      </w:tblBorders>
    </w:tblPr>
    <w:tblStylePr w:type="firstRow">
      <w:rPr>
        <w:b/>
        <w:color w:val="DA9896" w:themeColor="accent2" w:themeTint="96"/>
        <w14:textFill>
          <w14:solidFill>
            <w14:schemeClr w14:val="accent2">
              <w14:lumMod w14:val="59000"/>
              <w14:lumOff w14:val="41000"/>
            </w14:schemeClr>
          </w14:solidFill>
        </w14:textFill>
      </w:rPr>
      <w:tcPr>
        <w:tcBorders>
          <w:bottom w:val="single" w:color="D99795" w:themeColor="accent2" w:themeTint="97" w:sz="12" w:space="0"/>
        </w:tcBorders>
      </w:tcPr>
    </w:tblStylePr>
    <w:tblStylePr w:type="lastRow">
      <w:rPr>
        <w:b/>
        <w:color w:val="DA9896" w:themeColor="accent2" w:themeTint="96"/>
        <w14:textFill>
          <w14:solidFill>
            <w14:schemeClr w14:val="accent2">
              <w14:lumMod w14:val="59000"/>
              <w14:lumOff w14:val="41000"/>
            </w14:schemeClr>
          </w14:solidFill>
        </w14:textFill>
      </w:rPr>
    </w:tblStylePr>
    <w:tblStylePr w:type="firstCol">
      <w:rPr>
        <w:b/>
        <w:color w:val="DA9896" w:themeColor="accent2" w:themeTint="96"/>
        <w14:textFill>
          <w14:solidFill>
            <w14:schemeClr w14:val="accent2">
              <w14:lumMod w14:val="59000"/>
              <w14:lumOff w14:val="41000"/>
            </w14:schemeClr>
          </w14:solidFill>
        </w14:textFill>
      </w:rPr>
    </w:tblStylePr>
    <w:tblStylePr w:type="lastCol">
      <w:rPr>
        <w:b/>
        <w:color w:val="DA9896" w:themeColor="accent2" w:themeTint="96"/>
        <w14:textFill>
          <w14:solidFill>
            <w14:schemeClr w14:val="accent2">
              <w14:lumMod w14:val="59000"/>
              <w14:lumOff w14:val="41000"/>
            </w14:schemeClr>
          </w14:solidFill>
        </w14:textFill>
      </w:rPr>
    </w:tblStylePr>
    <w:tblStylePr w:type="band1Vert">
      <w:tcPr>
        <w:shd w:val="clear" w:color="F2DCDC" w:themeColor="accent2" w:themeTint="32" w:fill="F2DCDC" w:themeFill="accent2" w:themeFillTint="32"/>
      </w:tcPr>
    </w:tblStylePr>
    <w:tblStylePr w:type="band2Vert"/>
    <w:tblStylePr w:type="band1Horz">
      <w:rPr>
        <w:rFonts w:ascii="Arial" w:hAnsi="Arial"/>
        <w:color w:val="DA9896" w:themeColor="accent2" w:themeTint="96"/>
        <w:sz w:val="22"/>
        <w14:textFill>
          <w14:solidFill>
            <w14:schemeClr w14:val="accent2">
              <w14:lumMod w14:val="59000"/>
              <w14:lumOff w14:val="41000"/>
            </w14:schemeClr>
          </w14:solidFill>
        </w14:textFill>
      </w:rPr>
      <w:tcPr>
        <w:shd w:val="clear" w:color="F2DCDC" w:themeColor="accent2" w:themeTint="32" w:fill="F2DCDC" w:themeFill="accent2" w:themeFillTint="32"/>
      </w:tcPr>
    </w:tblStylePr>
    <w:tblStylePr w:type="band2Horz">
      <w:rPr>
        <w:rFonts w:ascii="Arial" w:hAnsi="Arial"/>
        <w:color w:val="DA9896" w:themeColor="accent2" w:themeTint="96"/>
        <w:sz w:val="22"/>
        <w14:textFill>
          <w14:solidFill>
            <w14:schemeClr w14:val="accent2">
              <w14:lumMod w14:val="59000"/>
              <w14:lumOff w14:val="41000"/>
            </w14:schemeClr>
          </w14:solidFill>
        </w14:textFill>
      </w:rPr>
    </w:tblStylePr>
    <w:tblStylePr w:type="neCell"/>
    <w:tblStylePr w:type="nwCell"/>
    <w:tblStylePr w:type="seCell"/>
    <w:tblStylePr w:type="swCell"/>
  </w:style>
  <w:style w:type="table" w:customStyle="1" w:styleId="109">
    <w:name w:val="Grid Table 6 Colorful - Accent 3"/>
    <w:qFormat/>
    <w:uiPriority w:val="99"/>
    <w:pPr>
      <w:spacing w:after="0" w:line="240" w:lineRule="auto"/>
    </w:pPr>
    <w:tblPr>
      <w:tblBorders>
        <w:top w:val="single" w:color="9BBB59" w:themeColor="accent3" w:themeTint="FE" w:sz="4" w:space="0"/>
        <w:left w:val="single" w:color="9BBB59" w:themeColor="accent3" w:themeTint="FE" w:sz="4" w:space="0"/>
        <w:bottom w:val="single" w:color="9BBB59" w:themeColor="accent3" w:themeTint="FE" w:sz="4" w:space="0"/>
        <w:right w:val="single" w:color="9BBB59" w:themeColor="accent3" w:themeTint="FE" w:sz="4" w:space="0"/>
        <w:insideH w:val="single" w:color="9BBB59" w:themeColor="accent3" w:themeTint="FE" w:sz="4" w:space="0"/>
        <w:insideV w:val="single" w:color="9BBB59" w:themeColor="accent3" w:themeTint="FE" w:sz="4" w:space="0"/>
      </w:tblBorders>
    </w:tblPr>
    <w:tblStylePr w:type="firstRow">
      <w:rPr>
        <w:b/>
        <w:color w:val="9BBB59" w:themeColor="accent3" w:themeTint="FF"/>
        <w14:textFill>
          <w14:solidFill>
            <w14:schemeClr w14:val="accent3">
              <w14:lumMod w14:val="100000"/>
              <w14:lumOff w14:val="0"/>
            </w14:schemeClr>
          </w14:solidFill>
        </w14:textFill>
      </w:rPr>
      <w:tcPr>
        <w:tcBorders>
          <w:bottom w:val="single" w:color="9BBB59" w:themeColor="accent3" w:themeTint="FE" w:sz="12" w:space="0"/>
        </w:tcBorders>
      </w:tcPr>
    </w:tblStylePr>
    <w:tblStylePr w:type="lastRow">
      <w:rPr>
        <w:b/>
        <w:color w:val="9BBB59" w:themeColor="accent3" w:themeTint="FF"/>
        <w14:textFill>
          <w14:solidFill>
            <w14:schemeClr w14:val="accent3">
              <w14:lumMod w14:val="100000"/>
              <w14:lumOff w14:val="0"/>
            </w14:schemeClr>
          </w14:solidFill>
        </w14:textFill>
      </w:rPr>
    </w:tblStylePr>
    <w:tblStylePr w:type="firstCol">
      <w:rPr>
        <w:b/>
        <w:color w:val="9BBB59" w:themeColor="accent3" w:themeTint="FF"/>
        <w14:textFill>
          <w14:solidFill>
            <w14:schemeClr w14:val="accent3">
              <w14:lumMod w14:val="100000"/>
              <w14:lumOff w14:val="0"/>
            </w14:schemeClr>
          </w14:solidFill>
        </w14:textFill>
      </w:rPr>
    </w:tblStylePr>
    <w:tblStylePr w:type="lastCol">
      <w:rPr>
        <w:b/>
        <w:color w:val="9BBB59" w:themeColor="accent3" w:themeTint="FF"/>
        <w14:textFill>
          <w14:solidFill>
            <w14:schemeClr w14:val="accent3">
              <w14:lumMod w14:val="100000"/>
              <w14:lumOff w14:val="0"/>
            </w14:schemeClr>
          </w14:solidFill>
        </w14:textFill>
      </w:rPr>
    </w:tblStylePr>
    <w:tblStylePr w:type="band1Vert">
      <w:tcPr>
        <w:shd w:val="clear" w:color="EAF1DD" w:themeColor="accent3" w:themeTint="34" w:fill="EAF1DD" w:themeFill="accent3" w:themeFillTint="34"/>
      </w:tcPr>
    </w:tblStylePr>
    <w:tblStylePr w:type="band2Vert"/>
    <w:tblStylePr w:type="band1Horz">
      <w:rPr>
        <w:rFonts w:ascii="Arial" w:hAnsi="Arial"/>
        <w:color w:val="9BBB59" w:themeColor="accent3" w:themeTint="FF"/>
        <w:sz w:val="22"/>
        <w14:textFill>
          <w14:solidFill>
            <w14:schemeClr w14:val="accent3">
              <w14:lumMod w14:val="100000"/>
              <w14:lumOff w14:val="0"/>
            </w14:schemeClr>
          </w14:solidFill>
        </w14:textFill>
      </w:rPr>
      <w:tcPr>
        <w:shd w:val="clear" w:color="EAF1DD" w:themeColor="accent3" w:themeTint="34" w:fill="EAF1DD" w:themeFill="accent3" w:themeFillTint="34"/>
      </w:tcPr>
    </w:tblStylePr>
    <w:tblStylePr w:type="band2Horz">
      <w:rPr>
        <w:rFonts w:ascii="Arial" w:hAnsi="Arial"/>
        <w:color w:val="9BBB59" w:themeColor="accent3" w:themeTint="FF"/>
        <w:sz w:val="22"/>
        <w14:textFill>
          <w14:solidFill>
            <w14:schemeClr w14:val="accent3">
              <w14:lumMod w14:val="100000"/>
              <w14:lumOff w14:val="0"/>
            </w14:schemeClr>
          </w14:solidFill>
        </w14:textFill>
      </w:rPr>
    </w:tblStylePr>
    <w:tblStylePr w:type="neCell"/>
    <w:tblStylePr w:type="nwCell"/>
    <w:tblStylePr w:type="seCell"/>
    <w:tblStylePr w:type="swCell"/>
  </w:style>
  <w:style w:type="table" w:customStyle="1" w:styleId="110">
    <w:name w:val="Grid Table 6 Colorful - Accent 4"/>
    <w:qFormat/>
    <w:uiPriority w:val="99"/>
    <w:pPr>
      <w:spacing w:after="0" w:line="240" w:lineRule="auto"/>
    </w:pPr>
    <w:tblPr>
      <w:tblBorders>
        <w:top w:val="single" w:color="B2A1C6" w:themeColor="accent4" w:themeTint="9A" w:sz="4" w:space="0"/>
        <w:left w:val="single" w:color="B2A1C6" w:themeColor="accent4" w:themeTint="9A" w:sz="4" w:space="0"/>
        <w:bottom w:val="single" w:color="B2A1C6" w:themeColor="accent4" w:themeTint="9A" w:sz="4" w:space="0"/>
        <w:right w:val="single" w:color="B2A1C6" w:themeColor="accent4" w:themeTint="9A" w:sz="4" w:space="0"/>
        <w:insideH w:val="single" w:color="B2A1C6" w:themeColor="accent4" w:themeTint="9A" w:sz="4" w:space="0"/>
        <w:insideV w:val="single" w:color="B2A1C6" w:themeColor="accent4" w:themeTint="9A" w:sz="4" w:space="0"/>
      </w:tblBorders>
    </w:tblPr>
    <w:tblStylePr w:type="firstRow">
      <w:rPr>
        <w:b/>
        <w:color w:val="B3A2C7" w:themeColor="accent4" w:themeTint="99"/>
        <w14:textFill>
          <w14:solidFill>
            <w14:schemeClr w14:val="accent4">
              <w14:lumMod w14:val="60000"/>
              <w14:lumOff w14:val="40000"/>
            </w14:schemeClr>
          </w14:solidFill>
        </w14:textFill>
      </w:rPr>
      <w:tcPr>
        <w:tcBorders>
          <w:bottom w:val="single" w:color="B2A1C6" w:themeColor="accent4" w:themeTint="9A" w:sz="12" w:space="0"/>
        </w:tcBorders>
      </w:tcPr>
    </w:tblStylePr>
    <w:tblStylePr w:type="lastRow">
      <w:rPr>
        <w:b/>
        <w:color w:val="B3A2C7" w:themeColor="accent4" w:themeTint="99"/>
        <w14:textFill>
          <w14:solidFill>
            <w14:schemeClr w14:val="accent4">
              <w14:lumMod w14:val="60000"/>
              <w14:lumOff w14:val="40000"/>
            </w14:schemeClr>
          </w14:solidFill>
        </w14:textFill>
      </w:rPr>
    </w:tblStylePr>
    <w:tblStylePr w:type="firstCol">
      <w:rPr>
        <w:b/>
        <w:color w:val="B3A2C7" w:themeColor="accent4" w:themeTint="99"/>
        <w14:textFill>
          <w14:solidFill>
            <w14:schemeClr w14:val="accent4">
              <w14:lumMod w14:val="60000"/>
              <w14:lumOff w14:val="40000"/>
            </w14:schemeClr>
          </w14:solidFill>
        </w14:textFill>
      </w:rPr>
    </w:tblStylePr>
    <w:tblStylePr w:type="lastCol">
      <w:rPr>
        <w:b/>
        <w:color w:val="B3A2C7" w:themeColor="accent4" w:themeTint="99"/>
        <w14:textFill>
          <w14:solidFill>
            <w14:schemeClr w14:val="accent4">
              <w14:lumMod w14:val="60000"/>
              <w14:lumOff w14:val="40000"/>
            </w14:schemeClr>
          </w14:solidFill>
        </w14:textFill>
      </w:rPr>
    </w:tblStylePr>
    <w:tblStylePr w:type="band1Vert">
      <w:tcPr>
        <w:shd w:val="clear" w:color="E5DFEC" w:themeColor="accent4" w:themeTint="34" w:fill="E5DFEC" w:themeFill="accent4" w:themeFillTint="34"/>
      </w:tcPr>
    </w:tblStylePr>
    <w:tblStylePr w:type="band2Vert"/>
    <w:tblStylePr w:type="band1Horz">
      <w:rPr>
        <w:rFonts w:ascii="Arial" w:hAnsi="Arial"/>
        <w:color w:val="B3A2C7" w:themeColor="accent4" w:themeTint="99"/>
        <w:sz w:val="22"/>
        <w14:textFill>
          <w14:solidFill>
            <w14:schemeClr w14:val="accent4">
              <w14:lumMod w14:val="60000"/>
              <w14:lumOff w14:val="40000"/>
            </w14:schemeClr>
          </w14:solidFill>
        </w14:textFill>
      </w:rPr>
      <w:tcPr>
        <w:shd w:val="clear" w:color="E5DFEC" w:themeColor="accent4" w:themeTint="34" w:fill="E5DFEC" w:themeFill="accent4" w:themeFillTint="34"/>
      </w:tcPr>
    </w:tblStylePr>
    <w:tblStylePr w:type="band2Horz">
      <w:rPr>
        <w:rFonts w:ascii="Arial" w:hAnsi="Arial"/>
        <w:color w:val="B3A2C7" w:themeColor="accent4" w:themeTint="99"/>
        <w:sz w:val="22"/>
        <w14:textFill>
          <w14:solidFill>
            <w14:schemeClr w14:val="accent4">
              <w14:lumMod w14:val="60000"/>
              <w14:lumOff w14:val="40000"/>
            </w14:schemeClr>
          </w14:solidFill>
        </w14:textFill>
      </w:rPr>
    </w:tblStylePr>
    <w:tblStylePr w:type="neCell"/>
    <w:tblStylePr w:type="nwCell"/>
    <w:tblStylePr w:type="seCell"/>
    <w:tblStylePr w:type="swCell"/>
  </w:style>
  <w:style w:type="table" w:customStyle="1" w:styleId="111">
    <w:name w:val="Grid Table 6 Colorful - Accent 5"/>
    <w:qFormat/>
    <w:uiPriority w:val="99"/>
    <w:pPr>
      <w:spacing w:after="0" w:line="240" w:lineRule="auto"/>
    </w:pPr>
    <w:tblPr>
      <w:tblBorders>
        <w:top w:val="single" w:color="4BACC6" w:themeColor="accent5" w:sz="4" w:space="0"/>
        <w:left w:val="single" w:color="4BACC6" w:themeColor="accent5" w:sz="4" w:space="0"/>
        <w:bottom w:val="single" w:color="4BACC6" w:themeColor="accent5" w:sz="4" w:space="0"/>
        <w:right w:val="single" w:color="4BACC6" w:themeColor="accent5" w:sz="4" w:space="0"/>
        <w:insideH w:val="single" w:color="4BACC6" w:themeColor="accent5" w:sz="4" w:space="0"/>
        <w:insideV w:val="single" w:color="4BACC6" w:themeColor="accent5" w:sz="4" w:space="0"/>
      </w:tblBorders>
    </w:tblPr>
    <w:tblStylePr w:type="firstRow">
      <w:rPr>
        <w:b/>
        <w:color w:val="266778" w:themeColor="accent5" w:themeShade="94"/>
      </w:rPr>
      <w:tcPr>
        <w:tcBorders>
          <w:bottom w:val="single" w:color="4BACC6" w:themeColor="accent5" w:sz="12" w:space="0"/>
        </w:tcBorders>
      </w:tcPr>
    </w:tblStylePr>
    <w:tblStylePr w:type="lastRow">
      <w:rPr>
        <w:b/>
        <w:color w:val="266778" w:themeColor="accent5" w:themeShade="94"/>
      </w:rPr>
    </w:tblStylePr>
    <w:tblStylePr w:type="firstCol">
      <w:rPr>
        <w:b/>
        <w:color w:val="266778" w:themeColor="accent5" w:themeShade="94"/>
      </w:rPr>
    </w:tblStylePr>
    <w:tblStylePr w:type="lastCol">
      <w:rPr>
        <w:b/>
        <w:color w:val="266778" w:themeColor="accent5" w:themeShade="94"/>
      </w:rPr>
    </w:tblStylePr>
    <w:tblStylePr w:type="band1Vert">
      <w:tcPr>
        <w:shd w:val="clear" w:color="DAEEF3" w:themeColor="accent5" w:themeTint="34" w:fill="DAEEF3" w:themeFill="accent5" w:themeFillTint="34"/>
      </w:tcPr>
    </w:tblStylePr>
    <w:tblStylePr w:type="band2Vert"/>
    <w:tblStylePr w:type="band1Horz">
      <w:rPr>
        <w:rFonts w:ascii="Arial" w:hAnsi="Arial"/>
        <w:color w:val="266778" w:themeColor="accent5" w:themeShade="94"/>
        <w:sz w:val="22"/>
      </w:rPr>
      <w:tcPr>
        <w:shd w:val="clear" w:color="DAEEF3" w:themeColor="accent5" w:themeTint="34" w:fill="DAEEF3" w:themeFill="accent5" w:themeFillTint="34"/>
      </w:tcPr>
    </w:tblStylePr>
    <w:tblStylePr w:type="band2Horz">
      <w:rPr>
        <w:rFonts w:ascii="Arial" w:hAnsi="Arial"/>
        <w:color w:val="266778" w:themeColor="accent5" w:themeShade="94"/>
        <w:sz w:val="22"/>
      </w:rPr>
    </w:tblStylePr>
    <w:tblStylePr w:type="neCell"/>
    <w:tblStylePr w:type="nwCell"/>
    <w:tblStylePr w:type="seCell"/>
    <w:tblStylePr w:type="swCell"/>
  </w:style>
  <w:style w:type="table" w:customStyle="1" w:styleId="112">
    <w:name w:val="Grid Table 6 Colorful - Accent 6"/>
    <w:qFormat/>
    <w:uiPriority w:val="99"/>
    <w:pPr>
      <w:spacing w:after="0" w:line="240" w:lineRule="auto"/>
    </w:pPr>
    <w:tblPr>
      <w:tblBorders>
        <w:top w:val="single" w:color="F79646" w:themeColor="accent6" w:sz="4" w:space="0"/>
        <w:left w:val="single" w:color="F79646" w:themeColor="accent6" w:sz="4" w:space="0"/>
        <w:bottom w:val="single" w:color="F79646" w:themeColor="accent6" w:sz="4" w:space="0"/>
        <w:right w:val="single" w:color="F79646" w:themeColor="accent6" w:sz="4" w:space="0"/>
        <w:insideH w:val="single" w:color="F79646" w:themeColor="accent6" w:sz="4" w:space="0"/>
        <w:insideV w:val="single" w:color="F79646" w:themeColor="accent6" w:sz="4" w:space="0"/>
      </w:tblBorders>
    </w:tblPr>
    <w:tblStylePr w:type="firstRow">
      <w:rPr>
        <w:b/>
        <w:color w:val="266778" w:themeColor="accent5" w:themeShade="94"/>
      </w:rPr>
      <w:tcPr>
        <w:tcBorders>
          <w:bottom w:val="single" w:color="F79646" w:themeColor="accent6" w:sz="12" w:space="0"/>
        </w:tcBorders>
      </w:tcPr>
    </w:tblStylePr>
    <w:tblStylePr w:type="lastRow">
      <w:rPr>
        <w:b/>
        <w:color w:val="266778" w:themeColor="accent5" w:themeShade="94"/>
      </w:rPr>
    </w:tblStylePr>
    <w:tblStylePr w:type="firstCol">
      <w:rPr>
        <w:b/>
        <w:color w:val="266778" w:themeColor="accent5" w:themeShade="94"/>
      </w:rPr>
    </w:tblStylePr>
    <w:tblStylePr w:type="lastCol">
      <w:rPr>
        <w:b/>
        <w:color w:val="266778" w:themeColor="accent5" w:themeShade="94"/>
      </w:rPr>
    </w:tblStylePr>
    <w:tblStylePr w:type="band1Vert">
      <w:tcPr>
        <w:shd w:val="clear" w:color="FDE9D9" w:themeColor="accent6" w:themeTint="34" w:fill="FDE9D9" w:themeFill="accent6" w:themeFillTint="34"/>
      </w:tcPr>
    </w:tblStylePr>
    <w:tblStylePr w:type="band2Vert"/>
    <w:tblStylePr w:type="band1Horz">
      <w:rPr>
        <w:rFonts w:ascii="Arial" w:hAnsi="Arial"/>
        <w:color w:val="266778" w:themeColor="accent5" w:themeShade="94"/>
        <w:sz w:val="22"/>
      </w:rPr>
      <w:tcPr>
        <w:shd w:val="clear" w:color="FDE9D9" w:themeColor="accent6" w:themeTint="34" w:fill="FDE9D9" w:themeFill="accent6" w:themeFillTint="34"/>
      </w:tcPr>
    </w:tblStylePr>
    <w:tblStylePr w:type="band2Horz">
      <w:rPr>
        <w:rFonts w:ascii="Arial" w:hAnsi="Arial"/>
        <w:color w:val="266778" w:themeColor="accent5" w:themeShade="94"/>
        <w:sz w:val="22"/>
      </w:rPr>
    </w:tblStylePr>
    <w:tblStylePr w:type="neCell"/>
    <w:tblStylePr w:type="nwCell"/>
    <w:tblStylePr w:type="seCell"/>
    <w:tblStylePr w:type="swCell"/>
  </w:style>
  <w:style w:type="table" w:customStyle="1" w:styleId="113">
    <w:name w:val="Grid Table 7 Colorful"/>
    <w:qFormat/>
    <w:uiPriority w:val="99"/>
    <w:pPr>
      <w:spacing w:after="0" w:line="240" w:lineRule="auto"/>
    </w:pPr>
    <w:tblPr>
      <w:tblBorders>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Pr>
    <w:tblStylePr w:type="firstRow">
      <w:rPr>
        <w:rFonts w:ascii="Arial" w:hAnsi="Arial"/>
        <w:b/>
        <w:color w:val="808080" w:themeColor="text1" w:themeTint="80"/>
        <w:sz w:val="22"/>
        <w14:textFill>
          <w14:solidFill>
            <w14:schemeClr w14:val="tx1">
              <w14:lumMod w14:val="50000"/>
              <w14:lumOff w14:val="50000"/>
            </w14:schemeClr>
          </w14:solidFill>
        </w14:textFill>
      </w:rPr>
      <w:tcPr>
        <w:tcBorders>
          <w:top w:val="nil"/>
          <w:left w:val="nil"/>
          <w:bottom w:val="single" w:color="7E7E7E" w:themeColor="text1" w:themeTint="80" w:sz="4" w:space="0"/>
          <w:right w:val="nil"/>
        </w:tcBorders>
        <w:shd w:val="clear" w:color="FFFFFF" w:themeColor="light1" w:fill="FFFFFF" w:themeFill="light1"/>
      </w:tcPr>
    </w:tblStylePr>
    <w:tblStylePr w:type="lastRow">
      <w:rPr>
        <w:rFonts w:ascii="Arial" w:hAnsi="Arial"/>
        <w:b/>
        <w:color w:val="808080" w:themeColor="text1" w:themeTint="80"/>
        <w:sz w:val="22"/>
        <w14:textFill>
          <w14:solidFill>
            <w14:schemeClr w14:val="tx1">
              <w14:lumMod w14:val="50000"/>
              <w14:lumOff w14:val="50000"/>
            </w14:schemeClr>
          </w14:solidFill>
        </w14:textFill>
      </w:rPr>
      <w:tcPr>
        <w:tcBorders>
          <w:top w:val="single" w:color="7E7E7E" w:themeColor="text1" w:themeTint="80" w:sz="4" w:space="0"/>
          <w:left w:val="nil"/>
          <w:bottom w:val="nil"/>
          <w:right w:val="nil"/>
        </w:tcBorders>
        <w:shd w:val="clear" w:color="FFFFFF" w:themeColor="light1" w:fill="FFFFFF" w:themeFill="light1"/>
      </w:tcPr>
    </w:tblStylePr>
    <w:tblStylePr w:type="firstCol">
      <w:pPr>
        <w:jc w:val="right"/>
      </w:pPr>
      <w:rPr>
        <w:rFonts w:ascii="Arial" w:hAnsi="Arial"/>
        <w:i/>
        <w:color w:val="808080" w:themeColor="text1" w:themeTint="80"/>
        <w:sz w:val="22"/>
        <w14:textFill>
          <w14:solidFill>
            <w14:schemeClr w14:val="tx1">
              <w14:lumMod w14:val="50000"/>
              <w14:lumOff w14:val="50000"/>
            </w14:schemeClr>
          </w14:solidFill>
        </w14:textFill>
      </w:rPr>
      <w:tcPr>
        <w:tcBorders>
          <w:top w:val="nil"/>
          <w:left w:val="nil"/>
          <w:bottom w:val="nil"/>
          <w:right w:val="single" w:color="7E7E7E" w:themeColor="text1" w:themeTint="80" w:sz="4" w:space="0"/>
        </w:tcBorders>
        <w:shd w:val="clear" w:color="FFFFFF" w:fill="auto"/>
      </w:tcPr>
    </w:tblStylePr>
    <w:tblStylePr w:type="lastCol">
      <w:rPr>
        <w:rFonts w:ascii="Arial" w:hAnsi="Arial"/>
        <w:i/>
        <w:color w:val="808080" w:themeColor="text1" w:themeTint="80"/>
        <w:sz w:val="22"/>
        <w14:textFill>
          <w14:solidFill>
            <w14:schemeClr w14:val="tx1">
              <w14:lumMod w14:val="50000"/>
              <w14:lumOff w14:val="50000"/>
            </w14:schemeClr>
          </w14:solidFill>
        </w14:textFill>
      </w:rPr>
      <w:tcPr>
        <w:tcBorders>
          <w:top w:val="nil"/>
          <w:left w:val="single" w:color="7E7E7E" w:themeColor="text1" w:themeTint="80" w:sz="4" w:space="0"/>
          <w:bottom w:val="nil"/>
          <w:right w:val="nil"/>
        </w:tcBorders>
        <w:shd w:val="clear" w:color="FFFFFF" w:fill="auto"/>
      </w:tcPr>
    </w:tblStylePr>
    <w:tblStylePr w:type="band1Vert">
      <w:tcPr>
        <w:shd w:val="clear" w:color="F1F1F1" w:themeColor="text1" w:themeTint="0D" w:fill="F1F1F1" w:themeFill="text1" w:themeFillTint="0D"/>
      </w:tcPr>
    </w:tblStylePr>
    <w:tblStylePr w:type="band2Vert"/>
    <w:tblStylePr w:type="band1Horz">
      <w:rPr>
        <w:rFonts w:ascii="Arial" w:hAnsi="Arial"/>
        <w:color w:val="808080" w:themeColor="text1" w:themeTint="80"/>
        <w:sz w:val="22"/>
        <w14:textFill>
          <w14:solidFill>
            <w14:schemeClr w14:val="tx1">
              <w14:lumMod w14:val="50000"/>
              <w14:lumOff w14:val="50000"/>
            </w14:schemeClr>
          </w14:solidFill>
        </w14:textFill>
      </w:rPr>
      <w:tcPr>
        <w:shd w:val="clear" w:color="F1F1F1" w:themeColor="text1" w:themeTint="0D" w:fill="F1F1F1" w:themeFill="text1" w:themeFillTint="0D"/>
      </w:tcPr>
    </w:tblStylePr>
    <w:tblStylePr w:type="band2Horz">
      <w:rPr>
        <w:rFonts w:ascii="Arial" w:hAnsi="Arial"/>
        <w:color w:val="808080" w:themeColor="text1" w:themeTint="80"/>
        <w:sz w:val="22"/>
        <w14:textFill>
          <w14:solidFill>
            <w14:schemeClr w14:val="tx1">
              <w14:lumMod w14:val="50000"/>
              <w14:lumOff w14:val="50000"/>
            </w14:schemeClr>
          </w14:solidFill>
        </w14:textFill>
      </w:rPr>
    </w:tblStylePr>
    <w:tblStylePr w:type="neCell"/>
    <w:tblStylePr w:type="nwCell"/>
    <w:tblStylePr w:type="seCell"/>
    <w:tblStylePr w:type="swCell"/>
  </w:style>
  <w:style w:type="table" w:customStyle="1" w:styleId="114">
    <w:name w:val="Grid Table 7 Colorful - Accent 1"/>
    <w:qFormat/>
    <w:uiPriority w:val="99"/>
    <w:pPr>
      <w:spacing w:after="0" w:line="240" w:lineRule="auto"/>
    </w:pPr>
    <w:tblPr>
      <w:tblBorders>
        <w:bottom w:val="single" w:color="A6BFDD" w:themeColor="accent1" w:themeTint="80" w:sz="4" w:space="0"/>
        <w:right w:val="single" w:color="A6BFDD" w:themeColor="accent1" w:themeTint="80" w:sz="4" w:space="0"/>
        <w:insideH w:val="single" w:color="A6BFDD" w:themeColor="accent1" w:themeTint="80" w:sz="4" w:space="0"/>
        <w:insideV w:val="single" w:color="A6BFDD" w:themeColor="accent1" w:themeTint="80" w:sz="4" w:space="0"/>
      </w:tblBorders>
    </w:tblPr>
    <w:tblStylePr w:type="firstRow">
      <w:rPr>
        <w:rFonts w:ascii="Arial" w:hAnsi="Arial"/>
        <w:b/>
        <w:color w:val="A7C0DE" w:themeColor="accent1" w:themeTint="80"/>
        <w:sz w:val="22"/>
        <w14:textFill>
          <w14:solidFill>
            <w14:schemeClr w14:val="accent1">
              <w14:lumMod w14:val="50000"/>
              <w14:lumOff w14:val="50000"/>
            </w14:schemeClr>
          </w14:solidFill>
        </w14:textFill>
      </w:rPr>
      <w:tcPr>
        <w:tcBorders>
          <w:top w:val="nil"/>
          <w:left w:val="nil"/>
          <w:bottom w:val="single" w:color="A6BFDD" w:themeColor="accent1" w:themeTint="80" w:sz="4" w:space="0"/>
          <w:right w:val="nil"/>
        </w:tcBorders>
        <w:shd w:val="clear" w:color="FFFFFF" w:themeColor="light1" w:fill="FFFFFF" w:themeFill="light1"/>
      </w:tcPr>
    </w:tblStylePr>
    <w:tblStylePr w:type="lastRow">
      <w:rPr>
        <w:rFonts w:ascii="Arial" w:hAnsi="Arial"/>
        <w:b/>
        <w:color w:val="A7C0DE" w:themeColor="accent1" w:themeTint="80"/>
        <w:sz w:val="22"/>
        <w14:textFill>
          <w14:solidFill>
            <w14:schemeClr w14:val="accent1">
              <w14:lumMod w14:val="50000"/>
              <w14:lumOff w14:val="50000"/>
            </w14:schemeClr>
          </w14:solidFill>
        </w14:textFill>
      </w:rPr>
      <w:tcPr>
        <w:tcBorders>
          <w:top w:val="single" w:color="A6BFDD" w:themeColor="accent1" w:themeTint="80" w:sz="4" w:space="0"/>
          <w:left w:val="nil"/>
          <w:bottom w:val="nil"/>
          <w:right w:val="nil"/>
        </w:tcBorders>
        <w:shd w:val="clear" w:color="FFFFFF" w:themeColor="light1" w:fill="FFFFFF" w:themeFill="light1"/>
      </w:tcPr>
    </w:tblStylePr>
    <w:tblStylePr w:type="firstCol">
      <w:pPr>
        <w:jc w:val="right"/>
      </w:pPr>
      <w:rPr>
        <w:rFonts w:ascii="Arial" w:hAnsi="Arial"/>
        <w:i/>
        <w:color w:val="A7C0DE" w:themeColor="accent1" w:themeTint="80"/>
        <w:sz w:val="22"/>
        <w14:textFill>
          <w14:solidFill>
            <w14:schemeClr w14:val="accent1">
              <w14:lumMod w14:val="50000"/>
              <w14:lumOff w14:val="50000"/>
            </w14:schemeClr>
          </w14:solidFill>
        </w14:textFill>
      </w:rPr>
      <w:tcPr>
        <w:tcBorders>
          <w:top w:val="nil"/>
          <w:left w:val="nil"/>
          <w:bottom w:val="nil"/>
          <w:right w:val="single" w:color="A6BFDD" w:themeColor="accent1" w:themeTint="80" w:sz="4" w:space="0"/>
        </w:tcBorders>
        <w:shd w:val="clear" w:color="FFFFFF" w:fill="auto"/>
      </w:tcPr>
    </w:tblStylePr>
    <w:tblStylePr w:type="lastCol">
      <w:rPr>
        <w:rFonts w:ascii="Arial" w:hAnsi="Arial"/>
        <w:i/>
        <w:color w:val="A7C0DE" w:themeColor="accent1" w:themeTint="80"/>
        <w:sz w:val="22"/>
        <w14:textFill>
          <w14:solidFill>
            <w14:schemeClr w14:val="accent1">
              <w14:lumMod w14:val="50000"/>
              <w14:lumOff w14:val="50000"/>
            </w14:schemeClr>
          </w14:solidFill>
        </w14:textFill>
      </w:rPr>
      <w:tcPr>
        <w:tcBorders>
          <w:top w:val="nil"/>
          <w:left w:val="single" w:color="A6BFDD" w:themeColor="accent1" w:themeTint="80" w:sz="4" w:space="0"/>
          <w:bottom w:val="nil"/>
          <w:right w:val="nil"/>
        </w:tcBorders>
        <w:shd w:val="clear" w:color="FFFFFF" w:fill="auto"/>
      </w:tcPr>
    </w:tblStylePr>
    <w:tblStylePr w:type="band1Vert">
      <w:tcPr>
        <w:shd w:val="clear" w:color="DBE5F1" w:themeColor="accent1" w:themeTint="34" w:fill="DBE5F1" w:themeFill="accent1" w:themeFillTint="34"/>
      </w:tcPr>
    </w:tblStylePr>
    <w:tblStylePr w:type="band2Vert"/>
    <w:tblStylePr w:type="band1Horz">
      <w:rPr>
        <w:rFonts w:ascii="Arial" w:hAnsi="Arial"/>
        <w:color w:val="A7C0DE" w:themeColor="accent1" w:themeTint="80"/>
        <w:sz w:val="22"/>
        <w14:textFill>
          <w14:solidFill>
            <w14:schemeClr w14:val="accent1">
              <w14:lumMod w14:val="50000"/>
              <w14:lumOff w14:val="50000"/>
            </w14:schemeClr>
          </w14:solidFill>
        </w14:textFill>
      </w:rPr>
      <w:tcPr>
        <w:shd w:val="clear" w:color="DBE5F1" w:themeColor="accent1" w:themeTint="34" w:fill="DBE5F1" w:themeFill="accent1" w:themeFillTint="34"/>
      </w:tcPr>
    </w:tblStylePr>
    <w:tblStylePr w:type="band2Horz">
      <w:rPr>
        <w:rFonts w:ascii="Arial" w:hAnsi="Arial"/>
        <w:color w:val="A7C0DE" w:themeColor="accent1" w:themeTint="80"/>
        <w:sz w:val="22"/>
        <w14:textFill>
          <w14:solidFill>
            <w14:schemeClr w14:val="accent1">
              <w14:lumMod w14:val="50000"/>
              <w14:lumOff w14:val="50000"/>
            </w14:schemeClr>
          </w14:solidFill>
        </w14:textFill>
      </w:rPr>
    </w:tblStylePr>
    <w:tblStylePr w:type="neCell"/>
    <w:tblStylePr w:type="nwCell"/>
    <w:tblStylePr w:type="seCell"/>
    <w:tblStylePr w:type="swCell"/>
  </w:style>
  <w:style w:type="table" w:customStyle="1" w:styleId="115">
    <w:name w:val="Grid Table 7 Colorful - Accent 2"/>
    <w:qFormat/>
    <w:uiPriority w:val="99"/>
    <w:pPr>
      <w:spacing w:after="0" w:line="240" w:lineRule="auto"/>
    </w:pPr>
    <w:tblPr>
      <w:tblBorders>
        <w:bottom w:val="single" w:color="D99795" w:themeColor="accent2" w:themeTint="97" w:sz="4" w:space="0"/>
        <w:right w:val="single" w:color="D99795" w:themeColor="accent2" w:themeTint="97" w:sz="4" w:space="0"/>
        <w:insideH w:val="single" w:color="D99795" w:themeColor="accent2" w:themeTint="97" w:sz="4" w:space="0"/>
        <w:insideV w:val="single" w:color="D99795" w:themeColor="accent2" w:themeTint="97" w:sz="4" w:space="0"/>
      </w:tblBorders>
    </w:tblPr>
    <w:tblStylePr w:type="firstRow">
      <w:rPr>
        <w:rFonts w:ascii="Arial" w:hAnsi="Arial"/>
        <w:b/>
        <w:color w:val="DA9896" w:themeColor="accent2" w:themeTint="96"/>
        <w:sz w:val="22"/>
        <w14:textFill>
          <w14:solidFill>
            <w14:schemeClr w14:val="accent2">
              <w14:lumMod w14:val="59000"/>
              <w14:lumOff w14:val="41000"/>
            </w14:schemeClr>
          </w14:solidFill>
        </w14:textFill>
      </w:rPr>
      <w:tcPr>
        <w:tcBorders>
          <w:top w:val="nil"/>
          <w:left w:val="nil"/>
          <w:bottom w:val="single" w:color="D99795" w:themeColor="accent2" w:themeTint="97" w:sz="4" w:space="0"/>
          <w:right w:val="nil"/>
        </w:tcBorders>
        <w:shd w:val="clear" w:color="FFFFFF" w:themeColor="light1" w:fill="FFFFFF" w:themeFill="light1"/>
      </w:tcPr>
    </w:tblStylePr>
    <w:tblStylePr w:type="lastRow">
      <w:rPr>
        <w:rFonts w:ascii="Arial" w:hAnsi="Arial"/>
        <w:b/>
        <w:color w:val="DA9896" w:themeColor="accent2" w:themeTint="96"/>
        <w:sz w:val="22"/>
        <w14:textFill>
          <w14:solidFill>
            <w14:schemeClr w14:val="accent2">
              <w14:lumMod w14:val="59000"/>
              <w14:lumOff w14:val="41000"/>
            </w14:schemeClr>
          </w14:solidFill>
        </w14:textFill>
      </w:rPr>
      <w:tcPr>
        <w:tcBorders>
          <w:top w:val="single" w:color="D99795" w:themeColor="accent2" w:themeTint="97" w:sz="4" w:space="0"/>
          <w:left w:val="nil"/>
          <w:bottom w:val="nil"/>
          <w:right w:val="nil"/>
        </w:tcBorders>
        <w:shd w:val="clear" w:color="FFFFFF" w:themeColor="light1" w:fill="FFFFFF" w:themeFill="light1"/>
      </w:tcPr>
    </w:tblStylePr>
    <w:tblStylePr w:type="firstCol">
      <w:pPr>
        <w:jc w:val="right"/>
      </w:pPr>
      <w:rPr>
        <w:rFonts w:ascii="Arial" w:hAnsi="Arial"/>
        <w:i/>
        <w:color w:val="DA9896" w:themeColor="accent2" w:themeTint="96"/>
        <w:sz w:val="22"/>
        <w14:textFill>
          <w14:solidFill>
            <w14:schemeClr w14:val="accent2">
              <w14:lumMod w14:val="59000"/>
              <w14:lumOff w14:val="41000"/>
            </w14:schemeClr>
          </w14:solidFill>
        </w14:textFill>
      </w:rPr>
      <w:tcPr>
        <w:tcBorders>
          <w:top w:val="nil"/>
          <w:left w:val="nil"/>
          <w:bottom w:val="nil"/>
          <w:right w:val="single" w:color="D99795" w:themeColor="accent2" w:themeTint="97" w:sz="4" w:space="0"/>
        </w:tcBorders>
        <w:shd w:val="clear" w:color="FFFFFF" w:fill="auto"/>
      </w:tcPr>
    </w:tblStylePr>
    <w:tblStylePr w:type="lastCol">
      <w:rPr>
        <w:rFonts w:ascii="Arial" w:hAnsi="Arial"/>
        <w:i/>
        <w:color w:val="DA9896" w:themeColor="accent2" w:themeTint="96"/>
        <w:sz w:val="22"/>
        <w14:textFill>
          <w14:solidFill>
            <w14:schemeClr w14:val="accent2">
              <w14:lumMod w14:val="59000"/>
              <w14:lumOff w14:val="41000"/>
            </w14:schemeClr>
          </w14:solidFill>
        </w14:textFill>
      </w:rPr>
      <w:tcPr>
        <w:tcBorders>
          <w:top w:val="nil"/>
          <w:left w:val="single" w:color="D99795" w:themeColor="accent2" w:themeTint="97" w:sz="4" w:space="0"/>
          <w:bottom w:val="nil"/>
          <w:right w:val="nil"/>
        </w:tcBorders>
        <w:shd w:val="clear" w:color="FFFFFF" w:fill="auto"/>
      </w:tcPr>
    </w:tblStylePr>
    <w:tblStylePr w:type="band1Vert">
      <w:tcPr>
        <w:shd w:val="clear" w:color="F2DCDC" w:themeColor="accent2" w:themeTint="32" w:fill="F2DCDC" w:themeFill="accent2" w:themeFillTint="32"/>
      </w:tcPr>
    </w:tblStylePr>
    <w:tblStylePr w:type="band2Vert"/>
    <w:tblStylePr w:type="band1Horz">
      <w:rPr>
        <w:rFonts w:ascii="Arial" w:hAnsi="Arial"/>
        <w:color w:val="DA9896" w:themeColor="accent2" w:themeTint="96"/>
        <w:sz w:val="22"/>
        <w14:textFill>
          <w14:solidFill>
            <w14:schemeClr w14:val="accent2">
              <w14:lumMod w14:val="59000"/>
              <w14:lumOff w14:val="41000"/>
            </w14:schemeClr>
          </w14:solidFill>
        </w14:textFill>
      </w:rPr>
      <w:tcPr>
        <w:shd w:val="clear" w:color="F2DCDC" w:themeColor="accent2" w:themeTint="32" w:fill="F2DCDC" w:themeFill="accent2" w:themeFillTint="32"/>
      </w:tcPr>
    </w:tblStylePr>
    <w:tblStylePr w:type="band2Horz">
      <w:rPr>
        <w:rFonts w:ascii="Arial" w:hAnsi="Arial"/>
        <w:color w:val="DA9896" w:themeColor="accent2" w:themeTint="96"/>
        <w:sz w:val="22"/>
        <w14:textFill>
          <w14:solidFill>
            <w14:schemeClr w14:val="accent2">
              <w14:lumMod w14:val="59000"/>
              <w14:lumOff w14:val="41000"/>
            </w14:schemeClr>
          </w14:solidFill>
        </w14:textFill>
      </w:rPr>
    </w:tblStylePr>
    <w:tblStylePr w:type="neCell"/>
    <w:tblStylePr w:type="nwCell"/>
    <w:tblStylePr w:type="seCell"/>
    <w:tblStylePr w:type="swCell"/>
  </w:style>
  <w:style w:type="table" w:customStyle="1" w:styleId="116">
    <w:name w:val="Grid Table 7 Colorful - Accent 3"/>
    <w:qFormat/>
    <w:uiPriority w:val="99"/>
    <w:pPr>
      <w:spacing w:after="0" w:line="240" w:lineRule="auto"/>
    </w:pPr>
    <w:tblPr>
      <w:tblBorders>
        <w:bottom w:val="single" w:color="9BBB59" w:themeColor="accent3" w:themeTint="FE" w:sz="4" w:space="0"/>
        <w:right w:val="single" w:color="9BBB59" w:themeColor="accent3" w:themeTint="FE" w:sz="4" w:space="0"/>
        <w:insideH w:val="single" w:color="9BBB59" w:themeColor="accent3" w:themeTint="FE" w:sz="4" w:space="0"/>
        <w:insideV w:val="single" w:color="9BBB59" w:themeColor="accent3" w:themeTint="FE" w:sz="4" w:space="0"/>
      </w:tblBorders>
    </w:tblPr>
    <w:tblStylePr w:type="firstRow">
      <w:rPr>
        <w:rFonts w:ascii="Arial" w:hAnsi="Arial"/>
        <w:b/>
        <w:color w:val="9BBB59" w:themeColor="accent3" w:themeTint="FF"/>
        <w:sz w:val="22"/>
        <w14:textFill>
          <w14:solidFill>
            <w14:schemeClr w14:val="accent3">
              <w14:lumMod w14:val="100000"/>
              <w14:lumOff w14:val="0"/>
            </w14:schemeClr>
          </w14:solidFill>
        </w14:textFill>
      </w:rPr>
      <w:tcPr>
        <w:tcBorders>
          <w:top w:val="nil"/>
          <w:left w:val="nil"/>
          <w:bottom w:val="single" w:color="9BBB59" w:themeColor="accent3" w:themeTint="FE" w:sz="4" w:space="0"/>
          <w:right w:val="nil"/>
        </w:tcBorders>
        <w:shd w:val="clear" w:color="FFFFFF" w:themeColor="light1" w:fill="FFFFFF" w:themeFill="light1"/>
      </w:tcPr>
    </w:tblStylePr>
    <w:tblStylePr w:type="lastRow">
      <w:rPr>
        <w:rFonts w:ascii="Arial" w:hAnsi="Arial"/>
        <w:b/>
        <w:color w:val="9BBB59" w:themeColor="accent3" w:themeTint="FF"/>
        <w:sz w:val="22"/>
        <w14:textFill>
          <w14:solidFill>
            <w14:schemeClr w14:val="accent3">
              <w14:lumMod w14:val="100000"/>
              <w14:lumOff w14:val="0"/>
            </w14:schemeClr>
          </w14:solidFill>
        </w14:textFill>
      </w:rPr>
      <w:tcPr>
        <w:tcBorders>
          <w:top w:val="single" w:color="9BBB59" w:themeColor="accent3" w:themeTint="FE" w:sz="4" w:space="0"/>
          <w:left w:val="nil"/>
          <w:bottom w:val="nil"/>
          <w:right w:val="nil"/>
        </w:tcBorders>
        <w:shd w:val="clear" w:color="FFFFFF" w:themeColor="light1" w:fill="FFFFFF" w:themeFill="light1"/>
      </w:tcPr>
    </w:tblStylePr>
    <w:tblStylePr w:type="firstCol">
      <w:pPr>
        <w:jc w:val="right"/>
      </w:pPr>
      <w:rPr>
        <w:rFonts w:ascii="Arial" w:hAnsi="Arial"/>
        <w:i/>
        <w:color w:val="9BBB59" w:themeColor="accent3" w:themeTint="FF"/>
        <w:sz w:val="22"/>
        <w14:textFill>
          <w14:solidFill>
            <w14:schemeClr w14:val="accent3">
              <w14:lumMod w14:val="100000"/>
              <w14:lumOff w14:val="0"/>
            </w14:schemeClr>
          </w14:solidFill>
        </w14:textFill>
      </w:rPr>
      <w:tcPr>
        <w:tcBorders>
          <w:top w:val="nil"/>
          <w:left w:val="nil"/>
          <w:bottom w:val="nil"/>
          <w:right w:val="single" w:color="9BBB59" w:themeColor="accent3" w:themeTint="FE" w:sz="4" w:space="0"/>
        </w:tcBorders>
        <w:shd w:val="clear" w:color="FFFFFF" w:fill="auto"/>
      </w:tcPr>
    </w:tblStylePr>
    <w:tblStylePr w:type="lastCol">
      <w:rPr>
        <w:rFonts w:ascii="Arial" w:hAnsi="Arial"/>
        <w:i/>
        <w:color w:val="9BBB59" w:themeColor="accent3" w:themeTint="FF"/>
        <w:sz w:val="22"/>
        <w14:textFill>
          <w14:solidFill>
            <w14:schemeClr w14:val="accent3">
              <w14:lumMod w14:val="100000"/>
              <w14:lumOff w14:val="0"/>
            </w14:schemeClr>
          </w14:solidFill>
        </w14:textFill>
      </w:rPr>
      <w:tcPr>
        <w:tcBorders>
          <w:top w:val="nil"/>
          <w:left w:val="single" w:color="9BBB59" w:themeColor="accent3" w:themeTint="FE" w:sz="4" w:space="0"/>
          <w:bottom w:val="nil"/>
          <w:right w:val="nil"/>
        </w:tcBorders>
        <w:shd w:val="clear" w:color="FFFFFF" w:fill="auto"/>
      </w:tcPr>
    </w:tblStylePr>
    <w:tblStylePr w:type="band1Vert">
      <w:tcPr>
        <w:shd w:val="clear" w:color="EAF1DD" w:themeColor="accent3" w:themeTint="34" w:fill="EAF1DD" w:themeFill="accent3" w:themeFillTint="34"/>
      </w:tcPr>
    </w:tblStylePr>
    <w:tblStylePr w:type="band2Vert"/>
    <w:tblStylePr w:type="band1Horz">
      <w:rPr>
        <w:rFonts w:ascii="Arial" w:hAnsi="Arial"/>
        <w:color w:val="9BBB59" w:themeColor="accent3" w:themeTint="FF"/>
        <w:sz w:val="22"/>
        <w14:textFill>
          <w14:solidFill>
            <w14:schemeClr w14:val="accent3">
              <w14:lumMod w14:val="100000"/>
              <w14:lumOff w14:val="0"/>
            </w14:schemeClr>
          </w14:solidFill>
        </w14:textFill>
      </w:rPr>
      <w:tcPr>
        <w:shd w:val="clear" w:color="EAF1DD" w:themeColor="accent3" w:themeTint="34" w:fill="EAF1DD" w:themeFill="accent3" w:themeFillTint="34"/>
      </w:tcPr>
    </w:tblStylePr>
    <w:tblStylePr w:type="band2Horz">
      <w:rPr>
        <w:rFonts w:ascii="Arial" w:hAnsi="Arial"/>
        <w:color w:val="9BBB59" w:themeColor="accent3" w:themeTint="FF"/>
        <w:sz w:val="22"/>
        <w14:textFill>
          <w14:solidFill>
            <w14:schemeClr w14:val="accent3">
              <w14:lumMod w14:val="100000"/>
              <w14:lumOff w14:val="0"/>
            </w14:schemeClr>
          </w14:solidFill>
        </w14:textFill>
      </w:rPr>
    </w:tblStylePr>
    <w:tblStylePr w:type="neCell"/>
    <w:tblStylePr w:type="nwCell"/>
    <w:tblStylePr w:type="seCell"/>
    <w:tblStylePr w:type="swCell"/>
  </w:style>
  <w:style w:type="table" w:customStyle="1" w:styleId="117">
    <w:name w:val="Grid Table 7 Colorful - Accent 4"/>
    <w:qFormat/>
    <w:uiPriority w:val="99"/>
    <w:pPr>
      <w:spacing w:after="0" w:line="240" w:lineRule="auto"/>
    </w:pPr>
    <w:tblPr>
      <w:tblBorders>
        <w:bottom w:val="single" w:color="B2A1C6" w:themeColor="accent4" w:themeTint="9A" w:sz="4" w:space="0"/>
        <w:right w:val="single" w:color="B2A1C6" w:themeColor="accent4" w:themeTint="9A" w:sz="4" w:space="0"/>
        <w:insideH w:val="single" w:color="B2A1C6" w:themeColor="accent4" w:themeTint="9A" w:sz="4" w:space="0"/>
        <w:insideV w:val="single" w:color="B2A1C6" w:themeColor="accent4" w:themeTint="9A" w:sz="4" w:space="0"/>
      </w:tblBorders>
    </w:tblPr>
    <w:tblStylePr w:type="firstRow">
      <w:rPr>
        <w:rFonts w:ascii="Arial" w:hAnsi="Arial"/>
        <w:b/>
        <w:color w:val="B3A2C7" w:themeColor="accent4" w:themeTint="99"/>
        <w:sz w:val="22"/>
        <w14:textFill>
          <w14:solidFill>
            <w14:schemeClr w14:val="accent4">
              <w14:lumMod w14:val="60000"/>
              <w14:lumOff w14:val="40000"/>
            </w14:schemeClr>
          </w14:solidFill>
        </w14:textFill>
      </w:rPr>
      <w:tcPr>
        <w:tcBorders>
          <w:top w:val="nil"/>
          <w:left w:val="nil"/>
          <w:bottom w:val="single" w:color="B2A1C6" w:themeColor="accent4" w:themeTint="9A" w:sz="4" w:space="0"/>
          <w:right w:val="nil"/>
        </w:tcBorders>
        <w:shd w:val="clear" w:color="FFFFFF" w:themeColor="light1" w:fill="FFFFFF" w:themeFill="light1"/>
      </w:tcPr>
    </w:tblStylePr>
    <w:tblStylePr w:type="lastRow">
      <w:rPr>
        <w:rFonts w:ascii="Arial" w:hAnsi="Arial"/>
        <w:b/>
        <w:color w:val="B3A2C7" w:themeColor="accent4" w:themeTint="99"/>
        <w:sz w:val="22"/>
        <w14:textFill>
          <w14:solidFill>
            <w14:schemeClr w14:val="accent4">
              <w14:lumMod w14:val="60000"/>
              <w14:lumOff w14:val="40000"/>
            </w14:schemeClr>
          </w14:solidFill>
        </w14:textFill>
      </w:rPr>
      <w:tcPr>
        <w:tcBorders>
          <w:top w:val="single" w:color="B2A1C6" w:themeColor="accent4" w:themeTint="9A" w:sz="4" w:space="0"/>
          <w:left w:val="nil"/>
          <w:bottom w:val="nil"/>
          <w:right w:val="nil"/>
        </w:tcBorders>
        <w:shd w:val="clear" w:color="FFFFFF" w:themeColor="light1" w:fill="FFFFFF" w:themeFill="light1"/>
      </w:tcPr>
    </w:tblStylePr>
    <w:tblStylePr w:type="firstCol">
      <w:pPr>
        <w:jc w:val="right"/>
      </w:pPr>
      <w:rPr>
        <w:rFonts w:ascii="Arial" w:hAnsi="Arial"/>
        <w:i/>
        <w:color w:val="B3A2C7" w:themeColor="accent4" w:themeTint="99"/>
        <w:sz w:val="22"/>
        <w14:textFill>
          <w14:solidFill>
            <w14:schemeClr w14:val="accent4">
              <w14:lumMod w14:val="60000"/>
              <w14:lumOff w14:val="40000"/>
            </w14:schemeClr>
          </w14:solidFill>
        </w14:textFill>
      </w:rPr>
      <w:tcPr>
        <w:tcBorders>
          <w:top w:val="nil"/>
          <w:left w:val="nil"/>
          <w:bottom w:val="nil"/>
          <w:right w:val="single" w:color="B2A1C6" w:themeColor="accent4" w:themeTint="9A" w:sz="4" w:space="0"/>
        </w:tcBorders>
        <w:shd w:val="clear" w:color="FFFFFF" w:fill="auto"/>
      </w:tcPr>
    </w:tblStylePr>
    <w:tblStylePr w:type="lastCol">
      <w:rPr>
        <w:rFonts w:ascii="Arial" w:hAnsi="Arial"/>
        <w:i/>
        <w:color w:val="B3A2C7" w:themeColor="accent4" w:themeTint="99"/>
        <w:sz w:val="22"/>
        <w14:textFill>
          <w14:solidFill>
            <w14:schemeClr w14:val="accent4">
              <w14:lumMod w14:val="60000"/>
              <w14:lumOff w14:val="40000"/>
            </w14:schemeClr>
          </w14:solidFill>
        </w14:textFill>
      </w:rPr>
      <w:tcPr>
        <w:tcBorders>
          <w:top w:val="nil"/>
          <w:left w:val="single" w:color="B2A1C6" w:themeColor="accent4" w:themeTint="9A" w:sz="4" w:space="0"/>
          <w:bottom w:val="nil"/>
          <w:right w:val="nil"/>
        </w:tcBorders>
        <w:shd w:val="clear" w:color="FFFFFF" w:fill="auto"/>
      </w:tcPr>
    </w:tblStylePr>
    <w:tblStylePr w:type="band1Vert">
      <w:tcPr>
        <w:shd w:val="clear" w:color="E5DFEC" w:themeColor="accent4" w:themeTint="34" w:fill="E5DFEC" w:themeFill="accent4" w:themeFillTint="34"/>
      </w:tcPr>
    </w:tblStylePr>
    <w:tblStylePr w:type="band2Vert"/>
    <w:tblStylePr w:type="band1Horz">
      <w:rPr>
        <w:rFonts w:ascii="Arial" w:hAnsi="Arial"/>
        <w:color w:val="B3A2C7" w:themeColor="accent4" w:themeTint="99"/>
        <w:sz w:val="22"/>
        <w14:textFill>
          <w14:solidFill>
            <w14:schemeClr w14:val="accent4">
              <w14:lumMod w14:val="60000"/>
              <w14:lumOff w14:val="40000"/>
            </w14:schemeClr>
          </w14:solidFill>
        </w14:textFill>
      </w:rPr>
      <w:tcPr>
        <w:shd w:val="clear" w:color="E5DFEC" w:themeColor="accent4" w:themeTint="34" w:fill="E5DFEC" w:themeFill="accent4" w:themeFillTint="34"/>
      </w:tcPr>
    </w:tblStylePr>
    <w:tblStylePr w:type="band2Horz">
      <w:rPr>
        <w:rFonts w:ascii="Arial" w:hAnsi="Arial"/>
        <w:color w:val="B3A2C7" w:themeColor="accent4" w:themeTint="99"/>
        <w:sz w:val="22"/>
        <w14:textFill>
          <w14:solidFill>
            <w14:schemeClr w14:val="accent4">
              <w14:lumMod w14:val="60000"/>
              <w14:lumOff w14:val="40000"/>
            </w14:schemeClr>
          </w14:solidFill>
        </w14:textFill>
      </w:rPr>
    </w:tblStylePr>
    <w:tblStylePr w:type="neCell"/>
    <w:tblStylePr w:type="nwCell"/>
    <w:tblStylePr w:type="seCell"/>
    <w:tblStylePr w:type="swCell"/>
  </w:style>
  <w:style w:type="table" w:customStyle="1" w:styleId="118">
    <w:name w:val="Grid Table 7 Colorful - Accent 5"/>
    <w:qFormat/>
    <w:uiPriority w:val="99"/>
    <w:pPr>
      <w:spacing w:after="0" w:line="240" w:lineRule="auto"/>
    </w:pPr>
    <w:tblPr>
      <w:tblBorders>
        <w:bottom w:val="single" w:color="99D0DE" w:themeColor="accent5" w:themeTint="90" w:sz="4" w:space="0"/>
        <w:right w:val="single" w:color="99D0DE" w:themeColor="accent5" w:themeTint="90" w:sz="4" w:space="0"/>
        <w:insideH w:val="single" w:color="99D0DE" w:themeColor="accent5" w:themeTint="90" w:sz="4" w:space="0"/>
        <w:insideV w:val="single" w:color="99D0DE" w:themeColor="accent5" w:themeTint="90" w:sz="4" w:space="0"/>
      </w:tblBorders>
    </w:tblPr>
    <w:tblStylePr w:type="firstRow">
      <w:rPr>
        <w:rFonts w:ascii="Arial" w:hAnsi="Arial"/>
        <w:b/>
        <w:color w:val="266778" w:themeColor="accent5" w:themeShade="94"/>
        <w:sz w:val="22"/>
      </w:rPr>
      <w:tcPr>
        <w:tcBorders>
          <w:top w:val="nil"/>
          <w:left w:val="nil"/>
          <w:bottom w:val="single" w:color="99D0DE" w:themeColor="accent5" w:themeTint="90" w:sz="4" w:space="0"/>
          <w:right w:val="nil"/>
        </w:tcBorders>
        <w:shd w:val="clear" w:color="FFFFFF" w:themeColor="light1" w:fill="FFFFFF" w:themeFill="light1"/>
      </w:tcPr>
    </w:tblStylePr>
    <w:tblStylePr w:type="lastRow">
      <w:rPr>
        <w:rFonts w:ascii="Arial" w:hAnsi="Arial"/>
        <w:b/>
        <w:color w:val="266778" w:themeColor="accent5" w:themeShade="94"/>
        <w:sz w:val="22"/>
      </w:rPr>
      <w:tcPr>
        <w:tcBorders>
          <w:top w:val="single" w:color="99D0DE" w:themeColor="accent5" w:themeTint="90" w:sz="4" w:space="0"/>
          <w:left w:val="nil"/>
          <w:bottom w:val="nil"/>
          <w:right w:val="nil"/>
        </w:tcBorders>
        <w:shd w:val="clear" w:color="FFFFFF" w:themeColor="light1" w:fill="FFFFFF" w:themeFill="light1"/>
      </w:tcPr>
    </w:tblStylePr>
    <w:tblStylePr w:type="firstCol">
      <w:pPr>
        <w:jc w:val="right"/>
      </w:pPr>
      <w:rPr>
        <w:rFonts w:ascii="Arial" w:hAnsi="Arial"/>
        <w:i/>
        <w:color w:val="266778" w:themeColor="accent5" w:themeShade="94"/>
        <w:sz w:val="22"/>
      </w:rPr>
      <w:tcPr>
        <w:tcBorders>
          <w:top w:val="nil"/>
          <w:left w:val="nil"/>
          <w:bottom w:val="nil"/>
          <w:right w:val="single" w:color="99D0DE" w:themeColor="accent5" w:themeTint="90" w:sz="4" w:space="0"/>
        </w:tcBorders>
        <w:shd w:val="clear" w:color="FFFFFF" w:fill="auto"/>
      </w:tcPr>
    </w:tblStylePr>
    <w:tblStylePr w:type="lastCol">
      <w:rPr>
        <w:rFonts w:ascii="Arial" w:hAnsi="Arial"/>
        <w:i/>
        <w:color w:val="266778" w:themeColor="accent5" w:themeShade="94"/>
        <w:sz w:val="22"/>
      </w:rPr>
      <w:tcPr>
        <w:tcBorders>
          <w:top w:val="nil"/>
          <w:left w:val="single" w:color="99D0DE" w:themeColor="accent5" w:themeTint="90" w:sz="4" w:space="0"/>
          <w:bottom w:val="nil"/>
          <w:right w:val="nil"/>
        </w:tcBorders>
        <w:shd w:val="clear" w:color="FFFFFF" w:fill="auto"/>
      </w:tcPr>
    </w:tblStylePr>
    <w:tblStylePr w:type="band1Vert">
      <w:tcPr>
        <w:shd w:val="clear" w:color="DAEEF3" w:themeColor="accent5" w:themeTint="34" w:fill="DAEEF3" w:themeFill="accent5" w:themeFillTint="34"/>
      </w:tcPr>
    </w:tblStylePr>
    <w:tblStylePr w:type="band2Vert"/>
    <w:tblStylePr w:type="band1Horz">
      <w:rPr>
        <w:rFonts w:ascii="Arial" w:hAnsi="Arial"/>
        <w:color w:val="266778" w:themeColor="accent5" w:themeShade="94"/>
        <w:sz w:val="22"/>
      </w:rPr>
      <w:tcPr>
        <w:shd w:val="clear" w:color="DAEEF3" w:themeColor="accent5" w:themeTint="34" w:fill="DAEEF3" w:themeFill="accent5" w:themeFillTint="34"/>
      </w:tcPr>
    </w:tblStylePr>
    <w:tblStylePr w:type="band2Horz">
      <w:rPr>
        <w:rFonts w:ascii="Arial" w:hAnsi="Arial"/>
        <w:color w:val="266778" w:themeColor="accent5" w:themeShade="94"/>
        <w:sz w:val="22"/>
      </w:rPr>
    </w:tblStylePr>
    <w:tblStylePr w:type="neCell"/>
    <w:tblStylePr w:type="nwCell"/>
    <w:tblStylePr w:type="seCell"/>
    <w:tblStylePr w:type="swCell"/>
  </w:style>
  <w:style w:type="table" w:customStyle="1" w:styleId="119">
    <w:name w:val="Grid Table 7 Colorful - Accent 6"/>
    <w:qFormat/>
    <w:uiPriority w:val="99"/>
    <w:pPr>
      <w:spacing w:after="0" w:line="240" w:lineRule="auto"/>
    </w:pPr>
    <w:tblPr>
      <w:tblBorders>
        <w:bottom w:val="single" w:color="FAC396" w:themeColor="accent6" w:themeTint="90" w:sz="4" w:space="0"/>
        <w:right w:val="single" w:color="FAC396" w:themeColor="accent6" w:themeTint="90" w:sz="4" w:space="0"/>
        <w:insideH w:val="single" w:color="FAC396" w:themeColor="accent6" w:themeTint="90" w:sz="4" w:space="0"/>
        <w:insideV w:val="single" w:color="FAC396" w:themeColor="accent6" w:themeTint="90" w:sz="4" w:space="0"/>
      </w:tblBorders>
    </w:tblPr>
    <w:tblStylePr w:type="firstRow">
      <w:rPr>
        <w:rFonts w:ascii="Arial" w:hAnsi="Arial"/>
        <w:b/>
        <w:color w:val="B05408" w:themeColor="accent6" w:themeShade="94"/>
        <w:sz w:val="22"/>
      </w:rPr>
      <w:tcPr>
        <w:tcBorders>
          <w:top w:val="nil"/>
          <w:left w:val="nil"/>
          <w:bottom w:val="single" w:color="FAC396" w:themeColor="accent6" w:themeTint="90" w:sz="4" w:space="0"/>
          <w:right w:val="nil"/>
        </w:tcBorders>
        <w:shd w:val="clear" w:color="FFFFFF" w:themeColor="light1" w:fill="FFFFFF" w:themeFill="light1"/>
      </w:tcPr>
    </w:tblStylePr>
    <w:tblStylePr w:type="lastRow">
      <w:rPr>
        <w:rFonts w:ascii="Arial" w:hAnsi="Arial"/>
        <w:b/>
        <w:color w:val="B05408" w:themeColor="accent6" w:themeShade="94"/>
        <w:sz w:val="22"/>
      </w:rPr>
      <w:tcPr>
        <w:tcBorders>
          <w:top w:val="single" w:color="FAC396" w:themeColor="accent6" w:themeTint="90" w:sz="4" w:space="0"/>
          <w:left w:val="nil"/>
          <w:bottom w:val="nil"/>
          <w:right w:val="nil"/>
        </w:tcBorders>
        <w:shd w:val="clear" w:color="FFFFFF" w:themeColor="light1" w:fill="FFFFFF" w:themeFill="light1"/>
      </w:tcPr>
    </w:tblStylePr>
    <w:tblStylePr w:type="firstCol">
      <w:pPr>
        <w:jc w:val="right"/>
      </w:pPr>
      <w:rPr>
        <w:rFonts w:ascii="Arial" w:hAnsi="Arial"/>
        <w:i/>
        <w:color w:val="B05408" w:themeColor="accent6" w:themeShade="94"/>
        <w:sz w:val="22"/>
      </w:rPr>
      <w:tcPr>
        <w:tcBorders>
          <w:top w:val="nil"/>
          <w:left w:val="nil"/>
          <w:bottom w:val="nil"/>
          <w:right w:val="single" w:color="FAC396" w:themeColor="accent6" w:themeTint="90" w:sz="4" w:space="0"/>
        </w:tcBorders>
        <w:shd w:val="clear" w:color="FFFFFF" w:fill="auto"/>
      </w:tcPr>
    </w:tblStylePr>
    <w:tblStylePr w:type="lastCol">
      <w:rPr>
        <w:rFonts w:ascii="Arial" w:hAnsi="Arial"/>
        <w:i/>
        <w:color w:val="B05408" w:themeColor="accent6" w:themeShade="94"/>
        <w:sz w:val="22"/>
      </w:rPr>
      <w:tcPr>
        <w:tcBorders>
          <w:top w:val="nil"/>
          <w:left w:val="single" w:color="FAC396" w:themeColor="accent6" w:themeTint="90" w:sz="4" w:space="0"/>
          <w:bottom w:val="nil"/>
          <w:right w:val="nil"/>
        </w:tcBorders>
        <w:shd w:val="clear" w:color="FFFFFF" w:fill="auto"/>
      </w:tcPr>
    </w:tblStylePr>
    <w:tblStylePr w:type="band1Vert">
      <w:tcPr>
        <w:shd w:val="clear" w:color="FDE9D9" w:themeColor="accent6" w:themeTint="34" w:fill="FDE9D9" w:themeFill="accent6" w:themeFillTint="34"/>
      </w:tcPr>
    </w:tblStylePr>
    <w:tblStylePr w:type="band2Vert"/>
    <w:tblStylePr w:type="band1Horz">
      <w:rPr>
        <w:rFonts w:ascii="Arial" w:hAnsi="Arial"/>
        <w:color w:val="B05408" w:themeColor="accent6" w:themeShade="94"/>
        <w:sz w:val="22"/>
      </w:rPr>
      <w:tcPr>
        <w:shd w:val="clear" w:color="FDE9D9" w:themeColor="accent6" w:themeTint="34" w:fill="FDE9D9" w:themeFill="accent6" w:themeFillTint="34"/>
      </w:tcPr>
    </w:tblStylePr>
    <w:tblStylePr w:type="band2Horz">
      <w:rPr>
        <w:rFonts w:ascii="Arial" w:hAnsi="Arial"/>
        <w:color w:val="B05408" w:themeColor="accent6" w:themeShade="94"/>
        <w:sz w:val="22"/>
      </w:rPr>
    </w:tblStylePr>
    <w:tblStylePr w:type="neCell"/>
    <w:tblStylePr w:type="nwCell"/>
    <w:tblStylePr w:type="seCell"/>
    <w:tblStylePr w:type="swCell"/>
  </w:style>
  <w:style w:type="table" w:customStyle="1" w:styleId="120">
    <w:name w:val="List Table 1 Light"/>
    <w:qFormat/>
    <w:uiPriority w:val="99"/>
    <w:pPr>
      <w:spacing w:after="0" w:line="240" w:lineRule="auto"/>
    </w:pPr>
    <w:tblStylePr w:type="firstRow">
      <w:rPr>
        <w:b/>
        <w:color w:val="404040"/>
      </w:rPr>
      <w:tcPr>
        <w:tcBorders>
          <w:top w:val="nil"/>
          <w:left w:val="nil"/>
          <w:bottom w:val="single" w:color="000000" w:themeColor="text1" w:sz="4" w:space="0"/>
          <w:right w:val="nil"/>
        </w:tcBorders>
      </w:tcPr>
    </w:tblStylePr>
    <w:tblStylePr w:type="lastRow">
      <w:rPr>
        <w:b/>
        <w:color w:val="404040"/>
      </w:rPr>
      <w:tcPr>
        <w:tcBorders>
          <w:top w:val="single" w:color="000000" w:themeColor="text1" w:sz="4" w:space="0"/>
          <w:left w:val="nil"/>
          <w:bottom w:val="nil"/>
          <w:right w:val="nil"/>
        </w:tcBorders>
      </w:tcPr>
    </w:tblStylePr>
    <w:tblStylePr w:type="firstCol">
      <w:rPr>
        <w:b/>
        <w:color w:val="404040"/>
      </w:rPr>
    </w:tblStylePr>
    <w:tblStylePr w:type="lastCol">
      <w:rPr>
        <w:b/>
        <w:color w:val="404040"/>
      </w:rPr>
    </w:tblStylePr>
    <w:tblStylePr w:type="band1Vert">
      <w:tcPr>
        <w:shd w:val="clear" w:color="BEBEBE" w:themeColor="text1" w:themeTint="40" w:fill="BEBEBE" w:themeFill="text1" w:themeFillTint="40"/>
      </w:tcPr>
    </w:tblStylePr>
    <w:tblStylePr w:type="band2Vert"/>
    <w:tblStylePr w:type="band1Horz">
      <w:tcPr>
        <w:shd w:val="clear" w:color="BEBEBE" w:themeColor="text1" w:themeTint="40" w:fill="BEBEBE" w:themeFill="text1" w:themeFillTint="40"/>
      </w:tcPr>
    </w:tblStylePr>
    <w:tblStylePr w:type="band2Horz"/>
    <w:tblStylePr w:type="neCell"/>
    <w:tblStylePr w:type="nwCell"/>
    <w:tblStylePr w:type="seCell"/>
    <w:tblStylePr w:type="swCell"/>
  </w:style>
  <w:style w:type="table" w:customStyle="1" w:styleId="121">
    <w:name w:val="List Table 1 Light - Accent 1"/>
    <w:qFormat/>
    <w:uiPriority w:val="99"/>
    <w:pPr>
      <w:spacing w:after="0" w:line="240" w:lineRule="auto"/>
    </w:pPr>
    <w:tblStylePr w:type="firstRow">
      <w:rPr>
        <w:b/>
        <w:color w:val="404040"/>
      </w:rPr>
      <w:tcPr>
        <w:tcBorders>
          <w:top w:val="nil"/>
          <w:left w:val="nil"/>
          <w:bottom w:val="single" w:color="4F81BD" w:themeColor="accent1" w:sz="4" w:space="0"/>
          <w:right w:val="nil"/>
        </w:tcBorders>
      </w:tcPr>
    </w:tblStylePr>
    <w:tblStylePr w:type="lastRow">
      <w:rPr>
        <w:b/>
        <w:color w:val="404040"/>
      </w:rPr>
      <w:tcPr>
        <w:tcBorders>
          <w:top w:val="single" w:color="4F81BD" w:themeColor="accent1" w:sz="4" w:space="0"/>
          <w:left w:val="nil"/>
          <w:bottom w:val="nil"/>
          <w:right w:val="nil"/>
        </w:tcBorders>
      </w:tcPr>
    </w:tblStylePr>
    <w:tblStylePr w:type="firstCol">
      <w:rPr>
        <w:b/>
        <w:color w:val="404040"/>
      </w:rPr>
    </w:tblStylePr>
    <w:tblStylePr w:type="lastCol">
      <w:rPr>
        <w:b/>
        <w:color w:val="404040"/>
      </w:rPr>
    </w:tblStylePr>
    <w:tblStylePr w:type="band1Vert">
      <w:tcPr>
        <w:shd w:val="clear" w:color="D2DFEE" w:themeColor="accent1" w:themeTint="40" w:fill="D2DFEE" w:themeFill="accent1" w:themeFillTint="40"/>
      </w:tcPr>
    </w:tblStylePr>
    <w:tblStylePr w:type="band2Vert"/>
    <w:tblStylePr w:type="band1Horz">
      <w:tcPr>
        <w:shd w:val="clear" w:color="D2DFEE" w:themeColor="accent1" w:themeTint="40" w:fill="D2DFEE" w:themeFill="accent1" w:themeFillTint="40"/>
      </w:tcPr>
    </w:tblStylePr>
    <w:tblStylePr w:type="band2Horz"/>
    <w:tblStylePr w:type="neCell"/>
    <w:tblStylePr w:type="nwCell"/>
    <w:tblStylePr w:type="seCell"/>
    <w:tblStylePr w:type="swCell"/>
  </w:style>
  <w:style w:type="table" w:customStyle="1" w:styleId="122">
    <w:name w:val="List Table 1 Light - Accent 2"/>
    <w:qFormat/>
    <w:uiPriority w:val="99"/>
    <w:pPr>
      <w:spacing w:after="0" w:line="240" w:lineRule="auto"/>
    </w:pPr>
    <w:tblStylePr w:type="firstRow">
      <w:rPr>
        <w:b/>
        <w:color w:val="404040"/>
      </w:rPr>
      <w:tcPr>
        <w:tcBorders>
          <w:top w:val="nil"/>
          <w:left w:val="nil"/>
          <w:bottom w:val="single" w:color="C0504D" w:themeColor="accent2" w:sz="4" w:space="0"/>
          <w:right w:val="nil"/>
        </w:tcBorders>
      </w:tcPr>
    </w:tblStylePr>
    <w:tblStylePr w:type="lastRow">
      <w:rPr>
        <w:b/>
        <w:color w:val="404040"/>
      </w:rPr>
      <w:tcPr>
        <w:tcBorders>
          <w:top w:val="single" w:color="C0504D" w:themeColor="accent2" w:sz="4" w:space="0"/>
          <w:left w:val="nil"/>
          <w:bottom w:val="nil"/>
          <w:right w:val="nil"/>
        </w:tcBorders>
      </w:tcPr>
    </w:tblStylePr>
    <w:tblStylePr w:type="firstCol">
      <w:rPr>
        <w:b/>
        <w:color w:val="404040"/>
      </w:rPr>
    </w:tblStylePr>
    <w:tblStylePr w:type="lastCol">
      <w:rPr>
        <w:b/>
        <w:color w:val="404040"/>
      </w:rPr>
    </w:tblStylePr>
    <w:tblStylePr w:type="band1Vert">
      <w:tcPr>
        <w:shd w:val="clear" w:color="EFD3D2" w:themeColor="accent2" w:themeTint="40" w:fill="EFD3D2" w:themeFill="accent2" w:themeFillTint="40"/>
      </w:tcPr>
    </w:tblStylePr>
    <w:tblStylePr w:type="band2Vert"/>
    <w:tblStylePr w:type="band1Horz">
      <w:tcPr>
        <w:shd w:val="clear" w:color="EFD3D2" w:themeColor="accent2" w:themeTint="40" w:fill="EFD3D2" w:themeFill="accent2" w:themeFillTint="40"/>
      </w:tcPr>
    </w:tblStylePr>
    <w:tblStylePr w:type="band2Horz"/>
    <w:tblStylePr w:type="neCell"/>
    <w:tblStylePr w:type="nwCell"/>
    <w:tblStylePr w:type="seCell"/>
    <w:tblStylePr w:type="swCell"/>
  </w:style>
  <w:style w:type="table" w:customStyle="1" w:styleId="123">
    <w:name w:val="List Table 1 Light - Accent 3"/>
    <w:qFormat/>
    <w:uiPriority w:val="99"/>
    <w:pPr>
      <w:spacing w:after="0" w:line="240" w:lineRule="auto"/>
    </w:pPr>
    <w:tblStylePr w:type="firstRow">
      <w:rPr>
        <w:b/>
        <w:color w:val="404040"/>
      </w:rPr>
      <w:tcPr>
        <w:tcBorders>
          <w:top w:val="nil"/>
          <w:left w:val="nil"/>
          <w:bottom w:val="single" w:color="9BBB59" w:themeColor="accent3" w:sz="4" w:space="0"/>
          <w:right w:val="nil"/>
        </w:tcBorders>
      </w:tcPr>
    </w:tblStylePr>
    <w:tblStylePr w:type="lastRow">
      <w:rPr>
        <w:b/>
        <w:color w:val="404040"/>
      </w:rPr>
      <w:tcPr>
        <w:tcBorders>
          <w:top w:val="single" w:color="9BBB59" w:themeColor="accent3" w:sz="4" w:space="0"/>
          <w:left w:val="nil"/>
          <w:bottom w:val="nil"/>
          <w:right w:val="nil"/>
        </w:tcBorders>
      </w:tcPr>
    </w:tblStylePr>
    <w:tblStylePr w:type="firstCol">
      <w:rPr>
        <w:b/>
        <w:color w:val="404040"/>
      </w:rPr>
    </w:tblStylePr>
    <w:tblStylePr w:type="lastCol">
      <w:rPr>
        <w:b/>
        <w:color w:val="404040"/>
      </w:rPr>
    </w:tblStylePr>
    <w:tblStylePr w:type="band1Vert">
      <w:tcPr>
        <w:shd w:val="clear" w:color="E5EDD5" w:themeColor="accent3" w:themeTint="40" w:fill="E5EDD5" w:themeFill="accent3" w:themeFillTint="40"/>
      </w:tcPr>
    </w:tblStylePr>
    <w:tblStylePr w:type="band2Vert"/>
    <w:tblStylePr w:type="band1Horz">
      <w:tcPr>
        <w:shd w:val="clear" w:color="E5EDD5" w:themeColor="accent3" w:themeTint="40" w:fill="E5EDD5" w:themeFill="accent3" w:themeFillTint="40"/>
      </w:tcPr>
    </w:tblStylePr>
    <w:tblStylePr w:type="band2Horz"/>
    <w:tblStylePr w:type="neCell"/>
    <w:tblStylePr w:type="nwCell"/>
    <w:tblStylePr w:type="seCell"/>
    <w:tblStylePr w:type="swCell"/>
  </w:style>
  <w:style w:type="table" w:customStyle="1" w:styleId="124">
    <w:name w:val="List Table 1 Light - Accent 4"/>
    <w:qFormat/>
    <w:uiPriority w:val="99"/>
    <w:pPr>
      <w:spacing w:after="0" w:line="240" w:lineRule="auto"/>
    </w:pPr>
    <w:tblStylePr w:type="firstRow">
      <w:rPr>
        <w:b/>
        <w:color w:val="404040"/>
      </w:rPr>
      <w:tcPr>
        <w:tcBorders>
          <w:top w:val="nil"/>
          <w:left w:val="nil"/>
          <w:bottom w:val="single" w:color="8064A2" w:themeColor="accent4" w:sz="4" w:space="0"/>
          <w:right w:val="nil"/>
        </w:tcBorders>
      </w:tcPr>
    </w:tblStylePr>
    <w:tblStylePr w:type="lastRow">
      <w:rPr>
        <w:b/>
        <w:color w:val="404040"/>
      </w:rPr>
      <w:tcPr>
        <w:tcBorders>
          <w:top w:val="single" w:color="8064A2" w:themeColor="accent4" w:sz="4" w:space="0"/>
          <w:left w:val="nil"/>
          <w:bottom w:val="nil"/>
          <w:right w:val="nil"/>
        </w:tcBorders>
      </w:tcPr>
    </w:tblStylePr>
    <w:tblStylePr w:type="firstCol">
      <w:rPr>
        <w:b/>
        <w:color w:val="404040"/>
      </w:rPr>
    </w:tblStylePr>
    <w:tblStylePr w:type="lastCol">
      <w:rPr>
        <w:b/>
        <w:color w:val="404040"/>
      </w:rPr>
    </w:tblStylePr>
    <w:tblStylePr w:type="band1Vert">
      <w:tcPr>
        <w:shd w:val="clear" w:color="DFD8E7" w:themeColor="accent4" w:themeTint="40" w:fill="DFD8E7" w:themeFill="accent4" w:themeFillTint="40"/>
      </w:tcPr>
    </w:tblStylePr>
    <w:tblStylePr w:type="band2Vert"/>
    <w:tblStylePr w:type="band1Horz">
      <w:tcPr>
        <w:shd w:val="clear" w:color="DFD8E7" w:themeColor="accent4" w:themeTint="40" w:fill="DFD8E7" w:themeFill="accent4" w:themeFillTint="40"/>
      </w:tcPr>
    </w:tblStylePr>
    <w:tblStylePr w:type="band2Horz"/>
    <w:tblStylePr w:type="neCell"/>
    <w:tblStylePr w:type="nwCell"/>
    <w:tblStylePr w:type="seCell"/>
    <w:tblStylePr w:type="swCell"/>
  </w:style>
  <w:style w:type="table" w:customStyle="1" w:styleId="125">
    <w:name w:val="List Table 1 Light - Accent 5"/>
    <w:qFormat/>
    <w:uiPriority w:val="99"/>
    <w:pPr>
      <w:spacing w:after="0" w:line="240" w:lineRule="auto"/>
    </w:pPr>
    <w:tblStylePr w:type="firstRow">
      <w:rPr>
        <w:b/>
        <w:color w:val="404040"/>
      </w:rPr>
      <w:tcPr>
        <w:tcBorders>
          <w:top w:val="nil"/>
          <w:left w:val="nil"/>
          <w:bottom w:val="single" w:color="4BACC6" w:themeColor="accent5" w:sz="4" w:space="0"/>
          <w:right w:val="nil"/>
        </w:tcBorders>
      </w:tcPr>
    </w:tblStylePr>
    <w:tblStylePr w:type="lastRow">
      <w:rPr>
        <w:b/>
        <w:color w:val="404040"/>
      </w:rPr>
      <w:tcPr>
        <w:tcBorders>
          <w:top w:val="single" w:color="4BACC6" w:themeColor="accent5" w:sz="4" w:space="0"/>
          <w:left w:val="nil"/>
          <w:bottom w:val="nil"/>
          <w:right w:val="nil"/>
        </w:tcBorders>
      </w:tcPr>
    </w:tblStylePr>
    <w:tblStylePr w:type="firstCol">
      <w:rPr>
        <w:b/>
        <w:color w:val="404040"/>
      </w:rPr>
    </w:tblStylePr>
    <w:tblStylePr w:type="lastCol">
      <w:rPr>
        <w:b/>
        <w:color w:val="404040"/>
      </w:rPr>
    </w:tblStylePr>
    <w:tblStylePr w:type="band1Vert">
      <w:tcPr>
        <w:shd w:val="clear" w:color="D1EAF0" w:themeColor="accent5" w:themeTint="40" w:fill="D1EAF0" w:themeFill="accent5" w:themeFillTint="40"/>
      </w:tcPr>
    </w:tblStylePr>
    <w:tblStylePr w:type="band2Vert"/>
    <w:tblStylePr w:type="band1Horz">
      <w:tcPr>
        <w:shd w:val="clear" w:color="D1EAF0" w:themeColor="accent5" w:themeTint="40" w:fill="D1EAF0" w:themeFill="accent5" w:themeFillTint="40"/>
      </w:tcPr>
    </w:tblStylePr>
    <w:tblStylePr w:type="band2Horz"/>
    <w:tblStylePr w:type="neCell"/>
    <w:tblStylePr w:type="nwCell"/>
    <w:tblStylePr w:type="seCell"/>
    <w:tblStylePr w:type="swCell"/>
  </w:style>
  <w:style w:type="table" w:customStyle="1" w:styleId="126">
    <w:name w:val="List Table 1 Light - Accent 6"/>
    <w:qFormat/>
    <w:uiPriority w:val="99"/>
    <w:pPr>
      <w:spacing w:after="0" w:line="240" w:lineRule="auto"/>
    </w:pPr>
    <w:tblStylePr w:type="firstRow">
      <w:rPr>
        <w:b/>
        <w:color w:val="404040"/>
      </w:rPr>
      <w:tcPr>
        <w:tcBorders>
          <w:top w:val="nil"/>
          <w:left w:val="nil"/>
          <w:bottom w:val="single" w:color="F79646" w:themeColor="accent6" w:sz="4" w:space="0"/>
          <w:right w:val="nil"/>
        </w:tcBorders>
      </w:tcPr>
    </w:tblStylePr>
    <w:tblStylePr w:type="lastRow">
      <w:rPr>
        <w:b/>
        <w:color w:val="404040"/>
      </w:rPr>
      <w:tcPr>
        <w:tcBorders>
          <w:top w:val="single" w:color="F79646" w:themeColor="accent6" w:sz="4" w:space="0"/>
          <w:left w:val="nil"/>
          <w:bottom w:val="nil"/>
          <w:right w:val="nil"/>
        </w:tcBorders>
      </w:tcPr>
    </w:tblStylePr>
    <w:tblStylePr w:type="firstCol">
      <w:rPr>
        <w:b/>
        <w:color w:val="404040"/>
      </w:rPr>
    </w:tblStylePr>
    <w:tblStylePr w:type="lastCol">
      <w:rPr>
        <w:b/>
        <w:color w:val="404040"/>
      </w:rPr>
    </w:tblStylePr>
    <w:tblStylePr w:type="band1Vert">
      <w:tcPr>
        <w:shd w:val="clear" w:color="FCE4D0" w:themeColor="accent6" w:themeTint="40" w:fill="FCE4D0" w:themeFill="accent6" w:themeFillTint="40"/>
      </w:tcPr>
    </w:tblStylePr>
    <w:tblStylePr w:type="band2Vert"/>
    <w:tblStylePr w:type="band1Horz">
      <w:tcPr>
        <w:shd w:val="clear" w:color="FCE4D0" w:themeColor="accent6" w:themeTint="40" w:fill="FCE4D0" w:themeFill="accent6" w:themeFillTint="40"/>
      </w:tcPr>
    </w:tblStylePr>
    <w:tblStylePr w:type="band2Horz"/>
    <w:tblStylePr w:type="neCell"/>
    <w:tblStylePr w:type="nwCell"/>
    <w:tblStylePr w:type="seCell"/>
    <w:tblStylePr w:type="swCell"/>
  </w:style>
  <w:style w:type="table" w:customStyle="1" w:styleId="127">
    <w:name w:val="List Table 2"/>
    <w:qFormat/>
    <w:uiPriority w:val="99"/>
    <w:pPr>
      <w:spacing w:after="0" w:line="240" w:lineRule="auto"/>
    </w:pPr>
    <w:tblPr>
      <w:tblBorders>
        <w:top w:val="single" w:color="6E6E6E" w:themeColor="text1" w:themeTint="90" w:sz="4" w:space="0"/>
        <w:bottom w:val="single" w:color="6E6E6E" w:themeColor="text1" w:themeTint="90" w:sz="4" w:space="0"/>
        <w:insideH w:val="single" w:color="6E6E6E" w:themeColor="text1" w:themeTint="90" w:sz="4" w:space="0"/>
      </w:tblBorders>
    </w:tblPr>
    <w:tblStylePr w:type="firstRow">
      <w:rPr>
        <w:rFonts w:ascii="Arial" w:hAnsi="Arial"/>
        <w:b/>
        <w:color w:val="404040"/>
        <w:sz w:val="22"/>
      </w:rPr>
      <w:tcPr>
        <w:tcBorders>
          <w:top w:val="single" w:color="6E6E6E" w:themeColor="text1" w:themeTint="90" w:sz="4" w:space="0"/>
          <w:left w:val="nil"/>
          <w:bottom w:val="single" w:color="6E6E6E" w:themeColor="text1" w:themeTint="90" w:sz="4" w:space="0"/>
          <w:right w:val="nil"/>
        </w:tcBorders>
      </w:tcPr>
    </w:tblStylePr>
    <w:tblStylePr w:type="lastRow">
      <w:rPr>
        <w:rFonts w:ascii="Arial" w:hAnsi="Arial"/>
        <w:b/>
        <w:color w:val="404040"/>
        <w:sz w:val="22"/>
      </w:rPr>
      <w:tcPr>
        <w:tcBorders>
          <w:top w:val="single" w:color="6E6E6E" w:themeColor="text1" w:themeTint="90" w:sz="4" w:space="0"/>
          <w:left w:val="nil"/>
          <w:bottom w:val="single" w:color="6E6E6E" w:themeColor="text1"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BEBEBE" w:themeColor="text1" w:themeTint="40" w:fill="BEBEBE" w:themeFill="text1" w:themeFillTint="40"/>
      </w:tcPr>
    </w:tblStylePr>
    <w:tblStylePr w:type="band2Vert"/>
    <w:tblStylePr w:type="band1Horz">
      <w:rPr>
        <w:rFonts w:ascii="Arial" w:hAnsi="Arial"/>
        <w:color w:val="404040"/>
        <w:sz w:val="22"/>
      </w:rPr>
      <w:tcPr>
        <w:shd w:val="clear" w:color="BEBEBE" w:themeColor="text1" w:themeTint="40" w:fill="BEBEBE" w:themeFill="text1" w:themeFillTint="40"/>
      </w:tcPr>
    </w:tblStylePr>
    <w:tblStylePr w:type="band2Horz"/>
    <w:tblStylePr w:type="neCell"/>
    <w:tblStylePr w:type="nwCell"/>
    <w:tblStylePr w:type="seCell"/>
    <w:tblStylePr w:type="swCell"/>
  </w:style>
  <w:style w:type="table" w:customStyle="1" w:styleId="128">
    <w:name w:val="List Table 2 - Accent 1"/>
    <w:qFormat/>
    <w:uiPriority w:val="99"/>
    <w:pPr>
      <w:spacing w:after="0" w:line="240" w:lineRule="auto"/>
    </w:pPr>
    <w:tblPr>
      <w:tblBorders>
        <w:top w:val="single" w:color="9BB7D9" w:themeColor="accent1" w:themeTint="90" w:sz="4" w:space="0"/>
        <w:bottom w:val="single" w:color="9BB7D9" w:themeColor="accent1" w:themeTint="90" w:sz="4" w:space="0"/>
        <w:insideH w:val="single" w:color="9BB7D9" w:themeColor="accent1" w:themeTint="90" w:sz="4" w:space="0"/>
      </w:tblBorders>
    </w:tblPr>
    <w:tblStylePr w:type="firstRow">
      <w:rPr>
        <w:rFonts w:ascii="Arial" w:hAnsi="Arial"/>
        <w:b/>
        <w:color w:val="404040"/>
        <w:sz w:val="22"/>
      </w:rPr>
      <w:tcPr>
        <w:tcBorders>
          <w:top w:val="single" w:color="9BB7D9" w:themeColor="accent1" w:themeTint="90" w:sz="4" w:space="0"/>
          <w:left w:val="nil"/>
          <w:bottom w:val="single" w:color="9BB7D9" w:themeColor="accent1" w:themeTint="90" w:sz="4" w:space="0"/>
          <w:right w:val="nil"/>
        </w:tcBorders>
      </w:tcPr>
    </w:tblStylePr>
    <w:tblStylePr w:type="lastRow">
      <w:rPr>
        <w:rFonts w:ascii="Arial" w:hAnsi="Arial"/>
        <w:b/>
        <w:color w:val="404040"/>
        <w:sz w:val="22"/>
      </w:rPr>
      <w:tcPr>
        <w:tcBorders>
          <w:top w:val="single" w:color="9BB7D9" w:themeColor="accent1" w:themeTint="90" w:sz="4" w:space="0"/>
          <w:left w:val="nil"/>
          <w:bottom w:val="single" w:color="9BB7D9" w:themeColor="accent1"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D2DFEE" w:themeColor="accent1" w:themeTint="40" w:fill="D2DFEE" w:themeFill="accent1" w:themeFillTint="40"/>
      </w:tcPr>
    </w:tblStylePr>
    <w:tblStylePr w:type="band2Vert"/>
    <w:tblStylePr w:type="band1Horz">
      <w:rPr>
        <w:rFonts w:ascii="Arial" w:hAnsi="Arial"/>
        <w:color w:val="404040"/>
        <w:sz w:val="22"/>
      </w:rPr>
      <w:tcPr>
        <w:shd w:val="clear" w:color="D2DFEE" w:themeColor="accent1" w:themeTint="40" w:fill="D2DFEE" w:themeFill="accent1" w:themeFillTint="40"/>
      </w:tcPr>
    </w:tblStylePr>
    <w:tblStylePr w:type="band2Horz"/>
    <w:tblStylePr w:type="neCell"/>
    <w:tblStylePr w:type="nwCell"/>
    <w:tblStylePr w:type="seCell"/>
    <w:tblStylePr w:type="swCell"/>
  </w:style>
  <w:style w:type="table" w:customStyle="1" w:styleId="129">
    <w:name w:val="List Table 2 - Accent 2"/>
    <w:qFormat/>
    <w:uiPriority w:val="99"/>
    <w:pPr>
      <w:spacing w:after="0" w:line="240" w:lineRule="auto"/>
    </w:pPr>
    <w:tblPr>
      <w:tblBorders>
        <w:top w:val="single" w:color="DB9C9A" w:themeColor="accent2" w:themeTint="90" w:sz="4" w:space="0"/>
        <w:bottom w:val="single" w:color="DB9C9A" w:themeColor="accent2" w:themeTint="90" w:sz="4" w:space="0"/>
        <w:insideH w:val="single" w:color="DB9C9A" w:themeColor="accent2" w:themeTint="90" w:sz="4" w:space="0"/>
      </w:tblBorders>
    </w:tblPr>
    <w:tblStylePr w:type="firstRow">
      <w:rPr>
        <w:rFonts w:ascii="Arial" w:hAnsi="Arial"/>
        <w:b/>
        <w:color w:val="404040"/>
        <w:sz w:val="22"/>
      </w:rPr>
      <w:tcPr>
        <w:tcBorders>
          <w:top w:val="single" w:color="DB9C9A" w:themeColor="accent2" w:themeTint="90" w:sz="4" w:space="0"/>
          <w:left w:val="nil"/>
          <w:bottom w:val="single" w:color="DB9C9A" w:themeColor="accent2" w:themeTint="90" w:sz="4" w:space="0"/>
          <w:right w:val="nil"/>
        </w:tcBorders>
      </w:tcPr>
    </w:tblStylePr>
    <w:tblStylePr w:type="lastRow">
      <w:rPr>
        <w:rFonts w:ascii="Arial" w:hAnsi="Arial"/>
        <w:b/>
        <w:color w:val="404040"/>
        <w:sz w:val="22"/>
      </w:rPr>
      <w:tcPr>
        <w:tcBorders>
          <w:top w:val="single" w:color="DB9C9A" w:themeColor="accent2" w:themeTint="90" w:sz="4" w:space="0"/>
          <w:left w:val="nil"/>
          <w:bottom w:val="single" w:color="DB9C9A" w:themeColor="accent2"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EFD3D2" w:themeColor="accent2" w:themeTint="40" w:fill="EFD3D2" w:themeFill="accent2" w:themeFillTint="40"/>
      </w:tcPr>
    </w:tblStylePr>
    <w:tblStylePr w:type="band2Vert"/>
    <w:tblStylePr w:type="band1Horz">
      <w:rPr>
        <w:rFonts w:ascii="Arial" w:hAnsi="Arial"/>
        <w:color w:val="404040"/>
        <w:sz w:val="22"/>
      </w:rPr>
      <w:tcPr>
        <w:shd w:val="clear" w:color="EFD3D2" w:themeColor="accent2" w:themeTint="40" w:fill="EFD3D2" w:themeFill="accent2" w:themeFillTint="40"/>
      </w:tcPr>
    </w:tblStylePr>
    <w:tblStylePr w:type="band2Horz"/>
    <w:tblStylePr w:type="neCell"/>
    <w:tblStylePr w:type="nwCell"/>
    <w:tblStylePr w:type="seCell"/>
    <w:tblStylePr w:type="swCell"/>
  </w:style>
  <w:style w:type="table" w:customStyle="1" w:styleId="130">
    <w:name w:val="List Table 2 - Accent 3"/>
    <w:qFormat/>
    <w:uiPriority w:val="99"/>
    <w:pPr>
      <w:spacing w:after="0" w:line="240" w:lineRule="auto"/>
    </w:pPr>
    <w:tblPr>
      <w:tblBorders>
        <w:top w:val="single" w:color="C6D8A1" w:themeColor="accent3" w:themeTint="90" w:sz="4" w:space="0"/>
        <w:bottom w:val="single" w:color="C6D8A1" w:themeColor="accent3" w:themeTint="90" w:sz="4" w:space="0"/>
        <w:insideH w:val="single" w:color="C6D8A1" w:themeColor="accent3" w:themeTint="90" w:sz="4" w:space="0"/>
      </w:tblBorders>
    </w:tblPr>
    <w:tblStylePr w:type="firstRow">
      <w:rPr>
        <w:rFonts w:ascii="Arial" w:hAnsi="Arial"/>
        <w:b/>
        <w:color w:val="404040"/>
        <w:sz w:val="22"/>
      </w:rPr>
      <w:tcPr>
        <w:tcBorders>
          <w:top w:val="single" w:color="C6D8A1" w:themeColor="accent3" w:themeTint="90" w:sz="4" w:space="0"/>
          <w:left w:val="nil"/>
          <w:bottom w:val="single" w:color="C6D8A1" w:themeColor="accent3" w:themeTint="90" w:sz="4" w:space="0"/>
          <w:right w:val="nil"/>
        </w:tcBorders>
      </w:tcPr>
    </w:tblStylePr>
    <w:tblStylePr w:type="lastRow">
      <w:rPr>
        <w:rFonts w:ascii="Arial" w:hAnsi="Arial"/>
        <w:b/>
        <w:color w:val="404040"/>
        <w:sz w:val="22"/>
      </w:rPr>
      <w:tcPr>
        <w:tcBorders>
          <w:top w:val="single" w:color="C6D8A1" w:themeColor="accent3" w:themeTint="90" w:sz="4" w:space="0"/>
          <w:left w:val="nil"/>
          <w:bottom w:val="single" w:color="C6D8A1" w:themeColor="accent3"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E5EDD5" w:themeColor="accent3" w:themeTint="40" w:fill="E5EDD5" w:themeFill="accent3" w:themeFillTint="40"/>
      </w:tcPr>
    </w:tblStylePr>
    <w:tblStylePr w:type="band2Vert"/>
    <w:tblStylePr w:type="band1Horz">
      <w:rPr>
        <w:rFonts w:ascii="Arial" w:hAnsi="Arial"/>
        <w:color w:val="404040"/>
        <w:sz w:val="22"/>
      </w:rPr>
      <w:tcPr>
        <w:shd w:val="clear" w:color="E5EDD5" w:themeColor="accent3" w:themeTint="40" w:fill="E5EDD5" w:themeFill="accent3" w:themeFillTint="40"/>
      </w:tcPr>
    </w:tblStylePr>
    <w:tblStylePr w:type="band2Horz"/>
    <w:tblStylePr w:type="neCell"/>
    <w:tblStylePr w:type="nwCell"/>
    <w:tblStylePr w:type="seCell"/>
    <w:tblStylePr w:type="swCell"/>
  </w:style>
  <w:style w:type="table" w:customStyle="1" w:styleId="131">
    <w:name w:val="List Table 2 - Accent 4"/>
    <w:qFormat/>
    <w:uiPriority w:val="99"/>
    <w:pPr>
      <w:spacing w:after="0" w:line="240" w:lineRule="auto"/>
    </w:pPr>
    <w:tblPr>
      <w:tblBorders>
        <w:top w:val="single" w:color="B7A7CA" w:themeColor="accent4" w:themeTint="90" w:sz="4" w:space="0"/>
        <w:bottom w:val="single" w:color="B7A7CA" w:themeColor="accent4" w:themeTint="90" w:sz="4" w:space="0"/>
        <w:insideH w:val="single" w:color="B7A7CA" w:themeColor="accent4" w:themeTint="90" w:sz="4" w:space="0"/>
      </w:tblBorders>
    </w:tblPr>
    <w:tblStylePr w:type="firstRow">
      <w:rPr>
        <w:rFonts w:ascii="Arial" w:hAnsi="Arial"/>
        <w:b/>
        <w:color w:val="404040"/>
        <w:sz w:val="22"/>
      </w:rPr>
      <w:tcPr>
        <w:tcBorders>
          <w:top w:val="single" w:color="B7A7CA" w:themeColor="accent4" w:themeTint="90" w:sz="4" w:space="0"/>
          <w:left w:val="nil"/>
          <w:bottom w:val="single" w:color="B7A7CA" w:themeColor="accent4" w:themeTint="90" w:sz="4" w:space="0"/>
          <w:right w:val="nil"/>
        </w:tcBorders>
      </w:tcPr>
    </w:tblStylePr>
    <w:tblStylePr w:type="lastRow">
      <w:rPr>
        <w:rFonts w:ascii="Arial" w:hAnsi="Arial"/>
        <w:b/>
        <w:color w:val="404040"/>
        <w:sz w:val="22"/>
      </w:rPr>
      <w:tcPr>
        <w:tcBorders>
          <w:top w:val="single" w:color="B7A7CA" w:themeColor="accent4" w:themeTint="90" w:sz="4" w:space="0"/>
          <w:left w:val="nil"/>
          <w:bottom w:val="single" w:color="B7A7CA" w:themeColor="accent4"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DFD8E7" w:themeColor="accent4" w:themeTint="40" w:fill="DFD8E7" w:themeFill="accent4" w:themeFillTint="40"/>
      </w:tcPr>
    </w:tblStylePr>
    <w:tblStylePr w:type="band2Vert"/>
    <w:tblStylePr w:type="band1Horz">
      <w:rPr>
        <w:rFonts w:ascii="Arial" w:hAnsi="Arial"/>
        <w:color w:val="404040"/>
        <w:sz w:val="22"/>
      </w:rPr>
      <w:tcPr>
        <w:shd w:val="clear" w:color="DFD8E7" w:themeColor="accent4" w:themeTint="40" w:fill="DFD8E7" w:themeFill="accent4" w:themeFillTint="40"/>
      </w:tcPr>
    </w:tblStylePr>
    <w:tblStylePr w:type="band2Horz"/>
    <w:tblStylePr w:type="neCell"/>
    <w:tblStylePr w:type="nwCell"/>
    <w:tblStylePr w:type="seCell"/>
    <w:tblStylePr w:type="swCell"/>
  </w:style>
  <w:style w:type="table" w:customStyle="1" w:styleId="132">
    <w:name w:val="List Table 2 - Accent 5"/>
    <w:qFormat/>
    <w:uiPriority w:val="99"/>
    <w:pPr>
      <w:spacing w:after="0" w:line="240" w:lineRule="auto"/>
    </w:pPr>
    <w:tblPr>
      <w:tblBorders>
        <w:top w:val="single" w:color="99D0DE" w:themeColor="accent5" w:themeTint="90" w:sz="4" w:space="0"/>
        <w:bottom w:val="single" w:color="99D0DE" w:themeColor="accent5" w:themeTint="90" w:sz="4" w:space="0"/>
        <w:insideH w:val="single" w:color="99D0DE" w:themeColor="accent5" w:themeTint="90" w:sz="4" w:space="0"/>
      </w:tblBorders>
    </w:tblPr>
    <w:tblStylePr w:type="firstRow">
      <w:rPr>
        <w:rFonts w:ascii="Arial" w:hAnsi="Arial"/>
        <w:b/>
        <w:color w:val="404040"/>
        <w:sz w:val="22"/>
      </w:rPr>
      <w:tcPr>
        <w:tcBorders>
          <w:top w:val="single" w:color="99D0DE" w:themeColor="accent5" w:themeTint="90" w:sz="4" w:space="0"/>
          <w:left w:val="nil"/>
          <w:bottom w:val="single" w:color="99D0DE" w:themeColor="accent5" w:themeTint="90" w:sz="4" w:space="0"/>
          <w:right w:val="nil"/>
        </w:tcBorders>
      </w:tcPr>
    </w:tblStylePr>
    <w:tblStylePr w:type="lastRow">
      <w:rPr>
        <w:rFonts w:ascii="Arial" w:hAnsi="Arial"/>
        <w:b/>
        <w:color w:val="404040"/>
        <w:sz w:val="22"/>
      </w:rPr>
      <w:tcPr>
        <w:tcBorders>
          <w:top w:val="single" w:color="99D0DE" w:themeColor="accent5" w:themeTint="90" w:sz="4" w:space="0"/>
          <w:left w:val="nil"/>
          <w:bottom w:val="single" w:color="99D0DE" w:themeColor="accent5"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D1EAF0" w:themeColor="accent5" w:themeTint="40" w:fill="D1EAF0" w:themeFill="accent5" w:themeFillTint="40"/>
      </w:tcPr>
    </w:tblStylePr>
    <w:tblStylePr w:type="band2Vert"/>
    <w:tblStylePr w:type="band1Horz">
      <w:rPr>
        <w:rFonts w:ascii="Arial" w:hAnsi="Arial"/>
        <w:color w:val="404040"/>
        <w:sz w:val="22"/>
      </w:rPr>
      <w:tcPr>
        <w:shd w:val="clear" w:color="D1EAF0" w:themeColor="accent5" w:themeTint="40" w:fill="D1EAF0" w:themeFill="accent5" w:themeFillTint="40"/>
      </w:tcPr>
    </w:tblStylePr>
    <w:tblStylePr w:type="band2Horz"/>
    <w:tblStylePr w:type="neCell"/>
    <w:tblStylePr w:type="nwCell"/>
    <w:tblStylePr w:type="seCell"/>
    <w:tblStylePr w:type="swCell"/>
  </w:style>
  <w:style w:type="table" w:customStyle="1" w:styleId="133">
    <w:name w:val="List Table 2 - Accent 6"/>
    <w:qFormat/>
    <w:uiPriority w:val="99"/>
    <w:pPr>
      <w:spacing w:after="0" w:line="240" w:lineRule="auto"/>
    </w:pPr>
    <w:tblPr>
      <w:tblBorders>
        <w:top w:val="single" w:color="FAC396" w:themeColor="accent6" w:themeTint="90" w:sz="4" w:space="0"/>
        <w:bottom w:val="single" w:color="FAC396" w:themeColor="accent6" w:themeTint="90" w:sz="4" w:space="0"/>
        <w:insideH w:val="single" w:color="FAC396" w:themeColor="accent6" w:themeTint="90" w:sz="4" w:space="0"/>
      </w:tblBorders>
    </w:tblPr>
    <w:tblStylePr w:type="firstRow">
      <w:rPr>
        <w:rFonts w:ascii="Arial" w:hAnsi="Arial"/>
        <w:b/>
        <w:color w:val="404040"/>
        <w:sz w:val="22"/>
      </w:rPr>
      <w:tcPr>
        <w:tcBorders>
          <w:top w:val="single" w:color="FAC396" w:themeColor="accent6" w:themeTint="90" w:sz="4" w:space="0"/>
          <w:left w:val="nil"/>
          <w:bottom w:val="single" w:color="FAC396" w:themeColor="accent6" w:themeTint="90" w:sz="4" w:space="0"/>
          <w:right w:val="nil"/>
        </w:tcBorders>
      </w:tcPr>
    </w:tblStylePr>
    <w:tblStylePr w:type="lastRow">
      <w:rPr>
        <w:rFonts w:ascii="Arial" w:hAnsi="Arial"/>
        <w:b/>
        <w:color w:val="404040"/>
        <w:sz w:val="22"/>
      </w:rPr>
      <w:tcPr>
        <w:tcBorders>
          <w:top w:val="single" w:color="FAC396" w:themeColor="accent6" w:themeTint="90" w:sz="4" w:space="0"/>
          <w:left w:val="nil"/>
          <w:bottom w:val="single" w:color="FAC396" w:themeColor="accent6" w:themeTint="90" w:sz="4" w:space="0"/>
          <w:right w:val="nil"/>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cPr>
        <w:shd w:val="clear" w:color="FCE4D0" w:themeColor="accent6" w:themeTint="40" w:fill="FCE4D0" w:themeFill="accent6" w:themeFillTint="40"/>
      </w:tcPr>
    </w:tblStylePr>
    <w:tblStylePr w:type="band2Vert"/>
    <w:tblStylePr w:type="band1Horz">
      <w:rPr>
        <w:rFonts w:ascii="Arial" w:hAnsi="Arial"/>
        <w:color w:val="404040"/>
        <w:sz w:val="22"/>
      </w:rPr>
      <w:tcPr>
        <w:shd w:val="clear" w:color="FCE4D0" w:themeColor="accent6" w:themeTint="40" w:fill="FCE4D0" w:themeFill="accent6" w:themeFillTint="40"/>
      </w:tcPr>
    </w:tblStylePr>
    <w:tblStylePr w:type="band2Horz"/>
    <w:tblStylePr w:type="neCell"/>
    <w:tblStylePr w:type="nwCell"/>
    <w:tblStylePr w:type="seCell"/>
    <w:tblStylePr w:type="swCell"/>
  </w:style>
  <w:style w:type="table" w:customStyle="1" w:styleId="134">
    <w:name w:val="List Table 3"/>
    <w:qFormat/>
    <w:uiPriority w:val="99"/>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firstRow">
      <w:rPr>
        <w:rFonts w:ascii="Arial" w:hAnsi="Arial"/>
        <w:b/>
        <w:color w:val="FFFFFF"/>
        <w:sz w:val="22"/>
      </w:r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band2Vert"/>
    <w:tblStylePr w:type="band1Horz">
      <w:rPr>
        <w:rFonts w:ascii="Arial" w:hAnsi="Arial"/>
        <w:color w:val="404040"/>
        <w:sz w:val="22"/>
      </w:rPr>
      <w:tcPr>
        <w:tcBorders>
          <w:top w:val="single" w:color="000000" w:themeColor="text1" w:sz="4" w:space="0"/>
          <w:bottom w:val="single" w:color="000000" w:themeColor="text1" w:sz="4" w:space="0"/>
        </w:tcBorders>
      </w:tcPr>
    </w:tblStylePr>
    <w:tblStylePr w:type="band2Horz"/>
    <w:tblStylePr w:type="neCell"/>
    <w:tblStylePr w:type="nwCell"/>
    <w:tblStylePr w:type="seCell"/>
    <w:tblStylePr w:type="swCell"/>
  </w:style>
  <w:style w:type="table" w:customStyle="1" w:styleId="135">
    <w:name w:val="List Table 3 - Accent 1"/>
    <w:qFormat/>
    <w:uiPriority w:val="99"/>
    <w:pPr>
      <w:spacing w:after="0" w:line="240" w:lineRule="auto"/>
    </w:pPr>
    <w:tblPr>
      <w:tblBorders>
        <w:top w:val="single" w:color="4F81BD" w:themeColor="accent1" w:sz="4" w:space="0"/>
        <w:left w:val="single" w:color="4F81BD" w:themeColor="accent1" w:sz="4" w:space="0"/>
        <w:bottom w:val="single" w:color="4F81BD" w:themeColor="accent1" w:sz="4" w:space="0"/>
        <w:right w:val="single" w:color="4F81BD" w:themeColor="accent1" w:sz="4" w:space="0"/>
      </w:tblBorders>
    </w:tblPr>
    <w:tblStylePr w:type="firstRow">
      <w:rPr>
        <w:rFonts w:ascii="Arial" w:hAnsi="Arial"/>
        <w:b/>
        <w:color w:val="FFFFFF"/>
        <w:sz w:val="22"/>
      </w:r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4F81BD" w:themeColor="accent1" w:sz="4" w:space="0"/>
          <w:right w:val="single" w:color="4F81BD" w:themeColor="accent1" w:sz="4" w:space="0"/>
        </w:tcBorders>
      </w:tcPr>
    </w:tblStylePr>
    <w:tblStylePr w:type="band2Vert"/>
    <w:tblStylePr w:type="band1Horz">
      <w:rPr>
        <w:rFonts w:ascii="Arial" w:hAnsi="Arial"/>
        <w:color w:val="404040"/>
        <w:sz w:val="22"/>
      </w:rPr>
      <w:tcPr>
        <w:tcBorders>
          <w:top w:val="single" w:color="4F81BD" w:themeColor="accent1" w:sz="4" w:space="0"/>
          <w:bottom w:val="single" w:color="4F81BD" w:themeColor="accent1" w:sz="4" w:space="0"/>
        </w:tcBorders>
      </w:tcPr>
    </w:tblStylePr>
    <w:tblStylePr w:type="band2Horz"/>
    <w:tblStylePr w:type="neCell"/>
    <w:tblStylePr w:type="nwCell"/>
    <w:tblStylePr w:type="seCell"/>
    <w:tblStylePr w:type="swCell"/>
  </w:style>
  <w:style w:type="table" w:customStyle="1" w:styleId="136">
    <w:name w:val="List Table 3 - Accent 2"/>
    <w:qFormat/>
    <w:uiPriority w:val="99"/>
    <w:pPr>
      <w:spacing w:after="0" w:line="240" w:lineRule="auto"/>
    </w:pPr>
    <w:tblPr>
      <w:tblBorders>
        <w:top w:val="single" w:color="D99795" w:themeColor="accent2" w:themeTint="97" w:sz="4" w:space="0"/>
        <w:left w:val="single" w:color="D99795" w:themeColor="accent2" w:themeTint="97" w:sz="4" w:space="0"/>
        <w:bottom w:val="single" w:color="D99795" w:themeColor="accent2" w:themeTint="97" w:sz="4" w:space="0"/>
        <w:right w:val="single" w:color="D99795" w:themeColor="accent2" w:themeTint="97" w:sz="4" w:space="0"/>
      </w:tblBorders>
    </w:tblPr>
    <w:tblStylePr w:type="firstRow">
      <w:rPr>
        <w:rFonts w:ascii="Arial" w:hAnsi="Arial"/>
        <w:b/>
        <w:color w:val="FFFFFF"/>
        <w:sz w:val="22"/>
      </w:rPr>
      <w:tcPr>
        <w:shd w:val="clear" w:color="D99795" w:themeColor="accent2" w:themeTint="97" w:fill="D997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D99795" w:themeColor="accent2" w:themeTint="97" w:sz="4" w:space="0"/>
          <w:right w:val="single" w:color="D99795" w:themeColor="accent2" w:themeTint="97" w:sz="4" w:space="0"/>
        </w:tcBorders>
      </w:tcPr>
    </w:tblStylePr>
    <w:tblStylePr w:type="band2Vert"/>
    <w:tblStylePr w:type="band1Horz">
      <w:rPr>
        <w:rFonts w:ascii="Arial" w:hAnsi="Arial"/>
        <w:color w:val="404040"/>
        <w:sz w:val="22"/>
      </w:rPr>
      <w:tcPr>
        <w:tcBorders>
          <w:top w:val="single" w:color="D99795" w:themeColor="accent2" w:themeTint="97" w:sz="4" w:space="0"/>
          <w:bottom w:val="single" w:color="D99795" w:themeColor="accent2" w:themeTint="97" w:sz="4" w:space="0"/>
        </w:tcBorders>
      </w:tcPr>
    </w:tblStylePr>
    <w:tblStylePr w:type="band2Horz"/>
    <w:tblStylePr w:type="neCell"/>
    <w:tblStylePr w:type="nwCell"/>
    <w:tblStylePr w:type="seCell"/>
    <w:tblStylePr w:type="swCell"/>
  </w:style>
  <w:style w:type="table" w:customStyle="1" w:styleId="137">
    <w:name w:val="List Table 3 - Accent 3"/>
    <w:qFormat/>
    <w:uiPriority w:val="99"/>
    <w:pPr>
      <w:spacing w:after="0" w:line="240" w:lineRule="auto"/>
    </w:pPr>
    <w:tblPr>
      <w:tblBorders>
        <w:top w:val="single" w:color="C3D69C" w:themeColor="accent3" w:themeTint="98" w:sz="4" w:space="0"/>
        <w:left w:val="single" w:color="C3D69C" w:themeColor="accent3" w:themeTint="98" w:sz="4" w:space="0"/>
        <w:bottom w:val="single" w:color="C3D69C" w:themeColor="accent3" w:themeTint="98" w:sz="4" w:space="0"/>
        <w:right w:val="single" w:color="C3D69C" w:themeColor="accent3" w:themeTint="98" w:sz="4" w:space="0"/>
      </w:tblBorders>
    </w:tblPr>
    <w:tblStylePr w:type="firstRow">
      <w:rPr>
        <w:rFonts w:ascii="Arial" w:hAnsi="Arial"/>
        <w:b/>
        <w:color w:val="FFFFFF"/>
        <w:sz w:val="22"/>
      </w:rPr>
      <w:tcPr>
        <w:shd w:val="clear" w:color="C3D69C" w:themeColor="accent3" w:themeTint="98" w:fill="C3D69C"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C3D69C" w:themeColor="accent3" w:themeTint="98" w:sz="4" w:space="0"/>
          <w:right w:val="single" w:color="C3D69C" w:themeColor="accent3" w:themeTint="98" w:sz="4" w:space="0"/>
        </w:tcBorders>
      </w:tcPr>
    </w:tblStylePr>
    <w:tblStylePr w:type="band2Vert"/>
    <w:tblStylePr w:type="band1Horz">
      <w:rPr>
        <w:rFonts w:ascii="Arial" w:hAnsi="Arial"/>
        <w:color w:val="404040"/>
        <w:sz w:val="22"/>
      </w:rPr>
      <w:tcPr>
        <w:tcBorders>
          <w:top w:val="single" w:color="C3D69C" w:themeColor="accent3" w:themeTint="98" w:sz="4" w:space="0"/>
          <w:bottom w:val="single" w:color="C3D69C" w:themeColor="accent3" w:themeTint="98" w:sz="4" w:space="0"/>
        </w:tcBorders>
      </w:tcPr>
    </w:tblStylePr>
    <w:tblStylePr w:type="band2Horz"/>
    <w:tblStylePr w:type="neCell"/>
    <w:tblStylePr w:type="nwCell"/>
    <w:tblStylePr w:type="seCell"/>
    <w:tblStylePr w:type="swCell"/>
  </w:style>
  <w:style w:type="table" w:customStyle="1" w:styleId="138">
    <w:name w:val="List Table 3 - Accent 4"/>
    <w:qFormat/>
    <w:uiPriority w:val="99"/>
    <w:pPr>
      <w:spacing w:after="0" w:line="240" w:lineRule="auto"/>
    </w:pPr>
    <w:tblPr>
      <w:tblBorders>
        <w:top w:val="single" w:color="B2A1C6" w:themeColor="accent4" w:themeTint="9A" w:sz="4" w:space="0"/>
        <w:left w:val="single" w:color="B2A1C6" w:themeColor="accent4" w:themeTint="9A" w:sz="4" w:space="0"/>
        <w:bottom w:val="single" w:color="B2A1C6" w:themeColor="accent4" w:themeTint="9A" w:sz="4" w:space="0"/>
        <w:right w:val="single" w:color="B2A1C6" w:themeColor="accent4" w:themeTint="9A" w:sz="4" w:space="0"/>
      </w:tblBorders>
    </w:tblPr>
    <w:tblStylePr w:type="firstRow">
      <w:rPr>
        <w:rFonts w:ascii="Arial" w:hAnsi="Arial"/>
        <w:b/>
        <w:color w:val="FFFFFF"/>
        <w:sz w:val="22"/>
      </w:r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B2A1C6" w:themeColor="accent4" w:themeTint="9A" w:sz="4" w:space="0"/>
          <w:right w:val="single" w:color="B2A1C6" w:themeColor="accent4" w:themeTint="9A" w:sz="4" w:space="0"/>
        </w:tcBorders>
      </w:tcPr>
    </w:tblStylePr>
    <w:tblStylePr w:type="band2Vert"/>
    <w:tblStylePr w:type="band1Horz">
      <w:rPr>
        <w:rFonts w:ascii="Arial" w:hAnsi="Arial"/>
        <w:color w:val="404040"/>
        <w:sz w:val="22"/>
      </w:rPr>
      <w:tcPr>
        <w:tcBorders>
          <w:top w:val="single" w:color="B2A1C6" w:themeColor="accent4" w:themeTint="9A" w:sz="4" w:space="0"/>
          <w:bottom w:val="single" w:color="B2A1C6" w:themeColor="accent4" w:themeTint="9A" w:sz="4" w:space="0"/>
        </w:tcBorders>
      </w:tcPr>
    </w:tblStylePr>
    <w:tblStylePr w:type="band2Horz"/>
    <w:tblStylePr w:type="neCell"/>
    <w:tblStylePr w:type="nwCell"/>
    <w:tblStylePr w:type="seCell"/>
    <w:tblStylePr w:type="swCell"/>
  </w:style>
  <w:style w:type="table" w:customStyle="1" w:styleId="139">
    <w:name w:val="List Table 3 - Accent 5"/>
    <w:qFormat/>
    <w:uiPriority w:val="99"/>
    <w:pPr>
      <w:spacing w:after="0" w:line="240" w:lineRule="auto"/>
    </w:pPr>
    <w:tblPr>
      <w:tblBorders>
        <w:top w:val="single" w:color="92CCDC" w:themeColor="accent5" w:themeTint="9A" w:sz="4" w:space="0"/>
        <w:left w:val="single" w:color="92CCDC" w:themeColor="accent5" w:themeTint="9A" w:sz="4" w:space="0"/>
        <w:bottom w:val="single" w:color="92CCDC" w:themeColor="accent5" w:themeTint="9A" w:sz="4" w:space="0"/>
        <w:right w:val="single" w:color="92CCDC" w:themeColor="accent5" w:themeTint="9A" w:sz="4" w:space="0"/>
      </w:tblBorders>
    </w:tblPr>
    <w:tblStylePr w:type="firstRow">
      <w:rPr>
        <w:rFonts w:ascii="Arial" w:hAnsi="Arial"/>
        <w:b/>
        <w:color w:val="FFFFFF"/>
        <w:sz w:val="22"/>
      </w:r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92CCDC" w:themeColor="accent5" w:themeTint="9A" w:sz="4" w:space="0"/>
          <w:right w:val="single" w:color="92CCDC" w:themeColor="accent5" w:themeTint="9A" w:sz="4" w:space="0"/>
        </w:tcBorders>
      </w:tcPr>
    </w:tblStylePr>
    <w:tblStylePr w:type="band2Vert"/>
    <w:tblStylePr w:type="band1Horz">
      <w:rPr>
        <w:rFonts w:ascii="Arial" w:hAnsi="Arial"/>
        <w:color w:val="404040"/>
        <w:sz w:val="22"/>
      </w:rPr>
      <w:tcPr>
        <w:tcBorders>
          <w:top w:val="single" w:color="92CCDC" w:themeColor="accent5" w:themeTint="9A" w:sz="4" w:space="0"/>
          <w:bottom w:val="single" w:color="92CCDC" w:themeColor="accent5" w:themeTint="9A" w:sz="4" w:space="0"/>
        </w:tcBorders>
      </w:tcPr>
    </w:tblStylePr>
    <w:tblStylePr w:type="band2Horz"/>
    <w:tblStylePr w:type="neCell"/>
    <w:tblStylePr w:type="nwCell"/>
    <w:tblStylePr w:type="seCell"/>
    <w:tblStylePr w:type="swCell"/>
  </w:style>
  <w:style w:type="table" w:customStyle="1" w:styleId="140">
    <w:name w:val="List Table 3 - Accent 6"/>
    <w:qFormat/>
    <w:uiPriority w:val="99"/>
    <w:pPr>
      <w:spacing w:after="0" w:line="240" w:lineRule="auto"/>
    </w:pPr>
    <w:tblPr>
      <w:tblBorders>
        <w:top w:val="single" w:color="FAC090" w:themeColor="accent6" w:themeTint="98" w:sz="4" w:space="0"/>
        <w:left w:val="single" w:color="FAC090" w:themeColor="accent6" w:themeTint="98" w:sz="4" w:space="0"/>
        <w:bottom w:val="single" w:color="FAC090" w:themeColor="accent6" w:themeTint="98" w:sz="4" w:space="0"/>
        <w:right w:val="single" w:color="FAC090" w:themeColor="accent6" w:themeTint="98" w:sz="4" w:space="0"/>
      </w:tblBorders>
    </w:tblPr>
    <w:tblStylePr w:type="firstRow">
      <w:rPr>
        <w:rFonts w:ascii="Arial" w:hAnsi="Arial"/>
        <w:b/>
        <w:color w:val="FFFFFF"/>
        <w:sz w:val="22"/>
      </w:r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tcBorders>
          <w:left w:val="single" w:color="FAC090" w:themeColor="accent6" w:themeTint="98" w:sz="4" w:space="0"/>
          <w:right w:val="single" w:color="FAC090" w:themeColor="accent6" w:themeTint="98" w:sz="4" w:space="0"/>
        </w:tcBorders>
      </w:tcPr>
    </w:tblStylePr>
    <w:tblStylePr w:type="band2Vert"/>
    <w:tblStylePr w:type="band1Horz">
      <w:rPr>
        <w:rFonts w:ascii="Arial" w:hAnsi="Arial"/>
        <w:color w:val="404040"/>
        <w:sz w:val="22"/>
      </w:rPr>
      <w:tcPr>
        <w:tcBorders>
          <w:top w:val="single" w:color="FAC090" w:themeColor="accent6" w:themeTint="98" w:sz="4" w:space="0"/>
          <w:bottom w:val="single" w:color="FAC090" w:themeColor="accent6" w:themeTint="98" w:sz="4" w:space="0"/>
        </w:tcBorders>
      </w:tcPr>
    </w:tblStylePr>
    <w:tblStylePr w:type="band2Horz"/>
    <w:tblStylePr w:type="neCell"/>
    <w:tblStylePr w:type="nwCell"/>
    <w:tblStylePr w:type="seCell"/>
    <w:tblStylePr w:type="swCell"/>
  </w:style>
  <w:style w:type="table" w:customStyle="1" w:styleId="141">
    <w:name w:val="List Table 4"/>
    <w:qFormat/>
    <w:uiPriority w:val="99"/>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firstRow">
      <w:rPr>
        <w:rFonts w:ascii="Arial" w:hAnsi="Arial"/>
        <w:b/>
        <w:color w:val="FFFFFF"/>
        <w:sz w:val="22"/>
      </w:r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BEBEBE" w:themeColor="text1" w:themeTint="40" w:fill="BEBEBE" w:themeFill="text1" w:themeFillTint="40"/>
      </w:tcPr>
    </w:tblStylePr>
    <w:tblStylePr w:type="band2Vert"/>
    <w:tblStylePr w:type="band1Horz">
      <w:rPr>
        <w:rFonts w:ascii="Arial" w:hAnsi="Arial"/>
        <w:color w:val="404040"/>
        <w:sz w:val="22"/>
      </w:rPr>
      <w:tcPr>
        <w:shd w:val="clear" w:color="BEBEBE" w:themeColor="text1" w:themeTint="40" w:fill="BEBEBE" w:themeFill="text1" w:themeFillTint="40"/>
      </w:tcPr>
    </w:tblStylePr>
    <w:tblStylePr w:type="band2Horz"/>
    <w:tblStylePr w:type="neCell"/>
    <w:tblStylePr w:type="nwCell"/>
    <w:tblStylePr w:type="seCell"/>
    <w:tblStylePr w:type="swCell"/>
  </w:style>
  <w:style w:type="table" w:customStyle="1" w:styleId="142">
    <w:name w:val="List Table 4 - Accent 1"/>
    <w:qFormat/>
    <w:uiPriority w:val="99"/>
    <w:pPr>
      <w:spacing w:after="0" w:line="240" w:lineRule="auto"/>
    </w:pPr>
    <w:tblPr>
      <w:tblBorders>
        <w:top w:val="single" w:color="9BB7D9" w:themeColor="accent1" w:themeTint="90" w:sz="4" w:space="0"/>
        <w:left w:val="single" w:color="9BB7D9" w:themeColor="accent1" w:themeTint="90" w:sz="4" w:space="0"/>
        <w:bottom w:val="single" w:color="9BB7D9" w:themeColor="accent1" w:themeTint="90" w:sz="4" w:space="0"/>
        <w:right w:val="single" w:color="9BB7D9" w:themeColor="accent1" w:themeTint="90" w:sz="4" w:space="0"/>
        <w:insideH w:val="single" w:color="9BB7D9" w:themeColor="accent1" w:themeTint="90" w:sz="4" w:space="0"/>
      </w:tblBorders>
    </w:tblPr>
    <w:tblStylePr w:type="firstRow">
      <w:rPr>
        <w:rFonts w:ascii="Arial" w:hAnsi="Arial"/>
        <w:b/>
        <w:color w:val="FFFFFF"/>
        <w:sz w:val="22"/>
      </w:r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D2DFEE" w:themeColor="accent1" w:themeTint="40" w:fill="D2DFEE" w:themeFill="accent1" w:themeFillTint="40"/>
      </w:tcPr>
    </w:tblStylePr>
    <w:tblStylePr w:type="band2Vert"/>
    <w:tblStylePr w:type="band1Horz">
      <w:rPr>
        <w:rFonts w:ascii="Arial" w:hAnsi="Arial"/>
        <w:color w:val="404040"/>
        <w:sz w:val="22"/>
      </w:rPr>
      <w:tcPr>
        <w:shd w:val="clear" w:color="D2DFEE" w:themeColor="accent1" w:themeTint="40" w:fill="D2DFEE" w:themeFill="accent1" w:themeFillTint="40"/>
      </w:tcPr>
    </w:tblStylePr>
    <w:tblStylePr w:type="band2Horz"/>
    <w:tblStylePr w:type="neCell"/>
    <w:tblStylePr w:type="nwCell"/>
    <w:tblStylePr w:type="seCell"/>
    <w:tblStylePr w:type="swCell"/>
  </w:style>
  <w:style w:type="table" w:customStyle="1" w:styleId="143">
    <w:name w:val="List Table 4 - Accent 2"/>
    <w:qFormat/>
    <w:uiPriority w:val="99"/>
    <w:pPr>
      <w:spacing w:after="0" w:line="240" w:lineRule="auto"/>
    </w:pPr>
    <w:tblPr>
      <w:tblBorders>
        <w:top w:val="single" w:color="DB9C9A" w:themeColor="accent2" w:themeTint="90" w:sz="4" w:space="0"/>
        <w:left w:val="single" w:color="DB9C9A" w:themeColor="accent2" w:themeTint="90" w:sz="4" w:space="0"/>
        <w:bottom w:val="single" w:color="DB9C9A" w:themeColor="accent2" w:themeTint="90" w:sz="4" w:space="0"/>
        <w:right w:val="single" w:color="DB9C9A" w:themeColor="accent2" w:themeTint="90" w:sz="4" w:space="0"/>
        <w:insideH w:val="single" w:color="DB9C9A" w:themeColor="accent2" w:themeTint="90" w:sz="4" w:space="0"/>
      </w:tblBorders>
    </w:tblPr>
    <w:tblStylePr w:type="firstRow">
      <w:rPr>
        <w:rFonts w:ascii="Arial" w:hAnsi="Arial"/>
        <w:b/>
        <w:color w:val="FFFFFF"/>
        <w:sz w:val="22"/>
      </w:r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EFD3D2" w:themeColor="accent2" w:themeTint="40" w:fill="EFD3D2" w:themeFill="accent2" w:themeFillTint="40"/>
      </w:tcPr>
    </w:tblStylePr>
    <w:tblStylePr w:type="band2Vert"/>
    <w:tblStylePr w:type="band1Horz">
      <w:rPr>
        <w:rFonts w:ascii="Arial" w:hAnsi="Arial"/>
        <w:color w:val="404040"/>
        <w:sz w:val="22"/>
      </w:rPr>
      <w:tcPr>
        <w:shd w:val="clear" w:color="EFD3D2" w:themeColor="accent2" w:themeTint="40" w:fill="EFD3D2" w:themeFill="accent2" w:themeFillTint="40"/>
      </w:tcPr>
    </w:tblStylePr>
    <w:tblStylePr w:type="band2Horz"/>
    <w:tblStylePr w:type="neCell"/>
    <w:tblStylePr w:type="nwCell"/>
    <w:tblStylePr w:type="seCell"/>
    <w:tblStylePr w:type="swCell"/>
  </w:style>
  <w:style w:type="table" w:customStyle="1" w:styleId="144">
    <w:name w:val="List Table 4 - Accent 3"/>
    <w:qFormat/>
    <w:uiPriority w:val="99"/>
    <w:pPr>
      <w:spacing w:after="0" w:line="240" w:lineRule="auto"/>
    </w:pPr>
    <w:tblPr>
      <w:tblBorders>
        <w:top w:val="single" w:color="C6D8A1" w:themeColor="accent3" w:themeTint="90" w:sz="4" w:space="0"/>
        <w:left w:val="single" w:color="C6D8A1" w:themeColor="accent3" w:themeTint="90" w:sz="4" w:space="0"/>
        <w:bottom w:val="single" w:color="C6D8A1" w:themeColor="accent3" w:themeTint="90" w:sz="4" w:space="0"/>
        <w:right w:val="single" w:color="C6D8A1" w:themeColor="accent3" w:themeTint="90" w:sz="4" w:space="0"/>
        <w:insideH w:val="single" w:color="C6D8A1" w:themeColor="accent3" w:themeTint="90" w:sz="4" w:space="0"/>
      </w:tblBorders>
    </w:tblPr>
    <w:tblStylePr w:type="firstRow">
      <w:rPr>
        <w:rFonts w:ascii="Arial" w:hAnsi="Arial"/>
        <w:b/>
        <w:color w:val="FFFFFF"/>
        <w:sz w:val="22"/>
      </w:r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E5EDD5" w:themeColor="accent3" w:themeTint="40" w:fill="E5EDD5" w:themeFill="accent3" w:themeFillTint="40"/>
      </w:tcPr>
    </w:tblStylePr>
    <w:tblStylePr w:type="band2Vert"/>
    <w:tblStylePr w:type="band1Horz">
      <w:rPr>
        <w:rFonts w:ascii="Arial" w:hAnsi="Arial"/>
        <w:color w:val="404040"/>
        <w:sz w:val="22"/>
      </w:rPr>
      <w:tcPr>
        <w:shd w:val="clear" w:color="E5EDD5" w:themeColor="accent3" w:themeTint="40" w:fill="E5EDD5" w:themeFill="accent3" w:themeFillTint="40"/>
      </w:tcPr>
    </w:tblStylePr>
    <w:tblStylePr w:type="band2Horz"/>
    <w:tblStylePr w:type="neCell"/>
    <w:tblStylePr w:type="nwCell"/>
    <w:tblStylePr w:type="seCell"/>
    <w:tblStylePr w:type="swCell"/>
  </w:style>
  <w:style w:type="table" w:customStyle="1" w:styleId="145">
    <w:name w:val="List Table 4 - Accent 4"/>
    <w:qFormat/>
    <w:uiPriority w:val="99"/>
    <w:pPr>
      <w:spacing w:after="0" w:line="240" w:lineRule="auto"/>
    </w:pPr>
    <w:tblPr>
      <w:tblBorders>
        <w:top w:val="single" w:color="B7A7CA" w:themeColor="accent4" w:themeTint="90" w:sz="4" w:space="0"/>
        <w:left w:val="single" w:color="B7A7CA" w:themeColor="accent4" w:themeTint="90" w:sz="4" w:space="0"/>
        <w:bottom w:val="single" w:color="B7A7CA" w:themeColor="accent4" w:themeTint="90" w:sz="4" w:space="0"/>
        <w:right w:val="single" w:color="B7A7CA" w:themeColor="accent4" w:themeTint="90" w:sz="4" w:space="0"/>
        <w:insideH w:val="single" w:color="B7A7CA" w:themeColor="accent4" w:themeTint="90" w:sz="4" w:space="0"/>
      </w:tblBorders>
    </w:tblPr>
    <w:tblStylePr w:type="firstRow">
      <w:rPr>
        <w:rFonts w:ascii="Arial" w:hAnsi="Arial"/>
        <w:b/>
        <w:color w:val="FFFFFF"/>
        <w:sz w:val="22"/>
      </w:r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DFD8E7" w:themeColor="accent4" w:themeTint="40" w:fill="DFD8E7" w:themeFill="accent4" w:themeFillTint="40"/>
      </w:tcPr>
    </w:tblStylePr>
    <w:tblStylePr w:type="band2Vert"/>
    <w:tblStylePr w:type="band1Horz">
      <w:rPr>
        <w:rFonts w:ascii="Arial" w:hAnsi="Arial"/>
        <w:color w:val="404040"/>
        <w:sz w:val="22"/>
      </w:rPr>
      <w:tcPr>
        <w:shd w:val="clear" w:color="DFD8E7" w:themeColor="accent4" w:themeTint="40" w:fill="DFD8E7" w:themeFill="accent4" w:themeFillTint="40"/>
      </w:tcPr>
    </w:tblStylePr>
    <w:tblStylePr w:type="band2Horz"/>
    <w:tblStylePr w:type="neCell"/>
    <w:tblStylePr w:type="nwCell"/>
    <w:tblStylePr w:type="seCell"/>
    <w:tblStylePr w:type="swCell"/>
  </w:style>
  <w:style w:type="table" w:customStyle="1" w:styleId="146">
    <w:name w:val="List Table 4 - Accent 5"/>
    <w:qFormat/>
    <w:uiPriority w:val="99"/>
    <w:pPr>
      <w:spacing w:after="0" w:line="240" w:lineRule="auto"/>
    </w:pPr>
    <w:tblPr>
      <w:tblBorders>
        <w:top w:val="single" w:color="99D0DE" w:themeColor="accent5" w:themeTint="90" w:sz="4" w:space="0"/>
        <w:left w:val="single" w:color="99D0DE" w:themeColor="accent5" w:themeTint="90" w:sz="4" w:space="0"/>
        <w:bottom w:val="single" w:color="99D0DE" w:themeColor="accent5" w:themeTint="90" w:sz="4" w:space="0"/>
        <w:right w:val="single" w:color="99D0DE" w:themeColor="accent5" w:themeTint="90" w:sz="4" w:space="0"/>
        <w:insideH w:val="single" w:color="99D0DE" w:themeColor="accent5" w:themeTint="90" w:sz="4" w:space="0"/>
      </w:tblBorders>
    </w:tblPr>
    <w:tblStylePr w:type="firstRow">
      <w:rPr>
        <w:rFonts w:ascii="Arial" w:hAnsi="Arial"/>
        <w:b/>
        <w:color w:val="FFFFFF"/>
        <w:sz w:val="22"/>
      </w:r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D1EAF0" w:themeColor="accent5" w:themeTint="40" w:fill="D1EAF0" w:themeFill="accent5" w:themeFillTint="40"/>
      </w:tcPr>
    </w:tblStylePr>
    <w:tblStylePr w:type="band2Vert"/>
    <w:tblStylePr w:type="band1Horz">
      <w:rPr>
        <w:rFonts w:ascii="Arial" w:hAnsi="Arial"/>
        <w:color w:val="404040"/>
        <w:sz w:val="22"/>
      </w:rPr>
      <w:tcPr>
        <w:shd w:val="clear" w:color="D1EAF0" w:themeColor="accent5" w:themeTint="40" w:fill="D1EAF0" w:themeFill="accent5" w:themeFillTint="40"/>
      </w:tcPr>
    </w:tblStylePr>
    <w:tblStylePr w:type="band2Horz"/>
    <w:tblStylePr w:type="neCell"/>
    <w:tblStylePr w:type="nwCell"/>
    <w:tblStylePr w:type="seCell"/>
    <w:tblStylePr w:type="swCell"/>
  </w:style>
  <w:style w:type="table" w:customStyle="1" w:styleId="147">
    <w:name w:val="List Table 4 - Accent 6"/>
    <w:qFormat/>
    <w:uiPriority w:val="99"/>
    <w:pPr>
      <w:spacing w:after="0" w:line="240" w:lineRule="auto"/>
    </w:pPr>
    <w:tblPr>
      <w:tblBorders>
        <w:top w:val="single" w:color="FAC396" w:themeColor="accent6" w:themeTint="90" w:sz="4" w:space="0"/>
        <w:left w:val="single" w:color="FAC396" w:themeColor="accent6" w:themeTint="90" w:sz="4" w:space="0"/>
        <w:bottom w:val="single" w:color="FAC396" w:themeColor="accent6" w:themeTint="90" w:sz="4" w:space="0"/>
        <w:right w:val="single" w:color="FAC396" w:themeColor="accent6" w:themeTint="90" w:sz="4" w:space="0"/>
        <w:insideH w:val="single" w:color="FAC396" w:themeColor="accent6" w:themeTint="90" w:sz="4" w:space="0"/>
      </w:tblBorders>
    </w:tblPr>
    <w:tblStylePr w:type="firstRow">
      <w:rPr>
        <w:rFonts w:ascii="Arial" w:hAnsi="Arial"/>
        <w:b/>
        <w:color w:val="FFFFFF"/>
        <w:sz w:val="22"/>
      </w:r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cPr>
        <w:shd w:val="clear" w:color="FCE4D0" w:themeColor="accent6" w:themeTint="40" w:fill="FCE4D0" w:themeFill="accent6" w:themeFillTint="40"/>
      </w:tcPr>
    </w:tblStylePr>
    <w:tblStylePr w:type="band2Vert"/>
    <w:tblStylePr w:type="band1Horz">
      <w:rPr>
        <w:rFonts w:ascii="Arial" w:hAnsi="Arial"/>
        <w:color w:val="404040"/>
        <w:sz w:val="22"/>
      </w:rPr>
      <w:tcPr>
        <w:shd w:val="clear" w:color="FCE4D0" w:themeColor="accent6" w:themeTint="40" w:fill="FCE4D0" w:themeFill="accent6" w:themeFillTint="40"/>
      </w:tcPr>
    </w:tblStylePr>
    <w:tblStylePr w:type="band2Horz"/>
    <w:tblStylePr w:type="neCell"/>
    <w:tblStylePr w:type="nwCell"/>
    <w:tblStylePr w:type="seCell"/>
    <w:tblStylePr w:type="swCell"/>
  </w:style>
  <w:style w:type="table" w:customStyle="1" w:styleId="148">
    <w:name w:val="List Table 5 Dark"/>
    <w:qFormat/>
    <w:uiPriority w:val="99"/>
    <w:pPr>
      <w:spacing w:after="0" w:line="240" w:lineRule="auto"/>
    </w:pPr>
    <w:tblPr>
      <w:tblBorders>
        <w:top w:val="single" w:color="7E7E7E" w:themeColor="text1" w:themeTint="80" w:sz="32" w:space="0"/>
        <w:left w:val="single" w:color="7E7E7E" w:themeColor="text1" w:themeTint="80" w:sz="32" w:space="0"/>
        <w:bottom w:val="single" w:color="7E7E7E" w:themeColor="text1" w:themeTint="80" w:sz="32" w:space="0"/>
        <w:right w:val="single" w:color="7E7E7E" w:themeColor="text1" w:themeTint="80" w:sz="32" w:space="0"/>
      </w:tblBorders>
    </w:tblPr>
    <w:tblStylePr w:type="firstRow">
      <w:rPr>
        <w:rFonts w:ascii="Arial" w:hAnsi="Arial"/>
        <w:b/>
        <w:color w:val="FFFFFF" w:themeColor="light1"/>
        <w:sz w:val="22"/>
        <w14:textFill>
          <w14:solidFill>
            <w14:schemeClr w14:val="lt1"/>
          </w14:solidFill>
        </w14:textFill>
      </w:rPr>
      <w:tcPr>
        <w:tcBorders>
          <w:top w:val="single" w:color="7E7E7E" w:themeColor="text1" w:themeTint="80" w:sz="32" w:space="0"/>
          <w:bottom w:val="single" w:color="FFFFFF" w:themeColor="light1" w:sz="12" w:space="0"/>
        </w:tcBorders>
        <w:shd w:val="clear" w:color="7E7E7E" w:themeColor="text1" w:themeTint="80" w:fill="7E7E7E" w:themeFill="text1" w:themeFillTint="80"/>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7E7E7E" w:themeColor="text1" w:themeTint="80" w:sz="32" w:space="0"/>
          <w:right w:val="single" w:color="FFFFFF" w:themeColor="light1" w:sz="4" w:space="0"/>
        </w:tcBorders>
      </w:tcPr>
    </w:tblStylePr>
    <w:tblStylePr w:type="lastCol">
      <w:tcPr>
        <w:tcBorders>
          <w:left w:val="single" w:color="FFFFFF" w:themeColor="light1" w:sz="4" w:space="0"/>
          <w:right w:val="single" w:color="7E7E7E" w:themeColor="text1" w:themeTint="80" w:sz="32" w:space="0"/>
        </w:tcBorders>
      </w:tcPr>
    </w:tblStylePr>
    <w:tblStylePr w:type="band1Vert">
      <w:tcPr>
        <w:tcBorders>
          <w:left w:val="single" w:color="FFFFFF" w:themeColor="light1" w:sz="4" w:space="0"/>
          <w:right w:val="single" w:color="FFFFFF" w:themeColor="light1" w:sz="4" w:space="0"/>
        </w:tcBorders>
        <w:shd w:val="clear" w:color="7E7E7E" w:themeColor="text1" w:themeTint="80" w:fill="7E7E7E" w:themeFill="text1" w:themeFillTint="80"/>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7E7E7E" w:themeColor="text1" w:themeTint="80" w:fill="7E7E7E" w:themeFill="text1" w:themeFillTint="80"/>
      </w:tcPr>
    </w:tblStylePr>
    <w:tblStylePr w:type="band2Horz">
      <w:tcPr>
        <w:tcBorders>
          <w:top w:val="single" w:color="FFFFFF" w:themeColor="light1" w:sz="4" w:space="0"/>
          <w:bottom w:val="single" w:color="FFFFFF" w:themeColor="light1" w:sz="4" w:space="0"/>
        </w:tcBorders>
        <w:shd w:val="clear" w:color="7E7E7E" w:themeColor="text1" w:themeTint="80" w:fill="7E7E7E" w:themeFill="text1" w:themeFillTint="80"/>
      </w:tcPr>
    </w:tblStylePr>
    <w:tblStylePr w:type="neCell"/>
    <w:tblStylePr w:type="nwCell"/>
    <w:tblStylePr w:type="seCell"/>
    <w:tblStylePr w:type="swCell"/>
  </w:style>
  <w:style w:type="table" w:customStyle="1" w:styleId="149">
    <w:name w:val="List Table 5 Dark - Accent 1"/>
    <w:qFormat/>
    <w:uiPriority w:val="99"/>
    <w:pPr>
      <w:spacing w:after="0" w:line="240" w:lineRule="auto"/>
    </w:pPr>
    <w:tblPr>
      <w:tblBorders>
        <w:top w:val="single" w:color="4F81BD" w:themeColor="accent1" w:sz="32" w:space="0"/>
        <w:left w:val="single" w:color="4F81BD" w:themeColor="accent1" w:sz="32" w:space="0"/>
        <w:bottom w:val="single" w:color="4F81BD" w:themeColor="accent1" w:sz="32" w:space="0"/>
        <w:right w:val="single" w:color="4F81BD" w:themeColor="accent1" w:sz="32" w:space="0"/>
      </w:tblBorders>
    </w:tblPr>
    <w:tblStylePr w:type="firstRow">
      <w:rPr>
        <w:rFonts w:ascii="Arial" w:hAnsi="Arial"/>
        <w:b/>
        <w:color w:val="FFFFFF" w:themeColor="light1"/>
        <w:sz w:val="22"/>
        <w14:textFill>
          <w14:solidFill>
            <w14:schemeClr w14:val="lt1"/>
          </w14:solidFill>
        </w14:textFill>
      </w:rPr>
      <w:tcPr>
        <w:tcBorders>
          <w:top w:val="single" w:color="4F81BD" w:themeColor="accent1" w:sz="32" w:space="0"/>
          <w:bottom w:val="single" w:color="FFFFFF" w:themeColor="light1" w:sz="12" w:space="0"/>
        </w:tcBorders>
        <w:shd w:val="clear" w:color="4F81BD" w:themeColor="accent1" w:fill="4F81BD" w:themeFill="accent1"/>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4F81BD" w:themeColor="accent1" w:sz="32" w:space="0"/>
          <w:right w:val="single" w:color="FFFFFF" w:themeColor="light1" w:sz="4" w:space="0"/>
        </w:tcBorders>
      </w:tcPr>
    </w:tblStylePr>
    <w:tblStylePr w:type="lastCol">
      <w:tcPr>
        <w:tcBorders>
          <w:left w:val="single" w:color="FFFFFF" w:themeColor="light1" w:sz="4" w:space="0"/>
          <w:right w:val="single" w:color="4F81BD" w:themeColor="accent1" w:sz="32" w:space="0"/>
        </w:tcBorders>
      </w:tcPr>
    </w:tblStylePr>
    <w:tblStylePr w:type="band1Vert">
      <w:tcPr>
        <w:tcBorders>
          <w:left w:val="single" w:color="FFFFFF" w:themeColor="light1" w:sz="4" w:space="0"/>
          <w:right w:val="single" w:color="FFFFFF" w:themeColor="light1" w:sz="4" w:space="0"/>
        </w:tcBorders>
        <w:shd w:val="clear" w:color="4F81BD" w:themeColor="accent1" w:fill="4F81BD" w:themeFill="accent1"/>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4F81BD" w:themeColor="accent1" w:fill="4F81BD" w:themeFill="accent1"/>
      </w:tcPr>
    </w:tblStylePr>
    <w:tblStylePr w:type="band2Horz">
      <w:tcPr>
        <w:tcBorders>
          <w:top w:val="single" w:color="FFFFFF" w:themeColor="light1" w:sz="4" w:space="0"/>
          <w:bottom w:val="single" w:color="FFFFFF" w:themeColor="light1" w:sz="4" w:space="0"/>
        </w:tcBorders>
        <w:shd w:val="clear" w:color="4F81BD" w:themeColor="accent1" w:fill="4F81BD" w:themeFill="accent1"/>
      </w:tcPr>
    </w:tblStylePr>
    <w:tblStylePr w:type="neCell"/>
    <w:tblStylePr w:type="nwCell"/>
    <w:tblStylePr w:type="seCell"/>
    <w:tblStylePr w:type="swCell"/>
  </w:style>
  <w:style w:type="table" w:customStyle="1" w:styleId="150">
    <w:name w:val="List Table 5 Dark - Accent 2"/>
    <w:qFormat/>
    <w:uiPriority w:val="99"/>
    <w:pPr>
      <w:spacing w:after="0" w:line="240" w:lineRule="auto"/>
    </w:pPr>
    <w:tblPr>
      <w:tblBorders>
        <w:top w:val="single" w:color="D99795" w:themeColor="accent2" w:themeTint="97" w:sz="32" w:space="0"/>
        <w:left w:val="single" w:color="D99795" w:themeColor="accent2" w:themeTint="97" w:sz="32" w:space="0"/>
        <w:bottom w:val="single" w:color="D99795" w:themeColor="accent2" w:themeTint="97" w:sz="32" w:space="0"/>
        <w:right w:val="single" w:color="D99795" w:themeColor="accent2" w:themeTint="97" w:sz="32" w:space="0"/>
      </w:tblBorders>
    </w:tblPr>
    <w:tblStylePr w:type="firstRow">
      <w:rPr>
        <w:rFonts w:ascii="Arial" w:hAnsi="Arial"/>
        <w:b/>
        <w:color w:val="FFFFFF" w:themeColor="light1"/>
        <w:sz w:val="22"/>
        <w14:textFill>
          <w14:solidFill>
            <w14:schemeClr w14:val="lt1"/>
          </w14:solidFill>
        </w14:textFill>
      </w:rPr>
      <w:tcPr>
        <w:tcBorders>
          <w:top w:val="single" w:color="D99795" w:themeColor="accent2" w:themeTint="97" w:sz="32" w:space="0"/>
          <w:bottom w:val="single" w:color="FFFFFF" w:themeColor="light1" w:sz="12" w:space="0"/>
        </w:tcBorders>
        <w:shd w:val="clear" w:color="D99795" w:themeColor="accent2" w:themeTint="97" w:fill="D99795" w:themeFill="accent2" w:themeFillTint="97"/>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D99795" w:themeColor="accent2" w:themeTint="97" w:sz="32" w:space="0"/>
          <w:right w:val="single" w:color="FFFFFF" w:themeColor="light1" w:sz="4" w:space="0"/>
        </w:tcBorders>
      </w:tcPr>
    </w:tblStylePr>
    <w:tblStylePr w:type="lastCol">
      <w:tcPr>
        <w:tcBorders>
          <w:left w:val="single" w:color="FFFFFF" w:themeColor="light1" w:sz="4" w:space="0"/>
          <w:right w:val="single" w:color="D99795" w:themeColor="accent2" w:themeTint="97" w:sz="32" w:space="0"/>
        </w:tcBorders>
      </w:tcPr>
    </w:tblStylePr>
    <w:tblStylePr w:type="band1Vert">
      <w:tcPr>
        <w:tcBorders>
          <w:left w:val="single" w:color="FFFFFF" w:themeColor="light1" w:sz="4" w:space="0"/>
          <w:right w:val="single" w:color="FFFFFF" w:themeColor="light1" w:sz="4" w:space="0"/>
        </w:tcBorders>
        <w:shd w:val="clear" w:color="D99795" w:themeColor="accent2" w:themeTint="97" w:fill="D99795" w:themeFill="accent2" w:themeFillTint="97"/>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D99795" w:themeColor="accent2" w:themeTint="97" w:fill="D99795" w:themeFill="accent2" w:themeFillTint="97"/>
      </w:tcPr>
    </w:tblStylePr>
    <w:tblStylePr w:type="band2Horz">
      <w:tcPr>
        <w:tcBorders>
          <w:top w:val="single" w:color="FFFFFF" w:themeColor="light1" w:sz="4" w:space="0"/>
          <w:bottom w:val="single" w:color="FFFFFF" w:themeColor="light1" w:sz="4" w:space="0"/>
        </w:tcBorders>
        <w:shd w:val="clear" w:color="D99795" w:themeColor="accent2" w:themeTint="97" w:fill="D99795" w:themeFill="accent2" w:themeFillTint="97"/>
      </w:tcPr>
    </w:tblStylePr>
    <w:tblStylePr w:type="neCell"/>
    <w:tblStylePr w:type="nwCell"/>
    <w:tblStylePr w:type="seCell"/>
    <w:tblStylePr w:type="swCell"/>
  </w:style>
  <w:style w:type="table" w:customStyle="1" w:styleId="151">
    <w:name w:val="List Table 5 Dark - Accent 3"/>
    <w:qFormat/>
    <w:uiPriority w:val="99"/>
    <w:pPr>
      <w:spacing w:after="0" w:line="240" w:lineRule="auto"/>
    </w:pPr>
    <w:tblPr>
      <w:tblBorders>
        <w:top w:val="single" w:color="C3D69C" w:themeColor="accent3" w:themeTint="98" w:sz="32" w:space="0"/>
        <w:left w:val="single" w:color="C3D69C" w:themeColor="accent3" w:themeTint="98" w:sz="32" w:space="0"/>
        <w:bottom w:val="single" w:color="C3D69C" w:themeColor="accent3" w:themeTint="98" w:sz="32" w:space="0"/>
        <w:right w:val="single" w:color="C3D69C" w:themeColor="accent3" w:themeTint="98" w:sz="32" w:space="0"/>
      </w:tblBorders>
    </w:tblPr>
    <w:tblStylePr w:type="firstRow">
      <w:rPr>
        <w:rFonts w:ascii="Arial" w:hAnsi="Arial"/>
        <w:b/>
        <w:color w:val="FFFFFF" w:themeColor="light1"/>
        <w:sz w:val="22"/>
        <w14:textFill>
          <w14:solidFill>
            <w14:schemeClr w14:val="lt1"/>
          </w14:solidFill>
        </w14:textFill>
      </w:rPr>
      <w:tcPr>
        <w:tcBorders>
          <w:top w:val="single" w:color="C3D69C" w:themeColor="accent3" w:themeTint="98" w:sz="32" w:space="0"/>
          <w:bottom w:val="single" w:color="FFFFFF" w:themeColor="light1" w:sz="12" w:space="0"/>
        </w:tcBorders>
        <w:shd w:val="clear" w:color="C3D69C" w:themeColor="accent3" w:themeTint="98" w:fill="C3D69C" w:themeFill="accent3" w:themeFillTint="98"/>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C3D69C" w:themeColor="accent3" w:themeTint="98" w:sz="32" w:space="0"/>
          <w:right w:val="single" w:color="FFFFFF" w:themeColor="light1" w:sz="4" w:space="0"/>
        </w:tcBorders>
      </w:tcPr>
    </w:tblStylePr>
    <w:tblStylePr w:type="lastCol">
      <w:tcPr>
        <w:tcBorders>
          <w:left w:val="single" w:color="FFFFFF" w:themeColor="light1" w:sz="4" w:space="0"/>
          <w:right w:val="single" w:color="C3D69C" w:themeColor="accent3" w:themeTint="98" w:sz="32" w:space="0"/>
        </w:tcBorders>
      </w:tcPr>
    </w:tblStylePr>
    <w:tblStylePr w:type="band1Vert">
      <w:tcPr>
        <w:tcBorders>
          <w:left w:val="single" w:color="FFFFFF" w:themeColor="light1" w:sz="4" w:space="0"/>
          <w:right w:val="single" w:color="FFFFFF" w:themeColor="light1" w:sz="4" w:space="0"/>
        </w:tcBorders>
        <w:shd w:val="clear" w:color="C3D69C" w:themeColor="accent3" w:themeTint="98" w:fill="C3D69C" w:themeFill="accent3" w:themeFillTint="98"/>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C3D69C" w:themeColor="accent3" w:themeTint="98" w:fill="C3D69C" w:themeFill="accent3" w:themeFillTint="98"/>
      </w:tcPr>
    </w:tblStylePr>
    <w:tblStylePr w:type="band2Horz">
      <w:tcPr>
        <w:tcBorders>
          <w:top w:val="single" w:color="FFFFFF" w:themeColor="light1" w:sz="4" w:space="0"/>
          <w:bottom w:val="single" w:color="FFFFFF" w:themeColor="light1" w:sz="4" w:space="0"/>
        </w:tcBorders>
        <w:shd w:val="clear" w:color="C3D69C" w:themeColor="accent3" w:themeTint="98" w:fill="C3D69C" w:themeFill="accent3" w:themeFillTint="98"/>
      </w:tcPr>
    </w:tblStylePr>
    <w:tblStylePr w:type="neCell"/>
    <w:tblStylePr w:type="nwCell"/>
    <w:tblStylePr w:type="seCell"/>
    <w:tblStylePr w:type="swCell"/>
  </w:style>
  <w:style w:type="table" w:customStyle="1" w:styleId="152">
    <w:name w:val="List Table 5 Dark - Accent 4"/>
    <w:qFormat/>
    <w:uiPriority w:val="99"/>
    <w:pPr>
      <w:spacing w:after="0" w:line="240" w:lineRule="auto"/>
    </w:pPr>
    <w:tblPr>
      <w:tblBorders>
        <w:top w:val="single" w:color="B2A1C6" w:themeColor="accent4" w:themeTint="9A" w:sz="32" w:space="0"/>
        <w:left w:val="single" w:color="B2A1C6" w:themeColor="accent4" w:themeTint="9A" w:sz="32" w:space="0"/>
        <w:bottom w:val="single" w:color="B2A1C6" w:themeColor="accent4" w:themeTint="9A" w:sz="32" w:space="0"/>
        <w:right w:val="single" w:color="B2A1C6" w:themeColor="accent4" w:themeTint="9A" w:sz="32" w:space="0"/>
      </w:tblBorders>
    </w:tblPr>
    <w:tblStylePr w:type="firstRow">
      <w:rPr>
        <w:rFonts w:ascii="Arial" w:hAnsi="Arial"/>
        <w:b/>
        <w:color w:val="FFFFFF" w:themeColor="light1"/>
        <w:sz w:val="22"/>
        <w14:textFill>
          <w14:solidFill>
            <w14:schemeClr w14:val="lt1"/>
          </w14:solidFill>
        </w14:textFill>
      </w:rPr>
      <w:tcPr>
        <w:tcBorders>
          <w:top w:val="single" w:color="B2A1C6" w:themeColor="accent4" w:themeTint="9A" w:sz="32" w:space="0"/>
          <w:bottom w:val="single" w:color="FFFFFF" w:themeColor="light1" w:sz="12" w:space="0"/>
        </w:tcBorders>
        <w:shd w:val="clear" w:color="B2A1C6" w:themeColor="accent4" w:themeTint="9A" w:fill="B2A1C6" w:themeFill="accent4" w:themeFillTint="9A"/>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B2A1C6" w:themeColor="accent4" w:themeTint="9A" w:sz="32" w:space="0"/>
          <w:right w:val="single" w:color="FFFFFF" w:themeColor="light1" w:sz="4" w:space="0"/>
        </w:tcBorders>
      </w:tcPr>
    </w:tblStylePr>
    <w:tblStylePr w:type="lastCol">
      <w:tcPr>
        <w:tcBorders>
          <w:left w:val="single" w:color="FFFFFF" w:themeColor="light1" w:sz="4" w:space="0"/>
          <w:right w:val="single" w:color="B2A1C6" w:themeColor="accent4" w:themeTint="9A" w:sz="32" w:space="0"/>
        </w:tcBorders>
      </w:tcPr>
    </w:tblStylePr>
    <w:tblStylePr w:type="band1Vert">
      <w:tcPr>
        <w:tcBorders>
          <w:left w:val="single" w:color="FFFFFF" w:themeColor="light1" w:sz="4" w:space="0"/>
          <w:right w:val="single" w:color="FFFFFF" w:themeColor="light1" w:sz="4" w:space="0"/>
        </w:tcBorders>
        <w:shd w:val="clear" w:color="B2A1C6" w:themeColor="accent4" w:themeTint="9A" w:fill="B2A1C6" w:themeFill="accent4" w:themeFillTint="9A"/>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B2A1C6" w:themeColor="accent4" w:themeTint="9A" w:fill="B2A1C6" w:themeFill="accent4" w:themeFillTint="9A"/>
      </w:tcPr>
    </w:tblStylePr>
    <w:tblStylePr w:type="band2Horz">
      <w:tcPr>
        <w:tcBorders>
          <w:top w:val="single" w:color="FFFFFF" w:themeColor="light1" w:sz="4" w:space="0"/>
          <w:bottom w:val="single" w:color="FFFFFF" w:themeColor="light1" w:sz="4" w:space="0"/>
        </w:tcBorders>
        <w:shd w:val="clear" w:color="B2A1C6" w:themeColor="accent4" w:themeTint="9A" w:fill="B2A1C6" w:themeFill="accent4" w:themeFillTint="9A"/>
      </w:tcPr>
    </w:tblStylePr>
    <w:tblStylePr w:type="neCell"/>
    <w:tblStylePr w:type="nwCell"/>
    <w:tblStylePr w:type="seCell"/>
    <w:tblStylePr w:type="swCell"/>
  </w:style>
  <w:style w:type="table" w:customStyle="1" w:styleId="153">
    <w:name w:val="List Table 5 Dark - Accent 5"/>
    <w:qFormat/>
    <w:uiPriority w:val="99"/>
    <w:pPr>
      <w:spacing w:after="0" w:line="240" w:lineRule="auto"/>
    </w:pPr>
    <w:tblPr>
      <w:tblBorders>
        <w:top w:val="single" w:color="92CCDC" w:themeColor="accent5" w:themeTint="9A" w:sz="32" w:space="0"/>
        <w:left w:val="single" w:color="92CCDC" w:themeColor="accent5" w:themeTint="9A" w:sz="32" w:space="0"/>
        <w:bottom w:val="single" w:color="92CCDC" w:themeColor="accent5" w:themeTint="9A" w:sz="32" w:space="0"/>
        <w:right w:val="single" w:color="92CCDC" w:themeColor="accent5" w:themeTint="9A" w:sz="32" w:space="0"/>
      </w:tblBorders>
    </w:tblPr>
    <w:tblStylePr w:type="firstRow">
      <w:rPr>
        <w:rFonts w:ascii="Arial" w:hAnsi="Arial"/>
        <w:b/>
        <w:color w:val="FFFFFF" w:themeColor="light1"/>
        <w:sz w:val="22"/>
        <w14:textFill>
          <w14:solidFill>
            <w14:schemeClr w14:val="lt1"/>
          </w14:solidFill>
        </w14:textFill>
      </w:rPr>
      <w:tcPr>
        <w:tcBorders>
          <w:top w:val="single" w:color="92CCDC" w:themeColor="accent5" w:themeTint="9A" w:sz="32" w:space="0"/>
          <w:bottom w:val="single" w:color="FFFFFF" w:themeColor="light1" w:sz="12" w:space="0"/>
        </w:tcBorders>
        <w:shd w:val="clear" w:color="92CCDC" w:themeColor="accent5" w:themeTint="9A" w:fill="92CCDC" w:themeFill="accent5" w:themeFillTint="9A"/>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92CCDC" w:themeColor="accent5" w:themeTint="9A" w:sz="32" w:space="0"/>
          <w:right w:val="single" w:color="FFFFFF" w:themeColor="light1" w:sz="4" w:space="0"/>
        </w:tcBorders>
      </w:tcPr>
    </w:tblStylePr>
    <w:tblStylePr w:type="lastCol">
      <w:tcPr>
        <w:tcBorders>
          <w:left w:val="single" w:color="FFFFFF" w:themeColor="light1" w:sz="4" w:space="0"/>
          <w:right w:val="single" w:color="92CCDC" w:themeColor="accent5" w:themeTint="9A" w:sz="32" w:space="0"/>
        </w:tcBorders>
      </w:tcPr>
    </w:tblStylePr>
    <w:tblStylePr w:type="band1Vert">
      <w:tcPr>
        <w:tcBorders>
          <w:left w:val="single" w:color="FFFFFF" w:themeColor="light1" w:sz="4" w:space="0"/>
          <w:right w:val="single" w:color="FFFFFF" w:themeColor="light1" w:sz="4" w:space="0"/>
        </w:tcBorders>
        <w:shd w:val="clear" w:color="92CCDC" w:themeColor="accent5" w:themeTint="9A" w:fill="92CCDC" w:themeFill="accent5" w:themeFillTint="9A"/>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92CCDC" w:themeColor="accent5" w:themeTint="9A" w:fill="92CCDC" w:themeFill="accent5" w:themeFillTint="9A"/>
      </w:tcPr>
    </w:tblStylePr>
    <w:tblStylePr w:type="band2Horz">
      <w:tcPr>
        <w:tcBorders>
          <w:top w:val="single" w:color="FFFFFF" w:themeColor="light1" w:sz="4" w:space="0"/>
          <w:bottom w:val="single" w:color="FFFFFF" w:themeColor="light1" w:sz="4" w:space="0"/>
        </w:tcBorders>
        <w:shd w:val="clear" w:color="92CCDC" w:themeColor="accent5" w:themeTint="9A" w:fill="92CCDC" w:themeFill="accent5" w:themeFillTint="9A"/>
      </w:tcPr>
    </w:tblStylePr>
    <w:tblStylePr w:type="neCell"/>
    <w:tblStylePr w:type="nwCell"/>
    <w:tblStylePr w:type="seCell"/>
    <w:tblStylePr w:type="swCell"/>
  </w:style>
  <w:style w:type="table" w:customStyle="1" w:styleId="154">
    <w:name w:val="List Table 5 Dark - Accent 6"/>
    <w:qFormat/>
    <w:uiPriority w:val="99"/>
    <w:pPr>
      <w:spacing w:after="0" w:line="240" w:lineRule="auto"/>
    </w:pPr>
    <w:tblPr>
      <w:tblBorders>
        <w:top w:val="single" w:color="FAC090" w:themeColor="accent6" w:themeTint="98" w:sz="32" w:space="0"/>
        <w:left w:val="single" w:color="FAC090" w:themeColor="accent6" w:themeTint="98" w:sz="32" w:space="0"/>
        <w:bottom w:val="single" w:color="FAC090" w:themeColor="accent6" w:themeTint="98" w:sz="32" w:space="0"/>
        <w:right w:val="single" w:color="FAC090" w:themeColor="accent6" w:themeTint="98" w:sz="32" w:space="0"/>
      </w:tblBorders>
    </w:tblPr>
    <w:tblStylePr w:type="firstRow">
      <w:rPr>
        <w:rFonts w:ascii="Arial" w:hAnsi="Arial"/>
        <w:b/>
        <w:color w:val="FFFFFF" w:themeColor="light1"/>
        <w:sz w:val="22"/>
        <w14:textFill>
          <w14:solidFill>
            <w14:schemeClr w14:val="lt1"/>
          </w14:solidFill>
        </w14:textFill>
      </w:rPr>
      <w:tcPr>
        <w:tcBorders>
          <w:top w:val="single" w:color="FAC090" w:themeColor="accent6" w:themeTint="98" w:sz="32" w:space="0"/>
          <w:bottom w:val="single" w:color="FFFFFF" w:themeColor="light1" w:sz="12" w:space="0"/>
        </w:tcBorders>
        <w:shd w:val="clear" w:color="FAC090" w:themeColor="accent6" w:themeTint="98" w:fill="FAC090" w:themeFill="accent6" w:themeFillTint="98"/>
      </w:tcPr>
    </w:tblStylePr>
    <w:tblStylePr w:type="lastRow">
      <w:rPr>
        <w:rFonts w:ascii="Arial" w:hAnsi="Arial"/>
        <w:b/>
        <w:color w:val="FFFFFF" w:themeColor="light1"/>
        <w:sz w:val="22"/>
        <w14:textFill>
          <w14:solidFill>
            <w14:schemeClr w14:val="lt1"/>
          </w14:solidFill>
        </w14:textFill>
      </w:rPr>
    </w:tblStylePr>
    <w:tblStylePr w:type="firstCol">
      <w:rPr>
        <w:rFonts w:ascii="Arial" w:hAnsi="Arial"/>
        <w:b/>
        <w:color w:val="FFFFFF" w:themeColor="light1"/>
        <w:sz w:val="22"/>
        <w14:textFill>
          <w14:solidFill>
            <w14:schemeClr w14:val="lt1"/>
          </w14:solidFill>
        </w14:textFill>
      </w:rPr>
      <w:tcPr>
        <w:tcBorders>
          <w:left w:val="single" w:color="FAC090" w:themeColor="accent6" w:themeTint="98" w:sz="32" w:space="0"/>
          <w:right w:val="single" w:color="FFFFFF" w:themeColor="light1" w:sz="4" w:space="0"/>
        </w:tcBorders>
      </w:tcPr>
    </w:tblStylePr>
    <w:tblStylePr w:type="lastCol">
      <w:tcPr>
        <w:tcBorders>
          <w:left w:val="single" w:color="FFFFFF" w:themeColor="light1" w:sz="4" w:space="0"/>
          <w:right w:val="single" w:color="FAC090" w:themeColor="accent6" w:themeTint="98" w:sz="32" w:space="0"/>
        </w:tcBorders>
      </w:tcPr>
    </w:tblStylePr>
    <w:tblStylePr w:type="band1Vert">
      <w:tcPr>
        <w:tcBorders>
          <w:left w:val="single" w:color="FFFFFF" w:themeColor="light1" w:sz="4" w:space="0"/>
          <w:right w:val="single" w:color="FFFFFF" w:themeColor="light1" w:sz="4" w:space="0"/>
        </w:tcBorders>
        <w:shd w:val="clear" w:color="FAC090" w:themeColor="accent6" w:themeTint="98" w:fill="FAC090" w:themeFill="accent6" w:themeFillTint="98"/>
      </w:tcPr>
    </w:tblStylePr>
    <w:tblStylePr w:type="band2Vert">
      <w:tcPr>
        <w:tcBorders>
          <w:left w:val="single" w:color="FFFFFF" w:themeColor="light1" w:sz="4" w:space="0"/>
          <w:right w:val="single" w:color="FFFFFF" w:themeColor="light1" w:sz="4" w:space="0"/>
        </w:tcBorders>
      </w:tcPr>
    </w:tblStylePr>
    <w:tblStylePr w:type="band1Horz">
      <w:tcPr>
        <w:tcBorders>
          <w:top w:val="single" w:color="FFFFFF" w:themeColor="light1" w:sz="4" w:space="0"/>
          <w:bottom w:val="single" w:color="FFFFFF" w:themeColor="light1" w:sz="4" w:space="0"/>
        </w:tcBorders>
        <w:shd w:val="clear" w:color="FAC090" w:themeColor="accent6" w:themeTint="98" w:fill="FAC090" w:themeFill="accent6" w:themeFillTint="98"/>
      </w:tcPr>
    </w:tblStylePr>
    <w:tblStylePr w:type="band2Horz">
      <w:tcPr>
        <w:tcBorders>
          <w:top w:val="single" w:color="FFFFFF" w:themeColor="light1" w:sz="4" w:space="0"/>
          <w:bottom w:val="single" w:color="FFFFFF" w:themeColor="light1" w:sz="4" w:space="0"/>
        </w:tcBorders>
        <w:shd w:val="clear" w:color="FAC090" w:themeColor="accent6" w:themeTint="98" w:fill="FAC090" w:themeFill="accent6" w:themeFillTint="98"/>
      </w:tcPr>
    </w:tblStylePr>
    <w:tblStylePr w:type="neCell"/>
    <w:tblStylePr w:type="nwCell"/>
    <w:tblStylePr w:type="seCell"/>
    <w:tblStylePr w:type="swCell"/>
  </w:style>
  <w:style w:type="table" w:customStyle="1" w:styleId="155">
    <w:name w:val="List Table 6 Colorful"/>
    <w:qFormat/>
    <w:uiPriority w:val="99"/>
    <w:pPr>
      <w:spacing w:after="0" w:line="240" w:lineRule="auto"/>
    </w:pPr>
    <w:tblPr>
      <w:tblBorders>
        <w:top w:val="single" w:color="7E7E7E" w:themeColor="text1" w:themeTint="80" w:sz="4" w:space="0"/>
        <w:bottom w:val="single" w:color="7E7E7E" w:themeColor="text1" w:themeTint="80" w:sz="4" w:space="0"/>
      </w:tblBorders>
    </w:tblPr>
    <w:tblStylePr w:type="firstRow">
      <w:rPr>
        <w:b/>
        <w:color w:val="000000" w:themeColor="text1"/>
        <w14:textFill>
          <w14:solidFill>
            <w14:schemeClr w14:val="tx1"/>
          </w14:solidFill>
        </w14:textFill>
      </w:rPr>
      <w:tcPr>
        <w:tcBorders>
          <w:bottom w:val="single" w:color="7E7E7E" w:themeColor="text1" w:themeTint="80" w:sz="4" w:space="0"/>
        </w:tcBorders>
      </w:tcPr>
    </w:tblStylePr>
    <w:tblStylePr w:type="lastRow">
      <w:rPr>
        <w:b/>
        <w:color w:val="000000" w:themeColor="text1"/>
        <w14:textFill>
          <w14:solidFill>
            <w14:schemeClr w14:val="tx1"/>
          </w14:solidFill>
        </w14:textFill>
      </w:rPr>
      <w:tcPr>
        <w:tcBorders>
          <w:top w:val="single" w:color="7E7E7E" w:themeColor="text1" w:themeTint="80" w:sz="4" w:space="0"/>
        </w:tcBorders>
      </w:tcPr>
    </w:tblStylePr>
    <w:tblStylePr w:type="firstCol">
      <w:rPr>
        <w:b/>
        <w:color w:val="000000" w:themeColor="text1"/>
        <w14:textFill>
          <w14:solidFill>
            <w14:schemeClr w14:val="tx1"/>
          </w14:solidFill>
        </w14:textFill>
      </w:rPr>
    </w:tblStylePr>
    <w:tblStylePr w:type="lastCol">
      <w:rPr>
        <w:b/>
        <w:color w:val="000000" w:themeColor="text1"/>
        <w14:textFill>
          <w14:solidFill>
            <w14:schemeClr w14:val="tx1"/>
          </w14:solidFill>
        </w14:textFill>
      </w:rPr>
    </w:tblStylePr>
    <w:tblStylePr w:type="band1Vert">
      <w:tcPr>
        <w:shd w:val="clear" w:color="BEBEBE" w:themeColor="text1" w:themeTint="40" w:fill="BEBEBE" w:themeFill="text1" w:themeFillTint="40"/>
      </w:tcPr>
    </w:tblStylePr>
    <w:tblStylePr w:type="band2Vert"/>
    <w:tblStylePr w:type="band1Horz">
      <w:rPr>
        <w:rFonts w:ascii="Arial" w:hAnsi="Arial"/>
        <w:color w:val="000000" w:themeColor="text1"/>
        <w:sz w:val="22"/>
        <w14:textFill>
          <w14:solidFill>
            <w14:schemeClr w14:val="tx1"/>
          </w14:solidFill>
        </w14:textFill>
      </w:rPr>
      <w:tcPr>
        <w:shd w:val="clear" w:color="BEBEBE" w:themeColor="text1" w:themeTint="40" w:fill="BEBEBE" w:themeFill="text1" w:themeFillTint="40"/>
      </w:tcPr>
    </w:tblStylePr>
    <w:tblStylePr w:type="band2Horz">
      <w:rPr>
        <w:rFonts w:ascii="Arial" w:hAnsi="Arial"/>
        <w:color w:val="000000" w:themeColor="text1"/>
        <w:sz w:val="22"/>
        <w14:textFill>
          <w14:solidFill>
            <w14:schemeClr w14:val="tx1"/>
          </w14:solidFill>
        </w14:textFill>
      </w:rPr>
    </w:tblStylePr>
    <w:tblStylePr w:type="neCell"/>
    <w:tblStylePr w:type="nwCell"/>
    <w:tblStylePr w:type="seCell"/>
    <w:tblStylePr w:type="swCell"/>
  </w:style>
  <w:style w:type="table" w:customStyle="1" w:styleId="156">
    <w:name w:val="List Table 6 Colorful - Accent 1"/>
    <w:qFormat/>
    <w:uiPriority w:val="99"/>
    <w:pPr>
      <w:spacing w:after="0" w:line="240" w:lineRule="auto"/>
    </w:pPr>
    <w:tblPr>
      <w:tblBorders>
        <w:top w:val="single" w:color="4F81BD" w:themeColor="accent1" w:sz="4" w:space="0"/>
        <w:bottom w:val="single" w:color="4F81BD" w:themeColor="accent1" w:sz="4" w:space="0"/>
      </w:tblBorders>
    </w:tblPr>
    <w:tblStylePr w:type="firstRow">
      <w:rPr>
        <w:b/>
        <w:color w:val="2A4B71" w:themeColor="accent1" w:themeShade="94"/>
      </w:rPr>
      <w:tcPr>
        <w:tcBorders>
          <w:bottom w:val="single" w:color="4F81BD" w:themeColor="accent1" w:sz="4" w:space="0"/>
        </w:tcBorders>
      </w:tcPr>
    </w:tblStylePr>
    <w:tblStylePr w:type="lastRow">
      <w:rPr>
        <w:b/>
        <w:color w:val="2A4B71" w:themeColor="accent1" w:themeShade="94"/>
      </w:rPr>
      <w:tcPr>
        <w:tcBorders>
          <w:top w:val="single" w:color="4F81BD" w:themeColor="accent1" w:sz="4" w:space="0"/>
        </w:tcBorders>
      </w:tcPr>
    </w:tblStylePr>
    <w:tblStylePr w:type="firstCol">
      <w:rPr>
        <w:b/>
        <w:color w:val="2A4B71" w:themeColor="accent1" w:themeShade="94"/>
      </w:rPr>
    </w:tblStylePr>
    <w:tblStylePr w:type="lastCol">
      <w:rPr>
        <w:b/>
        <w:color w:val="2A4B71" w:themeColor="accent1" w:themeShade="94"/>
      </w:rPr>
    </w:tblStylePr>
    <w:tblStylePr w:type="band1Vert">
      <w:tcPr>
        <w:shd w:val="clear" w:color="D2DFEE" w:themeColor="accent1" w:themeTint="40" w:fill="D2DFEE" w:themeFill="accent1" w:themeFillTint="40"/>
      </w:tcPr>
    </w:tblStylePr>
    <w:tblStylePr w:type="band2Vert"/>
    <w:tblStylePr w:type="band1Horz">
      <w:rPr>
        <w:rFonts w:ascii="Arial" w:hAnsi="Arial"/>
        <w:color w:val="2A4B71" w:themeColor="accent1" w:themeShade="94"/>
        <w:sz w:val="22"/>
      </w:rPr>
      <w:tcPr>
        <w:shd w:val="clear" w:color="D2DFEE" w:themeColor="accent1" w:themeTint="40" w:fill="D2DFEE" w:themeFill="accent1" w:themeFillTint="40"/>
      </w:tcPr>
    </w:tblStylePr>
    <w:tblStylePr w:type="band2Horz">
      <w:rPr>
        <w:rFonts w:ascii="Arial" w:hAnsi="Arial"/>
        <w:color w:val="2A4B71" w:themeColor="accent1" w:themeShade="94"/>
        <w:sz w:val="22"/>
      </w:rPr>
    </w:tblStylePr>
    <w:tblStylePr w:type="neCell"/>
    <w:tblStylePr w:type="nwCell"/>
    <w:tblStylePr w:type="seCell"/>
    <w:tblStylePr w:type="swCell"/>
  </w:style>
  <w:style w:type="table" w:customStyle="1" w:styleId="157">
    <w:name w:val="List Table 6 Colorful - Accent 2"/>
    <w:qFormat/>
    <w:uiPriority w:val="99"/>
    <w:pPr>
      <w:spacing w:after="0" w:line="240" w:lineRule="auto"/>
    </w:pPr>
    <w:tblPr>
      <w:tblBorders>
        <w:top w:val="single" w:color="D99795" w:themeColor="accent2" w:themeTint="97" w:sz="4" w:space="0"/>
        <w:bottom w:val="single" w:color="D99795" w:themeColor="accent2" w:themeTint="97" w:sz="4" w:space="0"/>
      </w:tblBorders>
    </w:tblPr>
    <w:tblStylePr w:type="firstRow">
      <w:rPr>
        <w:b/>
        <w:color w:val="DA9896" w:themeColor="accent2" w:themeTint="96"/>
        <w14:textFill>
          <w14:solidFill>
            <w14:schemeClr w14:val="accent2">
              <w14:lumMod w14:val="59000"/>
              <w14:lumOff w14:val="41000"/>
            </w14:schemeClr>
          </w14:solidFill>
        </w14:textFill>
      </w:rPr>
      <w:tcPr>
        <w:tcBorders>
          <w:bottom w:val="single" w:color="D99795" w:themeColor="accent2" w:themeTint="97" w:sz="4" w:space="0"/>
        </w:tcBorders>
      </w:tcPr>
    </w:tblStylePr>
    <w:tblStylePr w:type="lastRow">
      <w:rPr>
        <w:b/>
        <w:color w:val="DA9896" w:themeColor="accent2" w:themeTint="96"/>
        <w14:textFill>
          <w14:solidFill>
            <w14:schemeClr w14:val="accent2">
              <w14:lumMod w14:val="59000"/>
              <w14:lumOff w14:val="41000"/>
            </w14:schemeClr>
          </w14:solidFill>
        </w14:textFill>
      </w:rPr>
      <w:tcPr>
        <w:tcBorders>
          <w:top w:val="single" w:color="D99795" w:themeColor="accent2" w:themeTint="97" w:sz="4" w:space="0"/>
        </w:tcBorders>
      </w:tcPr>
    </w:tblStylePr>
    <w:tblStylePr w:type="firstCol">
      <w:rPr>
        <w:b/>
        <w:color w:val="DA9896" w:themeColor="accent2" w:themeTint="96"/>
        <w14:textFill>
          <w14:solidFill>
            <w14:schemeClr w14:val="accent2">
              <w14:lumMod w14:val="59000"/>
              <w14:lumOff w14:val="41000"/>
            </w14:schemeClr>
          </w14:solidFill>
        </w14:textFill>
      </w:rPr>
    </w:tblStylePr>
    <w:tblStylePr w:type="lastCol">
      <w:rPr>
        <w:b/>
        <w:color w:val="DA9896" w:themeColor="accent2" w:themeTint="96"/>
        <w14:textFill>
          <w14:solidFill>
            <w14:schemeClr w14:val="accent2">
              <w14:lumMod w14:val="59000"/>
              <w14:lumOff w14:val="41000"/>
            </w14:schemeClr>
          </w14:solidFill>
        </w14:textFill>
      </w:rPr>
    </w:tblStylePr>
    <w:tblStylePr w:type="band1Vert">
      <w:tcPr>
        <w:shd w:val="clear" w:color="EFD3D2" w:themeColor="accent2" w:themeTint="40" w:fill="EFD3D2" w:themeFill="accent2" w:themeFillTint="40"/>
      </w:tcPr>
    </w:tblStylePr>
    <w:tblStylePr w:type="band2Vert"/>
    <w:tblStylePr w:type="band1Horz">
      <w:rPr>
        <w:rFonts w:ascii="Arial" w:hAnsi="Arial"/>
        <w:color w:val="DA9896" w:themeColor="accent2" w:themeTint="96"/>
        <w:sz w:val="22"/>
        <w14:textFill>
          <w14:solidFill>
            <w14:schemeClr w14:val="accent2">
              <w14:lumMod w14:val="59000"/>
              <w14:lumOff w14:val="41000"/>
            </w14:schemeClr>
          </w14:solidFill>
        </w14:textFill>
      </w:rPr>
      <w:tcPr>
        <w:shd w:val="clear" w:color="EFD3D2" w:themeColor="accent2" w:themeTint="40" w:fill="EFD3D2" w:themeFill="accent2" w:themeFillTint="40"/>
      </w:tcPr>
    </w:tblStylePr>
    <w:tblStylePr w:type="band2Horz">
      <w:rPr>
        <w:rFonts w:ascii="Arial" w:hAnsi="Arial"/>
        <w:color w:val="DA9896" w:themeColor="accent2" w:themeTint="96"/>
        <w:sz w:val="22"/>
        <w14:textFill>
          <w14:solidFill>
            <w14:schemeClr w14:val="accent2">
              <w14:lumMod w14:val="59000"/>
              <w14:lumOff w14:val="41000"/>
            </w14:schemeClr>
          </w14:solidFill>
        </w14:textFill>
      </w:rPr>
    </w:tblStylePr>
    <w:tblStylePr w:type="neCell"/>
    <w:tblStylePr w:type="nwCell"/>
    <w:tblStylePr w:type="seCell"/>
    <w:tblStylePr w:type="swCell"/>
  </w:style>
  <w:style w:type="table" w:customStyle="1" w:styleId="158">
    <w:name w:val="List Table 6 Colorful - Accent 3"/>
    <w:qFormat/>
    <w:uiPriority w:val="99"/>
    <w:pPr>
      <w:spacing w:after="0" w:line="240" w:lineRule="auto"/>
    </w:pPr>
    <w:tblPr>
      <w:tblBorders>
        <w:top w:val="single" w:color="C3D69C" w:themeColor="accent3" w:themeTint="98" w:sz="4" w:space="0"/>
        <w:bottom w:val="single" w:color="C3D69C" w:themeColor="accent3" w:themeTint="98" w:sz="4" w:space="0"/>
      </w:tblBorders>
    </w:tblPr>
    <w:tblStylePr w:type="firstRow">
      <w:rPr>
        <w:b/>
        <w:color w:val="C3D69B" w:themeColor="accent3" w:themeTint="99"/>
        <w14:textFill>
          <w14:solidFill>
            <w14:schemeClr w14:val="accent3">
              <w14:lumMod w14:val="60000"/>
              <w14:lumOff w14:val="40000"/>
            </w14:schemeClr>
          </w14:solidFill>
        </w14:textFill>
      </w:rPr>
      <w:tcPr>
        <w:tcBorders>
          <w:bottom w:val="single" w:color="C3D69C" w:themeColor="accent3" w:themeTint="98" w:sz="4" w:space="0"/>
        </w:tcBorders>
      </w:tcPr>
    </w:tblStylePr>
    <w:tblStylePr w:type="lastRow">
      <w:rPr>
        <w:b/>
        <w:color w:val="C3D69B" w:themeColor="accent3" w:themeTint="99"/>
        <w14:textFill>
          <w14:solidFill>
            <w14:schemeClr w14:val="accent3">
              <w14:lumMod w14:val="60000"/>
              <w14:lumOff w14:val="40000"/>
            </w14:schemeClr>
          </w14:solidFill>
        </w14:textFill>
      </w:rPr>
      <w:tcPr>
        <w:tcBorders>
          <w:top w:val="single" w:color="C3D69C" w:themeColor="accent3" w:themeTint="98" w:sz="4" w:space="0"/>
        </w:tcBorders>
      </w:tcPr>
    </w:tblStylePr>
    <w:tblStylePr w:type="firstCol">
      <w:rPr>
        <w:b/>
        <w:color w:val="C3D69B" w:themeColor="accent3" w:themeTint="99"/>
        <w14:textFill>
          <w14:solidFill>
            <w14:schemeClr w14:val="accent3">
              <w14:lumMod w14:val="60000"/>
              <w14:lumOff w14:val="40000"/>
            </w14:schemeClr>
          </w14:solidFill>
        </w14:textFill>
      </w:rPr>
    </w:tblStylePr>
    <w:tblStylePr w:type="lastCol">
      <w:rPr>
        <w:b/>
        <w:color w:val="C3D69B" w:themeColor="accent3" w:themeTint="99"/>
        <w14:textFill>
          <w14:solidFill>
            <w14:schemeClr w14:val="accent3">
              <w14:lumMod w14:val="60000"/>
              <w14:lumOff w14:val="40000"/>
            </w14:schemeClr>
          </w14:solidFill>
        </w14:textFill>
      </w:rPr>
    </w:tblStylePr>
    <w:tblStylePr w:type="band1Vert">
      <w:tcPr>
        <w:shd w:val="clear" w:color="E5EDD5" w:themeColor="accent3" w:themeTint="40" w:fill="E5EDD5" w:themeFill="accent3" w:themeFillTint="40"/>
      </w:tcPr>
    </w:tblStylePr>
    <w:tblStylePr w:type="band2Vert"/>
    <w:tblStylePr w:type="band1Horz">
      <w:rPr>
        <w:rFonts w:ascii="Arial" w:hAnsi="Arial"/>
        <w:color w:val="C3D69B" w:themeColor="accent3" w:themeTint="99"/>
        <w:sz w:val="22"/>
        <w14:textFill>
          <w14:solidFill>
            <w14:schemeClr w14:val="accent3">
              <w14:lumMod w14:val="60000"/>
              <w14:lumOff w14:val="40000"/>
            </w14:schemeClr>
          </w14:solidFill>
        </w14:textFill>
      </w:rPr>
      <w:tcPr>
        <w:shd w:val="clear" w:color="E5EDD5" w:themeColor="accent3" w:themeTint="40" w:fill="E5EDD5" w:themeFill="accent3" w:themeFillTint="40"/>
      </w:tcPr>
    </w:tblStylePr>
    <w:tblStylePr w:type="band2Horz">
      <w:rPr>
        <w:rFonts w:ascii="Arial" w:hAnsi="Arial"/>
        <w:color w:val="C3D69B" w:themeColor="accent3" w:themeTint="99"/>
        <w:sz w:val="22"/>
        <w14:textFill>
          <w14:solidFill>
            <w14:schemeClr w14:val="accent3">
              <w14:lumMod w14:val="60000"/>
              <w14:lumOff w14:val="40000"/>
            </w14:schemeClr>
          </w14:solidFill>
        </w14:textFill>
      </w:rPr>
    </w:tblStylePr>
    <w:tblStylePr w:type="neCell"/>
    <w:tblStylePr w:type="nwCell"/>
    <w:tblStylePr w:type="seCell"/>
    <w:tblStylePr w:type="swCell"/>
  </w:style>
  <w:style w:type="table" w:customStyle="1" w:styleId="159">
    <w:name w:val="List Table 6 Colorful - Accent 4"/>
    <w:qFormat/>
    <w:uiPriority w:val="99"/>
    <w:pPr>
      <w:spacing w:after="0" w:line="240" w:lineRule="auto"/>
    </w:pPr>
    <w:tblPr>
      <w:tblBorders>
        <w:top w:val="single" w:color="B2A1C6" w:themeColor="accent4" w:themeTint="9A" w:sz="4" w:space="0"/>
        <w:bottom w:val="single" w:color="B2A1C6" w:themeColor="accent4" w:themeTint="9A" w:sz="4" w:space="0"/>
      </w:tblBorders>
    </w:tblPr>
    <w:tblStylePr w:type="firstRow">
      <w:rPr>
        <w:b/>
        <w:color w:val="B3A2C7" w:themeColor="accent4" w:themeTint="99"/>
        <w14:textFill>
          <w14:solidFill>
            <w14:schemeClr w14:val="accent4">
              <w14:lumMod w14:val="60000"/>
              <w14:lumOff w14:val="40000"/>
            </w14:schemeClr>
          </w14:solidFill>
        </w14:textFill>
      </w:rPr>
      <w:tcPr>
        <w:tcBorders>
          <w:bottom w:val="single" w:color="B2A1C6" w:themeColor="accent4" w:themeTint="9A" w:sz="4" w:space="0"/>
        </w:tcBorders>
      </w:tcPr>
    </w:tblStylePr>
    <w:tblStylePr w:type="lastRow">
      <w:rPr>
        <w:b/>
        <w:color w:val="B3A2C7" w:themeColor="accent4" w:themeTint="99"/>
        <w14:textFill>
          <w14:solidFill>
            <w14:schemeClr w14:val="accent4">
              <w14:lumMod w14:val="60000"/>
              <w14:lumOff w14:val="40000"/>
            </w14:schemeClr>
          </w14:solidFill>
        </w14:textFill>
      </w:rPr>
      <w:tcPr>
        <w:tcBorders>
          <w:top w:val="single" w:color="B2A1C6" w:themeColor="accent4" w:themeTint="9A" w:sz="4" w:space="0"/>
        </w:tcBorders>
      </w:tcPr>
    </w:tblStylePr>
    <w:tblStylePr w:type="firstCol">
      <w:rPr>
        <w:b/>
        <w:color w:val="B3A2C7" w:themeColor="accent4" w:themeTint="99"/>
        <w14:textFill>
          <w14:solidFill>
            <w14:schemeClr w14:val="accent4">
              <w14:lumMod w14:val="60000"/>
              <w14:lumOff w14:val="40000"/>
            </w14:schemeClr>
          </w14:solidFill>
        </w14:textFill>
      </w:rPr>
    </w:tblStylePr>
    <w:tblStylePr w:type="lastCol">
      <w:rPr>
        <w:b/>
        <w:color w:val="B3A2C7" w:themeColor="accent4" w:themeTint="99"/>
        <w14:textFill>
          <w14:solidFill>
            <w14:schemeClr w14:val="accent4">
              <w14:lumMod w14:val="60000"/>
              <w14:lumOff w14:val="40000"/>
            </w14:schemeClr>
          </w14:solidFill>
        </w14:textFill>
      </w:rPr>
    </w:tblStylePr>
    <w:tblStylePr w:type="band1Vert">
      <w:tcPr>
        <w:shd w:val="clear" w:color="DFD8E7" w:themeColor="accent4" w:themeTint="40" w:fill="DFD8E7" w:themeFill="accent4" w:themeFillTint="40"/>
      </w:tcPr>
    </w:tblStylePr>
    <w:tblStylePr w:type="band2Vert"/>
    <w:tblStylePr w:type="band1Horz">
      <w:rPr>
        <w:rFonts w:ascii="Arial" w:hAnsi="Arial"/>
        <w:color w:val="B3A2C7" w:themeColor="accent4" w:themeTint="99"/>
        <w:sz w:val="22"/>
        <w14:textFill>
          <w14:solidFill>
            <w14:schemeClr w14:val="accent4">
              <w14:lumMod w14:val="60000"/>
              <w14:lumOff w14:val="40000"/>
            </w14:schemeClr>
          </w14:solidFill>
        </w14:textFill>
      </w:rPr>
      <w:tcPr>
        <w:shd w:val="clear" w:color="DFD8E7" w:themeColor="accent4" w:themeTint="40" w:fill="DFD8E7" w:themeFill="accent4" w:themeFillTint="40"/>
      </w:tcPr>
    </w:tblStylePr>
    <w:tblStylePr w:type="band2Horz">
      <w:rPr>
        <w:rFonts w:ascii="Arial" w:hAnsi="Arial"/>
        <w:color w:val="B3A2C7" w:themeColor="accent4" w:themeTint="99"/>
        <w:sz w:val="22"/>
        <w14:textFill>
          <w14:solidFill>
            <w14:schemeClr w14:val="accent4">
              <w14:lumMod w14:val="60000"/>
              <w14:lumOff w14:val="40000"/>
            </w14:schemeClr>
          </w14:solidFill>
        </w14:textFill>
      </w:rPr>
    </w:tblStylePr>
    <w:tblStylePr w:type="neCell"/>
    <w:tblStylePr w:type="nwCell"/>
    <w:tblStylePr w:type="seCell"/>
    <w:tblStylePr w:type="swCell"/>
  </w:style>
  <w:style w:type="table" w:customStyle="1" w:styleId="160">
    <w:name w:val="List Table 6 Colorful - Accent 5"/>
    <w:qFormat/>
    <w:uiPriority w:val="99"/>
    <w:pPr>
      <w:spacing w:after="0" w:line="240" w:lineRule="auto"/>
    </w:pPr>
    <w:tblPr>
      <w:tblBorders>
        <w:top w:val="single" w:color="92CCDC" w:themeColor="accent5" w:themeTint="9A" w:sz="4" w:space="0"/>
        <w:bottom w:val="single" w:color="92CCDC" w:themeColor="accent5" w:themeTint="9A" w:sz="4" w:space="0"/>
      </w:tblBorders>
    </w:tblPr>
    <w:tblStylePr w:type="firstRow">
      <w:rPr>
        <w:b/>
        <w:color w:val="93CDDD" w:themeColor="accent5" w:themeTint="99"/>
        <w14:textFill>
          <w14:solidFill>
            <w14:schemeClr w14:val="accent5">
              <w14:lumMod w14:val="60000"/>
              <w14:lumOff w14:val="40000"/>
            </w14:schemeClr>
          </w14:solidFill>
        </w14:textFill>
      </w:rPr>
      <w:tcPr>
        <w:tcBorders>
          <w:bottom w:val="single" w:color="92CCDC" w:themeColor="accent5" w:themeTint="9A" w:sz="4" w:space="0"/>
        </w:tcBorders>
      </w:tcPr>
    </w:tblStylePr>
    <w:tblStylePr w:type="lastRow">
      <w:rPr>
        <w:b/>
        <w:color w:val="93CDDD" w:themeColor="accent5" w:themeTint="99"/>
        <w14:textFill>
          <w14:solidFill>
            <w14:schemeClr w14:val="accent5">
              <w14:lumMod w14:val="60000"/>
              <w14:lumOff w14:val="40000"/>
            </w14:schemeClr>
          </w14:solidFill>
        </w14:textFill>
      </w:rPr>
      <w:tcPr>
        <w:tcBorders>
          <w:top w:val="single" w:color="92CCDC" w:themeColor="accent5" w:themeTint="9A" w:sz="4" w:space="0"/>
        </w:tcBorders>
      </w:tcPr>
    </w:tblStylePr>
    <w:tblStylePr w:type="firstCol">
      <w:rPr>
        <w:b/>
        <w:color w:val="93CDDD" w:themeColor="accent5" w:themeTint="99"/>
        <w14:textFill>
          <w14:solidFill>
            <w14:schemeClr w14:val="accent5">
              <w14:lumMod w14:val="60000"/>
              <w14:lumOff w14:val="40000"/>
            </w14:schemeClr>
          </w14:solidFill>
        </w14:textFill>
      </w:rPr>
    </w:tblStylePr>
    <w:tblStylePr w:type="lastCol">
      <w:rPr>
        <w:b/>
        <w:color w:val="93CDDD" w:themeColor="accent5" w:themeTint="99"/>
        <w14:textFill>
          <w14:solidFill>
            <w14:schemeClr w14:val="accent5">
              <w14:lumMod w14:val="60000"/>
              <w14:lumOff w14:val="40000"/>
            </w14:schemeClr>
          </w14:solidFill>
        </w14:textFill>
      </w:rPr>
    </w:tblStylePr>
    <w:tblStylePr w:type="band1Vert">
      <w:tcPr>
        <w:shd w:val="clear" w:color="D1EAF0" w:themeColor="accent5" w:themeTint="40" w:fill="D1EAF0" w:themeFill="accent5" w:themeFillTint="40"/>
      </w:tcPr>
    </w:tblStylePr>
    <w:tblStylePr w:type="band2Vert"/>
    <w:tblStylePr w:type="band1Horz">
      <w:rPr>
        <w:rFonts w:ascii="Arial" w:hAnsi="Arial"/>
        <w:color w:val="93CDDD" w:themeColor="accent5" w:themeTint="99"/>
        <w:sz w:val="22"/>
        <w14:textFill>
          <w14:solidFill>
            <w14:schemeClr w14:val="accent5">
              <w14:lumMod w14:val="60000"/>
              <w14:lumOff w14:val="40000"/>
            </w14:schemeClr>
          </w14:solidFill>
        </w14:textFill>
      </w:rPr>
      <w:tcPr>
        <w:shd w:val="clear" w:color="D1EAF0" w:themeColor="accent5" w:themeTint="40" w:fill="D1EAF0" w:themeFill="accent5" w:themeFillTint="40"/>
      </w:tcPr>
    </w:tblStylePr>
    <w:tblStylePr w:type="band2Horz">
      <w:rPr>
        <w:rFonts w:ascii="Arial" w:hAnsi="Arial"/>
        <w:color w:val="93CDDD" w:themeColor="accent5" w:themeTint="99"/>
        <w:sz w:val="22"/>
        <w14:textFill>
          <w14:solidFill>
            <w14:schemeClr w14:val="accent5">
              <w14:lumMod w14:val="60000"/>
              <w14:lumOff w14:val="40000"/>
            </w14:schemeClr>
          </w14:solidFill>
        </w14:textFill>
      </w:rPr>
    </w:tblStylePr>
    <w:tblStylePr w:type="neCell"/>
    <w:tblStylePr w:type="nwCell"/>
    <w:tblStylePr w:type="seCell"/>
    <w:tblStylePr w:type="swCell"/>
  </w:style>
  <w:style w:type="table" w:customStyle="1" w:styleId="161">
    <w:name w:val="List Table 6 Colorful - Accent 6"/>
    <w:qFormat/>
    <w:uiPriority w:val="99"/>
    <w:pPr>
      <w:spacing w:after="0" w:line="240" w:lineRule="auto"/>
    </w:pPr>
    <w:tblPr>
      <w:tblBorders>
        <w:top w:val="single" w:color="FAC090" w:themeColor="accent6" w:themeTint="98" w:sz="4" w:space="0"/>
        <w:bottom w:val="single" w:color="FAC090" w:themeColor="accent6" w:themeTint="98" w:sz="4" w:space="0"/>
      </w:tblBorders>
    </w:tblPr>
    <w:tblStylePr w:type="firstRow">
      <w:rPr>
        <w:b/>
        <w:color w:val="FAC090" w:themeColor="accent6" w:themeTint="99"/>
        <w14:textFill>
          <w14:solidFill>
            <w14:schemeClr w14:val="accent6">
              <w14:lumMod w14:val="60000"/>
              <w14:lumOff w14:val="40000"/>
            </w14:schemeClr>
          </w14:solidFill>
        </w14:textFill>
      </w:rPr>
      <w:tcPr>
        <w:tcBorders>
          <w:bottom w:val="single" w:color="FAC090" w:themeColor="accent6" w:themeTint="98" w:sz="4" w:space="0"/>
        </w:tcBorders>
      </w:tcPr>
    </w:tblStylePr>
    <w:tblStylePr w:type="lastRow">
      <w:rPr>
        <w:b/>
        <w:color w:val="FAC090" w:themeColor="accent6" w:themeTint="99"/>
        <w14:textFill>
          <w14:solidFill>
            <w14:schemeClr w14:val="accent6">
              <w14:lumMod w14:val="60000"/>
              <w14:lumOff w14:val="40000"/>
            </w14:schemeClr>
          </w14:solidFill>
        </w14:textFill>
      </w:rPr>
      <w:tcPr>
        <w:tcBorders>
          <w:top w:val="single" w:color="FAC090" w:themeColor="accent6" w:themeTint="98" w:sz="4" w:space="0"/>
        </w:tcBorders>
      </w:tcPr>
    </w:tblStylePr>
    <w:tblStylePr w:type="firstCol">
      <w:rPr>
        <w:b/>
        <w:color w:val="FAC090" w:themeColor="accent6" w:themeTint="99"/>
        <w14:textFill>
          <w14:solidFill>
            <w14:schemeClr w14:val="accent6">
              <w14:lumMod w14:val="60000"/>
              <w14:lumOff w14:val="40000"/>
            </w14:schemeClr>
          </w14:solidFill>
        </w14:textFill>
      </w:rPr>
    </w:tblStylePr>
    <w:tblStylePr w:type="lastCol">
      <w:rPr>
        <w:b/>
        <w:color w:val="FAC090" w:themeColor="accent6" w:themeTint="99"/>
        <w14:textFill>
          <w14:solidFill>
            <w14:schemeClr w14:val="accent6">
              <w14:lumMod w14:val="60000"/>
              <w14:lumOff w14:val="40000"/>
            </w14:schemeClr>
          </w14:solidFill>
        </w14:textFill>
      </w:rPr>
    </w:tblStylePr>
    <w:tblStylePr w:type="band1Vert">
      <w:tcPr>
        <w:shd w:val="clear" w:color="FCE4D0" w:themeColor="accent6" w:themeTint="40" w:fill="FCE4D0" w:themeFill="accent6" w:themeFillTint="40"/>
      </w:tcPr>
    </w:tblStylePr>
    <w:tblStylePr w:type="band2Vert"/>
    <w:tblStylePr w:type="band1Horz">
      <w:rPr>
        <w:rFonts w:ascii="Arial" w:hAnsi="Arial"/>
        <w:color w:val="FAC090" w:themeColor="accent6" w:themeTint="99"/>
        <w:sz w:val="22"/>
        <w14:textFill>
          <w14:solidFill>
            <w14:schemeClr w14:val="accent6">
              <w14:lumMod w14:val="60000"/>
              <w14:lumOff w14:val="40000"/>
            </w14:schemeClr>
          </w14:solidFill>
        </w14:textFill>
      </w:rPr>
      <w:tcPr>
        <w:shd w:val="clear" w:color="FCE4D0" w:themeColor="accent6" w:themeTint="40" w:fill="FCE4D0" w:themeFill="accent6" w:themeFillTint="40"/>
      </w:tcPr>
    </w:tblStylePr>
    <w:tblStylePr w:type="band2Horz">
      <w:rPr>
        <w:rFonts w:ascii="Arial" w:hAnsi="Arial"/>
        <w:color w:val="FAC090" w:themeColor="accent6" w:themeTint="99"/>
        <w:sz w:val="22"/>
        <w14:textFill>
          <w14:solidFill>
            <w14:schemeClr w14:val="accent6">
              <w14:lumMod w14:val="60000"/>
              <w14:lumOff w14:val="40000"/>
            </w14:schemeClr>
          </w14:solidFill>
        </w14:textFill>
      </w:rPr>
    </w:tblStylePr>
    <w:tblStylePr w:type="neCell"/>
    <w:tblStylePr w:type="nwCell"/>
    <w:tblStylePr w:type="seCell"/>
    <w:tblStylePr w:type="swCell"/>
  </w:style>
  <w:style w:type="table" w:customStyle="1" w:styleId="162">
    <w:name w:val="List Table 7 Colorful"/>
    <w:qFormat/>
    <w:uiPriority w:val="99"/>
    <w:pPr>
      <w:spacing w:after="0" w:line="240" w:lineRule="auto"/>
    </w:pPr>
    <w:tblPr>
      <w:tblBorders>
        <w:right w:val="single" w:color="7E7E7E" w:themeColor="text1" w:themeTint="80" w:sz="4" w:space="0"/>
      </w:tblBorders>
    </w:tblPr>
    <w:tblStylePr w:type="firstRow">
      <w:rPr>
        <w:rFonts w:ascii="Arial" w:hAnsi="Arial"/>
        <w:i/>
        <w:color w:val="808080" w:themeColor="text1" w:themeTint="80"/>
        <w:sz w:val="22"/>
        <w14:textFill>
          <w14:solidFill>
            <w14:schemeClr w14:val="tx1">
              <w14:lumMod w14:val="50000"/>
              <w14:lumOff w14:val="50000"/>
            </w14:schemeClr>
          </w14:solidFill>
        </w14:textFill>
      </w:rPr>
      <w:tcPr>
        <w:tcBorders>
          <w:top w:val="nil"/>
          <w:left w:val="nil"/>
          <w:bottom w:val="single" w:color="7E7E7E" w:themeColor="text1" w:themeTint="80" w:sz="4" w:space="0"/>
          <w:right w:val="nil"/>
        </w:tcBorders>
        <w:shd w:val="clear" w:color="FFFFFF" w:themeColor="light1" w:fill="FFFFFF" w:themeFill="light1"/>
      </w:tcPr>
    </w:tblStylePr>
    <w:tblStylePr w:type="lastRow">
      <w:rPr>
        <w:rFonts w:ascii="Arial" w:hAnsi="Arial"/>
        <w:i/>
        <w:color w:val="808080" w:themeColor="text1" w:themeTint="80"/>
        <w:sz w:val="22"/>
        <w14:textFill>
          <w14:solidFill>
            <w14:schemeClr w14:val="tx1">
              <w14:lumMod w14:val="50000"/>
              <w14:lumOff w14:val="50000"/>
            </w14:schemeClr>
          </w14:solidFill>
        </w14:textFill>
      </w:rPr>
      <w:tcPr>
        <w:tcBorders>
          <w:top w:val="single" w:color="7E7E7E" w:themeColor="text1" w:themeTint="80" w:sz="4" w:space="0"/>
          <w:left w:val="nil"/>
          <w:bottom w:val="nil"/>
          <w:right w:val="nil"/>
        </w:tcBorders>
        <w:shd w:val="clear" w:color="FFFFFF" w:themeColor="light1" w:fill="FFFFFF" w:themeFill="light1"/>
      </w:tcPr>
    </w:tblStylePr>
    <w:tblStylePr w:type="firstCol">
      <w:pPr>
        <w:jc w:val="right"/>
      </w:pPr>
      <w:rPr>
        <w:rFonts w:ascii="Arial" w:hAnsi="Arial"/>
        <w:i/>
        <w:color w:val="808080" w:themeColor="text1" w:themeTint="80"/>
        <w:sz w:val="22"/>
        <w14:textFill>
          <w14:solidFill>
            <w14:schemeClr w14:val="tx1">
              <w14:lumMod w14:val="50000"/>
              <w14:lumOff w14:val="50000"/>
            </w14:schemeClr>
          </w14:solidFill>
        </w14:textFill>
      </w:rPr>
      <w:tcPr>
        <w:tcBorders>
          <w:top w:val="nil"/>
          <w:left w:val="nil"/>
          <w:bottom w:val="nil"/>
          <w:right w:val="single" w:color="7E7E7E" w:themeColor="text1" w:themeTint="80" w:sz="4" w:space="0"/>
        </w:tcBorders>
        <w:shd w:val="clear" w:color="FFFFFF" w:fill="auto"/>
      </w:tcPr>
    </w:tblStylePr>
    <w:tblStylePr w:type="lastCol">
      <w:rPr>
        <w:rFonts w:ascii="Arial" w:hAnsi="Arial"/>
        <w:i/>
        <w:color w:val="808080" w:themeColor="text1" w:themeTint="80"/>
        <w:sz w:val="22"/>
        <w14:textFill>
          <w14:solidFill>
            <w14:schemeClr w14:val="tx1">
              <w14:lumMod w14:val="50000"/>
              <w14:lumOff w14:val="50000"/>
            </w14:schemeClr>
          </w14:solidFill>
        </w14:textFill>
      </w:rPr>
      <w:tcPr>
        <w:tcBorders>
          <w:top w:val="nil"/>
          <w:left w:val="single" w:color="7E7E7E" w:themeColor="text1" w:themeTint="80" w:sz="4" w:space="0"/>
          <w:bottom w:val="nil"/>
          <w:right w:val="nil"/>
        </w:tcBorders>
        <w:shd w:val="clear" w:color="FFFFFF" w:fill="auto"/>
      </w:tcPr>
    </w:tblStylePr>
    <w:tblStylePr w:type="band1Vert">
      <w:tcPr>
        <w:shd w:val="clear" w:color="BEBEBE" w:themeColor="text1" w:themeTint="40" w:fill="BEBEBE" w:themeFill="text1" w:themeFillTint="40"/>
      </w:tcPr>
    </w:tblStylePr>
    <w:tblStylePr w:type="band2Vert"/>
    <w:tblStylePr w:type="band1Horz">
      <w:rPr>
        <w:rFonts w:ascii="Arial" w:hAnsi="Arial"/>
        <w:color w:val="808080" w:themeColor="text1" w:themeTint="80"/>
        <w:sz w:val="22"/>
        <w14:textFill>
          <w14:solidFill>
            <w14:schemeClr w14:val="tx1">
              <w14:lumMod w14:val="50000"/>
              <w14:lumOff w14:val="50000"/>
            </w14:schemeClr>
          </w14:solidFill>
        </w14:textFill>
      </w:rPr>
      <w:tcPr>
        <w:shd w:val="clear" w:color="BEBEBE" w:themeColor="text1" w:themeTint="40" w:fill="BEBEBE" w:themeFill="text1" w:themeFillTint="40"/>
      </w:tcPr>
    </w:tblStylePr>
    <w:tblStylePr w:type="band2Horz">
      <w:rPr>
        <w:rFonts w:ascii="Arial" w:hAnsi="Arial"/>
        <w:color w:val="808080" w:themeColor="text1" w:themeTint="80"/>
        <w:sz w:val="22"/>
        <w14:textFill>
          <w14:solidFill>
            <w14:schemeClr w14:val="tx1">
              <w14:lumMod w14:val="50000"/>
              <w14:lumOff w14:val="50000"/>
            </w14:schemeClr>
          </w14:solidFill>
        </w14:textFill>
      </w:rPr>
    </w:tblStylePr>
    <w:tblStylePr w:type="neCell"/>
    <w:tblStylePr w:type="nwCell"/>
    <w:tblStylePr w:type="seCell"/>
    <w:tblStylePr w:type="swCell"/>
  </w:style>
  <w:style w:type="table" w:customStyle="1" w:styleId="163">
    <w:name w:val="List Table 7 Colorful - Accent 1"/>
    <w:qFormat/>
    <w:uiPriority w:val="99"/>
    <w:pPr>
      <w:spacing w:after="0" w:line="240" w:lineRule="auto"/>
    </w:pPr>
    <w:tblPr>
      <w:tblBorders>
        <w:right w:val="single" w:color="4F81BD" w:themeColor="accent1" w:sz="4" w:space="0"/>
      </w:tblBorders>
    </w:tblPr>
    <w:tblStylePr w:type="firstRow">
      <w:rPr>
        <w:rFonts w:ascii="Arial" w:hAnsi="Arial"/>
        <w:i/>
        <w:color w:val="2A4B71" w:themeColor="accent1" w:themeShade="94"/>
        <w:sz w:val="22"/>
      </w:rPr>
      <w:tcPr>
        <w:tcBorders>
          <w:top w:val="nil"/>
          <w:left w:val="nil"/>
          <w:bottom w:val="single" w:color="4F81BD" w:themeColor="accent1" w:sz="4" w:space="0"/>
          <w:right w:val="nil"/>
        </w:tcBorders>
        <w:shd w:val="clear" w:color="FFFFFF" w:themeColor="light1" w:fill="FFFFFF" w:themeFill="light1"/>
      </w:tcPr>
    </w:tblStylePr>
    <w:tblStylePr w:type="lastRow">
      <w:rPr>
        <w:rFonts w:ascii="Arial" w:hAnsi="Arial"/>
        <w:i/>
        <w:color w:val="2A4B71" w:themeColor="accent1" w:themeShade="94"/>
        <w:sz w:val="22"/>
      </w:rPr>
      <w:tcPr>
        <w:tcBorders>
          <w:top w:val="single" w:color="4F81BD" w:themeColor="accent1" w:sz="4" w:space="0"/>
          <w:left w:val="nil"/>
          <w:bottom w:val="nil"/>
          <w:right w:val="nil"/>
        </w:tcBorders>
        <w:shd w:val="clear" w:color="FFFFFF" w:themeColor="light1" w:fill="FFFFFF" w:themeFill="light1"/>
      </w:tcPr>
    </w:tblStylePr>
    <w:tblStylePr w:type="firstCol">
      <w:pPr>
        <w:jc w:val="right"/>
      </w:pPr>
      <w:rPr>
        <w:rFonts w:ascii="Arial" w:hAnsi="Arial"/>
        <w:i/>
        <w:color w:val="2A4B71" w:themeColor="accent1" w:themeShade="94"/>
        <w:sz w:val="22"/>
      </w:rPr>
      <w:tcPr>
        <w:tcBorders>
          <w:top w:val="nil"/>
          <w:left w:val="nil"/>
          <w:bottom w:val="nil"/>
          <w:right w:val="single" w:color="4F81BD" w:themeColor="accent1" w:sz="4" w:space="0"/>
        </w:tcBorders>
        <w:shd w:val="clear" w:color="FFFFFF" w:fill="auto"/>
      </w:tcPr>
    </w:tblStylePr>
    <w:tblStylePr w:type="lastCol">
      <w:rPr>
        <w:rFonts w:ascii="Arial" w:hAnsi="Arial"/>
        <w:i/>
        <w:color w:val="2A4B71" w:themeColor="accent1" w:themeShade="94"/>
        <w:sz w:val="22"/>
      </w:rPr>
      <w:tcPr>
        <w:tcBorders>
          <w:top w:val="nil"/>
          <w:left w:val="single" w:color="4F81BD" w:themeColor="accent1" w:sz="4" w:space="0"/>
          <w:bottom w:val="nil"/>
          <w:right w:val="nil"/>
        </w:tcBorders>
        <w:shd w:val="clear" w:color="FFFFFF" w:fill="auto"/>
      </w:tcPr>
    </w:tblStylePr>
    <w:tblStylePr w:type="band1Vert">
      <w:tcPr>
        <w:shd w:val="clear" w:color="D2DFEE" w:themeColor="accent1" w:themeTint="40" w:fill="D2DFEE" w:themeFill="accent1" w:themeFillTint="40"/>
      </w:tcPr>
    </w:tblStylePr>
    <w:tblStylePr w:type="band2Vert"/>
    <w:tblStylePr w:type="band1Horz">
      <w:rPr>
        <w:rFonts w:ascii="Arial" w:hAnsi="Arial"/>
        <w:color w:val="2A4B71" w:themeColor="accent1" w:themeShade="94"/>
        <w:sz w:val="22"/>
      </w:rPr>
      <w:tcPr>
        <w:shd w:val="clear" w:color="D2DFEE" w:themeColor="accent1" w:themeTint="40" w:fill="D2DFEE" w:themeFill="accent1" w:themeFillTint="40"/>
      </w:tcPr>
    </w:tblStylePr>
    <w:tblStylePr w:type="band2Horz">
      <w:rPr>
        <w:rFonts w:ascii="Arial" w:hAnsi="Arial"/>
        <w:color w:val="2A4B71" w:themeColor="accent1" w:themeShade="94"/>
        <w:sz w:val="22"/>
      </w:rPr>
    </w:tblStylePr>
    <w:tblStylePr w:type="neCell"/>
    <w:tblStylePr w:type="nwCell"/>
    <w:tblStylePr w:type="seCell"/>
    <w:tblStylePr w:type="swCell"/>
  </w:style>
  <w:style w:type="table" w:customStyle="1" w:styleId="164">
    <w:name w:val="List Table 7 Colorful - Accent 2"/>
    <w:qFormat/>
    <w:uiPriority w:val="99"/>
    <w:pPr>
      <w:spacing w:after="0" w:line="240" w:lineRule="auto"/>
    </w:pPr>
    <w:tblPr>
      <w:tblBorders>
        <w:right w:val="single" w:color="D99795" w:themeColor="accent2" w:themeTint="97" w:sz="4" w:space="0"/>
      </w:tblBorders>
    </w:tblPr>
    <w:tblStylePr w:type="firstRow">
      <w:rPr>
        <w:rFonts w:ascii="Arial" w:hAnsi="Arial"/>
        <w:i/>
        <w:color w:val="DA9896" w:themeColor="accent2" w:themeTint="96"/>
        <w:sz w:val="22"/>
        <w14:textFill>
          <w14:solidFill>
            <w14:schemeClr w14:val="accent2">
              <w14:lumMod w14:val="59000"/>
              <w14:lumOff w14:val="41000"/>
            </w14:schemeClr>
          </w14:solidFill>
        </w14:textFill>
      </w:rPr>
      <w:tcPr>
        <w:tcBorders>
          <w:top w:val="nil"/>
          <w:left w:val="nil"/>
          <w:bottom w:val="single" w:color="D99795" w:themeColor="accent2" w:themeTint="97" w:sz="4" w:space="0"/>
          <w:right w:val="nil"/>
        </w:tcBorders>
        <w:shd w:val="clear" w:color="FFFFFF" w:themeColor="light1" w:fill="FFFFFF" w:themeFill="light1"/>
      </w:tcPr>
    </w:tblStylePr>
    <w:tblStylePr w:type="lastRow">
      <w:rPr>
        <w:rFonts w:ascii="Arial" w:hAnsi="Arial"/>
        <w:i/>
        <w:color w:val="DA9896" w:themeColor="accent2" w:themeTint="96"/>
        <w:sz w:val="22"/>
        <w14:textFill>
          <w14:solidFill>
            <w14:schemeClr w14:val="accent2">
              <w14:lumMod w14:val="59000"/>
              <w14:lumOff w14:val="41000"/>
            </w14:schemeClr>
          </w14:solidFill>
        </w14:textFill>
      </w:rPr>
      <w:tcPr>
        <w:tcBorders>
          <w:top w:val="single" w:color="D99795" w:themeColor="accent2" w:themeTint="97" w:sz="4" w:space="0"/>
          <w:left w:val="nil"/>
          <w:bottom w:val="nil"/>
          <w:right w:val="nil"/>
        </w:tcBorders>
        <w:shd w:val="clear" w:color="FFFFFF" w:themeColor="light1" w:fill="FFFFFF" w:themeFill="light1"/>
      </w:tcPr>
    </w:tblStylePr>
    <w:tblStylePr w:type="firstCol">
      <w:pPr>
        <w:jc w:val="right"/>
      </w:pPr>
      <w:rPr>
        <w:rFonts w:ascii="Arial" w:hAnsi="Arial"/>
        <w:i/>
        <w:color w:val="DA9896" w:themeColor="accent2" w:themeTint="96"/>
        <w:sz w:val="22"/>
        <w14:textFill>
          <w14:solidFill>
            <w14:schemeClr w14:val="accent2">
              <w14:lumMod w14:val="59000"/>
              <w14:lumOff w14:val="41000"/>
            </w14:schemeClr>
          </w14:solidFill>
        </w14:textFill>
      </w:rPr>
      <w:tcPr>
        <w:tcBorders>
          <w:top w:val="nil"/>
          <w:left w:val="nil"/>
          <w:bottom w:val="nil"/>
          <w:right w:val="single" w:color="D99795" w:themeColor="accent2" w:themeTint="97" w:sz="4" w:space="0"/>
        </w:tcBorders>
        <w:shd w:val="clear" w:color="FFFFFF" w:fill="auto"/>
      </w:tcPr>
    </w:tblStylePr>
    <w:tblStylePr w:type="lastCol">
      <w:rPr>
        <w:rFonts w:ascii="Arial" w:hAnsi="Arial"/>
        <w:i/>
        <w:color w:val="DA9896" w:themeColor="accent2" w:themeTint="96"/>
        <w:sz w:val="22"/>
        <w14:textFill>
          <w14:solidFill>
            <w14:schemeClr w14:val="accent2">
              <w14:lumMod w14:val="59000"/>
              <w14:lumOff w14:val="41000"/>
            </w14:schemeClr>
          </w14:solidFill>
        </w14:textFill>
      </w:rPr>
      <w:tcPr>
        <w:tcBorders>
          <w:top w:val="nil"/>
          <w:left w:val="single" w:color="D99795" w:themeColor="accent2" w:themeTint="97" w:sz="4" w:space="0"/>
          <w:bottom w:val="nil"/>
          <w:right w:val="nil"/>
        </w:tcBorders>
        <w:shd w:val="clear" w:color="FFFFFF" w:fill="auto"/>
      </w:tcPr>
    </w:tblStylePr>
    <w:tblStylePr w:type="band1Vert">
      <w:tcPr>
        <w:shd w:val="clear" w:color="EFD3D2" w:themeColor="accent2" w:themeTint="40" w:fill="EFD3D2" w:themeFill="accent2" w:themeFillTint="40"/>
      </w:tcPr>
    </w:tblStylePr>
    <w:tblStylePr w:type="band2Vert"/>
    <w:tblStylePr w:type="band1Horz">
      <w:rPr>
        <w:rFonts w:ascii="Arial" w:hAnsi="Arial"/>
        <w:color w:val="DA9896" w:themeColor="accent2" w:themeTint="96"/>
        <w:sz w:val="22"/>
        <w14:textFill>
          <w14:solidFill>
            <w14:schemeClr w14:val="accent2">
              <w14:lumMod w14:val="59000"/>
              <w14:lumOff w14:val="41000"/>
            </w14:schemeClr>
          </w14:solidFill>
        </w14:textFill>
      </w:rPr>
      <w:tcPr>
        <w:shd w:val="clear" w:color="EFD3D2" w:themeColor="accent2" w:themeTint="40" w:fill="EFD3D2" w:themeFill="accent2" w:themeFillTint="40"/>
      </w:tcPr>
    </w:tblStylePr>
    <w:tblStylePr w:type="band2Horz">
      <w:rPr>
        <w:rFonts w:ascii="Arial" w:hAnsi="Arial"/>
        <w:color w:val="DA9896" w:themeColor="accent2" w:themeTint="96"/>
        <w:sz w:val="22"/>
        <w14:textFill>
          <w14:solidFill>
            <w14:schemeClr w14:val="accent2">
              <w14:lumMod w14:val="59000"/>
              <w14:lumOff w14:val="41000"/>
            </w14:schemeClr>
          </w14:solidFill>
        </w14:textFill>
      </w:rPr>
    </w:tblStylePr>
    <w:tblStylePr w:type="neCell"/>
    <w:tblStylePr w:type="nwCell"/>
    <w:tblStylePr w:type="seCell"/>
    <w:tblStylePr w:type="swCell"/>
  </w:style>
  <w:style w:type="table" w:customStyle="1" w:styleId="165">
    <w:name w:val="List Table 7 Colorful - Accent 3"/>
    <w:qFormat/>
    <w:uiPriority w:val="99"/>
    <w:pPr>
      <w:spacing w:after="0" w:line="240" w:lineRule="auto"/>
    </w:pPr>
    <w:tblPr>
      <w:tblBorders>
        <w:right w:val="single" w:color="C3D69C" w:themeColor="accent3" w:themeTint="98" w:sz="4" w:space="0"/>
      </w:tblBorders>
    </w:tblPr>
    <w:tblStylePr w:type="firstRow">
      <w:rPr>
        <w:rFonts w:ascii="Arial" w:hAnsi="Arial"/>
        <w:i/>
        <w:color w:val="C3D69B" w:themeColor="accent3" w:themeTint="99"/>
        <w:sz w:val="22"/>
        <w14:textFill>
          <w14:solidFill>
            <w14:schemeClr w14:val="accent3">
              <w14:lumMod w14:val="60000"/>
              <w14:lumOff w14:val="40000"/>
            </w14:schemeClr>
          </w14:solidFill>
        </w14:textFill>
      </w:rPr>
      <w:tcPr>
        <w:tcBorders>
          <w:top w:val="nil"/>
          <w:left w:val="nil"/>
          <w:bottom w:val="single" w:color="C3D69C" w:themeColor="accent3" w:themeTint="98" w:sz="4" w:space="0"/>
          <w:right w:val="nil"/>
        </w:tcBorders>
        <w:shd w:val="clear" w:color="FFFFFF" w:themeColor="light1" w:fill="FFFFFF" w:themeFill="light1"/>
      </w:tcPr>
    </w:tblStylePr>
    <w:tblStylePr w:type="lastRow">
      <w:rPr>
        <w:rFonts w:ascii="Arial" w:hAnsi="Arial"/>
        <w:i/>
        <w:color w:val="C3D69B" w:themeColor="accent3" w:themeTint="99"/>
        <w:sz w:val="22"/>
        <w14:textFill>
          <w14:solidFill>
            <w14:schemeClr w14:val="accent3">
              <w14:lumMod w14:val="60000"/>
              <w14:lumOff w14:val="40000"/>
            </w14:schemeClr>
          </w14:solidFill>
        </w14:textFill>
      </w:rPr>
      <w:tcPr>
        <w:tcBorders>
          <w:top w:val="single" w:color="C3D69C" w:themeColor="accent3" w:themeTint="98" w:sz="4" w:space="0"/>
          <w:left w:val="nil"/>
          <w:bottom w:val="nil"/>
          <w:right w:val="nil"/>
        </w:tcBorders>
        <w:shd w:val="clear" w:color="FFFFFF" w:themeColor="light1" w:fill="FFFFFF" w:themeFill="light1"/>
      </w:tcPr>
    </w:tblStylePr>
    <w:tblStylePr w:type="firstCol">
      <w:pPr>
        <w:jc w:val="right"/>
      </w:pPr>
      <w:rPr>
        <w:rFonts w:ascii="Arial" w:hAnsi="Arial"/>
        <w:i/>
        <w:color w:val="C3D69B" w:themeColor="accent3" w:themeTint="99"/>
        <w:sz w:val="22"/>
        <w14:textFill>
          <w14:solidFill>
            <w14:schemeClr w14:val="accent3">
              <w14:lumMod w14:val="60000"/>
              <w14:lumOff w14:val="40000"/>
            </w14:schemeClr>
          </w14:solidFill>
        </w14:textFill>
      </w:rPr>
      <w:tcPr>
        <w:tcBorders>
          <w:top w:val="nil"/>
          <w:left w:val="nil"/>
          <w:bottom w:val="nil"/>
          <w:right w:val="single" w:color="C3D69C" w:themeColor="accent3" w:themeTint="98" w:sz="4" w:space="0"/>
        </w:tcBorders>
        <w:shd w:val="clear" w:color="FFFFFF" w:fill="auto"/>
      </w:tcPr>
    </w:tblStylePr>
    <w:tblStylePr w:type="lastCol">
      <w:rPr>
        <w:rFonts w:ascii="Arial" w:hAnsi="Arial"/>
        <w:i/>
        <w:color w:val="C3D69B" w:themeColor="accent3" w:themeTint="99"/>
        <w:sz w:val="22"/>
        <w14:textFill>
          <w14:solidFill>
            <w14:schemeClr w14:val="accent3">
              <w14:lumMod w14:val="60000"/>
              <w14:lumOff w14:val="40000"/>
            </w14:schemeClr>
          </w14:solidFill>
        </w14:textFill>
      </w:rPr>
      <w:tcPr>
        <w:tcBorders>
          <w:top w:val="nil"/>
          <w:left w:val="single" w:color="C3D69C" w:themeColor="accent3" w:themeTint="98" w:sz="4" w:space="0"/>
          <w:bottom w:val="nil"/>
          <w:right w:val="nil"/>
        </w:tcBorders>
        <w:shd w:val="clear" w:color="FFFFFF" w:fill="auto"/>
      </w:tcPr>
    </w:tblStylePr>
    <w:tblStylePr w:type="band1Vert">
      <w:tcPr>
        <w:shd w:val="clear" w:color="E5EDD5" w:themeColor="accent3" w:themeTint="40" w:fill="E5EDD5" w:themeFill="accent3" w:themeFillTint="40"/>
      </w:tcPr>
    </w:tblStylePr>
    <w:tblStylePr w:type="band2Vert"/>
    <w:tblStylePr w:type="band1Horz">
      <w:rPr>
        <w:rFonts w:ascii="Arial" w:hAnsi="Arial"/>
        <w:color w:val="C3D69B" w:themeColor="accent3" w:themeTint="99"/>
        <w:sz w:val="22"/>
        <w14:textFill>
          <w14:solidFill>
            <w14:schemeClr w14:val="accent3">
              <w14:lumMod w14:val="60000"/>
              <w14:lumOff w14:val="40000"/>
            </w14:schemeClr>
          </w14:solidFill>
        </w14:textFill>
      </w:rPr>
      <w:tcPr>
        <w:shd w:val="clear" w:color="E5EDD5" w:themeColor="accent3" w:themeTint="40" w:fill="E5EDD5" w:themeFill="accent3" w:themeFillTint="40"/>
      </w:tcPr>
    </w:tblStylePr>
    <w:tblStylePr w:type="band2Horz">
      <w:rPr>
        <w:rFonts w:ascii="Arial" w:hAnsi="Arial"/>
        <w:color w:val="C3D69B" w:themeColor="accent3" w:themeTint="99"/>
        <w:sz w:val="22"/>
        <w14:textFill>
          <w14:solidFill>
            <w14:schemeClr w14:val="accent3">
              <w14:lumMod w14:val="60000"/>
              <w14:lumOff w14:val="40000"/>
            </w14:schemeClr>
          </w14:solidFill>
        </w14:textFill>
      </w:rPr>
    </w:tblStylePr>
    <w:tblStylePr w:type="neCell"/>
    <w:tblStylePr w:type="nwCell"/>
    <w:tblStylePr w:type="seCell"/>
    <w:tblStylePr w:type="swCell"/>
  </w:style>
  <w:style w:type="table" w:customStyle="1" w:styleId="166">
    <w:name w:val="List Table 7 Colorful - Accent 4"/>
    <w:qFormat/>
    <w:uiPriority w:val="99"/>
    <w:pPr>
      <w:spacing w:after="0" w:line="240" w:lineRule="auto"/>
    </w:pPr>
    <w:tblPr>
      <w:tblBorders>
        <w:right w:val="single" w:color="B2A1C6" w:themeColor="accent4" w:themeTint="9A" w:sz="4" w:space="0"/>
      </w:tblBorders>
    </w:tblPr>
    <w:tblStylePr w:type="firstRow">
      <w:rPr>
        <w:rFonts w:ascii="Arial" w:hAnsi="Arial"/>
        <w:i/>
        <w:color w:val="B3A2C7" w:themeColor="accent4" w:themeTint="99"/>
        <w:sz w:val="22"/>
        <w14:textFill>
          <w14:solidFill>
            <w14:schemeClr w14:val="accent4">
              <w14:lumMod w14:val="60000"/>
              <w14:lumOff w14:val="40000"/>
            </w14:schemeClr>
          </w14:solidFill>
        </w14:textFill>
      </w:rPr>
      <w:tcPr>
        <w:tcBorders>
          <w:top w:val="nil"/>
          <w:left w:val="nil"/>
          <w:bottom w:val="single" w:color="B2A1C6" w:themeColor="accent4" w:themeTint="9A" w:sz="4" w:space="0"/>
          <w:right w:val="nil"/>
        </w:tcBorders>
        <w:shd w:val="clear" w:color="FFFFFF" w:themeColor="light1" w:fill="FFFFFF" w:themeFill="light1"/>
      </w:tcPr>
    </w:tblStylePr>
    <w:tblStylePr w:type="lastRow">
      <w:rPr>
        <w:rFonts w:ascii="Arial" w:hAnsi="Arial"/>
        <w:i/>
        <w:color w:val="B3A2C7" w:themeColor="accent4" w:themeTint="99"/>
        <w:sz w:val="22"/>
        <w14:textFill>
          <w14:solidFill>
            <w14:schemeClr w14:val="accent4">
              <w14:lumMod w14:val="60000"/>
              <w14:lumOff w14:val="40000"/>
            </w14:schemeClr>
          </w14:solidFill>
        </w14:textFill>
      </w:rPr>
      <w:tcPr>
        <w:tcBorders>
          <w:top w:val="single" w:color="B2A1C6" w:themeColor="accent4" w:themeTint="9A" w:sz="4" w:space="0"/>
          <w:left w:val="nil"/>
          <w:bottom w:val="nil"/>
          <w:right w:val="nil"/>
        </w:tcBorders>
        <w:shd w:val="clear" w:color="FFFFFF" w:themeColor="light1" w:fill="FFFFFF" w:themeFill="light1"/>
      </w:tcPr>
    </w:tblStylePr>
    <w:tblStylePr w:type="firstCol">
      <w:pPr>
        <w:jc w:val="right"/>
      </w:pPr>
      <w:rPr>
        <w:rFonts w:ascii="Arial" w:hAnsi="Arial"/>
        <w:i/>
        <w:color w:val="B3A2C7" w:themeColor="accent4" w:themeTint="99"/>
        <w:sz w:val="22"/>
        <w14:textFill>
          <w14:solidFill>
            <w14:schemeClr w14:val="accent4">
              <w14:lumMod w14:val="60000"/>
              <w14:lumOff w14:val="40000"/>
            </w14:schemeClr>
          </w14:solidFill>
        </w14:textFill>
      </w:rPr>
      <w:tcPr>
        <w:tcBorders>
          <w:top w:val="nil"/>
          <w:left w:val="nil"/>
          <w:bottom w:val="nil"/>
          <w:right w:val="single" w:color="B2A1C6" w:themeColor="accent4" w:themeTint="9A" w:sz="4" w:space="0"/>
        </w:tcBorders>
        <w:shd w:val="clear" w:color="FFFFFF" w:fill="auto"/>
      </w:tcPr>
    </w:tblStylePr>
    <w:tblStylePr w:type="lastCol">
      <w:rPr>
        <w:rFonts w:ascii="Arial" w:hAnsi="Arial"/>
        <w:i/>
        <w:color w:val="B3A2C7" w:themeColor="accent4" w:themeTint="99"/>
        <w:sz w:val="22"/>
        <w14:textFill>
          <w14:solidFill>
            <w14:schemeClr w14:val="accent4">
              <w14:lumMod w14:val="60000"/>
              <w14:lumOff w14:val="40000"/>
            </w14:schemeClr>
          </w14:solidFill>
        </w14:textFill>
      </w:rPr>
      <w:tcPr>
        <w:tcBorders>
          <w:top w:val="nil"/>
          <w:left w:val="single" w:color="B2A1C6" w:themeColor="accent4" w:themeTint="9A" w:sz="4" w:space="0"/>
          <w:bottom w:val="nil"/>
          <w:right w:val="nil"/>
        </w:tcBorders>
        <w:shd w:val="clear" w:color="FFFFFF" w:fill="auto"/>
      </w:tcPr>
    </w:tblStylePr>
    <w:tblStylePr w:type="band1Vert">
      <w:tcPr>
        <w:shd w:val="clear" w:color="DFD8E7" w:themeColor="accent4" w:themeTint="40" w:fill="DFD8E7" w:themeFill="accent4" w:themeFillTint="40"/>
      </w:tcPr>
    </w:tblStylePr>
    <w:tblStylePr w:type="band2Vert"/>
    <w:tblStylePr w:type="band1Horz">
      <w:rPr>
        <w:rFonts w:ascii="Arial" w:hAnsi="Arial"/>
        <w:color w:val="B3A2C7" w:themeColor="accent4" w:themeTint="99"/>
        <w:sz w:val="22"/>
        <w14:textFill>
          <w14:solidFill>
            <w14:schemeClr w14:val="accent4">
              <w14:lumMod w14:val="60000"/>
              <w14:lumOff w14:val="40000"/>
            </w14:schemeClr>
          </w14:solidFill>
        </w14:textFill>
      </w:rPr>
      <w:tcPr>
        <w:shd w:val="clear" w:color="DFD8E7" w:themeColor="accent4" w:themeTint="40" w:fill="DFD8E7" w:themeFill="accent4" w:themeFillTint="40"/>
      </w:tcPr>
    </w:tblStylePr>
    <w:tblStylePr w:type="band2Horz">
      <w:rPr>
        <w:rFonts w:ascii="Arial" w:hAnsi="Arial"/>
        <w:color w:val="B3A2C7" w:themeColor="accent4" w:themeTint="99"/>
        <w:sz w:val="22"/>
        <w14:textFill>
          <w14:solidFill>
            <w14:schemeClr w14:val="accent4">
              <w14:lumMod w14:val="60000"/>
              <w14:lumOff w14:val="40000"/>
            </w14:schemeClr>
          </w14:solidFill>
        </w14:textFill>
      </w:rPr>
    </w:tblStylePr>
    <w:tblStylePr w:type="neCell"/>
    <w:tblStylePr w:type="nwCell"/>
    <w:tblStylePr w:type="seCell"/>
    <w:tblStylePr w:type="swCell"/>
  </w:style>
  <w:style w:type="table" w:customStyle="1" w:styleId="167">
    <w:name w:val="List Table 7 Colorful - Accent 5"/>
    <w:qFormat/>
    <w:uiPriority w:val="99"/>
    <w:pPr>
      <w:spacing w:after="0" w:line="240" w:lineRule="auto"/>
    </w:pPr>
    <w:tblPr>
      <w:tblBorders>
        <w:right w:val="single" w:color="92CCDC" w:themeColor="accent5" w:themeTint="9A" w:sz="4" w:space="0"/>
      </w:tblBorders>
    </w:tblPr>
    <w:tblStylePr w:type="firstRow">
      <w:rPr>
        <w:rFonts w:ascii="Arial" w:hAnsi="Arial"/>
        <w:i/>
        <w:color w:val="93CDDD" w:themeColor="accent5" w:themeTint="99"/>
        <w:sz w:val="22"/>
        <w14:textFill>
          <w14:solidFill>
            <w14:schemeClr w14:val="accent5">
              <w14:lumMod w14:val="60000"/>
              <w14:lumOff w14:val="40000"/>
            </w14:schemeClr>
          </w14:solidFill>
        </w14:textFill>
      </w:rPr>
      <w:tcPr>
        <w:tcBorders>
          <w:top w:val="nil"/>
          <w:left w:val="nil"/>
          <w:bottom w:val="single" w:color="92CCDC" w:themeColor="accent5" w:themeTint="9A" w:sz="4" w:space="0"/>
          <w:right w:val="nil"/>
        </w:tcBorders>
        <w:shd w:val="clear" w:color="FFFFFF" w:themeColor="light1" w:fill="FFFFFF" w:themeFill="light1"/>
      </w:tcPr>
    </w:tblStylePr>
    <w:tblStylePr w:type="lastRow">
      <w:rPr>
        <w:rFonts w:ascii="Arial" w:hAnsi="Arial"/>
        <w:i/>
        <w:color w:val="93CDDD" w:themeColor="accent5" w:themeTint="99"/>
        <w:sz w:val="22"/>
        <w14:textFill>
          <w14:solidFill>
            <w14:schemeClr w14:val="accent5">
              <w14:lumMod w14:val="60000"/>
              <w14:lumOff w14:val="40000"/>
            </w14:schemeClr>
          </w14:solidFill>
        </w14:textFill>
      </w:rPr>
      <w:tcPr>
        <w:tcBorders>
          <w:top w:val="single" w:color="92CCDC" w:themeColor="accent5" w:themeTint="9A" w:sz="4" w:space="0"/>
          <w:left w:val="nil"/>
          <w:bottom w:val="nil"/>
          <w:right w:val="nil"/>
        </w:tcBorders>
        <w:shd w:val="clear" w:color="FFFFFF" w:themeColor="light1" w:fill="FFFFFF" w:themeFill="light1"/>
      </w:tcPr>
    </w:tblStylePr>
    <w:tblStylePr w:type="firstCol">
      <w:pPr>
        <w:jc w:val="right"/>
      </w:pPr>
      <w:rPr>
        <w:rFonts w:ascii="Arial" w:hAnsi="Arial"/>
        <w:i/>
        <w:color w:val="93CDDD" w:themeColor="accent5" w:themeTint="99"/>
        <w:sz w:val="22"/>
        <w14:textFill>
          <w14:solidFill>
            <w14:schemeClr w14:val="accent5">
              <w14:lumMod w14:val="60000"/>
              <w14:lumOff w14:val="40000"/>
            </w14:schemeClr>
          </w14:solidFill>
        </w14:textFill>
      </w:rPr>
      <w:tcPr>
        <w:tcBorders>
          <w:top w:val="nil"/>
          <w:left w:val="nil"/>
          <w:bottom w:val="nil"/>
          <w:right w:val="single" w:color="92CCDC" w:themeColor="accent5" w:themeTint="9A" w:sz="4" w:space="0"/>
        </w:tcBorders>
        <w:shd w:val="clear" w:color="FFFFFF" w:fill="auto"/>
      </w:tcPr>
    </w:tblStylePr>
    <w:tblStylePr w:type="lastCol">
      <w:rPr>
        <w:rFonts w:ascii="Arial" w:hAnsi="Arial"/>
        <w:i/>
        <w:color w:val="93CDDD" w:themeColor="accent5" w:themeTint="99"/>
        <w:sz w:val="22"/>
        <w14:textFill>
          <w14:solidFill>
            <w14:schemeClr w14:val="accent5">
              <w14:lumMod w14:val="60000"/>
              <w14:lumOff w14:val="40000"/>
            </w14:schemeClr>
          </w14:solidFill>
        </w14:textFill>
      </w:rPr>
      <w:tcPr>
        <w:tcBorders>
          <w:top w:val="nil"/>
          <w:left w:val="single" w:color="92CCDC" w:themeColor="accent5" w:themeTint="9A" w:sz="4" w:space="0"/>
          <w:bottom w:val="nil"/>
          <w:right w:val="nil"/>
        </w:tcBorders>
        <w:shd w:val="clear" w:color="FFFFFF" w:fill="auto"/>
      </w:tcPr>
    </w:tblStylePr>
    <w:tblStylePr w:type="band1Vert">
      <w:tcPr>
        <w:shd w:val="clear" w:color="D1EAF0" w:themeColor="accent5" w:themeTint="40" w:fill="D1EAF0" w:themeFill="accent5" w:themeFillTint="40"/>
      </w:tcPr>
    </w:tblStylePr>
    <w:tblStylePr w:type="band2Vert"/>
    <w:tblStylePr w:type="band1Horz">
      <w:rPr>
        <w:rFonts w:ascii="Arial" w:hAnsi="Arial"/>
        <w:color w:val="93CDDD" w:themeColor="accent5" w:themeTint="99"/>
        <w:sz w:val="22"/>
        <w14:textFill>
          <w14:solidFill>
            <w14:schemeClr w14:val="accent5">
              <w14:lumMod w14:val="60000"/>
              <w14:lumOff w14:val="40000"/>
            </w14:schemeClr>
          </w14:solidFill>
        </w14:textFill>
      </w:rPr>
      <w:tcPr>
        <w:shd w:val="clear" w:color="D1EAF0" w:themeColor="accent5" w:themeTint="40" w:fill="D1EAF0" w:themeFill="accent5" w:themeFillTint="40"/>
      </w:tcPr>
    </w:tblStylePr>
    <w:tblStylePr w:type="band2Horz">
      <w:rPr>
        <w:rFonts w:ascii="Arial" w:hAnsi="Arial"/>
        <w:color w:val="93CDDD" w:themeColor="accent5" w:themeTint="99"/>
        <w:sz w:val="22"/>
        <w14:textFill>
          <w14:solidFill>
            <w14:schemeClr w14:val="accent5">
              <w14:lumMod w14:val="60000"/>
              <w14:lumOff w14:val="40000"/>
            </w14:schemeClr>
          </w14:solidFill>
        </w14:textFill>
      </w:rPr>
    </w:tblStylePr>
    <w:tblStylePr w:type="neCell"/>
    <w:tblStylePr w:type="nwCell"/>
    <w:tblStylePr w:type="seCell"/>
    <w:tblStylePr w:type="swCell"/>
  </w:style>
  <w:style w:type="table" w:customStyle="1" w:styleId="168">
    <w:name w:val="List Table 7 Colorful - Accent 6"/>
    <w:qFormat/>
    <w:uiPriority w:val="99"/>
    <w:pPr>
      <w:spacing w:after="0" w:line="240" w:lineRule="auto"/>
    </w:pPr>
    <w:tblPr>
      <w:tblBorders>
        <w:right w:val="single" w:color="FAC090" w:themeColor="accent6" w:themeTint="98" w:sz="4" w:space="0"/>
      </w:tblBorders>
    </w:tblPr>
    <w:tblStylePr w:type="firstRow">
      <w:rPr>
        <w:rFonts w:ascii="Arial" w:hAnsi="Arial"/>
        <w:i/>
        <w:color w:val="FAC090" w:themeColor="accent6" w:themeTint="99"/>
        <w:sz w:val="22"/>
        <w14:textFill>
          <w14:solidFill>
            <w14:schemeClr w14:val="accent6">
              <w14:lumMod w14:val="60000"/>
              <w14:lumOff w14:val="40000"/>
            </w14:schemeClr>
          </w14:solidFill>
        </w14:textFill>
      </w:rPr>
      <w:tcPr>
        <w:tcBorders>
          <w:top w:val="nil"/>
          <w:left w:val="nil"/>
          <w:bottom w:val="single" w:color="FAC090" w:themeColor="accent6" w:themeTint="98" w:sz="4" w:space="0"/>
          <w:right w:val="nil"/>
        </w:tcBorders>
        <w:shd w:val="clear" w:color="FFFFFF" w:themeColor="light1" w:fill="FFFFFF" w:themeFill="light1"/>
      </w:tcPr>
    </w:tblStylePr>
    <w:tblStylePr w:type="lastRow">
      <w:rPr>
        <w:rFonts w:ascii="Arial" w:hAnsi="Arial"/>
        <w:i/>
        <w:color w:val="FAC090" w:themeColor="accent6" w:themeTint="99"/>
        <w:sz w:val="22"/>
        <w14:textFill>
          <w14:solidFill>
            <w14:schemeClr w14:val="accent6">
              <w14:lumMod w14:val="60000"/>
              <w14:lumOff w14:val="40000"/>
            </w14:schemeClr>
          </w14:solidFill>
        </w14:textFill>
      </w:rPr>
      <w:tcPr>
        <w:tcBorders>
          <w:top w:val="single" w:color="FAC090" w:themeColor="accent6" w:themeTint="98" w:sz="4" w:space="0"/>
          <w:left w:val="nil"/>
          <w:bottom w:val="nil"/>
          <w:right w:val="nil"/>
        </w:tcBorders>
        <w:shd w:val="clear" w:color="FFFFFF" w:themeColor="light1" w:fill="FFFFFF" w:themeFill="light1"/>
      </w:tcPr>
    </w:tblStylePr>
    <w:tblStylePr w:type="firstCol">
      <w:pPr>
        <w:jc w:val="right"/>
      </w:pPr>
      <w:rPr>
        <w:rFonts w:ascii="Arial" w:hAnsi="Arial"/>
        <w:i/>
        <w:color w:val="FAC090" w:themeColor="accent6" w:themeTint="99"/>
        <w:sz w:val="22"/>
        <w14:textFill>
          <w14:solidFill>
            <w14:schemeClr w14:val="accent6">
              <w14:lumMod w14:val="60000"/>
              <w14:lumOff w14:val="40000"/>
            </w14:schemeClr>
          </w14:solidFill>
        </w14:textFill>
      </w:rPr>
      <w:tcPr>
        <w:tcBorders>
          <w:top w:val="nil"/>
          <w:left w:val="nil"/>
          <w:bottom w:val="nil"/>
          <w:right w:val="single" w:color="FAC090" w:themeColor="accent6" w:themeTint="98" w:sz="4" w:space="0"/>
        </w:tcBorders>
        <w:shd w:val="clear" w:color="FFFFFF" w:fill="auto"/>
      </w:tcPr>
    </w:tblStylePr>
    <w:tblStylePr w:type="lastCol">
      <w:rPr>
        <w:rFonts w:ascii="Arial" w:hAnsi="Arial"/>
        <w:i/>
        <w:color w:val="FAC090" w:themeColor="accent6" w:themeTint="99"/>
        <w:sz w:val="22"/>
        <w14:textFill>
          <w14:solidFill>
            <w14:schemeClr w14:val="accent6">
              <w14:lumMod w14:val="60000"/>
              <w14:lumOff w14:val="40000"/>
            </w14:schemeClr>
          </w14:solidFill>
        </w14:textFill>
      </w:rPr>
      <w:tcPr>
        <w:tcBorders>
          <w:top w:val="nil"/>
          <w:left w:val="single" w:color="FAC090" w:themeColor="accent6" w:themeTint="98" w:sz="4" w:space="0"/>
          <w:bottom w:val="nil"/>
          <w:right w:val="nil"/>
        </w:tcBorders>
        <w:shd w:val="clear" w:color="FFFFFF" w:fill="auto"/>
      </w:tcPr>
    </w:tblStylePr>
    <w:tblStylePr w:type="band1Vert">
      <w:tcPr>
        <w:shd w:val="clear" w:color="FCE4D0" w:themeColor="accent6" w:themeTint="40" w:fill="FCE4D0" w:themeFill="accent6" w:themeFillTint="40"/>
      </w:tcPr>
    </w:tblStylePr>
    <w:tblStylePr w:type="band2Vert"/>
    <w:tblStylePr w:type="band1Horz">
      <w:rPr>
        <w:rFonts w:ascii="Arial" w:hAnsi="Arial"/>
        <w:color w:val="FAC090" w:themeColor="accent6" w:themeTint="99"/>
        <w:sz w:val="22"/>
        <w14:textFill>
          <w14:solidFill>
            <w14:schemeClr w14:val="accent6">
              <w14:lumMod w14:val="60000"/>
              <w14:lumOff w14:val="40000"/>
            </w14:schemeClr>
          </w14:solidFill>
        </w14:textFill>
      </w:rPr>
      <w:tcPr>
        <w:shd w:val="clear" w:color="FCE4D0" w:themeColor="accent6" w:themeTint="40" w:fill="FCE4D0" w:themeFill="accent6" w:themeFillTint="40"/>
      </w:tcPr>
    </w:tblStylePr>
    <w:tblStylePr w:type="band2Horz">
      <w:rPr>
        <w:rFonts w:ascii="Arial" w:hAnsi="Arial"/>
        <w:color w:val="FAC090" w:themeColor="accent6" w:themeTint="99"/>
        <w:sz w:val="22"/>
        <w14:textFill>
          <w14:solidFill>
            <w14:schemeClr w14:val="accent6">
              <w14:lumMod w14:val="60000"/>
              <w14:lumOff w14:val="40000"/>
            </w14:schemeClr>
          </w14:solidFill>
        </w14:textFill>
      </w:rPr>
    </w:tblStylePr>
    <w:tblStylePr w:type="neCell"/>
    <w:tblStylePr w:type="nwCell"/>
    <w:tblStylePr w:type="seCell"/>
    <w:tblStylePr w:type="swCell"/>
  </w:style>
  <w:style w:type="table" w:customStyle="1" w:styleId="169">
    <w:name w:val="Lined - Accent"/>
    <w:qFormat/>
    <w:uiPriority w:val="99"/>
    <w:pPr>
      <w:spacing w:after="0" w:line="240" w:lineRule="auto"/>
    </w:pPr>
    <w:rPr>
      <w:color w:val="404040"/>
    </w:rPr>
    <w:tblStylePr w:type="firstRow">
      <w:rPr>
        <w:rFonts w:ascii="Arial" w:hAnsi="Arial"/>
        <w:color w:val="F2F2F2"/>
        <w:sz w:val="22"/>
      </w:rPr>
      <w:tcPr>
        <w:shd w:val="clear" w:color="7E7E7E" w:themeColor="text1" w:themeTint="80" w:fill="7E7E7E" w:themeFill="text1" w:themeFillTint="80"/>
      </w:tcPr>
    </w:tblStylePr>
    <w:tblStylePr w:type="lastRow">
      <w:rPr>
        <w:rFonts w:ascii="Arial" w:hAnsi="Arial"/>
        <w:color w:val="F2F2F2"/>
        <w:sz w:val="22"/>
      </w:rPr>
      <w:tcPr>
        <w:shd w:val="clear" w:color="7E7E7E" w:themeColor="text1" w:themeTint="80" w:fill="7E7E7E" w:themeFill="text1" w:themeFillTint="80"/>
      </w:tcPr>
    </w:tblStylePr>
    <w:tblStylePr w:type="firstCol">
      <w:rPr>
        <w:rFonts w:ascii="Arial" w:hAnsi="Arial"/>
        <w:color w:val="F2F2F2"/>
        <w:sz w:val="22"/>
      </w:rPr>
      <w:tcPr>
        <w:shd w:val="clear" w:color="7E7E7E" w:themeColor="text1" w:themeTint="80" w:fill="7E7E7E" w:themeFill="text1" w:themeFillTint="80"/>
      </w:tcPr>
    </w:tblStylePr>
    <w:tblStylePr w:type="lastCol">
      <w:rPr>
        <w:rFonts w:ascii="Arial" w:hAnsi="Arial"/>
        <w:color w:val="F2F2F2"/>
        <w:sz w:val="22"/>
      </w:rPr>
      <w:tcPr>
        <w:shd w:val="clear" w:color="7E7E7E" w:themeColor="text1" w:themeTint="80" w:fill="7E7E7E" w:themeFill="text1" w:themeFillTint="80"/>
      </w:tcPr>
    </w:tblStylePr>
    <w:tblStylePr w:type="band1Vert">
      <w:rPr>
        <w:rFonts w:ascii="Arial" w:hAnsi="Arial"/>
        <w:color w:val="404040"/>
        <w:sz w:val="22"/>
      </w:rPr>
    </w:tblStylePr>
    <w:tblStylePr w:type="band2Vert">
      <w:rPr>
        <w:rFonts w:ascii="Arial" w:hAnsi="Arial"/>
        <w:color w:val="404040"/>
        <w:sz w:val="22"/>
      </w:rPr>
      <w:tcPr>
        <w:shd w:val="clear" w:color="F1F1F1" w:themeColor="text1" w:themeTint="0D" w:fill="F1F1F1" w:themeFill="text1" w:themeFillTint="0D"/>
      </w:tcPr>
    </w:tblStylePr>
    <w:tblStylePr w:type="band1Horz">
      <w:rPr>
        <w:rFonts w:ascii="Arial" w:hAnsi="Arial"/>
        <w:color w:val="404040"/>
        <w:sz w:val="22"/>
      </w:rPr>
    </w:tblStylePr>
    <w:tblStylePr w:type="band2Horz">
      <w:rPr>
        <w:rFonts w:ascii="Arial" w:hAnsi="Arial"/>
        <w:color w:val="404040"/>
        <w:sz w:val="22"/>
      </w:rPr>
      <w:tcPr>
        <w:shd w:val="clear" w:color="F1F1F1" w:themeColor="text1" w:themeTint="0D" w:fill="F1F1F1" w:themeFill="text1" w:themeFillTint="0D"/>
      </w:tcPr>
    </w:tblStylePr>
    <w:tblStylePr w:type="neCell"/>
    <w:tblStylePr w:type="nwCell"/>
    <w:tblStylePr w:type="seCell"/>
    <w:tblStylePr w:type="swCell"/>
  </w:style>
  <w:style w:type="table" w:customStyle="1" w:styleId="170">
    <w:name w:val="Lined - Accent 1"/>
    <w:qFormat/>
    <w:uiPriority w:val="99"/>
    <w:pPr>
      <w:spacing w:after="0" w:line="240" w:lineRule="auto"/>
    </w:pPr>
    <w:rPr>
      <w:color w:val="404040"/>
    </w:rPr>
    <w:tblStylePr w:type="firstRow">
      <w:rPr>
        <w:rFonts w:ascii="Arial" w:hAnsi="Arial"/>
        <w:color w:val="F2F2F2"/>
        <w:sz w:val="22"/>
      </w:rPr>
      <w:tcPr>
        <w:shd w:val="clear" w:color="5D8BC2" w:themeColor="accent1" w:themeTint="EA" w:fill="5D8BC2" w:themeFill="accent1" w:themeFillTint="EA"/>
      </w:tcPr>
    </w:tblStylePr>
    <w:tblStylePr w:type="lastRow">
      <w:rPr>
        <w:rFonts w:ascii="Arial" w:hAnsi="Arial"/>
        <w:color w:val="F2F2F2"/>
        <w:sz w:val="22"/>
      </w:rPr>
      <w:tcPr>
        <w:shd w:val="clear" w:color="5D8BC2" w:themeColor="accent1" w:themeTint="EA" w:fill="5D8BC2" w:themeFill="accent1" w:themeFillTint="EA"/>
      </w:tcPr>
    </w:tblStylePr>
    <w:tblStylePr w:type="firstCol">
      <w:rPr>
        <w:rFonts w:ascii="Arial" w:hAnsi="Arial"/>
        <w:color w:val="F2F2F2"/>
        <w:sz w:val="22"/>
      </w:rPr>
      <w:tcPr>
        <w:shd w:val="clear" w:color="5D8BC2" w:themeColor="accent1" w:themeTint="EA" w:fill="5D8BC2" w:themeFill="accent1" w:themeFillTint="EA"/>
      </w:tcPr>
    </w:tblStylePr>
    <w:tblStylePr w:type="lastCol">
      <w:rPr>
        <w:rFonts w:ascii="Arial" w:hAnsi="Arial"/>
        <w:color w:val="F2F2F2"/>
        <w:sz w:val="22"/>
      </w:rPr>
      <w:tcPr>
        <w:shd w:val="clear" w:color="5D8BC2" w:themeColor="accent1" w:themeTint="EA" w:fill="5D8BC2" w:themeFill="accent1" w:themeFillTint="EA"/>
      </w:tcPr>
    </w:tblStylePr>
    <w:tblStylePr w:type="band1Vert">
      <w:rPr>
        <w:rFonts w:ascii="Arial" w:hAnsi="Arial"/>
        <w:color w:val="404040"/>
        <w:sz w:val="22"/>
      </w:rPr>
    </w:tblStylePr>
    <w:tblStylePr w:type="band2Vert">
      <w:rPr>
        <w:rFonts w:ascii="Arial" w:hAnsi="Arial"/>
        <w:color w:val="404040"/>
        <w:sz w:val="22"/>
      </w:r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cPr>
        <w:shd w:val="clear" w:color="C7D7EA" w:themeColor="accent1" w:themeTint="50" w:fill="C7D7EA" w:themeFill="accent1" w:themeFillTint="50"/>
      </w:tcPr>
    </w:tblStylePr>
    <w:tblStylePr w:type="neCell"/>
    <w:tblStylePr w:type="nwCell"/>
    <w:tblStylePr w:type="seCell"/>
    <w:tblStylePr w:type="swCell"/>
  </w:style>
  <w:style w:type="table" w:customStyle="1" w:styleId="171">
    <w:name w:val="Lined - Accent 2"/>
    <w:qFormat/>
    <w:uiPriority w:val="99"/>
    <w:pPr>
      <w:spacing w:after="0" w:line="240" w:lineRule="auto"/>
    </w:pPr>
    <w:rPr>
      <w:color w:val="404040"/>
    </w:rPr>
    <w:tblStylePr w:type="firstRow">
      <w:rPr>
        <w:rFonts w:ascii="Arial" w:hAnsi="Arial"/>
        <w:color w:val="F2F2F2"/>
        <w:sz w:val="22"/>
      </w:rPr>
      <w:tcPr>
        <w:shd w:val="clear" w:color="D99795" w:themeColor="accent2" w:themeTint="97" w:fill="D99795" w:themeFill="accent2" w:themeFillTint="97"/>
      </w:tcPr>
    </w:tblStylePr>
    <w:tblStylePr w:type="lastRow">
      <w:rPr>
        <w:rFonts w:ascii="Arial" w:hAnsi="Arial"/>
        <w:color w:val="F2F2F2"/>
        <w:sz w:val="22"/>
      </w:rPr>
      <w:tcPr>
        <w:shd w:val="clear" w:color="D99795" w:themeColor="accent2" w:themeTint="97" w:fill="D99795" w:themeFill="accent2" w:themeFillTint="97"/>
      </w:tcPr>
    </w:tblStylePr>
    <w:tblStylePr w:type="firstCol">
      <w:rPr>
        <w:rFonts w:ascii="Arial" w:hAnsi="Arial"/>
        <w:color w:val="F2F2F2"/>
        <w:sz w:val="22"/>
      </w:rPr>
      <w:tcPr>
        <w:shd w:val="clear" w:color="D99795" w:themeColor="accent2" w:themeTint="97" w:fill="D99795" w:themeFill="accent2" w:themeFillTint="97"/>
      </w:tcPr>
    </w:tblStylePr>
    <w:tblStylePr w:type="lastCol">
      <w:rPr>
        <w:rFonts w:ascii="Arial" w:hAnsi="Arial"/>
        <w:color w:val="F2F2F2"/>
        <w:sz w:val="22"/>
      </w:rPr>
      <w:tcPr>
        <w:shd w:val="clear" w:color="D99795" w:themeColor="accent2" w:themeTint="97" w:fill="D99795" w:themeFill="accent2" w:themeFillTint="97"/>
      </w:tcPr>
    </w:tblStylePr>
    <w:tblStylePr w:type="band1Vert">
      <w:rPr>
        <w:rFonts w:ascii="Arial" w:hAnsi="Arial"/>
        <w:color w:val="404040"/>
        <w:sz w:val="22"/>
      </w:rPr>
    </w:tblStylePr>
    <w:tblStylePr w:type="band2Vert">
      <w:rPr>
        <w:rFonts w:ascii="Arial" w:hAnsi="Arial"/>
        <w:color w:val="404040"/>
        <w:sz w:val="22"/>
      </w:r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cPr>
        <w:shd w:val="clear" w:color="F2DCDC" w:themeColor="accent2" w:themeTint="32" w:fill="F2DCDC" w:themeFill="accent2" w:themeFillTint="32"/>
      </w:tcPr>
    </w:tblStylePr>
    <w:tblStylePr w:type="neCell"/>
    <w:tblStylePr w:type="nwCell"/>
    <w:tblStylePr w:type="seCell"/>
    <w:tblStylePr w:type="swCell"/>
  </w:style>
  <w:style w:type="table" w:customStyle="1" w:styleId="172">
    <w:name w:val="Lined - Accent 3"/>
    <w:qFormat/>
    <w:uiPriority w:val="99"/>
    <w:pPr>
      <w:spacing w:after="0" w:line="240" w:lineRule="auto"/>
    </w:pPr>
    <w:rPr>
      <w:color w:val="404040"/>
    </w:rPr>
    <w:tblStylePr w:type="firstRow">
      <w:rPr>
        <w:rFonts w:ascii="Arial" w:hAnsi="Arial"/>
        <w:color w:val="F2F2F2"/>
        <w:sz w:val="22"/>
      </w:rPr>
      <w:tcPr>
        <w:shd w:val="clear" w:color="9BBB59" w:themeColor="accent3" w:themeTint="FE" w:fill="9BBB59" w:themeFill="accent3" w:themeFillTint="FE"/>
      </w:tcPr>
    </w:tblStylePr>
    <w:tblStylePr w:type="lastRow">
      <w:rPr>
        <w:rFonts w:ascii="Arial" w:hAnsi="Arial"/>
        <w:color w:val="F2F2F2"/>
        <w:sz w:val="22"/>
      </w:rPr>
      <w:tcPr>
        <w:shd w:val="clear" w:color="9BBB59" w:themeColor="accent3" w:themeTint="FE" w:fill="9BBB59" w:themeFill="accent3" w:themeFillTint="FE"/>
      </w:tcPr>
    </w:tblStylePr>
    <w:tblStylePr w:type="firstCol">
      <w:rPr>
        <w:rFonts w:ascii="Arial" w:hAnsi="Arial"/>
        <w:color w:val="F2F2F2"/>
        <w:sz w:val="22"/>
      </w:rPr>
      <w:tcPr>
        <w:shd w:val="clear" w:color="9BBB59" w:themeColor="accent3" w:themeTint="FE" w:fill="9BBB59" w:themeFill="accent3" w:themeFillTint="FE"/>
      </w:tcPr>
    </w:tblStylePr>
    <w:tblStylePr w:type="lastCol">
      <w:rPr>
        <w:rFonts w:ascii="Arial" w:hAnsi="Arial"/>
        <w:color w:val="F2F2F2"/>
        <w:sz w:val="22"/>
      </w:rPr>
      <w:tcPr>
        <w:shd w:val="clear" w:color="9BBB59" w:themeColor="accent3" w:themeTint="FE" w:fill="9BBB59" w:themeFill="accent3" w:themeFillTint="FE"/>
      </w:tcPr>
    </w:tblStylePr>
    <w:tblStylePr w:type="band1Vert">
      <w:rPr>
        <w:rFonts w:ascii="Arial" w:hAnsi="Arial"/>
        <w:color w:val="404040"/>
        <w:sz w:val="22"/>
      </w:rPr>
    </w:tblStylePr>
    <w:tblStylePr w:type="band2Vert">
      <w:rPr>
        <w:rFonts w:ascii="Arial" w:hAnsi="Arial"/>
        <w:color w:val="404040"/>
        <w:sz w:val="22"/>
      </w:rPr>
      <w:tcPr>
        <w:shd w:val="clear" w:color="EAF1DD" w:themeColor="accent3" w:themeTint="34" w:fill="EAF1DD" w:themeFill="accent3" w:themeFillTint="34"/>
      </w:tcPr>
    </w:tblStylePr>
    <w:tblStylePr w:type="band1Horz">
      <w:rPr>
        <w:rFonts w:ascii="Arial" w:hAnsi="Arial"/>
        <w:color w:val="404040"/>
        <w:sz w:val="22"/>
      </w:rPr>
    </w:tblStylePr>
    <w:tblStylePr w:type="band2Horz">
      <w:rPr>
        <w:rFonts w:ascii="Arial" w:hAnsi="Arial"/>
        <w:color w:val="404040"/>
        <w:sz w:val="22"/>
      </w:rPr>
      <w:tcPr>
        <w:shd w:val="clear" w:color="EAF1DD" w:themeColor="accent3" w:themeTint="34" w:fill="EAF1DD" w:themeFill="accent3" w:themeFillTint="34"/>
      </w:tcPr>
    </w:tblStylePr>
    <w:tblStylePr w:type="neCell"/>
    <w:tblStylePr w:type="nwCell"/>
    <w:tblStylePr w:type="seCell"/>
    <w:tblStylePr w:type="swCell"/>
  </w:style>
  <w:style w:type="table" w:customStyle="1" w:styleId="173">
    <w:name w:val="Lined - Accent 4"/>
    <w:qFormat/>
    <w:uiPriority w:val="99"/>
    <w:pPr>
      <w:spacing w:after="0" w:line="240" w:lineRule="auto"/>
    </w:pPr>
    <w:rPr>
      <w:color w:val="404040"/>
    </w:rPr>
    <w:tblStylePr w:type="firstRow">
      <w:rPr>
        <w:rFonts w:ascii="Arial" w:hAnsi="Arial"/>
        <w:color w:val="F2F2F2"/>
        <w:sz w:val="22"/>
      </w:rPr>
      <w:tcPr>
        <w:shd w:val="clear" w:color="B2A1C6" w:themeColor="accent4" w:themeTint="9A" w:fill="B2A1C6" w:themeFill="accent4" w:themeFillTint="9A"/>
      </w:tcPr>
    </w:tblStylePr>
    <w:tblStylePr w:type="lastRow">
      <w:rPr>
        <w:rFonts w:ascii="Arial" w:hAnsi="Arial"/>
        <w:color w:val="F2F2F2"/>
        <w:sz w:val="22"/>
      </w:rPr>
      <w:tcPr>
        <w:shd w:val="clear" w:color="B2A1C6" w:themeColor="accent4" w:themeTint="9A" w:fill="B2A1C6" w:themeFill="accent4" w:themeFillTint="9A"/>
      </w:tcPr>
    </w:tblStylePr>
    <w:tblStylePr w:type="firstCol">
      <w:rPr>
        <w:rFonts w:ascii="Arial" w:hAnsi="Arial"/>
        <w:color w:val="F2F2F2"/>
        <w:sz w:val="22"/>
      </w:rPr>
      <w:tcPr>
        <w:shd w:val="clear" w:color="B2A1C6" w:themeColor="accent4" w:themeTint="9A" w:fill="B2A1C6" w:themeFill="accent4" w:themeFillTint="9A"/>
      </w:tcPr>
    </w:tblStylePr>
    <w:tblStylePr w:type="lastCol">
      <w:rPr>
        <w:rFonts w:ascii="Arial" w:hAnsi="Arial"/>
        <w:color w:val="F2F2F2"/>
        <w:sz w:val="22"/>
      </w:r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cPr>
        <w:shd w:val="clear" w:color="E5DFEC" w:themeColor="accent4" w:themeTint="34" w:fill="E5DFEC" w:themeFill="accent4" w:themeFillTint="34"/>
      </w:tcPr>
    </w:tblStylePr>
    <w:tblStylePr w:type="neCell"/>
    <w:tblStylePr w:type="nwCell"/>
    <w:tblStylePr w:type="seCell"/>
    <w:tblStylePr w:type="swCell"/>
  </w:style>
  <w:style w:type="table" w:customStyle="1" w:styleId="174">
    <w:name w:val="Lined - Accent 5"/>
    <w:qFormat/>
    <w:uiPriority w:val="99"/>
    <w:pPr>
      <w:spacing w:after="0" w:line="240" w:lineRule="auto"/>
    </w:pPr>
    <w:rPr>
      <w:color w:val="404040"/>
    </w:rPr>
    <w:tblStylePr w:type="firstRow">
      <w:rPr>
        <w:rFonts w:ascii="Arial" w:hAnsi="Arial"/>
        <w:color w:val="F2F2F2"/>
        <w:sz w:val="22"/>
      </w:rPr>
      <w:tcPr>
        <w:shd w:val="clear" w:color="4BACC6" w:themeColor="accent5" w:fill="4BACC6" w:themeFill="accent5"/>
      </w:tcPr>
    </w:tblStylePr>
    <w:tblStylePr w:type="lastRow">
      <w:rPr>
        <w:rFonts w:ascii="Arial" w:hAnsi="Arial"/>
        <w:color w:val="F2F2F2"/>
        <w:sz w:val="22"/>
      </w:rPr>
      <w:tcPr>
        <w:shd w:val="clear" w:color="4BACC6" w:themeColor="accent5" w:fill="4BACC6" w:themeFill="accent5"/>
      </w:tcPr>
    </w:tblStylePr>
    <w:tblStylePr w:type="firstCol">
      <w:rPr>
        <w:rFonts w:ascii="Arial" w:hAnsi="Arial"/>
        <w:color w:val="F2F2F2"/>
        <w:sz w:val="22"/>
      </w:rPr>
      <w:tcPr>
        <w:shd w:val="clear" w:color="4BACC6" w:themeColor="accent5" w:fill="4BACC6" w:themeFill="accent5"/>
      </w:tcPr>
    </w:tblStylePr>
    <w:tblStylePr w:type="lastCol">
      <w:rPr>
        <w:rFonts w:ascii="Arial" w:hAnsi="Arial"/>
        <w:color w:val="F2F2F2"/>
        <w:sz w:val="22"/>
      </w:r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cPr>
        <w:shd w:val="clear" w:color="DAEEF3" w:themeColor="accent5" w:themeTint="34" w:fill="DAEEF3" w:themeFill="accent5" w:themeFillTint="34"/>
      </w:tcPr>
    </w:tblStylePr>
    <w:tblStylePr w:type="neCell"/>
    <w:tblStylePr w:type="nwCell"/>
    <w:tblStylePr w:type="seCell"/>
    <w:tblStylePr w:type="swCell"/>
  </w:style>
  <w:style w:type="table" w:customStyle="1" w:styleId="175">
    <w:name w:val="Lined - Accent 6"/>
    <w:qFormat/>
    <w:uiPriority w:val="99"/>
    <w:pPr>
      <w:spacing w:after="0" w:line="240" w:lineRule="auto"/>
    </w:pPr>
    <w:rPr>
      <w:color w:val="404040"/>
    </w:rPr>
    <w:tblStylePr w:type="firstRow">
      <w:rPr>
        <w:rFonts w:ascii="Arial" w:hAnsi="Arial"/>
        <w:color w:val="F2F2F2"/>
        <w:sz w:val="22"/>
      </w:rPr>
      <w:tcPr>
        <w:shd w:val="clear" w:color="F79646" w:themeColor="accent6" w:fill="F79646" w:themeFill="accent6"/>
      </w:tcPr>
    </w:tblStylePr>
    <w:tblStylePr w:type="lastRow">
      <w:rPr>
        <w:rFonts w:ascii="Arial" w:hAnsi="Arial"/>
        <w:color w:val="F2F2F2"/>
        <w:sz w:val="22"/>
      </w:rPr>
      <w:tcPr>
        <w:shd w:val="clear" w:color="F79646" w:themeColor="accent6" w:fill="F79646" w:themeFill="accent6"/>
      </w:tcPr>
    </w:tblStylePr>
    <w:tblStylePr w:type="firstCol">
      <w:rPr>
        <w:rFonts w:ascii="Arial" w:hAnsi="Arial"/>
        <w:color w:val="F2F2F2"/>
        <w:sz w:val="22"/>
      </w:rPr>
      <w:tcPr>
        <w:shd w:val="clear" w:color="F79646" w:themeColor="accent6" w:fill="F79646" w:themeFill="accent6"/>
      </w:tcPr>
    </w:tblStylePr>
    <w:tblStylePr w:type="lastCol">
      <w:rPr>
        <w:rFonts w:ascii="Arial" w:hAnsi="Arial"/>
        <w:color w:val="F2F2F2"/>
        <w:sz w:val="22"/>
      </w:r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cPr>
        <w:shd w:val="clear" w:color="FDE9D9" w:themeColor="accent6" w:themeTint="34" w:fill="FDE9D9" w:themeFill="accent6" w:themeFillTint="34"/>
      </w:tcPr>
    </w:tblStylePr>
    <w:tblStylePr w:type="band1Horz">
      <w:rPr>
        <w:rFonts w:ascii="Arial" w:hAnsi="Arial"/>
        <w:color w:val="404040"/>
        <w:sz w:val="22"/>
      </w:rPr>
    </w:tblStylePr>
    <w:tblStylePr w:type="band2Horz">
      <w:rPr>
        <w:rFonts w:ascii="Arial" w:hAnsi="Arial"/>
        <w:color w:val="404040"/>
        <w:sz w:val="22"/>
      </w:rPr>
      <w:tcPr>
        <w:shd w:val="clear" w:color="FDE9D9" w:themeColor="accent6" w:themeTint="34" w:fill="FDE9D9" w:themeFill="accent6" w:themeFillTint="34"/>
      </w:tcPr>
    </w:tblStylePr>
    <w:tblStylePr w:type="neCell"/>
    <w:tblStylePr w:type="nwCell"/>
    <w:tblStylePr w:type="seCell"/>
    <w:tblStylePr w:type="swCell"/>
  </w:style>
  <w:style w:type="table" w:customStyle="1" w:styleId="176">
    <w:name w:val="Bordered &amp; Lined - Accent"/>
    <w:qFormat/>
    <w:uiPriority w:val="99"/>
    <w:pPr>
      <w:spacing w:after="0" w:line="240" w:lineRule="auto"/>
    </w:pPr>
    <w:rPr>
      <w:color w:val="404040"/>
    </w:rPr>
    <w:tblPr>
      <w:tblBorders>
        <w:top w:val="single" w:color="585858" w:themeColor="text1" w:themeTint="A6" w:sz="4" w:space="0"/>
        <w:left w:val="single" w:color="585858" w:themeColor="text1" w:themeTint="A6" w:sz="4" w:space="0"/>
        <w:bottom w:val="single" w:color="585858" w:themeColor="text1" w:themeTint="A6" w:sz="4" w:space="0"/>
        <w:right w:val="single" w:color="585858" w:themeColor="text1" w:themeTint="A6" w:sz="4" w:space="0"/>
        <w:insideH w:val="single" w:color="585858" w:themeColor="text1" w:themeTint="A6" w:sz="4" w:space="0"/>
        <w:insideV w:val="single" w:color="585858" w:themeColor="text1" w:themeTint="A6" w:sz="4" w:space="0"/>
      </w:tblBorders>
    </w:tblPr>
    <w:tblStylePr w:type="firstRow">
      <w:rPr>
        <w:rFonts w:ascii="Arial" w:hAnsi="Arial"/>
        <w:color w:val="F2F2F2"/>
        <w:sz w:val="22"/>
      </w:rPr>
      <w:tcPr>
        <w:shd w:val="clear" w:color="7E7E7E" w:themeColor="text1" w:themeTint="80" w:fill="7E7E7E" w:themeFill="text1" w:themeFillTint="80"/>
      </w:tcPr>
    </w:tblStylePr>
    <w:tblStylePr w:type="lastRow">
      <w:rPr>
        <w:rFonts w:ascii="Arial" w:hAnsi="Arial"/>
        <w:color w:val="F2F2F2"/>
        <w:sz w:val="22"/>
      </w:rPr>
      <w:tcPr>
        <w:shd w:val="clear" w:color="7E7E7E" w:themeColor="text1" w:themeTint="80" w:fill="7E7E7E" w:themeFill="text1" w:themeFillTint="80"/>
      </w:tcPr>
    </w:tblStylePr>
    <w:tblStylePr w:type="firstCol">
      <w:rPr>
        <w:rFonts w:ascii="Arial" w:hAnsi="Arial"/>
        <w:color w:val="F2F2F2"/>
        <w:sz w:val="22"/>
      </w:rPr>
      <w:tcPr>
        <w:shd w:val="clear" w:color="7E7E7E" w:themeColor="text1" w:themeTint="80" w:fill="7E7E7E" w:themeFill="text1" w:themeFillTint="80"/>
      </w:tcPr>
    </w:tblStylePr>
    <w:tblStylePr w:type="lastCol">
      <w:rPr>
        <w:rFonts w:ascii="Arial" w:hAnsi="Arial"/>
        <w:color w:val="F2F2F2"/>
        <w:sz w:val="22"/>
      </w:rPr>
      <w:tcPr>
        <w:shd w:val="clear" w:color="7E7E7E" w:themeColor="text1" w:themeTint="80" w:fill="7E7E7E" w:themeFill="text1" w:themeFillTint="80"/>
      </w:tcPr>
    </w:tblStylePr>
    <w:tblStylePr w:type="band1Vert">
      <w:rPr>
        <w:rFonts w:ascii="Arial" w:hAnsi="Arial"/>
        <w:color w:val="404040"/>
        <w:sz w:val="22"/>
      </w:rPr>
    </w:tblStylePr>
    <w:tblStylePr w:type="band2Vert">
      <w:rPr>
        <w:rFonts w:ascii="Arial" w:hAnsi="Arial"/>
        <w:color w:val="404040"/>
        <w:sz w:val="22"/>
      </w:rPr>
      <w:tcPr>
        <w:shd w:val="clear" w:color="F1F1F1" w:themeColor="text1" w:themeTint="0D" w:fill="F1F1F1" w:themeFill="text1" w:themeFillTint="0D"/>
      </w:tcPr>
    </w:tblStylePr>
    <w:tblStylePr w:type="band1Horz">
      <w:rPr>
        <w:rFonts w:ascii="Arial" w:hAnsi="Arial"/>
        <w:color w:val="404040"/>
        <w:sz w:val="22"/>
      </w:rPr>
    </w:tblStylePr>
    <w:tblStylePr w:type="band2Horz">
      <w:rPr>
        <w:rFonts w:ascii="Arial" w:hAnsi="Arial"/>
        <w:color w:val="404040"/>
        <w:sz w:val="22"/>
      </w:rPr>
      <w:tcPr>
        <w:shd w:val="clear" w:color="F1F1F1" w:themeColor="text1" w:themeTint="0D" w:fill="F1F1F1" w:themeFill="text1" w:themeFillTint="0D"/>
      </w:tcPr>
    </w:tblStylePr>
    <w:tblStylePr w:type="neCell"/>
    <w:tblStylePr w:type="nwCell"/>
    <w:tblStylePr w:type="seCell"/>
    <w:tblStylePr w:type="swCell"/>
  </w:style>
  <w:style w:type="table" w:customStyle="1" w:styleId="177">
    <w:name w:val="Bordered &amp; Lined - Accent 1"/>
    <w:qFormat/>
    <w:uiPriority w:val="99"/>
    <w:pPr>
      <w:spacing w:after="0" w:line="240" w:lineRule="auto"/>
    </w:pPr>
    <w:rPr>
      <w:color w:val="404040"/>
    </w:rPr>
    <w:tblPr>
      <w:tblBorders>
        <w:top w:val="single" w:color="2A4B71" w:themeColor="accent1" w:themeShade="95" w:sz="4" w:space="0"/>
        <w:left w:val="single" w:color="2A4B71" w:themeColor="accent1" w:themeShade="95" w:sz="4" w:space="0"/>
        <w:bottom w:val="single" w:color="2A4B71" w:themeColor="accent1" w:themeShade="95" w:sz="4" w:space="0"/>
        <w:right w:val="single" w:color="2A4B71" w:themeColor="accent1" w:themeShade="95" w:sz="4" w:space="0"/>
        <w:insideH w:val="single" w:color="2A4B71" w:themeColor="accent1" w:themeShade="95" w:sz="4" w:space="0"/>
        <w:insideV w:val="single" w:color="2A4B71" w:themeColor="accent1" w:themeShade="95" w:sz="4" w:space="0"/>
      </w:tblBorders>
    </w:tblPr>
    <w:tblStylePr w:type="firstRow">
      <w:rPr>
        <w:rFonts w:ascii="Arial" w:hAnsi="Arial"/>
        <w:color w:val="F2F2F2"/>
        <w:sz w:val="22"/>
      </w:rPr>
      <w:tcPr>
        <w:shd w:val="clear" w:color="5D8BC2" w:themeColor="accent1" w:themeTint="EA" w:fill="5D8BC2" w:themeFill="accent1" w:themeFillTint="EA"/>
      </w:tcPr>
    </w:tblStylePr>
    <w:tblStylePr w:type="lastRow">
      <w:rPr>
        <w:rFonts w:ascii="Arial" w:hAnsi="Arial"/>
        <w:color w:val="F2F2F2"/>
        <w:sz w:val="22"/>
      </w:rPr>
      <w:tcPr>
        <w:shd w:val="clear" w:color="5D8BC2" w:themeColor="accent1" w:themeTint="EA" w:fill="5D8BC2" w:themeFill="accent1" w:themeFillTint="EA"/>
      </w:tcPr>
    </w:tblStylePr>
    <w:tblStylePr w:type="firstCol">
      <w:rPr>
        <w:rFonts w:ascii="Arial" w:hAnsi="Arial"/>
        <w:color w:val="F2F2F2"/>
        <w:sz w:val="22"/>
      </w:rPr>
      <w:tcPr>
        <w:shd w:val="clear" w:color="5D8BC2" w:themeColor="accent1" w:themeTint="EA" w:fill="5D8BC2" w:themeFill="accent1" w:themeFillTint="EA"/>
      </w:tcPr>
    </w:tblStylePr>
    <w:tblStylePr w:type="lastCol">
      <w:rPr>
        <w:rFonts w:ascii="Arial" w:hAnsi="Arial"/>
        <w:color w:val="F2F2F2"/>
        <w:sz w:val="22"/>
      </w:rPr>
      <w:tcPr>
        <w:shd w:val="clear" w:color="5D8BC2" w:themeColor="accent1" w:themeTint="EA" w:fill="5D8BC2" w:themeFill="accent1" w:themeFillTint="EA"/>
      </w:tcPr>
    </w:tblStylePr>
    <w:tblStylePr w:type="band1Vert">
      <w:rPr>
        <w:rFonts w:ascii="Arial" w:hAnsi="Arial"/>
        <w:color w:val="404040"/>
        <w:sz w:val="22"/>
      </w:rPr>
    </w:tblStylePr>
    <w:tblStylePr w:type="band2Vert">
      <w:rPr>
        <w:rFonts w:ascii="Arial" w:hAnsi="Arial"/>
        <w:color w:val="404040"/>
        <w:sz w:val="22"/>
      </w:r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cPr>
        <w:shd w:val="clear" w:color="C7D7EA" w:themeColor="accent1" w:themeTint="50" w:fill="C7D7EA" w:themeFill="accent1" w:themeFillTint="50"/>
      </w:tcPr>
    </w:tblStylePr>
    <w:tblStylePr w:type="neCell"/>
    <w:tblStylePr w:type="nwCell"/>
    <w:tblStylePr w:type="seCell"/>
    <w:tblStylePr w:type="swCell"/>
  </w:style>
  <w:style w:type="table" w:customStyle="1" w:styleId="178">
    <w:name w:val="Bordered &amp; Lined - Accent 2"/>
    <w:qFormat/>
    <w:uiPriority w:val="99"/>
    <w:pPr>
      <w:spacing w:after="0" w:line="240" w:lineRule="auto"/>
    </w:pPr>
    <w:rPr>
      <w:color w:val="404040"/>
    </w:rPr>
    <w:tblPr>
      <w:tblBorders>
        <w:top w:val="single" w:color="742B29" w:themeColor="accent2" w:themeShade="95" w:sz="4" w:space="0"/>
        <w:left w:val="single" w:color="742B29" w:themeColor="accent2" w:themeShade="95" w:sz="4" w:space="0"/>
        <w:bottom w:val="single" w:color="742B29" w:themeColor="accent2" w:themeShade="95" w:sz="4" w:space="0"/>
        <w:right w:val="single" w:color="742B29" w:themeColor="accent2" w:themeShade="95" w:sz="4" w:space="0"/>
        <w:insideH w:val="single" w:color="742B29" w:themeColor="accent2" w:themeShade="95" w:sz="4" w:space="0"/>
        <w:insideV w:val="single" w:color="742B29" w:themeColor="accent2" w:themeShade="95" w:sz="4" w:space="0"/>
      </w:tblBorders>
    </w:tblPr>
    <w:tblStylePr w:type="firstRow">
      <w:rPr>
        <w:rFonts w:ascii="Arial" w:hAnsi="Arial"/>
        <w:color w:val="F2F2F2"/>
        <w:sz w:val="22"/>
      </w:rPr>
      <w:tcPr>
        <w:shd w:val="clear" w:color="D99795" w:themeColor="accent2" w:themeTint="97" w:fill="D99795" w:themeFill="accent2" w:themeFillTint="97"/>
      </w:tcPr>
    </w:tblStylePr>
    <w:tblStylePr w:type="lastRow">
      <w:rPr>
        <w:rFonts w:ascii="Arial" w:hAnsi="Arial"/>
        <w:color w:val="F2F2F2"/>
        <w:sz w:val="22"/>
      </w:rPr>
      <w:tcPr>
        <w:shd w:val="clear" w:color="D99795" w:themeColor="accent2" w:themeTint="97" w:fill="D99795" w:themeFill="accent2" w:themeFillTint="97"/>
      </w:tcPr>
    </w:tblStylePr>
    <w:tblStylePr w:type="firstCol">
      <w:rPr>
        <w:rFonts w:ascii="Arial" w:hAnsi="Arial"/>
        <w:color w:val="F2F2F2"/>
        <w:sz w:val="22"/>
      </w:rPr>
      <w:tcPr>
        <w:shd w:val="clear" w:color="D99795" w:themeColor="accent2" w:themeTint="97" w:fill="D99795" w:themeFill="accent2" w:themeFillTint="97"/>
      </w:tcPr>
    </w:tblStylePr>
    <w:tblStylePr w:type="lastCol">
      <w:rPr>
        <w:rFonts w:ascii="Arial" w:hAnsi="Arial"/>
        <w:color w:val="F2F2F2"/>
        <w:sz w:val="22"/>
      </w:rPr>
      <w:tcPr>
        <w:shd w:val="clear" w:color="D99795" w:themeColor="accent2" w:themeTint="97" w:fill="D99795" w:themeFill="accent2" w:themeFillTint="97"/>
      </w:tcPr>
    </w:tblStylePr>
    <w:tblStylePr w:type="band1Vert">
      <w:rPr>
        <w:rFonts w:ascii="Arial" w:hAnsi="Arial"/>
        <w:color w:val="404040"/>
        <w:sz w:val="22"/>
      </w:rPr>
    </w:tblStylePr>
    <w:tblStylePr w:type="band2Vert">
      <w:rPr>
        <w:rFonts w:ascii="Arial" w:hAnsi="Arial"/>
        <w:color w:val="404040"/>
        <w:sz w:val="22"/>
      </w:r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cPr>
        <w:shd w:val="clear" w:color="F2DCDC" w:themeColor="accent2" w:themeTint="32" w:fill="F2DCDC" w:themeFill="accent2" w:themeFillTint="32"/>
      </w:tcPr>
    </w:tblStylePr>
    <w:tblStylePr w:type="neCell"/>
    <w:tblStylePr w:type="nwCell"/>
    <w:tblStylePr w:type="seCell"/>
    <w:tblStylePr w:type="swCell"/>
  </w:style>
  <w:style w:type="table" w:customStyle="1" w:styleId="179">
    <w:name w:val="Bordered &amp; Lined - Accent 3"/>
    <w:qFormat/>
    <w:uiPriority w:val="99"/>
    <w:pPr>
      <w:spacing w:after="0" w:line="240" w:lineRule="auto"/>
    </w:pPr>
    <w:rPr>
      <w:color w:val="404040"/>
    </w:rPr>
    <w:tblPr>
      <w:tblBorders>
        <w:top w:val="single" w:color="5C722E" w:themeColor="accent3" w:themeShade="95" w:sz="4" w:space="0"/>
        <w:left w:val="single" w:color="5C722E" w:themeColor="accent3" w:themeShade="95" w:sz="4" w:space="0"/>
        <w:bottom w:val="single" w:color="5C722E" w:themeColor="accent3" w:themeShade="95" w:sz="4" w:space="0"/>
        <w:right w:val="single" w:color="5C722E" w:themeColor="accent3" w:themeShade="95" w:sz="4" w:space="0"/>
        <w:insideH w:val="single" w:color="5C722E" w:themeColor="accent3" w:themeShade="95" w:sz="4" w:space="0"/>
        <w:insideV w:val="single" w:color="5C722E" w:themeColor="accent3" w:themeShade="95" w:sz="4" w:space="0"/>
      </w:tblBorders>
    </w:tblPr>
    <w:tblStylePr w:type="firstRow">
      <w:rPr>
        <w:rFonts w:ascii="Arial" w:hAnsi="Arial"/>
        <w:color w:val="F2F2F2"/>
        <w:sz w:val="22"/>
      </w:rPr>
      <w:tcPr>
        <w:shd w:val="clear" w:color="9BBB59" w:themeColor="accent3" w:themeTint="FE" w:fill="9BBB59" w:themeFill="accent3" w:themeFillTint="FE"/>
      </w:tcPr>
    </w:tblStylePr>
    <w:tblStylePr w:type="lastRow">
      <w:rPr>
        <w:rFonts w:ascii="Arial" w:hAnsi="Arial"/>
        <w:color w:val="F2F2F2"/>
        <w:sz w:val="22"/>
      </w:rPr>
      <w:tcPr>
        <w:shd w:val="clear" w:color="9BBB59" w:themeColor="accent3" w:themeTint="FE" w:fill="9BBB59" w:themeFill="accent3" w:themeFillTint="FE"/>
      </w:tcPr>
    </w:tblStylePr>
    <w:tblStylePr w:type="firstCol">
      <w:rPr>
        <w:rFonts w:ascii="Arial" w:hAnsi="Arial"/>
        <w:color w:val="F2F2F2"/>
        <w:sz w:val="22"/>
      </w:rPr>
      <w:tcPr>
        <w:shd w:val="clear" w:color="9BBB59" w:themeColor="accent3" w:themeTint="FE" w:fill="9BBB59" w:themeFill="accent3" w:themeFillTint="FE"/>
      </w:tcPr>
    </w:tblStylePr>
    <w:tblStylePr w:type="lastCol">
      <w:rPr>
        <w:rFonts w:ascii="Arial" w:hAnsi="Arial"/>
        <w:color w:val="F2F2F2"/>
        <w:sz w:val="22"/>
      </w:rPr>
      <w:tcPr>
        <w:shd w:val="clear" w:color="9BBB59" w:themeColor="accent3" w:themeTint="FE" w:fill="9BBB59" w:themeFill="accent3" w:themeFillTint="FE"/>
      </w:tcPr>
    </w:tblStylePr>
    <w:tblStylePr w:type="band1Vert">
      <w:rPr>
        <w:rFonts w:ascii="Arial" w:hAnsi="Arial"/>
        <w:color w:val="404040"/>
        <w:sz w:val="22"/>
      </w:rPr>
    </w:tblStylePr>
    <w:tblStylePr w:type="band2Vert">
      <w:rPr>
        <w:rFonts w:ascii="Arial" w:hAnsi="Arial"/>
        <w:color w:val="404040"/>
        <w:sz w:val="22"/>
      </w:rPr>
      <w:tcPr>
        <w:shd w:val="clear" w:color="EAF1DD" w:themeColor="accent3" w:themeTint="34" w:fill="EAF1DD" w:themeFill="accent3" w:themeFillTint="34"/>
      </w:tcPr>
    </w:tblStylePr>
    <w:tblStylePr w:type="band1Horz">
      <w:rPr>
        <w:rFonts w:ascii="Arial" w:hAnsi="Arial"/>
        <w:color w:val="404040"/>
        <w:sz w:val="22"/>
      </w:rPr>
    </w:tblStylePr>
    <w:tblStylePr w:type="band2Horz">
      <w:rPr>
        <w:rFonts w:ascii="Arial" w:hAnsi="Arial"/>
        <w:color w:val="404040"/>
        <w:sz w:val="22"/>
      </w:rPr>
      <w:tcPr>
        <w:shd w:val="clear" w:color="EAF1DD" w:themeColor="accent3" w:themeTint="34" w:fill="EAF1DD" w:themeFill="accent3" w:themeFillTint="34"/>
      </w:tcPr>
    </w:tblStylePr>
    <w:tblStylePr w:type="neCell"/>
    <w:tblStylePr w:type="nwCell"/>
    <w:tblStylePr w:type="seCell"/>
    <w:tblStylePr w:type="swCell"/>
  </w:style>
  <w:style w:type="table" w:customStyle="1" w:styleId="180">
    <w:name w:val="Bordered &amp; Lined - Accent 4"/>
    <w:qFormat/>
    <w:uiPriority w:val="99"/>
    <w:pPr>
      <w:spacing w:after="0" w:line="240" w:lineRule="auto"/>
    </w:pPr>
    <w:rPr>
      <w:color w:val="404040"/>
    </w:rPr>
    <w:tblPr>
      <w:tblBorders>
        <w:top w:val="single" w:color="4A395F" w:themeColor="accent4" w:themeShade="95" w:sz="4" w:space="0"/>
        <w:left w:val="single" w:color="4A395F" w:themeColor="accent4" w:themeShade="95" w:sz="4" w:space="0"/>
        <w:bottom w:val="single" w:color="4A395F" w:themeColor="accent4" w:themeShade="95" w:sz="4" w:space="0"/>
        <w:right w:val="single" w:color="4A395F" w:themeColor="accent4" w:themeShade="95" w:sz="4" w:space="0"/>
        <w:insideH w:val="single" w:color="4A395F" w:themeColor="accent4" w:themeShade="95" w:sz="4" w:space="0"/>
        <w:insideV w:val="single" w:color="4A395F" w:themeColor="accent4" w:themeShade="95" w:sz="4" w:space="0"/>
      </w:tblBorders>
    </w:tblPr>
    <w:tblStylePr w:type="firstRow">
      <w:rPr>
        <w:rFonts w:ascii="Arial" w:hAnsi="Arial"/>
        <w:color w:val="F2F2F2"/>
        <w:sz w:val="22"/>
      </w:rPr>
      <w:tcPr>
        <w:shd w:val="clear" w:color="B2A1C6" w:themeColor="accent4" w:themeTint="9A" w:fill="B2A1C6" w:themeFill="accent4" w:themeFillTint="9A"/>
      </w:tcPr>
    </w:tblStylePr>
    <w:tblStylePr w:type="lastRow">
      <w:rPr>
        <w:rFonts w:ascii="Arial" w:hAnsi="Arial"/>
        <w:color w:val="F2F2F2"/>
        <w:sz w:val="22"/>
      </w:rPr>
      <w:tcPr>
        <w:shd w:val="clear" w:color="B2A1C6" w:themeColor="accent4" w:themeTint="9A" w:fill="B2A1C6" w:themeFill="accent4" w:themeFillTint="9A"/>
      </w:tcPr>
    </w:tblStylePr>
    <w:tblStylePr w:type="firstCol">
      <w:rPr>
        <w:rFonts w:ascii="Arial" w:hAnsi="Arial"/>
        <w:color w:val="F2F2F2"/>
        <w:sz w:val="22"/>
      </w:rPr>
      <w:tcPr>
        <w:shd w:val="clear" w:color="B2A1C6" w:themeColor="accent4" w:themeTint="9A" w:fill="B2A1C6" w:themeFill="accent4" w:themeFillTint="9A"/>
      </w:tcPr>
    </w:tblStylePr>
    <w:tblStylePr w:type="lastCol">
      <w:rPr>
        <w:rFonts w:ascii="Arial" w:hAnsi="Arial"/>
        <w:color w:val="F2F2F2"/>
        <w:sz w:val="22"/>
      </w:r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cPr>
        <w:shd w:val="clear" w:color="E5DFEC" w:themeColor="accent4" w:themeTint="34" w:fill="E5DFEC" w:themeFill="accent4" w:themeFillTint="34"/>
      </w:tcPr>
    </w:tblStylePr>
    <w:tblStylePr w:type="neCell"/>
    <w:tblStylePr w:type="nwCell"/>
    <w:tblStylePr w:type="seCell"/>
    <w:tblStylePr w:type="swCell"/>
  </w:style>
  <w:style w:type="table" w:customStyle="1" w:styleId="181">
    <w:name w:val="Bordered &amp; Lined - Accent 5"/>
    <w:qFormat/>
    <w:uiPriority w:val="99"/>
    <w:pPr>
      <w:spacing w:after="0" w:line="240" w:lineRule="auto"/>
    </w:pPr>
    <w:rPr>
      <w:color w:val="404040"/>
    </w:rPr>
    <w:tblPr>
      <w:tblBorders>
        <w:top w:val="single" w:color="266779" w:themeColor="accent5" w:themeShade="95" w:sz="4" w:space="0"/>
        <w:left w:val="single" w:color="266779" w:themeColor="accent5" w:themeShade="95" w:sz="4" w:space="0"/>
        <w:bottom w:val="single" w:color="266779" w:themeColor="accent5" w:themeShade="95" w:sz="4" w:space="0"/>
        <w:right w:val="single" w:color="266779" w:themeColor="accent5" w:themeShade="95" w:sz="4" w:space="0"/>
        <w:insideH w:val="single" w:color="266779" w:themeColor="accent5" w:themeShade="95" w:sz="4" w:space="0"/>
        <w:insideV w:val="single" w:color="266779" w:themeColor="accent5" w:themeShade="95" w:sz="4" w:space="0"/>
      </w:tblBorders>
    </w:tblPr>
    <w:tblStylePr w:type="firstRow">
      <w:rPr>
        <w:rFonts w:ascii="Arial" w:hAnsi="Arial"/>
        <w:color w:val="F2F2F2"/>
        <w:sz w:val="22"/>
      </w:rPr>
      <w:tcPr>
        <w:shd w:val="clear" w:color="4BACC6" w:themeColor="accent5" w:fill="4BACC6" w:themeFill="accent5"/>
      </w:tcPr>
    </w:tblStylePr>
    <w:tblStylePr w:type="lastRow">
      <w:rPr>
        <w:rFonts w:ascii="Arial" w:hAnsi="Arial"/>
        <w:color w:val="F2F2F2"/>
        <w:sz w:val="22"/>
      </w:rPr>
      <w:tcPr>
        <w:shd w:val="clear" w:color="4BACC6" w:themeColor="accent5" w:fill="4BACC6" w:themeFill="accent5"/>
      </w:tcPr>
    </w:tblStylePr>
    <w:tblStylePr w:type="firstCol">
      <w:rPr>
        <w:rFonts w:ascii="Arial" w:hAnsi="Arial"/>
        <w:color w:val="F2F2F2"/>
        <w:sz w:val="22"/>
      </w:rPr>
      <w:tcPr>
        <w:shd w:val="clear" w:color="4BACC6" w:themeColor="accent5" w:fill="4BACC6" w:themeFill="accent5"/>
      </w:tcPr>
    </w:tblStylePr>
    <w:tblStylePr w:type="lastCol">
      <w:rPr>
        <w:rFonts w:ascii="Arial" w:hAnsi="Arial"/>
        <w:color w:val="F2F2F2"/>
        <w:sz w:val="22"/>
      </w:r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cPr>
        <w:shd w:val="clear" w:color="DAEEF3" w:themeColor="accent5" w:themeTint="34" w:fill="DAEEF3" w:themeFill="accent5" w:themeFillTint="34"/>
      </w:tcPr>
    </w:tblStylePr>
    <w:tblStylePr w:type="neCell"/>
    <w:tblStylePr w:type="nwCell"/>
    <w:tblStylePr w:type="seCell"/>
    <w:tblStylePr w:type="swCell"/>
  </w:style>
  <w:style w:type="table" w:customStyle="1" w:styleId="182">
    <w:name w:val="Bordered &amp; Lined - Accent 6"/>
    <w:qFormat/>
    <w:uiPriority w:val="99"/>
    <w:pPr>
      <w:spacing w:after="0" w:line="240" w:lineRule="auto"/>
    </w:pPr>
    <w:rPr>
      <w:color w:val="404040"/>
    </w:rPr>
    <w:tblPr>
      <w:tblBorders>
        <w:top w:val="single" w:color="B15407" w:themeColor="accent6" w:themeShade="95" w:sz="4" w:space="0"/>
        <w:left w:val="single" w:color="B15407" w:themeColor="accent6" w:themeShade="95" w:sz="4" w:space="0"/>
        <w:bottom w:val="single" w:color="B15407" w:themeColor="accent6" w:themeShade="95" w:sz="4" w:space="0"/>
        <w:right w:val="single" w:color="B15407" w:themeColor="accent6" w:themeShade="95" w:sz="4" w:space="0"/>
        <w:insideH w:val="single" w:color="B15407" w:themeColor="accent6" w:themeShade="95" w:sz="4" w:space="0"/>
        <w:insideV w:val="single" w:color="B15407" w:themeColor="accent6" w:themeShade="95" w:sz="4" w:space="0"/>
      </w:tblBorders>
    </w:tblPr>
    <w:tblStylePr w:type="firstRow">
      <w:rPr>
        <w:rFonts w:ascii="Arial" w:hAnsi="Arial"/>
        <w:color w:val="F2F2F2"/>
        <w:sz w:val="22"/>
      </w:rPr>
      <w:tcPr>
        <w:shd w:val="clear" w:color="F79646" w:themeColor="accent6" w:fill="F79646" w:themeFill="accent6"/>
      </w:tcPr>
    </w:tblStylePr>
    <w:tblStylePr w:type="lastRow">
      <w:rPr>
        <w:rFonts w:ascii="Arial" w:hAnsi="Arial"/>
        <w:color w:val="F2F2F2"/>
        <w:sz w:val="22"/>
      </w:rPr>
      <w:tcPr>
        <w:shd w:val="clear" w:color="F79646" w:themeColor="accent6" w:fill="F79646" w:themeFill="accent6"/>
      </w:tcPr>
    </w:tblStylePr>
    <w:tblStylePr w:type="firstCol">
      <w:rPr>
        <w:rFonts w:ascii="Arial" w:hAnsi="Arial"/>
        <w:color w:val="F2F2F2"/>
        <w:sz w:val="22"/>
      </w:rPr>
      <w:tcPr>
        <w:shd w:val="clear" w:color="F79646" w:themeColor="accent6" w:fill="F79646" w:themeFill="accent6"/>
      </w:tcPr>
    </w:tblStylePr>
    <w:tblStylePr w:type="lastCol">
      <w:rPr>
        <w:rFonts w:ascii="Arial" w:hAnsi="Arial"/>
        <w:color w:val="F2F2F2"/>
        <w:sz w:val="22"/>
      </w:r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cPr>
        <w:shd w:val="clear" w:color="FDE9D9" w:themeColor="accent6" w:themeTint="34" w:fill="FDE9D9" w:themeFill="accent6" w:themeFillTint="34"/>
      </w:tcPr>
    </w:tblStylePr>
    <w:tblStylePr w:type="band1Horz">
      <w:rPr>
        <w:rFonts w:ascii="Arial" w:hAnsi="Arial"/>
        <w:color w:val="404040"/>
        <w:sz w:val="22"/>
      </w:rPr>
    </w:tblStylePr>
    <w:tblStylePr w:type="band2Horz">
      <w:rPr>
        <w:rFonts w:ascii="Arial" w:hAnsi="Arial"/>
        <w:color w:val="404040"/>
        <w:sz w:val="22"/>
      </w:rPr>
      <w:tcPr>
        <w:shd w:val="clear" w:color="FDE9D9" w:themeColor="accent6" w:themeTint="34" w:fill="FDE9D9" w:themeFill="accent6" w:themeFillTint="34"/>
      </w:tcPr>
    </w:tblStylePr>
    <w:tblStylePr w:type="neCell"/>
    <w:tblStylePr w:type="nwCell"/>
    <w:tblStylePr w:type="seCell"/>
    <w:tblStylePr w:type="swCell"/>
  </w:style>
  <w:style w:type="table" w:customStyle="1" w:styleId="183">
    <w:name w:val="Bordered"/>
    <w:qFormat/>
    <w:uiPriority w:val="99"/>
    <w:pPr>
      <w:spacing w:after="0" w:line="240" w:lineRule="auto"/>
    </w:pPr>
    <w:tblPr>
      <w:tblBorders>
        <w:top w:val="single" w:color="D8D8D8" w:themeColor="text1" w:themeTint="26" w:sz="4" w:space="0"/>
        <w:left w:val="single" w:color="D8D8D8" w:themeColor="text1" w:themeTint="26" w:sz="4" w:space="0"/>
        <w:bottom w:val="single" w:color="D8D8D8" w:themeColor="text1" w:themeTint="26" w:sz="4" w:space="0"/>
        <w:right w:val="single" w:color="D8D8D8" w:themeColor="text1" w:themeTint="26" w:sz="4" w:space="0"/>
        <w:insideH w:val="single" w:color="D8D8D8" w:themeColor="text1" w:themeTint="26" w:sz="4" w:space="0"/>
        <w:insideV w:val="single" w:color="D8D8D8" w:themeColor="text1" w:themeTint="26" w:sz="4" w:space="0"/>
      </w:tblBorders>
    </w:tblPr>
    <w:tblStylePr w:type="firstRow">
      <w:rPr>
        <w:rFonts w:ascii="Arial" w:hAnsi="Arial"/>
        <w:color w:val="404040"/>
        <w:sz w:val="22"/>
      </w:rPr>
      <w:tcPr>
        <w:tcBorders>
          <w:bottom w:val="single" w:color="7E7E7E" w:themeColor="text1" w:themeTint="80" w:sz="12" w:space="0"/>
        </w:tcBorders>
      </w:tcPr>
    </w:tblStylePr>
    <w:tblStylePr w:type="lastRow">
      <w:rPr>
        <w:rFonts w:ascii="Arial" w:hAnsi="Arial"/>
        <w:color w:val="404040"/>
        <w:sz w:val="22"/>
      </w:rPr>
      <w:tcPr>
        <w:tcBorders>
          <w:top w:val="single" w:color="7E7E7E" w:themeColor="text1" w:themeTint="80"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7E7E7E" w:themeColor="text1" w:themeTint="80" w:sz="12" w:space="0"/>
        </w:tcBorders>
      </w:tcPr>
    </w:tblStylePr>
    <w:tblStylePr w:type="band1Vert"/>
    <w:tblStylePr w:type="band2Vert"/>
    <w:tblStylePr w:type="band1Horz">
      <w:rPr>
        <w:rFonts w:ascii="Arial" w:hAnsi="Arial"/>
        <w:color w:val="404040"/>
        <w:sz w:val="22"/>
      </w:rPr>
      <w:tcPr>
        <w:tcBorders>
          <w:top w:val="single" w:color="D8D8D8" w:themeColor="text1" w:themeTint="26" w:sz="4" w:space="0"/>
          <w:left w:val="single" w:color="D8D8D8" w:themeColor="text1" w:themeTint="26" w:sz="4" w:space="0"/>
          <w:bottom w:val="single" w:color="D8D8D8" w:themeColor="text1" w:themeTint="26" w:sz="4" w:space="0"/>
          <w:right w:val="single" w:color="D8D8D8" w:themeColor="text1" w:themeTint="26" w:sz="4" w:space="0"/>
        </w:tcBorders>
      </w:tcPr>
    </w:tblStylePr>
    <w:tblStylePr w:type="band2Horz"/>
    <w:tblStylePr w:type="neCell"/>
    <w:tblStylePr w:type="nwCell"/>
    <w:tblStylePr w:type="seCell"/>
    <w:tblStylePr w:type="swCell"/>
  </w:style>
  <w:style w:type="table" w:customStyle="1" w:styleId="184">
    <w:name w:val="Bordered - Accent 1"/>
    <w:qFormat/>
    <w:uiPriority w:val="99"/>
    <w:pPr>
      <w:spacing w:after="0" w:line="240" w:lineRule="auto"/>
    </w:pPr>
    <w:tblPr>
      <w:tblBorders>
        <w:top w:val="single" w:color="B7CCE4" w:themeColor="accent1" w:themeTint="67" w:sz="4" w:space="0"/>
        <w:left w:val="single" w:color="B7CCE4" w:themeColor="accent1" w:themeTint="67" w:sz="4" w:space="0"/>
        <w:bottom w:val="single" w:color="B7CCE4" w:themeColor="accent1" w:themeTint="67" w:sz="4" w:space="0"/>
        <w:right w:val="single" w:color="B7CCE4" w:themeColor="accent1" w:themeTint="67" w:sz="4" w:space="0"/>
        <w:insideH w:val="single" w:color="B7CCE4" w:themeColor="accent1" w:themeTint="67" w:sz="4" w:space="0"/>
        <w:insideV w:val="single" w:color="B7CCE4" w:themeColor="accent1" w:themeTint="67" w:sz="4" w:space="0"/>
      </w:tblBorders>
    </w:tblPr>
    <w:tblStylePr w:type="firstRow">
      <w:rPr>
        <w:rFonts w:ascii="Arial" w:hAnsi="Arial"/>
        <w:color w:val="404040"/>
        <w:sz w:val="22"/>
      </w:rPr>
      <w:tcPr>
        <w:tcBorders>
          <w:bottom w:val="single" w:color="4F81BD" w:themeColor="accent1" w:sz="12" w:space="0"/>
        </w:tcBorders>
      </w:tcPr>
    </w:tblStylePr>
    <w:tblStylePr w:type="lastRow">
      <w:rPr>
        <w:rFonts w:ascii="Arial" w:hAnsi="Arial"/>
        <w:color w:val="404040"/>
        <w:sz w:val="22"/>
      </w:rPr>
      <w:tcPr>
        <w:tcBorders>
          <w:top w:val="single" w:color="4F81BD" w:themeColor="accent1"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4F81BD" w:themeColor="accent1" w:sz="12" w:space="0"/>
        </w:tcBorders>
      </w:tcPr>
    </w:tblStylePr>
    <w:tblStylePr w:type="band1Vert"/>
    <w:tblStylePr w:type="band2Vert"/>
    <w:tblStylePr w:type="band1Horz">
      <w:rPr>
        <w:rFonts w:ascii="Arial" w:hAnsi="Arial"/>
        <w:color w:val="404040"/>
        <w:sz w:val="22"/>
      </w:rPr>
      <w:tcPr>
        <w:tcBorders>
          <w:top w:val="single" w:color="B7CCE4" w:themeColor="accent1" w:themeTint="67" w:sz="4" w:space="0"/>
          <w:left w:val="single" w:color="B7CCE4" w:themeColor="accent1" w:themeTint="67" w:sz="4" w:space="0"/>
          <w:bottom w:val="single" w:color="B7CCE4" w:themeColor="accent1" w:themeTint="67" w:sz="4" w:space="0"/>
          <w:right w:val="single" w:color="B7CCE4" w:themeColor="accent1" w:themeTint="67" w:sz="4" w:space="0"/>
        </w:tcBorders>
      </w:tcPr>
    </w:tblStylePr>
    <w:tblStylePr w:type="band2Horz"/>
    <w:tblStylePr w:type="neCell"/>
    <w:tblStylePr w:type="nwCell"/>
    <w:tblStylePr w:type="seCell"/>
    <w:tblStylePr w:type="swCell"/>
  </w:style>
  <w:style w:type="table" w:customStyle="1" w:styleId="185">
    <w:name w:val="Bordered - Accent 2"/>
    <w:qFormat/>
    <w:uiPriority w:val="99"/>
    <w:pPr>
      <w:spacing w:after="0" w:line="240" w:lineRule="auto"/>
    </w:pPr>
    <w:tblPr>
      <w:tblBorders>
        <w:top w:val="single" w:color="E5B8B7" w:themeColor="accent2" w:themeTint="67" w:sz="4" w:space="0"/>
        <w:left w:val="single" w:color="E5B8B7" w:themeColor="accent2" w:themeTint="67" w:sz="4" w:space="0"/>
        <w:bottom w:val="single" w:color="E5B8B7" w:themeColor="accent2" w:themeTint="67" w:sz="4" w:space="0"/>
        <w:right w:val="single" w:color="E5B8B7" w:themeColor="accent2" w:themeTint="67" w:sz="4" w:space="0"/>
        <w:insideH w:val="single" w:color="E5B8B7" w:themeColor="accent2" w:themeTint="67" w:sz="4" w:space="0"/>
        <w:insideV w:val="single" w:color="E5B8B7" w:themeColor="accent2" w:themeTint="67" w:sz="4" w:space="0"/>
      </w:tblBorders>
    </w:tblPr>
    <w:tblStylePr w:type="firstRow">
      <w:rPr>
        <w:rFonts w:ascii="Arial" w:hAnsi="Arial"/>
        <w:color w:val="404040"/>
        <w:sz w:val="22"/>
      </w:rPr>
      <w:tcPr>
        <w:tcBorders>
          <w:bottom w:val="single" w:color="D99795" w:themeColor="accent2" w:themeTint="97" w:sz="12" w:space="0"/>
        </w:tcBorders>
      </w:tcPr>
    </w:tblStylePr>
    <w:tblStylePr w:type="lastRow">
      <w:rPr>
        <w:rFonts w:ascii="Arial" w:hAnsi="Arial"/>
        <w:color w:val="404040"/>
        <w:sz w:val="22"/>
      </w:rPr>
      <w:tcPr>
        <w:tcBorders>
          <w:top w:val="single" w:color="D99795" w:themeColor="accent2" w:themeTint="97"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D99795" w:themeColor="accent2" w:themeTint="97" w:sz="12" w:space="0"/>
        </w:tcBorders>
      </w:tcPr>
    </w:tblStylePr>
    <w:tblStylePr w:type="band1Vert"/>
    <w:tblStylePr w:type="band2Vert"/>
    <w:tblStylePr w:type="band1Horz">
      <w:rPr>
        <w:rFonts w:ascii="Arial" w:hAnsi="Arial"/>
        <w:color w:val="404040"/>
        <w:sz w:val="22"/>
      </w:rPr>
      <w:tcPr>
        <w:tcBorders>
          <w:top w:val="single" w:color="E5B8B7" w:themeColor="accent2" w:themeTint="67" w:sz="4" w:space="0"/>
          <w:left w:val="single" w:color="E5B8B7" w:themeColor="accent2" w:themeTint="67" w:sz="4" w:space="0"/>
          <w:bottom w:val="single" w:color="E5B8B7" w:themeColor="accent2" w:themeTint="67" w:sz="4" w:space="0"/>
          <w:right w:val="single" w:color="E5B8B7" w:themeColor="accent2" w:themeTint="67" w:sz="4" w:space="0"/>
        </w:tcBorders>
      </w:tcPr>
    </w:tblStylePr>
    <w:tblStylePr w:type="band2Horz"/>
    <w:tblStylePr w:type="neCell"/>
    <w:tblStylePr w:type="nwCell"/>
    <w:tblStylePr w:type="seCell"/>
    <w:tblStylePr w:type="swCell"/>
  </w:style>
  <w:style w:type="table" w:customStyle="1" w:styleId="186">
    <w:name w:val="Bordered - Accent 3"/>
    <w:qFormat/>
    <w:uiPriority w:val="99"/>
    <w:pPr>
      <w:spacing w:after="0" w:line="240" w:lineRule="auto"/>
    </w:pPr>
    <w:tblPr>
      <w:tbl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insideH w:val="single" w:color="D6E3BB" w:themeColor="accent3" w:themeTint="67" w:sz="4" w:space="0"/>
        <w:insideV w:val="single" w:color="D6E3BB" w:themeColor="accent3" w:themeTint="67" w:sz="4" w:space="0"/>
      </w:tblBorders>
    </w:tblPr>
    <w:tblStylePr w:type="firstRow">
      <w:rPr>
        <w:rFonts w:ascii="Arial" w:hAnsi="Arial"/>
        <w:color w:val="404040"/>
        <w:sz w:val="22"/>
      </w:rPr>
      <w:tcPr>
        <w:tcBorders>
          <w:bottom w:val="single" w:color="C3D69C" w:themeColor="accent3" w:themeTint="98" w:sz="12" w:space="0"/>
        </w:tcBorders>
      </w:tcPr>
    </w:tblStylePr>
    <w:tblStylePr w:type="lastRow">
      <w:rPr>
        <w:rFonts w:ascii="Arial" w:hAnsi="Arial"/>
        <w:color w:val="404040"/>
        <w:sz w:val="22"/>
      </w:rPr>
      <w:tcPr>
        <w:tcBorders>
          <w:top w:val="single" w:color="C3D69C" w:themeColor="accent3" w:themeTint="98"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C3D69C" w:themeColor="accent3" w:themeTint="98" w:sz="12" w:space="0"/>
        </w:tcBorders>
      </w:tcPr>
    </w:tblStylePr>
    <w:tblStylePr w:type="band1Vert"/>
    <w:tblStylePr w:type="band2Vert"/>
    <w:tblStylePr w:type="band1Horz">
      <w:rPr>
        <w:rFonts w:ascii="Arial" w:hAnsi="Arial"/>
        <w:color w:val="404040"/>
        <w:sz w:val="22"/>
      </w:rPr>
      <w:tcPr>
        <w:tc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tcBorders>
      </w:tcPr>
    </w:tblStylePr>
    <w:tblStylePr w:type="band2Horz"/>
    <w:tblStylePr w:type="neCell"/>
    <w:tblStylePr w:type="nwCell"/>
    <w:tblStylePr w:type="seCell"/>
    <w:tblStylePr w:type="swCell"/>
  </w:style>
  <w:style w:type="table" w:customStyle="1" w:styleId="187">
    <w:name w:val="Bordered - Accent 4"/>
    <w:qFormat/>
    <w:uiPriority w:val="99"/>
    <w:pPr>
      <w:spacing w:after="0" w:line="240" w:lineRule="auto"/>
    </w:pPr>
    <w:tblPr>
      <w:tbl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insideH w:val="single" w:color="CBC0D9" w:themeColor="accent4" w:themeTint="67" w:sz="4" w:space="0"/>
        <w:insideV w:val="single" w:color="CBC0D9" w:themeColor="accent4" w:themeTint="67" w:sz="4" w:space="0"/>
      </w:tblBorders>
    </w:tblPr>
    <w:tblStylePr w:type="firstRow">
      <w:rPr>
        <w:rFonts w:ascii="Arial" w:hAnsi="Arial"/>
        <w:color w:val="404040"/>
        <w:sz w:val="22"/>
      </w:rPr>
      <w:tcPr>
        <w:tcBorders>
          <w:bottom w:val="single" w:color="B2A1C6" w:themeColor="accent4" w:themeTint="9A" w:sz="12" w:space="0"/>
        </w:tcBorders>
      </w:tcPr>
    </w:tblStylePr>
    <w:tblStylePr w:type="lastRow">
      <w:rPr>
        <w:rFonts w:ascii="Arial" w:hAnsi="Arial"/>
        <w:color w:val="404040"/>
        <w:sz w:val="22"/>
      </w:rPr>
      <w:tcPr>
        <w:tcBorders>
          <w:top w:val="single" w:color="B2A1C6" w:themeColor="accent4" w:themeTint="9A"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B2A1C6" w:themeColor="accent4" w:themeTint="9A" w:sz="12" w:space="0"/>
        </w:tcBorders>
      </w:tcPr>
    </w:tblStylePr>
    <w:tblStylePr w:type="band1Vert"/>
    <w:tblStylePr w:type="band2Vert"/>
    <w:tblStylePr w:type="band1Horz">
      <w:rPr>
        <w:rFonts w:ascii="Arial" w:hAnsi="Arial"/>
        <w:color w:val="404040"/>
        <w:sz w:val="22"/>
      </w:rPr>
      <w:tcPr>
        <w:tc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tcBorders>
      </w:tcPr>
    </w:tblStylePr>
    <w:tblStylePr w:type="band2Horz"/>
    <w:tblStylePr w:type="neCell"/>
    <w:tblStylePr w:type="nwCell"/>
    <w:tblStylePr w:type="seCell"/>
    <w:tblStylePr w:type="swCell"/>
  </w:style>
  <w:style w:type="table" w:customStyle="1" w:styleId="188">
    <w:name w:val="Bordered - Accent 5"/>
    <w:qFormat/>
    <w:uiPriority w:val="99"/>
    <w:pPr>
      <w:spacing w:after="0" w:line="240" w:lineRule="auto"/>
    </w:pPr>
    <w:tblPr>
      <w:tblBorders>
        <w:top w:val="single" w:color="B6DDE7" w:themeColor="accent5" w:themeTint="67" w:sz="4" w:space="0"/>
        <w:left w:val="single" w:color="B6DDE7" w:themeColor="accent5" w:themeTint="67" w:sz="4" w:space="0"/>
        <w:bottom w:val="single" w:color="B6DDE7" w:themeColor="accent5" w:themeTint="67" w:sz="4" w:space="0"/>
        <w:right w:val="single" w:color="B6DDE7" w:themeColor="accent5" w:themeTint="67" w:sz="4" w:space="0"/>
        <w:insideH w:val="single" w:color="B6DDE7" w:themeColor="accent5" w:themeTint="67" w:sz="4" w:space="0"/>
        <w:insideV w:val="single" w:color="B6DDE7" w:themeColor="accent5" w:themeTint="67" w:sz="4" w:space="0"/>
      </w:tblBorders>
    </w:tblPr>
    <w:tblStylePr w:type="firstRow">
      <w:rPr>
        <w:rFonts w:ascii="Arial" w:hAnsi="Arial"/>
        <w:color w:val="404040"/>
        <w:sz w:val="22"/>
      </w:rPr>
      <w:tcPr>
        <w:tcBorders>
          <w:bottom w:val="single" w:color="92CCDC" w:themeColor="accent5" w:themeTint="9A" w:sz="12" w:space="0"/>
        </w:tcBorders>
      </w:tcPr>
    </w:tblStylePr>
    <w:tblStylePr w:type="lastRow">
      <w:rPr>
        <w:rFonts w:ascii="Arial" w:hAnsi="Arial"/>
        <w:color w:val="404040"/>
        <w:sz w:val="22"/>
      </w:rPr>
      <w:tcPr>
        <w:tcBorders>
          <w:top w:val="single" w:color="92CCDC" w:themeColor="accent5" w:themeTint="9A"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92CCDC" w:themeColor="accent5" w:themeTint="9A" w:sz="12" w:space="0"/>
        </w:tcBorders>
      </w:tcPr>
    </w:tblStylePr>
    <w:tblStylePr w:type="band1Vert"/>
    <w:tblStylePr w:type="band2Vert"/>
    <w:tblStylePr w:type="band1Horz">
      <w:rPr>
        <w:rFonts w:ascii="Arial" w:hAnsi="Arial"/>
        <w:color w:val="404040"/>
        <w:sz w:val="22"/>
      </w:rPr>
      <w:tcPr>
        <w:tcBorders>
          <w:top w:val="single" w:color="B6DDE7" w:themeColor="accent5" w:themeTint="67" w:sz="4" w:space="0"/>
          <w:left w:val="single" w:color="B6DDE7" w:themeColor="accent5" w:themeTint="67" w:sz="4" w:space="0"/>
          <w:bottom w:val="single" w:color="B6DDE7" w:themeColor="accent5" w:themeTint="67" w:sz="4" w:space="0"/>
          <w:right w:val="single" w:color="B6DDE7" w:themeColor="accent5" w:themeTint="67" w:sz="4" w:space="0"/>
        </w:tcBorders>
      </w:tcPr>
    </w:tblStylePr>
    <w:tblStylePr w:type="band2Horz"/>
    <w:tblStylePr w:type="neCell"/>
    <w:tblStylePr w:type="nwCell"/>
    <w:tblStylePr w:type="seCell"/>
    <w:tblStylePr w:type="swCell"/>
  </w:style>
  <w:style w:type="table" w:customStyle="1" w:styleId="189">
    <w:name w:val="Bordered - Accent 6"/>
    <w:qFormat/>
    <w:uiPriority w:val="99"/>
    <w:pPr>
      <w:spacing w:after="0" w:line="240" w:lineRule="auto"/>
    </w:pPr>
    <w:tblPr>
      <w:tbl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insideH w:val="single" w:color="FBD4B4" w:themeColor="accent6" w:themeTint="67" w:sz="4" w:space="0"/>
        <w:insideV w:val="single" w:color="FBD4B4" w:themeColor="accent6" w:themeTint="67" w:sz="4" w:space="0"/>
      </w:tblBorders>
    </w:tblPr>
    <w:tblStylePr w:type="firstRow">
      <w:rPr>
        <w:rFonts w:ascii="Arial" w:hAnsi="Arial"/>
        <w:color w:val="404040"/>
        <w:sz w:val="22"/>
      </w:rPr>
      <w:tcPr>
        <w:tcBorders>
          <w:bottom w:val="single" w:color="FAC090" w:themeColor="accent6" w:themeTint="98" w:sz="12" w:space="0"/>
        </w:tcBorders>
      </w:tcPr>
    </w:tblStylePr>
    <w:tblStylePr w:type="lastRow">
      <w:rPr>
        <w:rFonts w:ascii="Arial" w:hAnsi="Arial"/>
        <w:color w:val="404040"/>
        <w:sz w:val="22"/>
      </w:rPr>
      <w:tcPr>
        <w:tcBorders>
          <w:top w:val="single" w:color="FAC090" w:themeColor="accent6" w:themeTint="98" w:sz="12" w:space="0"/>
        </w:tcBorders>
      </w:tcPr>
    </w:tblStylePr>
    <w:tblStylePr w:type="firstCol">
      <w:rPr>
        <w:rFonts w:ascii="Arial" w:hAnsi="Arial"/>
        <w:color w:val="404040"/>
        <w:sz w:val="22"/>
      </w:rPr>
    </w:tblStylePr>
    <w:tblStylePr w:type="lastCol">
      <w:rPr>
        <w:rFonts w:ascii="Arial" w:hAnsi="Arial"/>
        <w:color w:val="404040"/>
        <w:sz w:val="22"/>
      </w:rPr>
      <w:tcPr>
        <w:tcBorders>
          <w:left w:val="single" w:color="FAC090" w:themeColor="accent6" w:themeTint="98" w:sz="12" w:space="0"/>
        </w:tcBorders>
      </w:tcPr>
    </w:tblStylePr>
    <w:tblStylePr w:type="band1Vert"/>
    <w:tblStylePr w:type="band2Vert"/>
    <w:tblStylePr w:type="band1Horz">
      <w:rPr>
        <w:rFonts w:ascii="Arial" w:hAnsi="Arial"/>
        <w:color w:val="404040"/>
        <w:sz w:val="22"/>
      </w:rPr>
      <w:tcPr>
        <w:tc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tcBorders>
      </w:tcPr>
    </w:tblStylePr>
    <w:tblStylePr w:type="band2Horz"/>
    <w:tblStylePr w:type="neCell"/>
    <w:tblStylePr w:type="nwCell"/>
    <w:tblStylePr w:type="seCell"/>
    <w:tblStylePr w:type="swCell"/>
  </w:style>
  <w:style w:type="character" w:customStyle="1" w:styleId="190">
    <w:name w:val="Footnote Text Char"/>
    <w:link w:val="31"/>
    <w:qFormat/>
    <w:uiPriority w:val="99"/>
    <w:rPr>
      <w:sz w:val="18"/>
    </w:rPr>
  </w:style>
  <w:style w:type="character" w:customStyle="1" w:styleId="191">
    <w:name w:val="Endnote Text Char"/>
    <w:link w:val="24"/>
    <w:qFormat/>
    <w:uiPriority w:val="99"/>
    <w:rPr>
      <w:sz w:val="20"/>
    </w:rPr>
  </w:style>
  <w:style w:type="paragraph" w:customStyle="1" w:styleId="192">
    <w:name w:val="TOC Heading"/>
    <w:unhideWhenUsed/>
    <w:qFormat/>
    <w:uiPriority w:val="39"/>
    <w:rPr>
      <w:rFonts w:hint="default" w:ascii="Times New Roman" w:hAnsi="Times New Roman" w:eastAsia="宋体" w:cs="Times New Roman"/>
    </w:rPr>
  </w:style>
  <w:style w:type="paragraph" w:customStyle="1" w:styleId="193">
    <w:name w:val="标题 11"/>
    <w:basedOn w:val="1"/>
    <w:next w:val="1"/>
    <w:qFormat/>
    <w:uiPriority w:val="99"/>
    <w:pPr>
      <w:keepNext/>
      <w:spacing w:before="120" w:after="160" w:line="259" w:lineRule="auto"/>
      <w:ind w:left="432" w:hanging="432"/>
      <w:outlineLvl w:val="0"/>
    </w:pPr>
    <w:rPr>
      <w:rFonts w:eastAsia="黑体"/>
      <w:b/>
      <w:bCs/>
      <w:color w:val="000000"/>
      <w:sz w:val="30"/>
      <w:szCs w:val="30"/>
    </w:rPr>
  </w:style>
  <w:style w:type="character" w:customStyle="1" w:styleId="194">
    <w:name w:val="默认段落字体1"/>
    <w:link w:val="1"/>
    <w:semiHidden/>
    <w:qFormat/>
    <w:uiPriority w:val="0"/>
  </w:style>
  <w:style w:type="table" w:customStyle="1" w:styleId="195">
    <w:name w:val="普通表格1"/>
    <w:semiHidden/>
    <w:qFormat/>
    <w:uiPriority w:val="0"/>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character" w:customStyle="1" w:styleId="196">
    <w:name w:val="批注引用1"/>
    <w:link w:val="1"/>
    <w:semiHidden/>
    <w:qFormat/>
    <w:uiPriority w:val="0"/>
    <w:rPr>
      <w:sz w:val="21"/>
    </w:rPr>
  </w:style>
  <w:style w:type="character" w:customStyle="1" w:styleId="197">
    <w:name w:val="页码1"/>
    <w:basedOn w:val="194"/>
    <w:link w:val="1"/>
    <w:qFormat/>
    <w:uiPriority w:val="0"/>
  </w:style>
  <w:style w:type="character" w:customStyle="1" w:styleId="198">
    <w:name w:val="页脚 Char"/>
    <w:link w:val="199"/>
    <w:qFormat/>
    <w:uiPriority w:val="99"/>
    <w:rPr>
      <w:sz w:val="18"/>
    </w:rPr>
  </w:style>
  <w:style w:type="paragraph" w:customStyle="1" w:styleId="199">
    <w:name w:val="页脚1"/>
    <w:basedOn w:val="1"/>
    <w:link w:val="198"/>
    <w:qFormat/>
    <w:uiPriority w:val="99"/>
    <w:pPr>
      <w:tabs>
        <w:tab w:val="center" w:pos="4153"/>
        <w:tab w:val="right" w:pos="8306"/>
      </w:tabs>
      <w:jc w:val="left"/>
    </w:pPr>
    <w:rPr>
      <w:sz w:val="18"/>
      <w:szCs w:val="20"/>
    </w:rPr>
  </w:style>
  <w:style w:type="character" w:customStyle="1" w:styleId="200">
    <w:name w:val="日期 Char"/>
    <w:link w:val="201"/>
    <w:qFormat/>
    <w:uiPriority w:val="0"/>
    <w:rPr>
      <w:rFonts w:ascii="Times New Roman" w:hAnsi="Times New Roman" w:eastAsia="宋体"/>
      <w:sz w:val="24"/>
    </w:rPr>
  </w:style>
  <w:style w:type="paragraph" w:customStyle="1" w:styleId="201">
    <w:name w:val="日期1"/>
    <w:basedOn w:val="1"/>
    <w:next w:val="1"/>
    <w:link w:val="200"/>
    <w:qFormat/>
    <w:uiPriority w:val="0"/>
    <w:pPr>
      <w:ind w:left="100"/>
    </w:pPr>
    <w:rPr>
      <w:sz w:val="24"/>
      <w:szCs w:val="20"/>
    </w:rPr>
  </w:style>
  <w:style w:type="character" w:customStyle="1" w:styleId="202">
    <w:name w:val="页脚 字符"/>
    <w:basedOn w:val="194"/>
    <w:link w:val="1"/>
    <w:qFormat/>
    <w:uiPriority w:val="99"/>
  </w:style>
  <w:style w:type="character" w:customStyle="1" w:styleId="203">
    <w:name w:val="普通(网站) Char"/>
    <w:link w:val="204"/>
    <w:qFormat/>
    <w:uiPriority w:val="0"/>
    <w:rPr>
      <w:rFonts w:ascii="宋体" w:hAnsi="宋体" w:eastAsia="宋体"/>
      <w:sz w:val="24"/>
    </w:rPr>
  </w:style>
  <w:style w:type="paragraph" w:customStyle="1" w:styleId="204">
    <w:name w:val="普通(网站)1"/>
    <w:basedOn w:val="1"/>
    <w:link w:val="203"/>
    <w:qFormat/>
    <w:uiPriority w:val="0"/>
    <w:pPr>
      <w:widowControl/>
      <w:spacing w:before="100" w:beforeAutospacing="1" w:after="100" w:afterAutospacing="1"/>
      <w:jc w:val="left"/>
    </w:pPr>
    <w:rPr>
      <w:rFonts w:ascii="宋体" w:hAnsi="宋体"/>
      <w:sz w:val="24"/>
      <w:szCs w:val="20"/>
    </w:rPr>
  </w:style>
  <w:style w:type="character" w:customStyle="1" w:styleId="205">
    <w:name w:val="正文文本 字符1"/>
    <w:link w:val="1"/>
    <w:semiHidden/>
    <w:qFormat/>
    <w:uiPriority w:val="0"/>
    <w:rPr>
      <w:rFonts w:ascii="Times New Roman" w:hAnsi="Times New Roman" w:eastAsia="宋体"/>
      <w:sz w:val="24"/>
    </w:rPr>
  </w:style>
  <w:style w:type="character" w:customStyle="1" w:styleId="206">
    <w:name w:val="正文文本 Char"/>
    <w:link w:val="207"/>
    <w:qFormat/>
    <w:uiPriority w:val="0"/>
    <w:rPr>
      <w:sz w:val="18"/>
    </w:rPr>
  </w:style>
  <w:style w:type="paragraph" w:customStyle="1" w:styleId="207">
    <w:name w:val="正文文本1"/>
    <w:basedOn w:val="1"/>
    <w:link w:val="206"/>
    <w:qFormat/>
    <w:uiPriority w:val="0"/>
    <w:pPr>
      <w:widowControl/>
      <w:spacing w:before="60" w:after="160" w:line="259" w:lineRule="auto"/>
      <w:ind w:right="113"/>
    </w:pPr>
    <w:rPr>
      <w:sz w:val="18"/>
      <w:szCs w:val="20"/>
    </w:rPr>
  </w:style>
  <w:style w:type="character" w:customStyle="1" w:styleId="208">
    <w:name w:val="批注文字 Char"/>
    <w:link w:val="209"/>
    <w:qFormat/>
    <w:uiPriority w:val="0"/>
    <w:rPr>
      <w:rFonts w:ascii="Times New Roman" w:hAnsi="Times New Roman" w:eastAsia="宋体"/>
      <w:sz w:val="24"/>
    </w:rPr>
  </w:style>
  <w:style w:type="paragraph" w:customStyle="1" w:styleId="209">
    <w:name w:val="批注文字1"/>
    <w:basedOn w:val="1"/>
    <w:link w:val="208"/>
    <w:semiHidden/>
    <w:qFormat/>
    <w:uiPriority w:val="0"/>
    <w:pPr>
      <w:jc w:val="left"/>
    </w:pPr>
    <w:rPr>
      <w:sz w:val="24"/>
      <w:szCs w:val="20"/>
    </w:rPr>
  </w:style>
  <w:style w:type="character" w:customStyle="1" w:styleId="210">
    <w:name w:val="表格 Char"/>
    <w:link w:val="211"/>
    <w:qFormat/>
    <w:uiPriority w:val="0"/>
    <w:rPr>
      <w:rFonts w:ascii="宋体"/>
      <w:sz w:val="21"/>
    </w:rPr>
  </w:style>
  <w:style w:type="paragraph" w:customStyle="1" w:styleId="211">
    <w:name w:val="表格"/>
    <w:basedOn w:val="1"/>
    <w:next w:val="1"/>
    <w:link w:val="210"/>
    <w:qFormat/>
    <w:uiPriority w:val="0"/>
    <w:pPr>
      <w:spacing w:line="259" w:lineRule="auto"/>
      <w:jc w:val="center"/>
    </w:pPr>
    <w:rPr>
      <w:rFonts w:ascii="宋体"/>
      <w:szCs w:val="20"/>
    </w:rPr>
  </w:style>
  <w:style w:type="character" w:customStyle="1" w:styleId="212">
    <w:name w:val="日期 字符"/>
    <w:link w:val="1"/>
    <w:semiHidden/>
    <w:qFormat/>
    <w:uiPriority w:val="0"/>
    <w:rPr>
      <w:rFonts w:ascii="Times New Roman" w:hAnsi="Times New Roman" w:eastAsia="宋体"/>
      <w:sz w:val="24"/>
    </w:rPr>
  </w:style>
  <w:style w:type="character" w:customStyle="1" w:styleId="213">
    <w:name w:val="批注框文本 Char"/>
    <w:link w:val="214"/>
    <w:semiHidden/>
    <w:qFormat/>
    <w:uiPriority w:val="0"/>
    <w:rPr>
      <w:rFonts w:ascii="Times New Roman" w:hAnsi="Times New Roman" w:eastAsia="宋体"/>
      <w:sz w:val="18"/>
    </w:rPr>
  </w:style>
  <w:style w:type="paragraph" w:customStyle="1" w:styleId="214">
    <w:name w:val="批注框文本1"/>
    <w:basedOn w:val="1"/>
    <w:link w:val="213"/>
    <w:semiHidden/>
    <w:qFormat/>
    <w:uiPriority w:val="0"/>
    <w:rPr>
      <w:sz w:val="18"/>
      <w:szCs w:val="20"/>
    </w:rPr>
  </w:style>
  <w:style w:type="character" w:customStyle="1" w:styleId="215">
    <w:name w:val="批注主题 Char"/>
    <w:link w:val="216"/>
    <w:semiHidden/>
    <w:qFormat/>
    <w:uiPriority w:val="0"/>
    <w:rPr>
      <w:rFonts w:ascii="Times New Roman" w:hAnsi="Times New Roman" w:eastAsia="宋体"/>
      <w:b/>
      <w:sz w:val="24"/>
    </w:rPr>
  </w:style>
  <w:style w:type="paragraph" w:customStyle="1" w:styleId="216">
    <w:name w:val="批注主题1"/>
    <w:basedOn w:val="209"/>
    <w:next w:val="209"/>
    <w:link w:val="215"/>
    <w:semiHidden/>
    <w:qFormat/>
    <w:uiPriority w:val="0"/>
    <w:rPr>
      <w:b/>
      <w:sz w:val="24"/>
      <w:szCs w:val="20"/>
    </w:rPr>
  </w:style>
  <w:style w:type="character" w:customStyle="1" w:styleId="217">
    <w:name w:val="页眉 Char"/>
    <w:link w:val="218"/>
    <w:qFormat/>
    <w:uiPriority w:val="0"/>
    <w:rPr>
      <w:sz w:val="18"/>
    </w:rPr>
  </w:style>
  <w:style w:type="paragraph" w:customStyle="1" w:styleId="218">
    <w:name w:val="页眉1"/>
    <w:basedOn w:val="1"/>
    <w:link w:val="217"/>
    <w:qFormat/>
    <w:uiPriority w:val="0"/>
    <w:pPr>
      <w:pBdr>
        <w:bottom w:val="single" w:color="000000" w:sz="6" w:space="1"/>
      </w:pBdr>
      <w:tabs>
        <w:tab w:val="center" w:pos="4153"/>
        <w:tab w:val="right" w:pos="8306"/>
      </w:tabs>
      <w:jc w:val="center"/>
    </w:pPr>
    <w:rPr>
      <w:sz w:val="18"/>
      <w:szCs w:val="20"/>
    </w:rPr>
  </w:style>
  <w:style w:type="character" w:customStyle="1" w:styleId="219">
    <w:name w:val="批注文字 字符1"/>
    <w:link w:val="1"/>
    <w:semiHidden/>
    <w:qFormat/>
    <w:uiPriority w:val="0"/>
    <w:rPr>
      <w:rFonts w:ascii="Times New Roman" w:hAnsi="Times New Roman" w:eastAsia="宋体"/>
      <w:sz w:val="24"/>
    </w:rPr>
  </w:style>
  <w:style w:type="character" w:customStyle="1" w:styleId="220">
    <w:name w:val="正文文本缩进 Char"/>
    <w:link w:val="221"/>
    <w:semiHidden/>
    <w:qFormat/>
    <w:uiPriority w:val="0"/>
    <w:rPr>
      <w:rFonts w:ascii="Times New Roman" w:hAnsi="Times New Roman" w:eastAsia="宋体"/>
      <w:sz w:val="24"/>
    </w:rPr>
  </w:style>
  <w:style w:type="paragraph" w:customStyle="1" w:styleId="221">
    <w:name w:val="正文文本缩进1"/>
    <w:basedOn w:val="1"/>
    <w:link w:val="220"/>
    <w:qFormat/>
    <w:uiPriority w:val="0"/>
    <w:pPr>
      <w:spacing w:after="120"/>
      <w:ind w:left="420"/>
    </w:pPr>
    <w:rPr>
      <w:sz w:val="24"/>
      <w:szCs w:val="20"/>
    </w:rPr>
  </w:style>
  <w:style w:type="paragraph" w:customStyle="1" w:styleId="222">
    <w:name w:val="正文_10"/>
    <w:qFormat/>
    <w:uiPriority w:val="0"/>
    <w:pPr>
      <w:widowControl w:val="0"/>
      <w:jc w:val="both"/>
    </w:pPr>
    <w:rPr>
      <w:rFonts w:hint="default" w:ascii="Times New Roman" w:hAnsi="Times New Roman" w:eastAsia="宋体" w:cs="Times New Roman"/>
      <w:sz w:val="21"/>
      <w:szCs w:val="22"/>
      <w:lang w:val="en-US" w:eastAsia="zh-CN" w:bidi="ar-SA"/>
    </w:rPr>
  </w:style>
  <w:style w:type="paragraph" w:customStyle="1" w:styleId="223">
    <w:name w:val="普通(网站)2"/>
    <w:basedOn w:val="1"/>
    <w:qFormat/>
    <w:uiPriority w:val="0"/>
    <w:pPr>
      <w:widowControl/>
      <w:spacing w:before="100" w:beforeAutospacing="1" w:after="100" w:afterAutospacing="1"/>
      <w:jc w:val="left"/>
    </w:pPr>
    <w:rPr>
      <w:rFonts w:ascii="宋体" w:hAnsi="宋体"/>
      <w:sz w:val="24"/>
      <w:szCs w:val="20"/>
    </w:rPr>
  </w:style>
  <w:style w:type="table" w:customStyle="1" w:styleId="224">
    <w:name w:val="网格型1"/>
    <w:basedOn w:val="195"/>
    <w:qFormat/>
    <w:uiPriority w:val="0"/>
    <w:rPr>
      <w:lang w:val="en-US" w:eastAsia="zh-CN" w:bidi="ar-SA"/>
    </w:r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paragraph" w:customStyle="1" w:styleId="225">
    <w:name w:val="表格名称"/>
    <w:basedOn w:val="1"/>
    <w:next w:val="1"/>
    <w:qFormat/>
    <w:uiPriority w:val="0"/>
    <w:pPr>
      <w:spacing w:line="360" w:lineRule="auto"/>
      <w:jc w:val="center"/>
    </w:pPr>
    <w:rPr>
      <w:rFonts w:ascii="Times New Roman" w:hAnsi="Times New Roman"/>
      <w:b/>
      <w:szCs w:val="21"/>
    </w:rPr>
  </w:style>
  <w:style w:type="paragraph" w:customStyle="1" w:styleId="226">
    <w:name w:val="表格内容"/>
    <w:basedOn w:val="30"/>
    <w:next w:val="1"/>
    <w:qFormat/>
    <w:uiPriority w:val="0"/>
    <w:pPr>
      <w:spacing w:line="340" w:lineRule="exact"/>
      <w:jc w:val="center"/>
    </w:pPr>
    <w:rPr>
      <w:rFonts w:ascii="Times New Roman" w:hAnsi="Times New Roman"/>
      <w:iCs/>
      <w:sz w:val="21"/>
      <w:szCs w:val="21"/>
    </w:rPr>
  </w:style>
  <w:style w:type="paragraph" w:customStyle="1" w:styleId="227">
    <w:name w:val="彪哥文本"/>
    <w:basedOn w:val="1"/>
    <w:next w:val="1"/>
    <w:qFormat/>
    <w:uiPriority w:val="0"/>
    <w:pPr>
      <w:adjustRightInd w:val="0"/>
      <w:snapToGrid w:val="0"/>
      <w:spacing w:before="10" w:beforeLines="10" w:after="10" w:afterLines="10" w:line="240" w:lineRule="auto"/>
      <w:jc w:val="center"/>
    </w:pPr>
    <w:rPr>
      <w:rFonts w:ascii="Times New Roman" w:hAnsi="Times New Roman" w:eastAsia="宋体"/>
      <w:kern w:val="0"/>
      <w:szCs w:val="21"/>
    </w:rPr>
  </w:style>
  <w:style w:type="paragraph" w:customStyle="1" w:styleId="228">
    <w:name w:val="福建标题"/>
    <w:basedOn w:val="1"/>
    <w:qFormat/>
    <w:uiPriority w:val="0"/>
    <w:pPr>
      <w:spacing w:line="240" w:lineRule="atLeast"/>
      <w:jc w:val="left"/>
    </w:pPr>
    <w:rPr>
      <w:rFonts w:ascii="Times New Roman" w:hAnsi="Times New Roman" w:eastAsia="宋体" w:cs="仿宋_GB2312"/>
      <w:b/>
      <w:sz w:val="28"/>
      <w:szCs w:val="36"/>
    </w:rPr>
  </w:style>
  <w:style w:type="paragraph" w:customStyle="1" w:styleId="229">
    <w:name w:val="Table Text"/>
    <w:basedOn w:val="1"/>
    <w:semiHidden/>
    <w:qFormat/>
    <w:uiPriority w:val="0"/>
    <w:rPr>
      <w:rFonts w:ascii="宋体" w:hAnsi="宋体" w:eastAsia="宋体" w:cs="宋体"/>
      <w:sz w:val="17"/>
      <w:szCs w:val="17"/>
      <w:lang w:val="en-US" w:eastAsia="en-US" w:bidi="ar-SA"/>
    </w:rPr>
  </w:style>
  <w:style w:type="table" w:customStyle="1" w:styleId="230">
    <w:name w:val="Table Normal"/>
    <w:semiHidden/>
    <w:unhideWhenUsed/>
    <w:qFormat/>
    <w:uiPriority w:val="0"/>
    <w:tblPr>
      <w:tblCellMar>
        <w:top w:w="0" w:type="dxa"/>
        <w:left w:w="0" w:type="dxa"/>
        <w:bottom w:w="0" w:type="dxa"/>
        <w:right w:w="0" w:type="dxa"/>
      </w:tblCellMar>
    </w:tblPr>
  </w:style>
  <w:style w:type="paragraph" w:customStyle="1" w:styleId="231">
    <w:name w:val="表表表表"/>
    <w:basedOn w:val="1"/>
    <w:qFormat/>
    <w:uiPriority w:val="0"/>
    <w:pPr>
      <w:widowControl/>
      <w:jc w:val="center"/>
    </w:pPr>
    <w:rPr>
      <w:rFonts w:eastAsia="方正楷体简体"/>
      <w:szCs w:val="21"/>
    </w:rPr>
  </w:style>
  <w:style w:type="paragraph" w:customStyle="1" w:styleId="232">
    <w:name w:val="屠彪标题"/>
    <w:basedOn w:val="1"/>
    <w:qFormat/>
    <w:uiPriority w:val="0"/>
    <w:pPr>
      <w:adjustRightInd w:val="0"/>
      <w:snapToGrid w:val="0"/>
      <w:spacing w:before="10" w:beforeLines="10" w:after="10" w:afterLines="10"/>
      <w:jc w:val="center"/>
    </w:pPr>
    <w:rPr>
      <w:rFonts w:ascii="Times New Roman" w:hAnsi="Times New Roman" w:eastAsia="宋体"/>
      <w:b/>
      <w:kern w:val="0"/>
      <w:sz w:val="24"/>
      <w:szCs w:val="20"/>
    </w:rPr>
  </w:style>
  <w:style w:type="paragraph" w:customStyle="1" w:styleId="233">
    <w:name w:val="闽创报告正文"/>
    <w:basedOn w:val="234"/>
    <w:qFormat/>
    <w:uiPriority w:val="0"/>
    <w:pPr>
      <w:widowControl w:val="0"/>
      <w:tabs>
        <w:tab w:val="left" w:pos="0"/>
      </w:tabs>
      <w:autoSpaceDE w:val="0"/>
      <w:autoSpaceDN w:val="0"/>
      <w:spacing w:line="360" w:lineRule="auto"/>
      <w:ind w:firstLine="200" w:firstLineChars="200"/>
      <w:jc w:val="both"/>
    </w:pPr>
    <w:rPr>
      <w:rFonts w:ascii="Times New Roman" w:hAnsi="Times New Roman" w:eastAsia="宋体" w:cs="宋体"/>
      <w:color w:val="FF0000"/>
      <w:kern w:val="0"/>
      <w:sz w:val="24"/>
      <w:szCs w:val="20"/>
      <w:lang w:val="zh-CN" w:eastAsia="zh-CN" w:bidi="ar-SA"/>
    </w:rPr>
  </w:style>
  <w:style w:type="paragraph" w:customStyle="1" w:styleId="234">
    <w:name w:val="0正文"/>
    <w:basedOn w:val="17"/>
    <w:link w:val="236"/>
    <w:unhideWhenUsed/>
    <w:qFormat/>
    <w:uiPriority w:val="0"/>
    <w:pPr>
      <w:widowControl w:val="0"/>
      <w:spacing w:line="360" w:lineRule="auto"/>
      <w:ind w:firstLine="720" w:firstLineChars="200"/>
    </w:pPr>
    <w:rPr>
      <w:rFonts w:ascii="Times New Roman" w:hAnsi="Times New Roman" w:eastAsia="宋体" w:cs="Times New Roman"/>
      <w:sz w:val="24"/>
      <w:szCs w:val="22"/>
      <w:lang w:val="en-US" w:eastAsia="zh-CN" w:bidi="ar-SA"/>
    </w:rPr>
  </w:style>
  <w:style w:type="paragraph" w:customStyle="1" w:styleId="235">
    <w:name w:val="表格标题"/>
    <w:basedOn w:val="233"/>
    <w:next w:val="226"/>
    <w:qFormat/>
    <w:uiPriority w:val="0"/>
    <w:pPr>
      <w:numPr>
        <w:ilvl w:val="7"/>
        <w:numId w:val="1"/>
      </w:numPr>
      <w:tabs>
        <w:tab w:val="left" w:pos="420"/>
        <w:tab w:val="clear" w:pos="0"/>
      </w:tabs>
      <w:spacing w:line="240" w:lineRule="auto"/>
      <w:ind w:left="0" w:firstLine="0" w:firstLineChars="0"/>
      <w:jc w:val="center"/>
    </w:pPr>
    <w:rPr>
      <w:rFonts w:ascii="Times New Roman" w:hAnsi="Times New Roman" w:eastAsia="宋体"/>
      <w:b/>
      <w:bCs/>
      <w:color w:val="auto"/>
      <w:szCs w:val="21"/>
    </w:rPr>
  </w:style>
  <w:style w:type="character" w:customStyle="1" w:styleId="236">
    <w:name w:val="0正文 Char"/>
    <w:link w:val="234"/>
    <w:qFormat/>
    <w:uiPriority w:val="0"/>
    <w:rPr>
      <w:rFonts w:ascii="Times New Roman" w:hAnsi="Times New Roman" w:eastAsia="宋体" w:cs="Times New Roman"/>
      <w:sz w:val="24"/>
      <w:szCs w:val="22"/>
      <w:lang w:val="en-US" w:eastAsia="zh-CN" w:bidi="ar-SA"/>
    </w:rPr>
  </w:style>
  <w:style w:type="paragraph" w:customStyle="1" w:styleId="237">
    <w:name w:val="文本正文"/>
    <w:basedOn w:val="1"/>
    <w:qFormat/>
    <w:uiPriority w:val="0"/>
    <w:pPr>
      <w:spacing w:line="360" w:lineRule="auto"/>
      <w:ind w:firstLine="480" w:firstLineChars="200"/>
    </w:pPr>
    <w:rPr>
      <w:rFonts w:ascii="Times New Roman" w:hAnsi="Times New Roman"/>
      <w:sz w:val="24"/>
      <w:szCs w:val="24"/>
    </w:rPr>
  </w:style>
  <w:style w:type="paragraph" w:customStyle="1" w:styleId="238">
    <w:name w:val="Default"/>
    <w:basedOn w:val="239"/>
    <w:next w:val="12"/>
    <w:qFormat/>
    <w:uiPriority w:val="0"/>
    <w:pPr>
      <w:widowControl w:val="0"/>
      <w:autoSpaceDE w:val="0"/>
      <w:autoSpaceDN w:val="0"/>
      <w:adjustRightInd w:val="0"/>
      <w:spacing w:before="50" w:beforeLines="50" w:after="50" w:afterLines="50" w:line="360" w:lineRule="auto"/>
    </w:pPr>
    <w:rPr>
      <w:rFonts w:ascii="宋体" w:hAnsiTheme="minorHAnsi" w:eastAsiaTheme="minorEastAsia" w:cstheme="minorBidi"/>
      <w:color w:val="000000"/>
      <w:kern w:val="2"/>
      <w:sz w:val="24"/>
      <w:szCs w:val="24"/>
      <w:lang w:val="en-US" w:eastAsia="zh-CN" w:bidi="ar-SA"/>
    </w:rPr>
  </w:style>
  <w:style w:type="paragraph" w:customStyle="1" w:styleId="239">
    <w:name w:val="纯文本1"/>
    <w:basedOn w:val="1"/>
    <w:next w:val="22"/>
    <w:qFormat/>
    <w:uiPriority w:val="99"/>
    <w:pPr>
      <w:snapToGrid w:val="0"/>
    </w:pPr>
    <w:rPr>
      <w:rFonts w:ascii="宋体" w:hAnsi="Courier New" w:cs="Courier New" w:eastAsiaTheme="minorEastAsia"/>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8" Type="http://schemas.openxmlformats.org/officeDocument/2006/relationships/fontTable" Target="fontTable.xml"/><Relationship Id="rId47" Type="http://schemas.openxmlformats.org/officeDocument/2006/relationships/numbering" Target="numbering.xml"/><Relationship Id="rId46" Type="http://schemas.openxmlformats.org/officeDocument/2006/relationships/customXml" Target="../customXml/item1.xml"/><Relationship Id="rId45" Type="http://schemas.openxmlformats.org/officeDocument/2006/relationships/image" Target="media/image37.png"/><Relationship Id="rId44" Type="http://schemas.openxmlformats.org/officeDocument/2006/relationships/image" Target="media/image36.jpe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jpeg"/><Relationship Id="rId40" Type="http://schemas.openxmlformats.org/officeDocument/2006/relationships/image" Target="media/image32.png"/><Relationship Id="rId4" Type="http://schemas.openxmlformats.org/officeDocument/2006/relationships/footer" Target="footer2.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emf"/><Relationship Id="rId35" Type="http://schemas.openxmlformats.org/officeDocument/2006/relationships/image" Target="media/image27.png"/><Relationship Id="rId34" Type="http://schemas.openxmlformats.org/officeDocument/2006/relationships/image" Target="media/image26.emf"/><Relationship Id="rId33" Type="http://schemas.openxmlformats.org/officeDocument/2006/relationships/image" Target="media/image25.emf"/><Relationship Id="rId32" Type="http://schemas.openxmlformats.org/officeDocument/2006/relationships/image" Target="media/image24.emf"/><Relationship Id="rId31" Type="http://schemas.openxmlformats.org/officeDocument/2006/relationships/image" Target="media/image23.emf"/><Relationship Id="rId30" Type="http://schemas.openxmlformats.org/officeDocument/2006/relationships/image" Target="media/image22.emf"/><Relationship Id="rId3" Type="http://schemas.openxmlformats.org/officeDocument/2006/relationships/footer" Target="footer1.xml"/><Relationship Id="rId29" Type="http://schemas.openxmlformats.org/officeDocument/2006/relationships/image" Target="media/image21.emf"/><Relationship Id="rId28" Type="http://schemas.openxmlformats.org/officeDocument/2006/relationships/image" Target="media/image20.emf"/><Relationship Id="rId27" Type="http://schemas.openxmlformats.org/officeDocument/2006/relationships/image" Target="media/image19.emf"/><Relationship Id="rId26" Type="http://schemas.openxmlformats.org/officeDocument/2006/relationships/image" Target="media/image18.emf"/><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jpe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
      <a:majorFont>
        <a:latin typeface="Arial"/>
        <a:ea typeface="Arial"/>
        <a:cs typeface="Arial"/>
      </a:majorFont>
      <a:minorFont>
        <a:latin typeface="Arial"/>
        <a:ea typeface="Arial"/>
        <a:cs typeface="Arial"/>
      </a:minorFont>
    </a:fontScheme>
    <a:fmtScheme nam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a:solidFill>
            <a:schemeClr val="phClr">
              <a:shade val="95000"/>
              <a:satMod val="105000"/>
            </a:schemeClr>
          </a:solidFill>
        </a:ln>
        <a:ln w="25400">
          <a:solidFill>
            <a:schemeClr val="phClr"/>
          </a:solidFill>
        </a:ln>
        <a:ln w="38100">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rgbClr val="000000"/>
        </a:solidFill>
        <a:solidFill>
          <a:srgbClr val="000000"/>
        </a:soli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DM5NzU2NDcxMjI0IiwKCSJHcm91cElkIiA6ICIyNTA0NTI4MzQ0IiwKCSJJbWFnZSIgOiAiaVZCT1J3MEtHZ29BQUFBTlNVaEVVZ0FBQWdnQUFBR1FDQVlBQUFETElaalFBQUFBQVhOU1IwSUFyczRjNlFBQUlBQkpSRUZVZUp6dDNYZDhWRlhleC9Idm1Vd3FBU21oUjQyQ2lKU1lDYUtVdGVBcXV1cURLNjY5dTJJRDNVZnNxK2lxNEtNcllCY1ZDeXJGaWk5ZFdSY0w0Z0pLUUZJbGdTVktDUVNSQ0NTVTFMbm4rWU5rTnVFbWtFQmdNc25uL1hyeGN1YmNjMjkrTjBMdU4zZk9QVWNDQUFBQUFBQUFBQUFBQUFBQUFBQUFBQUFBQUFBQUFBQUFBQUFBQUFBQUFBQUFBQUFBQUFBQUFBQUFBQUFBQUFBQUFBQUFBQUFBQUFBQUFBQUFBQUFBQUFBQUFBQUFBQUFBQUFBQUFBQUFBQUFBQUFBQUFBQUFBQUFBQUFBQUFBQUFBQUFBQUFBQUFBQUFBQUFBRGk0VDdBSUFJTlIxNjlIdjhJaHdiNDlnMTRIUVZWcGF1bnJqNnB5MXdhNmpPZ0lDQUJ5QWhJU2tCRVhaTjJYVU85aTFJS1N0VTdHNVpNMmE5RFhCTHFTS045Z0ZBRUJJaTFLQ2pIb2JtUzR4MGRFSzg0WUZ1eUtFRUgrRlg4VWxKWEtzalZLVUVpUVJFQUNnT1ltSmp0YlkyMGVyejNISEJyc1VoSkRzbkpWNmZzcXIybFpVRk94U1hBZ0lBTkFJd3J4aDZuUGNzUnAwNGduQkxnVWhKanc4UE5nbDFNb1Q3QUlBQUVEVFEwQUFBQUF1QkFRQUFPQkNRQUFBQUM0RUJBQUE0RUpBQUFBQUxnUUVBQURnUWtBQUFBQXVCQVFBQU9CQ1FBQUFBQzRFQkFBQTRFSkFBQUFBTGdRRUFBRGdRa0FBQUFBdUJBUUFBT0JDUUFBQUFDNEVCQUFBNEVKQUFBQUFMZ1FFQUFEZ1FrQUFBQUF1QkFRQUFPQkNRQUFBQUM0RUJBQUE0RUpBQUFBQUxnUUVBQURnUWtBQUFBQXVCQVFBQU9CQ1FBQUFBQzRFQkFBQTRFSkFBQUFBTGdRRUFDMVNVbEpTa3FTd1lOY0JORlhlWUJjQUFNRmdqSm1Ybkp5OHdYR2NtWTdqekxiVy9wcVZsVlVreVIvczJvQ21nSUFBb0tVeWt2cDVQSjdIalRGL2xaU1JuSno4bmVNNFM4UEN3bEtXTFZ1Mkx0Z0ZBc0ZFUUFEUVVwbkFDMk5pSlEyMTFnNHh4aFE2anJQWjUvUDlZSXladFdYTGxpL1hyRmxURXR4U2dVT1BnQUNncGJLU1pLMnQzbVlrdFRYR3RKVjBqS1RMMnJWcnQ3RmR1M1lmV0d2ZkR3c0xXMWxZV0xnOU56ZTNOR2hWQTRjSUFRRWh4ZWZ6SFdtdFBTcllkYUJaQ1B6OE0yYjN6WVRxWWFIYTY2N0dtTnNsM1d5dFhkRzZkZXNsU1VsSlAxcHIvNTJSa1pGK3lLc0dEaEVDQWtKR1VsSlNncVQzUEI3UEVjR3VCYUhQV2h1eloxdFZVS2lscnlSRlNFcVUxTjhZVStieGVEYjVmTDdjNG5LYld1Slg3VHNDSVl5QWdGQ1NJS21YdGJhTnBGMlNLb0pkRUZxV3Fyc0t4aGl2dFRaV1VoY2p4Y2dTRU5EOEVCQVFpclpaYXgrVHhPMWQ3RGRqekQ4a3hWWnZxeFlBOXV3clNYNXI3YytTbGpxT2t5RnBZWHA2K3BLRTNrbS9rOUhJUTFvOGNBZ1FFQkJ5akRGbDF0cjA5UFQwK2NHdUJhSEw1L1A1VlhueDMyT2dvbFJ6WE1JMmErM25qdU44NkRoT2VuRnhjVUZ1Ym03Um9hOFlPTFFJQ0FCYUtrZVZkdzJxaFFGcmpDbTIxbTZYdE54YSszWnhjZkhzbFN0WGJnOTJzY0NoUmtBQTBGSVovZmNPd2s1alRLWXhackcxZHFreFptbHFhbXB1c0FzRWdvbUFBS0Nsc283anJKVDBrZU00L3dnTEMxdFhXbHBha0oyZFhSYnN3b0NtZ0lBQW9FWHkrLzFuWkdabVp2STBERkE3QWdLQUZpa3pNek0xMkRVQVRSbkxQUU1BQUJjQ0FnQUFjQ0VnQUFBQUZ3SUNBQUJ3SVNBQUFBQVhBZ0lBQUhBaElBQUFBQmNDQWdBQWNDRWdBQUFBRndJQ0FBQndJU0FBQUFBWEFnSUFBSEFoSUFBQUFCY0NBZ0FBY0NFZ0FBQUFGd0lDQUFCd0lTQUFBQUFYQWdJQUFIQWhJQUFBQUJjQ0FnQUFjQ0VnQUFBQUZ3SUNBQUJ3SVNBQUFBQVhBZ0lBQUhBaElBQUFBQmNDQWdBQWNDRWdBQUFBRndJQ0FBQndJU0FBQUFBWEFnSUFBSEFoSUFBQUFCZHZzQXNBZ09iQVgrRlhkczdLWUplQkVKT2RzMUxsNWVYQkxxTldCQVFBYUFURkpTVjZmc3FyQ2c4UEQzWXBDQ0hsNWVVcTJyNDkyR1hVaW9BQUFBZWd6RG9iSTR6WjZGZ2J0YTJvS05qbElGUlp1Nm5NMm8zQkxxTTZBZ0lBSElEOGxabXJqdWpaOTBxUE43eFRzR3RCNlBJYlc1Qy9Jbk5Wc091b2pvQUFBQWZHV1plN1BGdFNkckFMQVJvVFR6RUFBQUFYQWdJQUFIQWhJQUFBQUJjQ0FnQUFjQ0VnQUFBQUZ3SUNBQUJ3SVNBQUFBQVhBZ0lBQUhBaElBQUFBQmNDQWdBQWNDRWdBQUFBRjlaaVFDalpab3haYUswdGs3UXQyTVVBUUhOR1FFRElLQ3NyeS9aNnZYOE9Dd3V6WldWbGhjR3VCd0FBQUFBQUFBQUFBQUFBQUFBQUFBQUFBQUFBQUFBQUFBQUFBQUFBQUFBQUFBQUFBQUFRR2t5d0M2aE4xNk9PT3pJeU12S29ZTmZSM0ZqcnJGMjdNbk4xc09zQW1wdHVQZm9kSGhIdTdSSHNPaEM2U2t0TFYyOWNuYk0yMkhWVTErUUNRbnlQdmoyOUVkNFprbzRJZGkzTmpiSGFiQjNuNGpYL3lWb1I3RnFBNWlJaElTbEJVZlpOR2ZVT2RpMElhZXRVYkM1WnN5WjlUYkFMcWRMa2xudjJlc042U3FhWHg1aTIwZEhSQ2d2ekJMdWtrT2Y0SFJXWEZNdnZkOXBLWWIwbEVSQ0F4aEtsQkJuMU5qSmRZcUtqRmVZTkMzWkZDQ0grQ3IrS1MwcmtXQnVsS0NWSUlpRHNTNGYyN1hYYkxhTjBURS91Mmgyb05Xdlg2ZmtwVTVXL2NXT3dTd0dhclpqb2FJMjlmYlQ2SEhkc3NFdEJDTW5PV2FubnA3eXFiVVZGd1M3RnBja0doTWpJQ1BYcmM1eDhTWW5CTGlYa3RXbmRXdEhSVWNFdUEyald3cnhoNm5QY3NScDA0Z25CTGdVaEpqdzhQTmdsMUlyNzl3QUF3SVdBQUFBQVhBZ0lBQURBaFlBQUFBQmNDQWdBQU1DRmdBQUFBRnlhN0dPT2FMWThQcC92Um1QTTVDMWJ0clJmczJaTnlaNGRFaE1UVzNtOTNyc2xYV3F0VFRER2xGaHJsMHA2SWkwdDdlczkrL2Z1M2J0RGRIVDBZNUpHU0lxVHRGYlNHMmxwYVJNbCtmZnNuNUNRRUxWbXpab0tTUlVIODBRQklKUnhCd0dIaXZINWZDT1NrNU9YR21PbVNJcXVxNS9YNi8xTzBzT1N0a2w2ejFxYkp1bjNrcjcwK1h4WFYrL2N1M2Z2RGpFeE1TbkdtRnNrclRMR3pKUVVhNHg1d3VmenZiN253WDArMytQdDJyWGJuSmlZMk9XZ25Ta0FOQU1FQkJ4MEF3WU02TzN6K2RZWll6NlJGR2V0M2J5WDdtSFcyaWkvMzM5U2FtcnFvTFMwdEd2UzB0S0dPWTV6dGpIR2tmVDBnQUVEQXJPS1JFZEgvMTFTRDBuM3BLV2xEVXROVGIyK3JLeXN2NlNmakRIWEpDVWxEZDNqK0VPTU1iRUg3MndCb0hrZ0lPQ2dxNmlvaUpNVUtlbVJrcEtTdnBKKzNVdDN2OGZqR1pxUmtiR2tlbU5HUnNZWGtyNDF4clF2S3l2cnJkM0I0ekJqekZYVzJ0V3BxYWtUcS9vdVg3NThpNlFKa3VUeGVLNDVpS2NHQU0wV1l4QncwQlVXRnY2d1pzMmFybFhqQVh3KzM5NjYyMlhMbGhYVWRTanR2dWlYU3BLMTluUko0WkkrazJTcmR5d3BLZms4S2lwS2trNldwT1RrNUdjay9hVnF1OWZyelV0T1RwYWt1YW1wcVdjZitGa0NRUE5DUU1CQlY5dEF4SWJxMDZkUGhMWDJKRWs3ZCs3Y3VWYTdBMEpmWTR5c3RWbDc5cy9PenY0bE9UbTVzUExqQjQrMWRvRXh4bXV0dmNBWTAwM1NORWs3SGNmSlB0RGFBS0E1SWlBZ0pFUkZSZDB2cVp1a0YzTnpjMHNybTd0SmtqRm1VMjM3V0d0L05jWWNjK3l4eDdaS1MwdjdTTkpIUHArdm42UnVGUlVWNHpJek05Y2Z5bk1BZ0ZEQ0dBUTBkUjZmei9lWXBMOVphN01keDNtdzJyWVlTWEljcDlZN0ZNYVlFa21LalkyTlBFUzFBa0N6d1IwRU5GbjkrdlhySEI0ZVBzTVk4M3RKQ3lSZG1KNmV2cTFhbHdydERnSjEvVDJPcVB6dnJvTmZMUUEwTDl4QmtMUmh3NFpHT2M3YXRXdTFiZHUyV3JmdDNMbXoxdmFDZ3JyRzQ3VnN5Y25KZ3lJaUl0S05NYWRLK2x0cWF1cXd0TFMwR285SEdtTzJhdmVneGZaMUhDYk9XcnRqMmJKbEJBUUFhS0FXSHhCV3IxNnQ4ODgvWDRzV0xhcFgvL0x5Y3YzODg4LzY1cHR2WE8yMzNucXIvdmEzdjduMitlV1hYelJpeEFoOSt1bW5OZG9YTFZxa0VTTkdhTUdDQlFkNEZzM0w4Y2NmL3p0SlgxdHJLeHpIT1RVMU5mV1IybVpFZEJ6blA1VXZqOXR6MjRBQkErSWtkVERHTEQ4a1JRTkFNOU1pUDJJb0x5OVhlWG01SktsejU4NDY4Y1FUTlhQbXpCcVAzMFZFUk9pNzc3N1RuRGx6dEhQblR1M1lzVVBidG0xVGZuNisvUDdkMTZyWFgzOWRTVWxKa3FUWnMyZnJsMTkrMFZWWFhhVzB0RFJKMG1HSEhhYWpqejVhWGJwMDBaQWhRelJod2dUMTdObFRmZnIwVVZsWm1TWk5tcVF1WGJwb3dJQUJRZmsrTkVVREJneUljUnpuUFVtRjVlWGxRMzc4OGNlOHZYU2ZyOTJERWMrVjlFRDFEWTdqL01FWUkwbWY3N0dQbGFTd3NMQ3dnMUErQURRYkxUSWdQUHZzczVvMWE1YXIvZVNUVHc2OGZ2enh4NVdYbDZlRkN4ZHE4T0RCNnRLbGl6cDA2S0M0dURoMTZkSkZYYnAwMGVHSEh5N3RmczVmYjd6eGhvd3htalJwa3JUN0FxV1RUejVaenp6empDVHAvdnZ2VjNwNnVqNzQ0QU05L1BERGV1bWxsN1JwMHlaTm16Wk5NVEV4aCt6Y216ckhjUzQweG5TejFqNjhqM0NnOVBUMFZUNmY3MXRqektrK24rLzZ0TFMwTnlTcGI5Kys3U1U5SktuWVdqdTErajdHbU0zYUhTcDZWYTdaQUFDb1JZc01DTmRlZTYzT09PTU1wYVdsMVFnRmt2VHBwNS9xakRQTzBORkhINjEzMzMxWGNYRnhtamh4WXAzSHN0WnEzTGh4cXFpbzBMLys5Uy9GeGNVcEt5dEwxMTEzbmM0NjY2ekFNWXVMaTNYbW1XZXFVNmRPZXVPTk56UjkrblNkZE5KSlNrMU5WV3BxcXJwMTYrYXFwWVZLMHU0TCtRaWZ6NWRjUjU4RmFXbHBrN1E3VUl3T0N3djdUdEpyUHAvdkltUE1Sa2xuUytycU9NNm85UFQwL09vN1dtdm5HV011OG5nOGJ5VW5KMzltcmQyU2xwWjIzNkU0TVFBSUpTMHlJTVRGeFNrMU5WVXZ2ZlNTK3ZYcnA0RURCMHFTUHZ2c004MllNVU1KQ1FsS1RFeXMxN0dtVDUrdVJZc1dhZkxreVlxTGkxTkpTWW4rOXJlLzZjd3p6OVFmL3ZBSFNkSS8vdkVQL2ZiYmI0RjlObXpZb0ZhdFdtbmp4bzE2NzczM0pFa25uSEFDQVdHM05wWC9IV0NNcWV1emw4QmpqUmtaR2N0OVB0OWdTZjluakRuVld1czF4cVE1am5ORGVucjZQL2ZjMGVQeHZHNnQ3VzJ0dmRRWWM2VXg1dFdEZGlZQUVNSmFaRUNRcE9IRGgydkJnZ1dhT25XcUJnNGNxSUtDQWsyY09GRWpSNDdVeUpFajYzMGNuOCtucUtnby9mV3ZmNVVxUDFvb0t5dFRmbjYraGc0ZHFuUE9PVWRUcDlhNHk2M3p6ejlmSjU1NG9oNTQ0SUU2anRxOHBhV2w5ZHZMdGxHU1JqWHdlTm1TenE5UDMyWExscFZMK3QvS1B3Q0FPclM0Z0xCeDQwWk5tREJCa3JSanh3NTV2VjZOR1RORytmbjUycjU5dS9MeThqUm16QmgxN3R4WlhidDIzZWZ4K3ZYcnA3UE9Pa3NiTm16UW1ERmo5TUlMTHlneU1sS2pSbzNTQ3krOG9MS3lza053VmdBQU5LNFdGeENpbzZOZFR3MDRqcVBrNUdSVmpucVhLcDlBMkxKbGk5YXZYNitoUS9kY01maS9xaDZQYk5PbWpmcjM3NjgyYmRvb0ppWW04RnE3Rnc1U1NjbC9KL3VydXN0UWZjNkVtSmdZUlVSRTFQSVZBQUE0OUZwY1FHamJ0cTJ1dSs2NkdtMmpSbzNTNFljZnJvY2VlcWhHKzJ1dnZhYjI3ZHZycnJ2dWtuWXZBS1RwMDZmcnIzLzlxMkpqWTJ2MExTa3BVWDUrZmlBSVZMMk9pWW5SckZtejlNSUxMOVRvbjUrZnI4OCsreXp3L3JISEh0TTU1NXpUNk9jTEFNRCthSEVCUVpVWDg2cDVFQ1RKNy9lcnZMeGMyN2R2RDdSRlIwZkw3L2VyVFpzMmdhY1JJaUlpTkgzNmRKMTY2cW1LaTR1cmNjenZ2dnRPLy9NLy94TjRQMi9lUEVuU2VlZWRwelBQUEZNOWUvWU1iQnMvZnJ4NjllcWxpeSsrT05CMjdMSEhIcVN6QlFDZzRWcGtRQmcvZnJ3Ky83em0vRGtaR1JuNjV6Ly9PK2o5OGNjZlYxRlJrVnEzYmwydll3NGJOa3hQUFBHRTdydnZQc1hFeE9paGh4N1NmZmZ0Zm5vdVBqNWU4Zkh4Z2I1UlVWSHEwcVVMVHkwQUFKcXNGaGtRL3ZkLy8xYzMzSEJENFAyNGNlUFV0V3RYM1hycnJZRzJqaDA3YXVIQ2hZRnhCUHRpakpIWDY1VXhwc1pyQUFCQ1VZc01DSEZ4Y2ZyNjY2KzFlUEZpUGZYVVU0cUtpbEpzYkt4eWNuSzBmUG55d0ppRFZhdFc2Y1FUVDZ6WE1Rc0xDNVdXbHFiQ3drS1ZsSlFFWHNmRXhHalpzbVdxcUtnSTlDMHBLZEhtelp1VmtwSlM0eGdubm5naW9RSkF5Q2dvS05DMmJkdHFmSVRhbEd6ZHVsV0ZoWVZLU0VnSWRpa2hxVVVHaExLeU1yMzU1cHRLVGs2VzEvdmZiNEhqT0pvMWE1YjY5Kyt2azA4K1dULzk5Rk9OT3cxN2s1YVdwakZqeGdUZXA2YW1xcXlzVEYyN2R0WFlzV08xWThlT0d2MFhMRmpnV3FRcEpTV2xSajBBc0QvbXpadW5lKys5VjRzV0xRbzhIVFZpeEFqOTRROS8wQzIzM0ZLajc4eVpNL1hhYTY4RnhrMDF4TFJwMHpScjFpd3RXN2FzMFdwdkxCVVZGYnIyMm1zbFNiTm16V0pLKy8zUUlxOUc3Nzc3cnJaczJhS2JiNzY1UnZ1NTU1NnJMNzc0UXBNbVRWSmhZYUU4SGsrOUZsSTY4OHd6ZGRwcHArbVVVMDZwMFY1UVVDQ1B4Nk83Nzc1YjF0cEErK1dYWDY0VFRqaEJZOGVPcmRHZmNBQWNHZ2tKQ1ZHeHNiRkgvZmpqanlzbE9jR3VwN0U1amlQSGNXcjgzSEVjcDlZN2xCVVZGWHY5MmJOcjF5NjkvLzc3dXVxcXE5U1FOYzRXTEZpZ3FLaW93RXkxa3JSaXhRcDkvZlhYRFRxWDZ0cTJiYXNycnJpaVhuMjlYcS91dU9NTzNYMzMzVnE0Y0tHR0R4KyszMSszcFdweFY2VFMwbEs5L2ZiYit0T2YvcVFqampoQ3F2eUhVK1dCQng1UVlXR2hIbnp3UVEwZlBsenQyclhiNXpFSER4NHNTZHE1YzZlMmI5K3V3c0pDRlJVVmFkdTJiZHEyYlp0T08rMDBkZXpZTWREZjQvSEk2L1hXZXdBa2dNYlZwazJiT0svWCs3M1A1OHUxMWs3M2VEeWZPWTVUa0o2ZXZyMjJwY1diQTJ1dFBCNlBxNzI4dkZ6aDRlRjE3cmQ0OFdJOS8venp5cy9QRDh3WXV5K3JWcTNTL2ZmZnIram9hSDM4OGNlQng4TC84NS8vNkkwMzN0anZjNGlQajY4UkVGYXZYcTBycjd4eW4vczk4c2dqZXVTUlIycmRkdlRSUit1ZGQ5N1o3NXFhc3hZWEVDSWpJelZyMWl6OThzc3YrdlRUVDFWU1VxS2NuSnpBMmd1ZE9uWFN4eDkvckRWcjFnUm1YTnliaVJNbmFzNmNPZHF4WTBlTm9CRWVIcTYyYmR1cVhidDJPdUdFRTJvRUJBQk5ncWR5dlk5a2ErM0R4cGgwbjgrWFlxMWRIQllXbHJKczJiS053UzZ3b1hKeWNyUjY5V290WDc1Y2tqUjM3bHgxNk5CQlE0Y09sYlcyeGgyQTR1SmlUWjQ4V1RrNU9kcStmWHVObjNjMzNYUlQ0Rkh1MDA4L1hWZGZmYlhlZnZ0dGRlL2VYZGRjYzgxZWF5Z29LTkRZc1dObHJkVXp6enhUWTg2WUVTTkdhTVNJRWJYdXQyblRKcDF6emptNjdMTExBdVBBOXNYdjk2dWtwRVNubjM2NmZENWZ2ZmJaVTl1MmJmZHJ2NWFneFFVRVZUNmhzSDc5ZWozeXlDTXl4dWlvbzQ3U0JSZGNFTmhlV2xxcTBhTkgxMnZnemU5Ly8zdjE2dFZMN2RxMUN3U0N0bTNidWlaU0F0QzBXR3RONVZOSFJsSmJTYWRaYTA4eHhteXoxbTcyK1h4THJMWHZsSldWZlp1ZG5SMFNjNlovOWRWWG1qRmpSdUNqaGNjZmYxdzllL2JVamgwN1ZGeGNyTnpjWE0yZE8xZVNkTXd4eHlndkwwOWJ0MjZWSk9YbDVXbm56cDNLenM1MmhZRGJicnROcTFhdDBuUFBQYWV1WGJ2V2VidCsyN1p0dXVXV1cvVHJyNzlxOHVUSjZ0dTM3MEUvWjFVdWRuZkpKWmNja3EvVmtyVElnS0RLUlpicUdsaHorKzIzMTlvK2JOZ3cxejQrbjYvQnlmV1RUejVwVUg4QWpjOFlZMVY1NjcwYWo2VDJrdG9iWTQ0MXhsd1ZHUm01d2VmenZXZXRmYmVrcE9Sbmo4ZXp2YWtHaHR0dXUwMjMzWGFidnZycUs5MTc3NzM2OXR0dlZWNWVyclBPT2tzbEpTV2FOMitlL3YzdmY2dWtwRVFUSjA3VXl5Ky9yTW1USnlzek0xTXZ2L3l5TWpNemRkMTExeWt5TXJMR2NUMGVqOGFQSDYvTExydE1Uejc1cElZT0hhcFdyVnE1dnY1ZGQ5Mmx0V3ZYQnZvY2F2ZmNjMDlnK3Z2NkdEOSt2SVlORzNaUWF3cGxMVFlndEVUV1drVVllMlJTVXRKcHdhNEZDTEtPMVgvK1ZRM2VxeDRXcXIzdWJvd1phNHk1TlNZbUprZlMwcVNrcEV5LzMvL3ZyS3lzSHc5NTVRMFVHeHVyUllzV2Fmanc0YnJ5eWl0MXdRVVg2TFRUL3Zzam9Qb1loS3JGNWZZTUNLcThGVDl4NGtTMWF0V3ExbkFnU2ZmZmY3L1dyVnNYdEl0dTFVcTVrclJseXhhMWI5Kyt4dmFkTzNkcXhvd1ordTIzMzlTbFM1ZkFPRFRVam9EUWdoaEowVkZoRjNvODVyNWcxd0lFazdYV1k2Mk4zSE5VZjEzemtGU0doU2hqak05YW0rVHhlRXFOTVp1U2twSldGcGZidEZKSFRYWUNFOGR4NVBGNFZGRlJVZXRUQ0R0MjdBaDhKTHBuUU1qSnlha1Jtb3d4MnJWcmw3S3pzNlhLaTdBcTE2bXAwcmx6NXhydkphbDkrL2JxMHFYTFFUbS82cXJ1V21SbVptclVxRkc2OE1JTE5YcjBhTFZxMVVwejVzelJxNisrcWgwN2R1akdHMi9VTmRkY282aW9xSU5lVXlnaklMUTAxbnF0RmY4cTBLSVpZNHkxdHNFWDlXb1hTNjh4SmxaU0YyTnNkS01YMkVpZWV1b3BaV1JrNklNUFBsQjVlWG10anpNV0ZCUUVscmF2Q2doVmN5ZGNmZlhWTlFaZjErV3FxNjdhNi9hR0REemNIM3NHdThURVJJMGJOMDRUSjA3VU45OThvODZkT3lzckswdW5uWGFhN3J6elRuWHIxdTJnMWRLY0VCQmFFQ3VwdU5SNXIxVzBKeVBZdFFEQlpLM3RhSXlaSmlsbWozYXBsZ3RPNWZzS2EyMnV0ZllIeDNIU3JMV0xNak16bHlYMFR2cWRqTDFZVFVCT1RvNCsvL3h6ZmZYVlY5SWVpOGdWRnhjck90cWRaZkx6OHdQanFJcUxpeFVWRlJVNC85b2VTWnd6WjQ0KytPQUR2ZmppaTRHUEduNzY2U2M5OXRoanV2MzIyNVdjbk96YVo4L0Y3UnBMVmFDcDdiek9PKzg4RFJ3NFVBOCsrS0JTVTFNMWZQaHcvZC8vL2Q5QnFhTzVJaUMwSU1ZWWxUdG1iWHA2K3Z4ZzF3SUVVMkppWW54WVdGamdWK005QmlwS05jY2xiTFhXZm1hdGZjOXhuT3pTMHRLQ2xTdFhibmZ0MEFUTW1ERkQ4K2ZQVjBKQ2dqWnQycVRaczJjcktpcEtPM2Z1bExYV2RTSGR1WE9uTm16WW9CNDlla2lWMDhCWDc5Ty9mMy9YMS9qbW0yK2t5cW5oOTV4WDRZZ2pqcWgxbjRObDE2NWRVdVU0aTZGRGh3WUNRMjIrL1BMTFFIQ3E3cnp6enRQRER6OThVT3NNVlFTRUEvRFRUejlwK2ZMbEdqNThPSjlsQVNIR0dPTlVleTN0RGdOVzBpNUpSWTdqWkZsclg5KzhlZk5uK2ZuNXU0SlphMzJOR2pWS0R6NzRvQll1WEtoNzc3MDNjRjVWWXdYMkhMU1htcG9xYTYzNjllc25WUWFHdWdZZ1ZsbXpabzA2ZCs1YzY2UkxoMXJWRlBheHNiRzY2NjY3NVBlNzU3amFzR0dEM243N2JZMFlNVUo5K3ZRSnRLOWJ0MDR6WnN4Z0hvUzlJQ0FjZ0VXTEZ1blpaNS9Wa0NGRENBaEE2REg2Ynpnb2twUXVhYW1reGRiYXBlbnA2V3VEWFdCREhYbmtrYlcycjErL1hxb2NRRmpkWjU5OXBoNDllZ1RhczdLeVhDR2l1b3FLQ21Wa1pPajQ0NDl2MUxyMzE5cTF1LzhYSFhua2tUV21kSzR1S3l0TGI3Lzl0azQ2NlNTZGRkWlpnZmI3Nzc5ZjRlSGh1dXl5eXc1WnZhR0dnQUNncGJMVzJreEpINWFYbDMvdU9NNzY2T2pvMzVZdFcxWWU3TUlhVzFaV2xxS2lvdFN0V3pmdDNMbFRxcndUOFBYWFgydnMyTEc2OE1JTDljc3Z2NmlrcEVRMzMzeXpubmppQ1YxNzdiV3VKdysrK09LTHdQVHg5VFZtekJnbEpTWFZlK0c3aHNqTnpWV2JObTNVcVZPbkJ1LzM1WmRmNnVLTEwyN3d2aTBKQWVFZ3FtdFFFUGFicDJmUG51SGEvUSs4dkRrdXNvTkRZOHVXTGI5MTZOQmhTRVpHUms1TCtIdjB6VGZmS0NrcHFjYkhBa2NlZWFSR2poeXBrU05IcW4zNzlzclB6MWQ4Zkx5T1AvNTRuWFBPT1JvMGFGQ05nTEJod3daTm1qUkpuVHAxYXREQ1IrdldyWlBmNzIvMGdPRDMrNVdTa3JKZll4NjZkT21pMjI2N1RlZWVlMjZqMXRUY0VCQWFRVXBLaXVzdjJtdXZ2YWE1YytmcXBaZGVZaDJHUnBLWW1Oakg2L1hlS1NrOE1USHhpY3pNekNZL1NRMmFwdlhyMXhldlg3OStlYkRyT0ZpcVA1cjQvZmZmNnovLytZOGVlK3d4cVhKV1JGVmVZS3NXWHpyNzdMTUQvVk5TVXFUS1JZeXFaR1JrNkw3Nzd0T09IVHYwM0hQUHVUNVNyWnBmb2FLaW9rYTczKy9YNXMyYk5XREFBT1hsNVNrM043Zk9tZ3NMQzZYS2owT3FCa0xXSmlJaVFrT0hEbFZLU29wKysrMjNHclhYcHFxbTZrK214TWJHN25OTkNSQVE5bXJod29XQlJVK3FNOGJveGh0dkRMei84TU1QYXdTRTJiTm5hOHFVS1RyNjZLT2J4RUNlNXNMajhjUkpPdHRhRytYeGVGNExkajFBVTVPVmxhWHM3R3o5NjEvL1VuaDR1UHgrdjU1ODhra2xKQ1FFZnV0djFhcVYyclZycHhrelppZ3NMS3pHU280bEpTV2FObTJhT25YcXBNTVBQMXdyVnF6UTlPblQ5Zm5ubnlzbUprWi8vL3ZmZGRKSko3bStidFVZaHZmZmYxOFZGUlVLRHcrWDR6aEtTVWxSV1ZtWit2VHBvMisrK1ViUFB2dnNQczlod1lJRldyQmdRWjNiRHp2c01NMmRPMWRQUC8yMFltTmphNTIxOGRsbm4xVkVSSVNpbzZPMWNPRkNxWEloUGpRTUFXRXZsaXhab284KytxaEdXMFZGaGF5MU5RSkNabWFtc3JLeTFMOS9mMzM4OGNkNi9QSEhkY3d4eDJqS2xDbjFXaTRhQUJyRER6LzhvQmRlZUVFUkVSRzY1cHByNVBmN1phM1Z1SEhqYWt5UzlNQUREMmppeEltNisrNjdhK3h2ak5HUlJ4NnBSeDk5VkpzM2I5WU5OOXlnNHVKaURSczJUSGZjY1llNmQrOWU2OWZ0MEtHRC92S1h2MmptekpsNjhNRUhBKzJ0VzdmV21XZWVxWFBQUFZkbFpXVWFNbVRJQVorajErdlZybDI3dEd2WEx2M2xMMytwOVdQY3JLd3NwYVdsU1pXelFvNFlNYUxKREt3TUpRU0V2Umc3ZHF6R2poMWJvMjNNbURIYXZyM21JOUN0VzdmVzFLbFROV0RBQUQzMzNITktTa3JTNU1tVGRkaGhoeDNpaWdHMFpOZGRkNTJ1dSs2NkdtMHpaODUwUGJvNGJOaXdlcTJYOE95eno2cGp4NDcxV3JQZzZxdXYxdFZYWDEzbjlwaVltRVo5cFBDVlYxNnBNN0M4OXRydUc0eCt2Ny9XNmFWUlA5ei9ib0J0MjdacHlaSWxPdU9NTTJxMFgzWFZWVnEwYUpHZWUrNDVEUjgrWEZPbVRDRWNBR2dTOWpXdndkNE1HRENneVM1b0ZCOGZYK2ZhR1ZVSUJ3ZUdnTkFBbjMvK3VmeCt2eXNnbkhmZWVUcjg4TVBWcGswYlBmVFFRNEY1ekFFQUNGVUVoSG9xTFMzVnRHblRkTW9wcHdRV05xa1NGaGFtc1dQSHFxaW9TSk1uVHc1YWpRQUFOQllDUWoxOStPR0hLaWdvMFBYWFgxL3I5bE5PT1VValJvelE3Tm16TldmT25FTmVId0FBalltQVVBL3IxNi9YbENsVE5Ianc0TDFPeW5IWFhYZXBlL2Z1ZXZUUlI3Vmt5WkpEV2lNQUFJMkpnTEFQanVQb29ZY2VrclZXOTkxMzMxNzd0bXJWU3M4OTk1eGF0V3FsTys2NFE5OTk5OTBocXhNQWdNWkVRTmlIeVpNbkt5TWpRNk5IajFaOGZQdysreWNrSk9pWlo1NlJ0VlozM0hHSFpzK2VmVWpxQkFDZ01SRVE5bUxtekptYU5XdVdUanZ0TkYxNjZhWDEzaTh4TVZFdnZ2aWlZbUppTkdIQ0JBWXVBZ0JDRGdHaER0WmFmZmZkZHpydXVPTTBZY0tFV3FkTS92WFhYeVdwMXBtOGZENmZwazJicG43OSt1bkNDeTg4SkRVREFOQlltRW14RHNZWVRabzBTYnQyN1Fvc1RKS1dscWIzMzM5ZnNiR3gyckZqaCtiTm02ZUVoSVE2SnlJNThzZ2o5ZFpiYngzaXlnRUFPSEFFaEwySWpJeFVaR1JrNEgyclZxMzB4UmRmU0pMQ3c4TjF6REhIQkZaREF3Q2dPU0VnTkVDdlhyMjBiTm15WUpjQkFNQkJ4eGdFQUFEZ1FrQUFBQUF1QkFRQUFPQkNRQUFBQUM0RUJBQUE0RUpBQUFBQUxnUUVBQURnUWtCSzArRndBQUFRRDBsRVFWUUFBQUF1QkFRQUFPQkNRQUFBQUM0RUJBQUE0RUpBQUFBQUxnUUVBQURnUWtBQUFBQXVCQVFBQU9CQ1FBQUFBQzdlWUJkUWw5TFNNdjJZbmFQU3NySmdseEx5MXF4ZHArTGlrbUNYQVRSci9ncS9zbk5XQnJzTWhKanNuSlVxTHk4UGRobTFhcklCWWN2V3JYcjYrU255ZXB0c2lTR2p3bCtoN2R1M0I3c01vRmtyTGluUjgxTmVWWGg0ZUxCTFFRZ3BMeTlYVVJQOStkemtycjcrQ3EwUEM3ZWIvSTZqcllXRndTNm5XVEhHRkRsTzJkcGcxd0UwSjJYVzJSaGh6RWJIMnFodFJVWEJMZ2VoeXRwTlpkWnVESFlaMVRXNWdKRDNVMloyZk8vK0YzbHRXSWRnMTlMc09PVmIxK1ptL3hqc01vRG1KSDlsNXFvamV2YTkwdU1ON3hUc1doQzYvTVlXNUsvSVhCWHNPcXByY2dGQmtyTitSVlpXc0lzQWdIcHkxdVV1ejVhVUhleENnTWJFVXd3QUFNQ0ZnQUFBQUZ3SUNBQUF3SVdBQUFBQVhBZ0lBQURBaFlBQUFBQmNDQWdBQU1DRmdBQUFBRndJQ0FBQXdJV0FBQUFBWEFnSUFBREFoWUFBQUFCY0NBZ0FBTUNGZ0FBQUFGd0lDQUFBd0lXQUFBQUFYQWdJQUFEQWhZQUFBQUJjQ0FnQUFNQ0ZnQUFBQUZ3SUNBQUF3SVdBQUFBQVhBZ0lBQURBaFlBQUFBQmNDQWdBQU1DRmdBQUFBRndJQ0FBQXdJV0FBQUFBWEFnSUFBREFoWUFBQUFCY0NBZ0FBTUNGZ0FBQUFGd0lDQUFBd0lXQUFBQUFYQWdJQUFEQWhZQUFBQUJjQ0FnQUFNQ0ZnQUFBQUZ3SUNBQUF3SVdBQUFBQVhBZ0lBQURBaFlBQUFBQmNDQWdBQU1DRmdBQUFBRndJQ0FBQXdJV0FBQUFBWEFnSUFBREF4UnZzQWdBZ0ZIVHIwZS93aUhCdmoyRFhnZEJWV2xxNmV1UHFuTFhCcnFPK0NBZ0FzQS9kZXliR2gzdk4yeksyZDdCclFlaUtqSXBZbDVDUWRNbWFOZWxyZ2wxTGZSQVFBR0Fmd3FWNEdmVTJNbDJpbzZQbDlZWUZ1eVNFRUgrRlg4VWxKWEtzalZLVUVpUVJFQUNnT1ltSmp0YVlXMjVVVW1LL1lKZUNFSktkczFMUFQzbFYyNHFLZ2wxS2d4QVFBS0Nld3J4aE91N1lZelRveEJPQ1hRcENUSGg0ZUxCTGFEQ2VZZ0FBQUM0RUJBQUE0RUpBQUFBQUxnUUVBQURnUWtBQUFBQXVCQVFBQU9CQ1FBQUFBQzRFQkFBQTRFSkFBQUFBTGdRRUFBRGdRa0FBQUFBdUJBUUFBT0JDUUFBQUFDNEVCQUFBNEVKQUFBQUFMZ1FFQUFEZ1FrQUFBQUF1QkFRQUFPQkNRQUFBQUM0RUJBQUE0RUpBQUFBQUxnUUVBQURnUWtBQUFBQXVCQVFBQU9CQ1FBQUFBQzRFQkFBQTRFSkFBQUFBTGdRRUFBRGdRa0FBQUFBdUJBUUFhSWEyYnQycTU1NTdUai8vL0hPakhHL0xsaTNLemMyVnRiWlJqdGRZVWxOVGcxMUNzMFZBQUlBUWtwT1RvMXR2dlZWYnQyN2RhNy9Dd2tLOTlkWmJXcnQyN1Y3N3paNDlXMis5OVphci9kZGZmMVZPVG80cUtpb2tTUjk4OElFdXVlUVNsWldWSGVBWk5KNVBQLzFVbzBhTjBvY2ZmaGpzVXBvbGI3QUxBSUNESVQ0K1BycDkrL1k5TWpNenN5VTV3YTZuc1pTVWxDZzdPMXZYWG51dHBreVpvbTdkdW1uQmdnV3V3RkJRVUNCSldycDBxYlp2Mys0NnpwQWhReFFYRjZmYzNGeTk5OTU3V3JGaWhSNSsrR0ZGUlVWSmt0NS8vMzI5K2VhYm1qdDNydUxpNHVwZDN6dnZ2S09pb3FMOVByOHp6enhUdlhyMXFsZmZjODQ1UisrLy83NCsvUEJEL2ZHUGY1VFh5eVd0TWZIZEJOQXN0Vy9mdm9QWDYxMlVuSnk4em5HY1Q0d3hYMXByMTVhVmxlVm5aMmMzblYrREc4am44K25OTjkvVUxiZmNvdXV2djE0dnZmU1Mvdm5QZnlvM043ZEd2L0x5Y2tuU3Q5OStxNlZMbDdxTzA2TkhEOFhGeGVtZWUrNVI5KzdkTlhueVpPWGw1V25xMUttS2pvN1d0OTkrcS83OSt6Y29IRWpTdSsrK3ExOSsrV1cveisrb280NnFFUkRHalJ1bmVmUG0xZG0vb3FKQ0hvOUhwNTU2YXAxOXhvOGZyMkhEaHUxM1RTMFZBUUZBYzJZazlUUEc5RFhHM0dhTXlZNk1qRXhMU2twYTZEak92ek16TTljSHU4RDljZFJSUituMTExL1gzLy8rZDRXSGgydjgrUEdCT3daVjFxOWZyeHR2dkZHalJvM1M0TUdEYTJ5TGpJeFUyN1p0QSsrdnVPSUt0VzNiVnBzM2IxWjBkTFEyYk5pZ24zLytXV0ZoWVJvNmRLaFVlU0dXcE5OUFA5MVZ6ei8rOFErMWI5OWVralJuenB3NjYzNzAwVWYxeVNlZmFQNzgrV3JkdW5XOXpyV2twRVNTTkhyMDZIcjFyMDNQbmozM2U5K1dqSUFBb05teTFocGpqSXd4UmxJYlNZTWtuV1NNdWNycjlSWWxKeWVuT0k3ejJvNGRPNzdPemMwdERYYTlEZEc5ZTNjOSsreXprcVM4dkR6OThZOS9yTFhmWTQ4OTVtb2JPSENnWG43NTVScHQ1NTU3YnVEMXpKa3o1ZlY2ZGV1dHQycjN0MDVhdkhpeFVsSlNkTU1OTnlnc0xLekd2akV4TVkxeVRuV0pqSXpVNVpkZmZsQy9CdHdJQ0FDYUxXT00xZTZnVUtOWlVtemxud3M4SHM4RnJWdTMzcGlVbFBTeDR6Z2ZPWTZ6YXN1V0xiL2w1K2Z2Q2xyaGRkaTVjNmZ1dlBOT2pSdzVVc09IRHcrMGQrdldUWFBuenEzUk55OHZUemZjY0lNZWZ2aGhEUmt5cE1hMmlJZ0lTVkpLU29wZWZ2bGxqUjgvWHQyN2Q1Y3F4eTdNbmoxYlo1MTFscTY1NXByQVBzWEZ4VXBKU2RIbGwxK3V5TWpJZzN5bXRWdXhZb1grL09jLzE3di8wVWNmclhmZWVlZWcxdFNjRVJBUWlyeVNUa3hPVG80S2RpRm8wdUtxLzR5citrMjRlbGlvOXJxcngrTzUxUmp6NTdDd3NOek9uVHRuZHU3Y09iT2lvdUxMckt5c0p2TWMzYTVkdTdSejUwN2RmLy85bWpkdm51Njc3ejR0WHJ4WXI3Lyt1cXR2MVJpRVYxNTVwZGFMNVBEaHc1V1ltS2lmZi81WlYxeHhoWjU2NmlrTkhEaFFYMzMxbGNyS3lwcmtiK3lkTzNmV0hYZmNJVldHcGZEdzhFRFlxYkowNlZKOTlkVlhVdVY0RGV3L0FnSkNVU3RqekRocmJVV3dDMEhUWll3eDF0cW9xbUJRcmIzVy9wVmhJZElZMDlkYTIwZlNoVjZ2ZDJ4U1V0TFBwZVYyZnJHajJuYzhoRHAyN0tqWFgzOWRFeVpNMEdlZmZhYldyVnZyaWl1dTBGVlhYZFhnWXlVa0pDZ3hNVkd2di82NlJvOGVyZEdqUit2NTU1L1hwWmRlcXI1OSs2cDM3OTRINVJ3T1JMdDI3ZlNuUC8xSmtuVGJiYmNwTHk5UER6endnQVlPSEtoTm16YnA2YWVmMWxkZmZhVStmZnJvM252dlZiOSsvWUpkY2tnaklDQ1ViTERXL2x6WEQzaWdPbXV0UjVLdC9FaWhJZnRWZjFzcXFkeGE2elR3TUFkTlJFU0VIbm5rRWZYcjEwL25uSE9PV3JWcXBmajRlS1ducDlmN0dIMzY5QW1NRytqWnM2ZmVmUE5OVFpreVJVbEpTWm8rZmJvY3gxRmFXbHFOZlRJeU1xVEs4UWw3amtHUXBFc3Z2ZFQxMjN4anFlM2YvRU1QUGFRSkV5Ym81cHR2MXBBaFE1U2FtcXFvcUNpTkd6ZE81NTkvZnAxQkVQVkhRRURJU0U5UC84bm44NDF5SEtkVHNHdEJTT2hvakprbXFjWUl1cW9BVU1lZGhRcHJiYTYxOWdkcmJacTFkbEZtWnVheWhKNkpKeWhjMXgzUzZ2Zmhvb3N1Q3J3dUxpN1dUVGZkcExDd01IazhkYzkvWjYxVlJVV0ZaczZjcVdPUFBUYlEzcTFidDhCZ3hxbFRwd2FlV0xEV3FyUzBWQkVSRWZKNFBJcUtpdElMTDd3Z3I5ZnJtbk5nNU1pUkJ5VWdsSldWS1RvNjJ0WGVzV05IUGZQTU0vcm9vNDgwZWZKa2xaYVdhdnIwNlRycXFLTWF2WWFXaW9DQVVPS2twYVZsUzhvT2RpRm8raElURStQRHdzSUNFeVRWTmtWd3RYRUpXeHpIbWUzMys5OHh4cXdvS2lvcVdyTm1UY21ocmJoaFpzNmNxY0dEQjllNElENzQ0SU1hTVdKRW5mdWtwS1RvMWx0dmRiV3ZYNzllSFR0MlZHUmtwTDc5OXR0QWUxWldscTY5OWxvOStlU1RPdVdVVXlSSmd3WU4wdVdYWDY3YmI3KzkwYytwTnJ0MjdWSnNiS3plZXVzdHZmRENDN1gyY1p6ZC81c3Z2dmppV3JkLyt1bW42dHExNjBHdHN6a2lJQUJvdG93eFRyWFgwdTR3NEVncXROWVdTTXF3MXM0b0tDaVl1Mzc5K3VKZzF0b1FCUVVGbWpScGtpNi8vSExkZWVlZGdmWW5ubmhDa3laTnFuTy9xanNEZTNyeHhSZTFkT2xTelowN3Q4YkhCNy85OXBzazFYdk9nb05oeDQ0ZGlvMk4xYUJCZzlTcVZhdGErN3o3N3JzcUxDelVUVGZkVktOOXhvd1oycmh4WTUzN1llOElDQUNhTTZQL2hvTWlTZW1TbGtwYUxHbHBXbHJhM2hjcWFLS1dMVnNtVmM1blVOMmxsMTdxZXFTeHVweWNIRDN6ekRPdTl1WExsNnQ3OSs2dXNRVXJWNjZVSkIxeHhCR05WSG5EV0d1MWJ0MDZuWDMyMlRyMjJHTnJmQ3hTM2Z6NTgrVTRUbUFBb3lTdFhyMWFUenp4aEM2NjZDSzFhZFBtRUZiZGZCQVFBRFJuMWxxYktlbkQ4dkx5engzSFdSOGRIZjNic21YTHlvTmQySUg0NFljZjVQRjRsSnljWEtQZDYvWHVkWTZDOFBCd1YxdEJRWUUyYk5oUTZ3eUozM3p6alk0NDRnaDE2TkNoem1NV0ZoWnExcXhadXZUU1Mydk16dGdZTm16WW9KS1NFaDF6ekRFTjN2ZmxsMTlXZUhpNHJyLysra2F0cVNVaElBQm9sb3FLaWdwYXQyNTlVbFpXMW4rYTAySk5rdlQ5OTkvcnVPT09VMnhzYkkzMmFkT202ZTIzMzY1enY5ckdZVlE5bmJCbjJKZy9mNzVXclZybHVtMi9wL3o4ZkUyZE9sVkpTVWthTkdoUUE4OWs3Nzc3N2p0SlV2LysvUnU4NytXWFg2N0Jnd2VyWThlT2pWcFRTMEpBQU5Bc1ZRNHlYQkhzT2hyYnFsV3J0SEhqUnAxMTFsbXViZnNhcFBqOTk5OXJ6Smd4Tlo3Z1dMSmtpYlI3VUdlZ2JjT0dEWm93WVlMYXRtMnJTeTY1cE1ZeGpER0JRWUdTdEduVEpxbnlZNGdGQ3hiVU9jNUJralp1M0NoSldyQmdRYTFQSmxUcDFhdVh1bmZ2cmpsejVpZytQbDU5Ky9hdHM2OHF4MWJzK1ZUSzhjY2ZyK09QUDM2disySHZDQWdBRUVLcW5qTFljL3hCYmZMeTh2VHV1KzhxT2pwYVlXRmhXcng0c1NUVitNZ2dKU1ZGQ1FrSmdZOEhmdmpoQnozd3dBTXFMQ3pVMDA4L3JjTU9PNnpHTWR1M2I2OXZ2LzFXdlhyMVVsaFltR2JPbktsMjdkcXBhOWV1dXVpaWl3S0xLKzNOdUhIajlycjlubnZ1VVpzMmJmVGpqei9XdWtoVGFtcXE1cytmcjhNT08wd2xKU1ZLVDA5bjFzU0RnSUFBQUNHa2Rldlc2dEdqaDVLU2t2YlpOelkyVnQ5Ly8zM2dmVXhNak82OTk5NUFRRmkzYmwyTmhaNWVmZlZWdmZMS0s0cU5qZFZUVHowVldNbXh1cHR1dWttVEprMEtYT1E3ZE9pZ3UrNjZTOFlZVFo4K1hYNi8vNERQc1dQSGp2cmtrMC9Vdlh2M1dxZDhycWlvMEl3Wk13THY0K1BqZGNzdHR4encxd1VBb0VFU2VpWU9Tamp1K0kySkovN096di8zUXR0Y2xKZVgyeVZMbHRqczdHeHJyYldiTjIrMlR6NzVwTjIwYVZPd1M3UFdXcHVYbDdmWDdYNi8zL3I5L2tOV3ovNzZQbVdwSGZpNzM5dUU0NUsySnZST09pM1lmNS9yaXpzSUFOQkNlYjNlR2g5VnhNWEY2WjU3N2dscVRkWEZ4OGZ2ZGZ2ZVpvM0VnZU83Q3dBQVhBZ0lBQURBaFlBQUFBQmNDQWdBQU1DRmdBQUFBRndJQ0FBQXdJV0FBQUFBWEFnSUFBREFoWUFBQUFCY0NBZ0FBTUNGZ0FBQUFGd0lDQUFBd0lXQUFBQUFYQWdJQUFEQWhZQUFBQUJjQ0FnQUFNQ0ZnQUFBQUZ3SUNBQUF3SVdBQUFBQVhBZ0lBQURBaFlBQUFBQmNDQWdBQU1DRmdBQUFBRndJQ0FBQXdJV0FBQUFBWEFnSUFBREF4UnZzQWdBZ1ZQZ3IvTXBadVVxUmtaSEJMZ1VoSkR0bnBjckx5NE5kUm9NUkVBQ2dub3BMU3ZUeWEyOG9JandpMktVZ2hKU1hsNnRvKy9aZ2w5RmdCQVFBMkFmSDJGODlNaHNkYTZNS2kwTHZCejJhQ0dzM2xWbTdNZGhsMUpjSmRnRUFFQUk4Ui9UczI5dmpEZThVN0VJUXV2ekdLY2pMeWN5VzVBUzdGZ0FBQUFBQUFBQUFBQUFBQUFBQUFBQUFBQUFBQUFBQUFBQUFBQUFBQUFBQUFBQUFBQUFBQUFBQUFBQUFBQUFBQUFBQUFBQUFBQUFBQUFBQUFBQUFBQUFBQUFBQUFBQUFBQUFBQUFBQUFBQUFBQUFBQUFBQUFBQUFBQUFBQUFBQUFBQUFBQUFBQUFBQUFDQUkvaCtoeFVaL3ZxeHN0Z0FBQUFCSlJVNUVya0pnZ2c9PSIsCgkiVGhlbWUiIDogIiIsCgkiVHlwZSIgOiAiZmxvdyIsCgkiVXNlcklkIiA6ICIxNjkwMjAwNDMyIiwKCSJWZXJzaW9uIiA6ICI0NC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88</Pages>
  <Words>14357</Words>
  <Characters>16537</Characters>
  <TotalTime>2</TotalTime>
  <ScaleCrop>false</ScaleCrop>
  <LinksUpToDate>false</LinksUpToDate>
  <CharactersWithSpaces>16859</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kikinini</cp:lastModifiedBy>
  <cp:lastPrinted>2025-08-27T02:54:00Z</cp:lastPrinted>
  <dcterms:modified xsi:type="dcterms:W3CDTF">2025-11-25T01:29:27Z</dcterms:modified>
  <dc:title>附件2</dc:title>
  <cp:revision>38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eyJoZGlkIjoiNzVkYWI1NWJmZTAzM2E0ZDMwZjRkNGI3YmI0MjE1MjEiLCJ1c2VySWQiOiI0NTc2MDQ4NjEifQ==</vt:lpwstr>
  </property>
  <property fmtid="{D5CDD505-2E9C-101B-9397-08002B2CF9AE}" pid="3" name="KSOProductBuildVer">
    <vt:lpwstr>2052-12.1.0.23542</vt:lpwstr>
  </property>
  <property fmtid="{D5CDD505-2E9C-101B-9397-08002B2CF9AE}" pid="4" name="ICV">
    <vt:lpwstr>9952556E87094E3E93AE69D212FCFB1E_13</vt:lpwstr>
  </property>
</Properties>
</file>