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19B00">
      <w:pPr>
        <w:ind w:left="0" w:leftChars="0" w:firstLine="0" w:firstLineChars="0"/>
        <w:rPr>
          <w:rFonts w:hint="eastAsia" w:ascii="仿宋_GB2312" w:hAnsi="仿宋_GB2312" w:eastAsia="仿宋_GB2312" w:cs="仿宋_GB2312"/>
          <w:color w:val="auto"/>
          <w:sz w:val="36"/>
          <w:szCs w:val="36"/>
          <w:lang w:eastAsia="zh-CN"/>
        </w:rPr>
      </w:pPr>
      <w:r>
        <w:rPr>
          <w:rFonts w:hint="eastAsia" w:ascii="仿宋_GB2312" w:hAnsi="仿宋_GB2312" w:eastAsia="仿宋_GB2312" w:cs="仿宋_GB2312"/>
          <w:color w:val="auto"/>
          <w:sz w:val="36"/>
          <w:szCs w:val="36"/>
          <w:lang w:eastAsia="zh-CN"/>
        </w:rPr>
        <w:drawing>
          <wp:anchor distT="0" distB="0" distL="114300" distR="114300" simplePos="0" relativeHeight="251663360" behindDoc="0" locked="0" layoutInCell="1" allowOverlap="1">
            <wp:simplePos x="0" y="0"/>
            <wp:positionH relativeFrom="column">
              <wp:posOffset>-247650</wp:posOffset>
            </wp:positionH>
            <wp:positionV relativeFrom="paragraph">
              <wp:posOffset>-280670</wp:posOffset>
            </wp:positionV>
            <wp:extent cx="6360160" cy="9359900"/>
            <wp:effectExtent l="0" t="0" r="10160" b="12700"/>
            <wp:wrapNone/>
            <wp:docPr id="27" name="图片 27" descr="法人章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法人章页_02"/>
                    <pic:cNvPicPr>
                      <a:picLocks noChangeAspect="1"/>
                    </pic:cNvPicPr>
                  </pic:nvPicPr>
                  <pic:blipFill>
                    <a:blip r:embed="rId13"/>
                    <a:srcRect l="1488" t="-195" r="3404" b="1247"/>
                    <a:stretch>
                      <a:fillRect/>
                    </a:stretch>
                  </pic:blipFill>
                  <pic:spPr>
                    <a:xfrm>
                      <a:off x="0" y="0"/>
                      <a:ext cx="6360160" cy="9359900"/>
                    </a:xfrm>
                    <a:prstGeom prst="rect">
                      <a:avLst/>
                    </a:prstGeom>
                  </pic:spPr>
                </pic:pic>
              </a:graphicData>
            </a:graphic>
          </wp:anchor>
        </w:drawing>
      </w:r>
    </w:p>
    <w:p w14:paraId="40C61116">
      <w:pPr>
        <w:ind w:left="0" w:leftChars="0" w:firstLine="0" w:firstLineChars="0"/>
        <w:rPr>
          <w:rFonts w:ascii="仿宋_GB2312" w:hAnsi="仿宋_GB2312" w:eastAsia="仿宋_GB2312" w:cs="仿宋_GB2312"/>
          <w:color w:val="auto"/>
          <w:sz w:val="36"/>
          <w:szCs w:val="36"/>
        </w:rPr>
      </w:pPr>
    </w:p>
    <w:p w14:paraId="19ACA98A">
      <w:pPr>
        <w:rPr>
          <w:rFonts w:hint="eastAsia" w:ascii="仿宋_GB2312" w:hAnsi="仿宋_GB2312" w:eastAsia="仿宋_GB2312" w:cs="仿宋_GB2312"/>
          <w:color w:val="auto"/>
          <w:sz w:val="36"/>
          <w:szCs w:val="36"/>
        </w:rPr>
      </w:pPr>
    </w:p>
    <w:p w14:paraId="10493B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color w:val="auto"/>
          <w:sz w:val="72"/>
          <w:szCs w:val="72"/>
        </w:rPr>
      </w:pPr>
      <w:bookmarkStart w:id="0" w:name="_Toc31"/>
      <w:r>
        <w:rPr>
          <w:rFonts w:hint="eastAsia" w:ascii="方正小标宋_GBK" w:eastAsia="方正小标宋_GBK"/>
          <w:bCs/>
          <w:color w:val="auto"/>
          <w:sz w:val="72"/>
          <w:szCs w:val="72"/>
        </w:rPr>
        <w:t>建设项目环境影响报告表</w:t>
      </w:r>
      <w:bookmarkEnd w:id="0"/>
    </w:p>
    <w:p w14:paraId="51D2F65C">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6F1ABFF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华文仿宋" w:hAnsi="华文仿宋" w:eastAsia="华文仿宋" w:cs="华文仿宋"/>
          <w:color w:val="auto"/>
          <w:kern w:val="44"/>
          <w:sz w:val="44"/>
          <w:szCs w:val="44"/>
        </w:rPr>
      </w:pPr>
    </w:p>
    <w:p w14:paraId="387294FE">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2C0DD911">
      <w:pPr>
        <w:rPr>
          <w:color w:val="auto"/>
        </w:rPr>
      </w:pPr>
    </w:p>
    <w:p w14:paraId="18DEC3FC">
      <w:pPr>
        <w:rPr>
          <w:color w:val="auto"/>
        </w:rPr>
      </w:pPr>
    </w:p>
    <w:p w14:paraId="4C5E78F1">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0F47DFB2">
      <w:pPr>
        <w:keepNext w:val="0"/>
        <w:keepLines w:val="0"/>
        <w:pageBreakBefore w:val="0"/>
        <w:widowControl w:val="0"/>
        <w:kinsoku/>
        <w:wordWrap/>
        <w:overflowPunct/>
        <w:topLinePunct w:val="0"/>
        <w:autoSpaceDE/>
        <w:autoSpaceDN/>
        <w:bidi w:val="0"/>
        <w:adjustRightInd/>
        <w:snapToGrid/>
        <w:spacing w:line="360" w:lineRule="auto"/>
        <w:ind w:left="480" w:leftChars="200" w:right="480" w:rightChars="200" w:firstLine="0" w:firstLineChars="0"/>
        <w:textAlignment w:val="auto"/>
        <w:rPr>
          <w:rFonts w:hint="default" w:ascii="仿宋_GB2312" w:eastAsia="仿宋_GB2312"/>
          <w:color w:val="auto"/>
          <w:sz w:val="32"/>
          <w:szCs w:val="32"/>
          <w:u w:val="single"/>
          <w:lang w:val="en-US" w:eastAsia="zh-CN"/>
        </w:rPr>
      </w:pPr>
      <w:r>
        <w:rPr>
          <w:rFonts w:hint="eastAsia" w:ascii="仿宋_GB2312" w:eastAsia="仿宋_GB2312"/>
          <w:color w:val="auto"/>
          <w:sz w:val="32"/>
          <w:szCs w:val="32"/>
        </w:rPr>
        <w:t>项目名称：</w:t>
      </w:r>
      <w:r>
        <w:rPr>
          <w:rFonts w:hint="eastAsia" w:ascii="仿宋_GB2312" w:eastAsia="仿宋_GB2312"/>
          <w:color w:val="auto"/>
          <w:sz w:val="32"/>
          <w:szCs w:val="32"/>
          <w:u w:val="single"/>
          <w:lang w:eastAsia="zh-CN"/>
        </w:rPr>
        <w:t>郑州精益达汽车零部件有限公司座椅加工项目</w:t>
      </w:r>
      <w:r>
        <w:rPr>
          <w:rFonts w:hint="eastAsia" w:ascii="仿宋_GB2312" w:eastAsia="仿宋_GB2312"/>
          <w:color w:val="auto"/>
          <w:sz w:val="32"/>
          <w:szCs w:val="32"/>
          <w:u w:val="single"/>
          <w:lang w:val="en-US" w:eastAsia="zh-CN"/>
        </w:rPr>
        <w:t xml:space="preserve">                                          </w:t>
      </w:r>
    </w:p>
    <w:p w14:paraId="2842407F">
      <w:pPr>
        <w:keepNext w:val="0"/>
        <w:keepLines w:val="0"/>
        <w:pageBreakBefore w:val="0"/>
        <w:widowControl w:val="0"/>
        <w:kinsoku/>
        <w:wordWrap/>
        <w:overflowPunct/>
        <w:topLinePunct w:val="0"/>
        <w:autoSpaceDE/>
        <w:autoSpaceDN/>
        <w:bidi w:val="0"/>
        <w:adjustRightInd/>
        <w:snapToGrid/>
        <w:spacing w:line="360" w:lineRule="auto"/>
        <w:ind w:left="480" w:leftChars="200" w:right="480" w:rightChars="200" w:firstLine="0" w:firstLineChars="0"/>
        <w:textAlignment w:val="auto"/>
        <w:rPr>
          <w:rFonts w:hint="default" w:ascii="仿宋_GB2312" w:eastAsia="仿宋_GB2312"/>
          <w:color w:val="auto"/>
          <w:sz w:val="32"/>
          <w:szCs w:val="32"/>
          <w:u w:val="single"/>
          <w:lang w:val="en-US" w:eastAsia="zh-CN"/>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lang w:eastAsia="zh-CN"/>
        </w:rPr>
        <w:t>郑州精益达汽车零部件有限公司</w:t>
      </w:r>
      <w:r>
        <w:rPr>
          <w:rFonts w:hint="eastAsia" w:ascii="仿宋_GB2312" w:eastAsia="仿宋_GB2312"/>
          <w:color w:val="auto"/>
          <w:sz w:val="32"/>
          <w:szCs w:val="32"/>
          <w:u w:val="single"/>
          <w:lang w:val="en-US" w:eastAsia="zh-CN"/>
        </w:rPr>
        <w:t xml:space="preserve">     </w:t>
      </w:r>
    </w:p>
    <w:p w14:paraId="56239E1C">
      <w:pPr>
        <w:keepNext w:val="0"/>
        <w:keepLines w:val="0"/>
        <w:pageBreakBefore w:val="0"/>
        <w:widowControl w:val="0"/>
        <w:kinsoku/>
        <w:wordWrap/>
        <w:overflowPunct/>
        <w:topLinePunct w:val="0"/>
        <w:autoSpaceDE/>
        <w:autoSpaceDN/>
        <w:bidi w:val="0"/>
        <w:adjustRightInd/>
        <w:snapToGrid/>
        <w:spacing w:line="360" w:lineRule="auto"/>
        <w:ind w:left="480" w:leftChars="200" w:right="480" w:rightChars="200" w:firstLine="0" w:firstLineChars="0"/>
        <w:textAlignment w:val="auto"/>
        <w:rPr>
          <w:rFonts w:hint="default" w:ascii="仿宋_GB2312" w:eastAsia="仿宋_GB2312"/>
          <w:color w:val="auto"/>
          <w:sz w:val="32"/>
          <w:szCs w:val="32"/>
          <w:u w:val="single"/>
          <w:lang w:val="en-US" w:eastAsia="zh-CN"/>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202</w:t>
      </w:r>
      <w:r>
        <w:rPr>
          <w:rFonts w:hint="eastAsia" w:ascii="仿宋_GB2312" w:eastAsia="仿宋_GB2312"/>
          <w:color w:val="auto"/>
          <w:sz w:val="32"/>
          <w:szCs w:val="32"/>
          <w:u w:val="single"/>
          <w:lang w:val="en-US" w:eastAsia="zh-CN"/>
        </w:rPr>
        <w:t>5</w:t>
      </w:r>
      <w:r>
        <w:rPr>
          <w:rFonts w:hint="eastAsia" w:ascii="仿宋_GB2312" w:eastAsia="仿宋_GB2312"/>
          <w:color w:val="auto"/>
          <w:sz w:val="32"/>
          <w:szCs w:val="32"/>
          <w:u w:val="single"/>
        </w:rPr>
        <w:t>年</w:t>
      </w:r>
      <w:r>
        <w:rPr>
          <w:rFonts w:hint="eastAsia" w:ascii="仿宋_GB2312" w:eastAsia="仿宋_GB2312"/>
          <w:color w:val="auto"/>
          <w:sz w:val="32"/>
          <w:szCs w:val="32"/>
          <w:u w:val="single"/>
          <w:lang w:val="en-US" w:eastAsia="zh-CN"/>
        </w:rPr>
        <w:t>12</w:t>
      </w:r>
      <w:r>
        <w:rPr>
          <w:rFonts w:hint="eastAsia" w:ascii="仿宋_GB2312" w:eastAsia="仿宋_GB2312"/>
          <w:color w:val="auto"/>
          <w:sz w:val="32"/>
          <w:szCs w:val="32"/>
          <w:u w:val="single"/>
        </w:rPr>
        <w:t>月</w:t>
      </w:r>
      <w:bookmarkStart w:id="1" w:name="_Hlk57884087"/>
      <w:r>
        <w:rPr>
          <w:rFonts w:hint="eastAsia" w:ascii="仿宋_GB2312" w:eastAsia="仿宋_GB2312"/>
          <w:color w:val="auto"/>
          <w:sz w:val="32"/>
          <w:szCs w:val="32"/>
          <w:u w:val="single"/>
          <w:lang w:val="en-US" w:eastAsia="zh-CN"/>
        </w:rPr>
        <w:t xml:space="preserve">                              </w:t>
      </w:r>
    </w:p>
    <w:p w14:paraId="2ABDF3C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eastAsia="仿宋_GB2312"/>
          <w:color w:val="auto"/>
          <w:sz w:val="36"/>
          <w:szCs w:val="36"/>
        </w:rPr>
      </w:pPr>
    </w:p>
    <w:p w14:paraId="7CF0405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eastAsia="仿宋_GB2312"/>
          <w:color w:val="auto"/>
          <w:sz w:val="36"/>
          <w:szCs w:val="36"/>
        </w:rPr>
      </w:pPr>
    </w:p>
    <w:p w14:paraId="54A89FB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color w:val="auto"/>
          <w:sz w:val="36"/>
          <w:szCs w:val="36"/>
        </w:rPr>
      </w:pPr>
    </w:p>
    <w:bookmarkEnd w:id="1"/>
    <w:p w14:paraId="1CEFE439">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2D792B3A">
      <w:pPr>
        <w:adjustRightInd w:val="0"/>
        <w:snapToGrid w:val="0"/>
        <w:spacing w:line="288" w:lineRule="auto"/>
        <w:rPr>
          <w:rFonts w:hint="eastAsia" w:ascii="Calibri" w:hAnsi="Calibri" w:eastAsia="宋体" w:cs="Times New Roman"/>
          <w:color w:val="auto"/>
          <w:lang w:eastAsia="zh-CN"/>
        </w:rPr>
      </w:pPr>
    </w:p>
    <w:p w14:paraId="2F6918B8">
      <w:pPr>
        <w:adjustRightInd w:val="0"/>
        <w:snapToGrid w:val="0"/>
        <w:spacing w:line="288" w:lineRule="auto"/>
        <w:rPr>
          <w:rFonts w:hint="eastAsia" w:ascii="仿宋_GB2312" w:eastAsia="仿宋_GB2312"/>
          <w:color w:val="auto"/>
          <w:sz w:val="36"/>
          <w:szCs w:val="36"/>
          <w:lang w:eastAsia="zh-CN"/>
        </w:rPr>
        <w:sectPr>
          <w:headerReference r:id="rId5" w:type="default"/>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p w14:paraId="29FFF13C">
      <w:pPr>
        <w:spacing w:before="0" w:beforeLines="0" w:after="0" w:afterLines="0" w:line="240" w:lineRule="auto"/>
        <w:ind w:left="0" w:leftChars="0" w:right="0" w:rightChars="0" w:firstLine="0" w:firstLineChars="0"/>
        <w:jc w:val="center"/>
        <w:rPr>
          <w:rFonts w:ascii="宋体" w:hAnsi="宋体" w:eastAsia="宋体"/>
          <w:color w:val="auto"/>
          <w:sz w:val="32"/>
          <w:szCs w:val="40"/>
        </w:rPr>
      </w:pPr>
      <w:r>
        <w:rPr>
          <w:rFonts w:ascii="宋体" w:hAnsi="宋体" w:eastAsia="宋体"/>
          <w:color w:val="auto"/>
          <w:sz w:val="32"/>
          <w:szCs w:val="40"/>
        </w:rPr>
        <w:t>目录</w:t>
      </w:r>
    </w:p>
    <w:p w14:paraId="65DAE275">
      <w:pPr>
        <w:pStyle w:val="11"/>
      </w:pPr>
    </w:p>
    <w:p w14:paraId="6485E133">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TOC \o "1-1" \h \u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_Toc7433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rPr>
        <w:t>一、</w:t>
      </w:r>
      <w:r>
        <w:rPr>
          <w:rFonts w:hint="default" w:ascii="Times New Roman" w:hAnsi="Times New Roman" w:eastAsia="宋体" w:cs="Times New Roman"/>
          <w:color w:val="auto"/>
        </w:rPr>
        <w:t>建设项目基本情况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_Toc7433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7C703CB3">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_Toc17246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rPr>
        <w:t>二、</w:t>
      </w:r>
      <w:r>
        <w:rPr>
          <w:rFonts w:hint="default" w:ascii="Times New Roman" w:hAnsi="Times New Roman" w:eastAsia="宋体" w:cs="Times New Roman"/>
          <w:color w:val="auto"/>
        </w:rPr>
        <w:t>建设项目工程分析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_Toc17246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6815FD30">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_Toc29909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rPr>
        <w:t>三、</w:t>
      </w:r>
      <w:r>
        <w:rPr>
          <w:rFonts w:hint="default" w:ascii="Times New Roman" w:hAnsi="Times New Roman" w:eastAsia="宋体" w:cs="Times New Roman"/>
          <w:color w:val="auto"/>
        </w:rPr>
        <w:t>区域环境质量现状、环境保护目标及评价标准</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_Toc29909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3685A494">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_Toc24574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snapToGrid w:val="0"/>
          <w:color w:val="auto"/>
          <w:szCs w:val="30"/>
        </w:rPr>
        <w:t>四、</w:t>
      </w:r>
      <w:r>
        <w:rPr>
          <w:rFonts w:hint="default" w:ascii="Times New Roman" w:hAnsi="Times New Roman" w:eastAsia="宋体" w:cs="Times New Roman"/>
          <w:color w:val="auto"/>
        </w:rPr>
        <w:t>主要环境影响和保护措施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_Toc24574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5370FAF8">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_Toc6413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color w:val="auto"/>
        </w:rPr>
        <w:t>五、</w:t>
      </w:r>
      <w:r>
        <w:rPr>
          <w:rFonts w:hint="default" w:ascii="Times New Roman" w:hAnsi="Times New Roman" w:eastAsia="宋体" w:cs="Times New Roman"/>
          <w:color w:val="auto"/>
        </w:rPr>
        <w:t>环境保护措施监督检查清单</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_Toc6413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013DB6E8">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_Toc21168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bCs/>
          <w:snapToGrid w:val="0"/>
          <w:color w:val="auto"/>
          <w:szCs w:val="30"/>
        </w:rPr>
        <w:t>六、</w:t>
      </w:r>
      <w:r>
        <w:rPr>
          <w:rFonts w:hint="default" w:ascii="Times New Roman" w:hAnsi="Times New Roman" w:eastAsia="宋体" w:cs="Times New Roman"/>
          <w:color w:val="auto"/>
        </w:rPr>
        <w:t>结论</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_Toc21168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0B0578FE">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\l _Toc14852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snapToGrid w:val="0"/>
          <w:color w:val="auto"/>
          <w:szCs w:val="32"/>
        </w:rPr>
        <w:t>附表</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_Toc14852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fldChar w:fldCharType="end"/>
      </w:r>
    </w:p>
    <w:p w14:paraId="41A6CDFA">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end"/>
      </w:r>
    </w:p>
    <w:p w14:paraId="6229037C">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color w:val="auto"/>
          <w:lang w:val="en-US" w:eastAsia="zh-CN"/>
        </w:rPr>
        <w:t>附件</w:t>
      </w:r>
    </w:p>
    <w:p w14:paraId="1686F064">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附件1：环评委托书</w:t>
      </w:r>
    </w:p>
    <w:p w14:paraId="0270ACB0">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附件2：营业执照及法人身份证</w:t>
      </w:r>
    </w:p>
    <w:p w14:paraId="4343C103">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附件3：福建省投资项目备案证明</w:t>
      </w:r>
      <w:bookmarkStart w:id="13" w:name="_GoBack"/>
    </w:p>
    <w:p w14:paraId="77766337">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附件4：租赁合同</w:t>
      </w:r>
    </w:p>
    <w:bookmarkEnd w:id="13"/>
    <w:p w14:paraId="445642DE">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附件5：不动产权证</w:t>
      </w:r>
    </w:p>
    <w:p w14:paraId="4E4815E9">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附件6：生态环境分区管控综合查询报告</w:t>
      </w:r>
      <w:r>
        <w:rPr>
          <w:rFonts w:hint="default" w:ascii="Times New Roman" w:hAnsi="Times New Roman" w:eastAsia="宋体" w:cs="Times New Roman"/>
          <w:snapToGrid w:val="0"/>
          <w:color w:val="auto"/>
          <w:kern w:val="2"/>
          <w:sz w:val="24"/>
          <w:szCs w:val="32"/>
          <w:lang w:val="en-US" w:eastAsia="zh-CN" w:bidi="ar-SA"/>
        </w:rPr>
        <w:br w:type="textWrapping"/>
      </w:r>
      <w:r>
        <w:rPr>
          <w:rFonts w:hint="default" w:ascii="Times New Roman" w:hAnsi="Times New Roman" w:eastAsia="宋体" w:cs="Times New Roman"/>
          <w:snapToGrid w:val="0"/>
          <w:color w:val="auto"/>
          <w:kern w:val="2"/>
          <w:sz w:val="24"/>
          <w:szCs w:val="32"/>
          <w:lang w:val="en-US" w:eastAsia="zh-CN" w:bidi="ar-SA"/>
        </w:rPr>
        <w:t>附件7：声环境现状监测报告</w:t>
      </w:r>
    </w:p>
    <w:p w14:paraId="383755C8">
      <w:pPr>
        <w:pStyle w:val="33"/>
        <w:keepNext w:val="0"/>
        <w:keepLines w:val="0"/>
        <w:pageBreakBefore w:val="0"/>
        <w:widowControl w:val="0"/>
        <w:kinsoku/>
        <w:wordWrap/>
        <w:overflowPunct/>
        <w:topLinePunct w:val="0"/>
        <w:autoSpaceDE/>
        <w:autoSpaceDN/>
        <w:bidi w:val="0"/>
        <w:adjustRightInd/>
        <w:snapToGrid/>
        <w:spacing w:line="336" w:lineRule="auto"/>
        <w:ind w:firstLine="0" w:firstLineChars="0"/>
        <w:jc w:val="both"/>
        <w:textAlignment w:val="auto"/>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附件</w:t>
      </w:r>
      <w:r>
        <w:rPr>
          <w:rFonts w:hint="eastAsia" w:cs="Times New Roman"/>
          <w:snapToGrid w:val="0"/>
          <w:color w:val="auto"/>
          <w:kern w:val="2"/>
          <w:sz w:val="24"/>
          <w:szCs w:val="32"/>
          <w:lang w:val="en-US" w:eastAsia="zh-CN" w:bidi="ar-SA"/>
        </w:rPr>
        <w:t>8</w:t>
      </w:r>
      <w:r>
        <w:rPr>
          <w:rFonts w:hint="default" w:ascii="Times New Roman" w:hAnsi="Times New Roman" w:eastAsia="宋体" w:cs="Times New Roman"/>
          <w:snapToGrid w:val="0"/>
          <w:color w:val="auto"/>
          <w:kern w:val="2"/>
          <w:sz w:val="24"/>
          <w:szCs w:val="32"/>
          <w:lang w:val="en-US" w:eastAsia="zh-CN" w:bidi="ar-SA"/>
        </w:rPr>
        <w:t>：</w:t>
      </w:r>
      <w:r>
        <w:rPr>
          <w:rFonts w:hint="eastAsia" w:cs="Times New Roman"/>
          <w:snapToGrid w:val="0"/>
          <w:color w:val="auto"/>
          <w:kern w:val="2"/>
          <w:sz w:val="24"/>
          <w:szCs w:val="32"/>
          <w:lang w:val="en-US" w:eastAsia="zh-CN" w:bidi="ar-SA"/>
        </w:rPr>
        <w:t>专家审核意见</w:t>
      </w:r>
    </w:p>
    <w:p w14:paraId="658D4ECF">
      <w:pPr>
        <w:pStyle w:val="33"/>
        <w:keepNext w:val="0"/>
        <w:keepLines w:val="0"/>
        <w:pageBreakBefore w:val="0"/>
        <w:widowControl w:val="0"/>
        <w:kinsoku/>
        <w:wordWrap/>
        <w:overflowPunct/>
        <w:topLinePunct w:val="0"/>
        <w:autoSpaceDE/>
        <w:autoSpaceDN/>
        <w:bidi w:val="0"/>
        <w:adjustRightInd/>
        <w:snapToGrid/>
        <w:spacing w:line="336" w:lineRule="auto"/>
        <w:ind w:firstLine="0" w:firstLineChars="0"/>
        <w:jc w:val="both"/>
        <w:textAlignment w:val="auto"/>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w:t>
      </w:r>
    </w:p>
    <w:p w14:paraId="3884F482">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附图1：项目地理位置图</w:t>
      </w:r>
    </w:p>
    <w:p w14:paraId="63E3849B">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附图2：周边关系图</w:t>
      </w:r>
    </w:p>
    <w:p w14:paraId="076BEE95">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附图3：出租方总平及雨污管网布置图</w:t>
      </w:r>
    </w:p>
    <w:p w14:paraId="194E061E">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附图4：项目车间平面布置图</w:t>
      </w:r>
    </w:p>
    <w:p w14:paraId="4A0A8929">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w:t>
      </w:r>
      <w:r>
        <w:rPr>
          <w:rFonts w:hint="eastAsia" w:cs="Times New Roman"/>
          <w:snapToGrid w:val="0"/>
          <w:color w:val="auto"/>
          <w:kern w:val="2"/>
          <w:sz w:val="24"/>
          <w:szCs w:val="32"/>
          <w:lang w:val="en-US" w:eastAsia="zh-CN" w:bidi="ar-SA"/>
        </w:rPr>
        <w:t>5</w:t>
      </w:r>
      <w:r>
        <w:rPr>
          <w:rFonts w:hint="default" w:ascii="Times New Roman" w:hAnsi="Times New Roman" w:eastAsia="宋体" w:cs="Times New Roman"/>
          <w:snapToGrid w:val="0"/>
          <w:color w:val="auto"/>
          <w:kern w:val="2"/>
          <w:sz w:val="24"/>
          <w:szCs w:val="32"/>
          <w:lang w:val="en-US" w:eastAsia="zh-CN" w:bidi="ar-SA"/>
        </w:rPr>
        <w:t>：</w:t>
      </w:r>
      <w:r>
        <w:rPr>
          <w:rFonts w:hint="eastAsia" w:ascii="Times New Roman" w:hAnsi="Times New Roman" w:eastAsia="宋体" w:cs="Times New Roman"/>
          <w:snapToGrid w:val="0"/>
          <w:color w:val="auto"/>
          <w:kern w:val="2"/>
          <w:sz w:val="24"/>
          <w:szCs w:val="32"/>
          <w:lang w:val="en-US" w:eastAsia="zh-CN" w:bidi="ar-SA"/>
        </w:rPr>
        <w:t>项目分区防渗图</w:t>
      </w:r>
      <w:r>
        <w:rPr>
          <w:rFonts w:hint="default" w:ascii="Times New Roman" w:hAnsi="Times New Roman" w:eastAsia="宋体" w:cs="Times New Roman"/>
          <w:snapToGrid w:val="0"/>
          <w:color w:val="auto"/>
          <w:kern w:val="2"/>
          <w:sz w:val="24"/>
          <w:szCs w:val="32"/>
          <w:lang w:val="en-US" w:eastAsia="zh-CN" w:bidi="ar-SA"/>
        </w:rPr>
        <w:br w:type="textWrapping"/>
      </w:r>
      <w:r>
        <w:rPr>
          <w:rFonts w:hint="default" w:ascii="Times New Roman" w:hAnsi="Times New Roman" w:eastAsia="宋体" w:cs="Times New Roman"/>
          <w:snapToGrid w:val="0"/>
          <w:color w:val="auto"/>
          <w:kern w:val="2"/>
          <w:sz w:val="24"/>
          <w:szCs w:val="32"/>
          <w:lang w:val="en-US" w:eastAsia="zh-CN" w:bidi="ar-SA"/>
        </w:rPr>
        <w:t>附图</w:t>
      </w:r>
      <w:r>
        <w:rPr>
          <w:rFonts w:hint="eastAsia" w:cs="Times New Roman"/>
          <w:snapToGrid w:val="0"/>
          <w:color w:val="auto"/>
          <w:kern w:val="2"/>
          <w:sz w:val="24"/>
          <w:szCs w:val="32"/>
          <w:lang w:val="en-US" w:eastAsia="zh-CN" w:bidi="ar-SA"/>
        </w:rPr>
        <w:t>6</w:t>
      </w:r>
      <w:r>
        <w:rPr>
          <w:rFonts w:hint="default" w:ascii="Times New Roman" w:hAnsi="Times New Roman" w:eastAsia="宋体" w:cs="Times New Roman"/>
          <w:snapToGrid w:val="0"/>
          <w:color w:val="auto"/>
          <w:kern w:val="2"/>
          <w:sz w:val="24"/>
          <w:szCs w:val="32"/>
          <w:lang w:val="en-US" w:eastAsia="zh-CN" w:bidi="ar-SA"/>
        </w:rPr>
        <w:t>：青口镇东台片区控制性详细规划-土地利用规划图</w:t>
      </w:r>
    </w:p>
    <w:p w14:paraId="573001C8">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both"/>
        <w:textAlignment w:val="auto"/>
        <w:outlineLvl w:val="1"/>
        <w:rPr>
          <w:rFonts w:hint="default" w:ascii="Times New Roman" w:hAnsi="Times New Roman" w:eastAsia="宋体" w:cs="Times New Roman"/>
          <w:snapToGrid w:val="0"/>
          <w:color w:val="auto"/>
          <w:kern w:val="2"/>
          <w:sz w:val="24"/>
          <w:szCs w:val="32"/>
          <w:lang w:val="en-US" w:eastAsia="zh-CN" w:bidi="ar-SA"/>
        </w:rPr>
      </w:pPr>
      <w:r>
        <w:rPr>
          <w:rFonts w:hint="default" w:ascii="Times New Roman" w:hAnsi="Times New Roman" w:eastAsia="宋体" w:cs="Times New Roman"/>
          <w:snapToGrid w:val="0"/>
          <w:color w:val="auto"/>
          <w:kern w:val="2"/>
          <w:sz w:val="24"/>
          <w:szCs w:val="32"/>
          <w:lang w:val="en-US" w:eastAsia="zh-CN" w:bidi="ar-SA"/>
        </w:rPr>
        <w:t>附图</w:t>
      </w:r>
      <w:r>
        <w:rPr>
          <w:rFonts w:hint="eastAsia" w:cs="Times New Roman"/>
          <w:snapToGrid w:val="0"/>
          <w:color w:val="auto"/>
          <w:kern w:val="2"/>
          <w:sz w:val="24"/>
          <w:szCs w:val="32"/>
          <w:lang w:val="en-US" w:eastAsia="zh-CN" w:bidi="ar-SA"/>
        </w:rPr>
        <w:t>7</w:t>
      </w:r>
      <w:r>
        <w:rPr>
          <w:rFonts w:hint="default" w:ascii="Times New Roman" w:hAnsi="Times New Roman" w:eastAsia="宋体" w:cs="Times New Roman"/>
          <w:snapToGrid w:val="0"/>
          <w:color w:val="auto"/>
          <w:kern w:val="2"/>
          <w:sz w:val="24"/>
          <w:szCs w:val="32"/>
          <w:lang w:val="en-US" w:eastAsia="zh-CN" w:bidi="ar-SA"/>
        </w:rPr>
        <w:t>：福州市声环境功能区划图（2021年）</w:t>
      </w:r>
      <w:r>
        <w:rPr>
          <w:rFonts w:hint="default" w:ascii="Times New Roman" w:hAnsi="Times New Roman" w:eastAsia="宋体" w:cs="Times New Roman"/>
          <w:snapToGrid w:val="0"/>
          <w:color w:val="auto"/>
          <w:kern w:val="2"/>
          <w:sz w:val="24"/>
          <w:szCs w:val="32"/>
          <w:lang w:val="en-US" w:eastAsia="zh-CN" w:bidi="ar-SA"/>
        </w:rPr>
        <w:br w:type="textWrapping"/>
      </w:r>
      <w:r>
        <w:rPr>
          <w:rFonts w:hint="default" w:ascii="Times New Roman" w:hAnsi="Times New Roman" w:eastAsia="宋体" w:cs="Times New Roman"/>
          <w:snapToGrid w:val="0"/>
          <w:color w:val="auto"/>
          <w:kern w:val="2"/>
          <w:sz w:val="24"/>
          <w:szCs w:val="32"/>
          <w:lang w:val="en-US" w:eastAsia="zh-CN" w:bidi="ar-SA"/>
        </w:rPr>
        <w:t>附图</w:t>
      </w:r>
      <w:r>
        <w:rPr>
          <w:rFonts w:hint="eastAsia" w:cs="Times New Roman"/>
          <w:snapToGrid w:val="0"/>
          <w:color w:val="auto"/>
          <w:kern w:val="2"/>
          <w:sz w:val="24"/>
          <w:szCs w:val="32"/>
          <w:lang w:val="en-US" w:eastAsia="zh-CN" w:bidi="ar-SA"/>
        </w:rPr>
        <w:t>8</w:t>
      </w:r>
      <w:r>
        <w:rPr>
          <w:rFonts w:hint="default" w:ascii="Times New Roman" w:hAnsi="Times New Roman" w:eastAsia="宋体" w:cs="Times New Roman"/>
          <w:snapToGrid w:val="0"/>
          <w:color w:val="auto"/>
          <w:kern w:val="2"/>
          <w:sz w:val="24"/>
          <w:szCs w:val="32"/>
          <w:lang w:val="en-US" w:eastAsia="zh-CN" w:bidi="ar-SA"/>
        </w:rPr>
        <w:t>：闽侯县2024年1月-12月环境空气质量截图</w:t>
      </w:r>
    </w:p>
    <w:p w14:paraId="6068449A">
      <w:pPr>
        <w:pStyle w:val="33"/>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黑体" w:hAnsi="黑体" w:eastAsia="黑体" w:cs="Times New Roman"/>
          <w:snapToGrid w:val="0"/>
          <w:color w:val="auto"/>
          <w:kern w:val="2"/>
          <w:sz w:val="24"/>
          <w:szCs w:val="32"/>
          <w:lang w:val="en-US" w:eastAsia="zh-CN" w:bidi="ar-SA"/>
        </w:rPr>
      </w:pPr>
    </w:p>
    <w:p w14:paraId="5266A932">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p>
    <w:p w14:paraId="7C31752A">
      <w:pPr>
        <w:ind w:left="0" w:leftChars="0" w:firstLine="0" w:firstLineChars="0"/>
        <w:jc w:val="both"/>
        <w:rPr>
          <w:rFonts w:hint="eastAsia" w:ascii="宋体" w:hAnsi="宋体" w:eastAsia="宋体" w:cs="宋体"/>
          <w:b/>
          <w:bCs/>
          <w:color w:val="auto"/>
          <w:sz w:val="28"/>
          <w:szCs w:val="28"/>
          <w:lang w:val="en-US" w:eastAsia="zh-CN"/>
        </w:rPr>
        <w:sectPr>
          <w:footerReference r:id="rId7"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7908878">
      <w:pPr>
        <w:pStyle w:val="2"/>
        <w:bidi w:val="0"/>
        <w:ind w:left="5529" w:leftChars="0" w:hanging="5529" w:firstLineChars="0"/>
        <w:rPr>
          <w:rFonts w:hint="eastAsia"/>
          <w:color w:val="auto"/>
        </w:rPr>
      </w:pPr>
      <w:bookmarkStart w:id="2" w:name="_Toc7433"/>
      <w:r>
        <w:rPr>
          <w:rFonts w:hint="eastAsia"/>
          <w:color w:val="auto"/>
        </w:rPr>
        <w:t>建设项目基本情况</w:t>
      </w:r>
      <w:bookmarkEnd w:id="2"/>
    </w:p>
    <w:tbl>
      <w:tblPr>
        <w:tblStyle w:val="23"/>
        <w:tblW w:w="49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8"/>
        <w:gridCol w:w="341"/>
        <w:gridCol w:w="2816"/>
        <w:gridCol w:w="1816"/>
        <w:gridCol w:w="3231"/>
      </w:tblGrid>
      <w:tr w14:paraId="5F6FE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1B6818AD">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建设项目名称</w:t>
            </w:r>
          </w:p>
        </w:tc>
        <w:tc>
          <w:tcPr>
            <w:tcW w:w="4381" w:type="pct"/>
            <w:gridSpan w:val="3"/>
            <w:noWrap w:val="0"/>
            <w:vAlign w:val="center"/>
          </w:tcPr>
          <w:p w14:paraId="76BBED3C">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郑州精益达汽车零部件有限公司座椅加工项目</w:t>
            </w:r>
          </w:p>
        </w:tc>
      </w:tr>
      <w:tr w14:paraId="3D703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408B10CF">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项目代码</w:t>
            </w:r>
          </w:p>
        </w:tc>
        <w:tc>
          <w:tcPr>
            <w:tcW w:w="4381" w:type="pct"/>
            <w:gridSpan w:val="3"/>
            <w:noWrap w:val="0"/>
            <w:vAlign w:val="center"/>
          </w:tcPr>
          <w:p w14:paraId="5E3F5109">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2511-350121-04-01-655350</w:t>
            </w:r>
          </w:p>
        </w:tc>
      </w:tr>
      <w:tr w14:paraId="62AF4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78F5D70F">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建设单位联系人</w:t>
            </w:r>
          </w:p>
        </w:tc>
        <w:tc>
          <w:tcPr>
            <w:tcW w:w="1569" w:type="pct"/>
            <w:noWrap w:val="0"/>
            <w:vAlign w:val="center"/>
          </w:tcPr>
          <w:p w14:paraId="24153D4C">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c>
          <w:tcPr>
            <w:tcW w:w="1012" w:type="pct"/>
            <w:noWrap w:val="0"/>
            <w:vAlign w:val="center"/>
          </w:tcPr>
          <w:p w14:paraId="40C221F9">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联系方式</w:t>
            </w:r>
          </w:p>
        </w:tc>
        <w:tc>
          <w:tcPr>
            <w:tcW w:w="1799" w:type="pct"/>
            <w:noWrap w:val="0"/>
            <w:vAlign w:val="center"/>
          </w:tcPr>
          <w:p w14:paraId="63529292">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r>
      <w:tr w14:paraId="50C7D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55EEF89A">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建设地点</w:t>
            </w:r>
          </w:p>
        </w:tc>
        <w:tc>
          <w:tcPr>
            <w:tcW w:w="4381" w:type="pct"/>
            <w:gridSpan w:val="3"/>
            <w:noWrap w:val="0"/>
            <w:vAlign w:val="center"/>
          </w:tcPr>
          <w:p w14:paraId="0D267C5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highlight w:val="none"/>
                <w:u w:val="none"/>
                <w:lang w:eastAsia="zh-CN"/>
                <w14:textFill>
                  <w14:solidFill>
                    <w14:schemeClr w14:val="tx1"/>
                  </w14:solidFill>
                </w14:textFill>
              </w:rPr>
              <w:t>福建省福州市闽侯县青口镇东台村（租赁福州胜金电器企业有限公司</w:t>
            </w:r>
            <w:r>
              <w:rPr>
                <w:rFonts w:hint="eastAsia" w:cs="Times New Roman"/>
                <w:color w:val="000000" w:themeColor="text1"/>
                <w:sz w:val="24"/>
                <w:highlight w:val="none"/>
                <w:u w:val="none"/>
                <w:lang w:val="en-US" w:eastAsia="zh-CN"/>
                <w14:textFill>
                  <w14:solidFill>
                    <w14:schemeClr w14:val="tx1"/>
                  </w14:solidFill>
                </w14:textFill>
              </w:rPr>
              <w:t>1#楼</w:t>
            </w:r>
            <w:r>
              <w:rPr>
                <w:rFonts w:hint="eastAsia" w:cs="Times New Roman"/>
                <w:color w:val="000000" w:themeColor="text1"/>
                <w:sz w:val="24"/>
                <w:highlight w:val="none"/>
                <w:u w:val="none"/>
                <w:lang w:eastAsia="zh-CN"/>
                <w14:textFill>
                  <w14:solidFill>
                    <w14:schemeClr w14:val="tx1"/>
                  </w14:solidFill>
                </w14:textFill>
              </w:rPr>
              <w:t>）</w:t>
            </w:r>
          </w:p>
        </w:tc>
      </w:tr>
      <w:tr w14:paraId="10B0B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46782073">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地理坐标</w:t>
            </w:r>
          </w:p>
        </w:tc>
        <w:tc>
          <w:tcPr>
            <w:tcW w:w="4381" w:type="pct"/>
            <w:gridSpan w:val="3"/>
            <w:noWrap w:val="0"/>
            <w:vAlign w:val="center"/>
          </w:tcPr>
          <w:p w14:paraId="63BA8810">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119</w:t>
            </w:r>
            <w:r>
              <w:rPr>
                <w:rFonts w:hint="default" w:ascii="Times New Roman" w:hAnsi="Times New Roman" w:cs="Times New Roman"/>
                <w:color w:val="000000" w:themeColor="text1"/>
                <w:sz w:val="24"/>
                <w14:textFill>
                  <w14:solidFill>
                    <w14:schemeClr w14:val="tx1"/>
                  </w14:solidFill>
                </w14:textFill>
              </w:rPr>
              <w:t>度</w:t>
            </w:r>
            <w:r>
              <w:rPr>
                <w:rFonts w:hint="eastAsia" w:cs="Times New Roman"/>
                <w:color w:val="000000" w:themeColor="text1"/>
                <w:sz w:val="24"/>
                <w:u w:val="single"/>
                <w:lang w:val="en-US" w:eastAsia="zh-CN"/>
                <w14:textFill>
                  <w14:solidFill>
                    <w14:schemeClr w14:val="tx1"/>
                  </w14:solidFill>
                </w14:textFill>
              </w:rPr>
              <w:t>19</w:t>
            </w:r>
            <w:r>
              <w:rPr>
                <w:rFonts w:hint="default" w:ascii="Times New Roman" w:hAnsi="Times New Roman" w:cs="Times New Roman"/>
                <w:color w:val="000000" w:themeColor="text1"/>
                <w:sz w:val="24"/>
                <w14:textFill>
                  <w14:solidFill>
                    <w14:schemeClr w14:val="tx1"/>
                  </w14:solidFill>
                </w14:textFill>
              </w:rPr>
              <w:t>分</w:t>
            </w:r>
            <w:r>
              <w:rPr>
                <w:rFonts w:hint="eastAsia" w:cs="Times New Roman"/>
                <w:color w:val="000000" w:themeColor="text1"/>
                <w:sz w:val="24"/>
                <w:u w:val="single"/>
                <w:lang w:val="en-US" w:eastAsia="zh-CN"/>
                <w14:textFill>
                  <w14:solidFill>
                    <w14:schemeClr w14:val="tx1"/>
                  </w14:solidFill>
                </w14:textFill>
              </w:rPr>
              <w:t>4.241</w:t>
            </w:r>
            <w:r>
              <w:rPr>
                <w:rFonts w:hint="default" w:ascii="Times New Roman" w:hAnsi="Times New Roman" w:cs="Times New Roman"/>
                <w:color w:val="000000" w:themeColor="text1"/>
                <w:sz w:val="24"/>
                <w14:textFill>
                  <w14:solidFill>
                    <w14:schemeClr w14:val="tx1"/>
                  </w14:solidFill>
                </w14:textFill>
              </w:rPr>
              <w:t>秒，</w:t>
            </w:r>
            <w:r>
              <w:rPr>
                <w:rFonts w:hint="eastAsia" w:cs="Times New Roman"/>
                <w:color w:val="000000" w:themeColor="text1"/>
                <w:sz w:val="24"/>
                <w:u w:val="single"/>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度</w:t>
            </w:r>
            <w:r>
              <w:rPr>
                <w:rFonts w:hint="eastAsia" w:cs="Times New Roman"/>
                <w:color w:val="000000" w:themeColor="text1"/>
                <w:sz w:val="24"/>
                <w:u w:val="single"/>
                <w:lang w:val="en-US" w:eastAsia="zh-CN"/>
                <w14:textFill>
                  <w14:solidFill>
                    <w14:schemeClr w14:val="tx1"/>
                  </w14:solidFill>
                </w14:textFill>
              </w:rPr>
              <w:t>51</w:t>
            </w:r>
            <w:r>
              <w:rPr>
                <w:rFonts w:hint="default" w:ascii="Times New Roman" w:hAnsi="Times New Roman" w:cs="Times New Roman"/>
                <w:color w:val="000000" w:themeColor="text1"/>
                <w:sz w:val="24"/>
                <w14:textFill>
                  <w14:solidFill>
                    <w14:schemeClr w14:val="tx1"/>
                  </w14:solidFill>
                </w14:textFill>
              </w:rPr>
              <w:t>分</w:t>
            </w:r>
            <w:r>
              <w:rPr>
                <w:rFonts w:hint="eastAsia" w:cs="Times New Roman"/>
                <w:color w:val="000000" w:themeColor="text1"/>
                <w:sz w:val="24"/>
                <w:u w:val="single"/>
                <w:lang w:val="en-US" w:eastAsia="zh-CN"/>
                <w14:textFill>
                  <w14:solidFill>
                    <w14:schemeClr w14:val="tx1"/>
                  </w14:solidFill>
                </w14:textFill>
              </w:rPr>
              <w:t>3.724</w:t>
            </w:r>
            <w:r>
              <w:rPr>
                <w:rFonts w:hint="default" w:ascii="Times New Roman" w:hAnsi="Times New Roman" w:cs="Times New Roman"/>
                <w:color w:val="000000" w:themeColor="text1"/>
                <w:sz w:val="24"/>
                <w14:textFill>
                  <w14:solidFill>
                    <w14:schemeClr w14:val="tx1"/>
                  </w14:solidFill>
                </w14:textFill>
              </w:rPr>
              <w:t>秒）</w:t>
            </w:r>
          </w:p>
        </w:tc>
      </w:tr>
      <w:tr w14:paraId="1E9B7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1279B38A">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国民经济行业类别</w:t>
            </w:r>
          </w:p>
        </w:tc>
        <w:tc>
          <w:tcPr>
            <w:tcW w:w="1569" w:type="pct"/>
            <w:noWrap w:val="0"/>
            <w:vAlign w:val="center"/>
          </w:tcPr>
          <w:p w14:paraId="69801D11">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C3670汽车零部件及配件制造</w:t>
            </w:r>
          </w:p>
        </w:tc>
        <w:tc>
          <w:tcPr>
            <w:tcW w:w="1012" w:type="pct"/>
            <w:noWrap w:val="0"/>
            <w:vAlign w:val="center"/>
          </w:tcPr>
          <w:p w14:paraId="6E90B5C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bookmarkStart w:id="3" w:name="_Hlk49843745"/>
            <w:r>
              <w:rPr>
                <w:rFonts w:hint="default" w:ascii="Times New Roman" w:hAnsi="Times New Roman" w:cs="Times New Roman"/>
                <w:color w:val="000000" w:themeColor="text1"/>
                <w:sz w:val="24"/>
                <w:highlight w:val="none"/>
                <w14:textFill>
                  <w14:solidFill>
                    <w14:schemeClr w14:val="tx1"/>
                  </w14:solidFill>
                </w14:textFill>
              </w:rPr>
              <w:t>建设项目行业类别</w:t>
            </w:r>
            <w:bookmarkEnd w:id="3"/>
          </w:p>
        </w:tc>
        <w:tc>
          <w:tcPr>
            <w:tcW w:w="1799" w:type="pct"/>
            <w:noWrap w:val="0"/>
            <w:vAlign w:val="center"/>
          </w:tcPr>
          <w:p w14:paraId="6830BD6F">
            <w:pPr>
              <w:keepNext w:val="0"/>
              <w:keepLines w:val="0"/>
              <w:pageBreakBefore w:val="0"/>
              <w:suppressLineNumbers w:val="0"/>
              <w:wordWrap/>
              <w:overflowPunct/>
              <w:topLinePunct w:val="0"/>
              <w:bidi w:val="0"/>
              <w:spacing w:before="0" w:beforeAutospacing="0" w:after="0" w:afterAutospacing="0" w:line="240" w:lineRule="auto"/>
              <w:ind w:left="120" w:leftChars="50" w:right="0" w:firstLine="0" w:firstLineChars="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三十三</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汽车制造业</w:t>
            </w:r>
            <w:r>
              <w:rPr>
                <w:rFonts w:hint="eastAsia" w:cs="Times New Roman"/>
                <w:color w:val="000000" w:themeColor="text1"/>
                <w:sz w:val="24"/>
                <w:highlight w:val="none"/>
                <w:lang w:val="en-US" w:eastAsia="zh-CN"/>
                <w14:textFill>
                  <w14:solidFill>
                    <w14:schemeClr w14:val="tx1"/>
                  </w14:solidFill>
                </w14:textFill>
              </w:rPr>
              <w:t xml:space="preserve"> 36－</w:t>
            </w:r>
            <w:r>
              <w:rPr>
                <w:rFonts w:hint="default" w:ascii="Times New Roman" w:hAnsi="Times New Roman" w:cs="Times New Roman"/>
                <w:color w:val="000000" w:themeColor="text1"/>
                <w:sz w:val="24"/>
                <w:highlight w:val="none"/>
                <w14:textFill>
                  <w14:solidFill>
                    <w14:schemeClr w14:val="tx1"/>
                  </w14:solidFill>
                </w14:textFill>
              </w:rPr>
              <w:t>汽车零部件及配件制造 367</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其他（年用非溶剂型低VOCs含量涂料10吨以下的除外）</w:t>
            </w:r>
          </w:p>
        </w:tc>
      </w:tr>
      <w:tr w14:paraId="4964B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30ED17EF">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p>
        </w:tc>
        <w:tc>
          <w:tcPr>
            <w:tcW w:w="1569" w:type="pct"/>
            <w:noWrap w:val="0"/>
            <w:vAlign w:val="center"/>
          </w:tcPr>
          <w:p w14:paraId="6FA3D361">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新建（迁建）</w:t>
            </w:r>
          </w:p>
          <w:p w14:paraId="1B82C6AE">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改建</w:t>
            </w:r>
          </w:p>
          <w:p w14:paraId="488957A4">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扩建</w:t>
            </w:r>
          </w:p>
          <w:p w14:paraId="13C11085">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技术改造</w:t>
            </w:r>
          </w:p>
        </w:tc>
        <w:tc>
          <w:tcPr>
            <w:tcW w:w="1012" w:type="pct"/>
            <w:noWrap w:val="0"/>
            <w:vAlign w:val="center"/>
          </w:tcPr>
          <w:p w14:paraId="70D83CE7">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14:paraId="3BBB8899">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1799" w:type="pct"/>
            <w:noWrap w:val="0"/>
            <w:vAlign w:val="center"/>
          </w:tcPr>
          <w:p w14:paraId="7A1AEA8B">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首次申报项目</w:t>
            </w:r>
          </w:p>
          <w:p w14:paraId="7CE76CDE">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不予批准后再次申报项目</w:t>
            </w:r>
          </w:p>
          <w:p w14:paraId="13C07DCC">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超五年重新审核项目</w:t>
            </w:r>
          </w:p>
          <w:p w14:paraId="20C38293">
            <w:pPr>
              <w:keepNext w:val="0"/>
              <w:keepLines w:val="0"/>
              <w:pageBreakBefore w:val="0"/>
              <w:suppressLineNumbers w:val="0"/>
              <w:wordWrap/>
              <w:overflowPunct/>
              <w:topLinePunct w:val="0"/>
              <w:bidi w:val="0"/>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重大变动重新报批项目</w:t>
            </w:r>
          </w:p>
        </w:tc>
      </w:tr>
      <w:tr w14:paraId="7C6EE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71E91ED2">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w:t>
            </w:r>
          </w:p>
          <w:p w14:paraId="7A34668D">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（核准/备案）部门（选填）</w:t>
            </w:r>
          </w:p>
        </w:tc>
        <w:tc>
          <w:tcPr>
            <w:tcW w:w="1569" w:type="pct"/>
            <w:noWrap w:val="0"/>
            <w:vAlign w:val="center"/>
          </w:tcPr>
          <w:p w14:paraId="08435308">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闽侯县发展和改革局</w:t>
            </w:r>
          </w:p>
        </w:tc>
        <w:tc>
          <w:tcPr>
            <w:tcW w:w="1012" w:type="pct"/>
            <w:noWrap w:val="0"/>
            <w:vAlign w:val="center"/>
          </w:tcPr>
          <w:p w14:paraId="6B96A379">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项目审批（核准/备案）文号（选填）</w:t>
            </w:r>
          </w:p>
        </w:tc>
        <w:tc>
          <w:tcPr>
            <w:tcW w:w="1799" w:type="pct"/>
            <w:noWrap w:val="0"/>
            <w:vAlign w:val="center"/>
          </w:tcPr>
          <w:p w14:paraId="318094C3">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闽发改备[2025]A080540号</w:t>
            </w:r>
          </w:p>
        </w:tc>
      </w:tr>
      <w:tr w14:paraId="69C34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02CB701B">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总投资（万元）</w:t>
            </w:r>
          </w:p>
        </w:tc>
        <w:tc>
          <w:tcPr>
            <w:tcW w:w="1569" w:type="pct"/>
            <w:noWrap w:val="0"/>
            <w:vAlign w:val="center"/>
          </w:tcPr>
          <w:p w14:paraId="6BCCF462">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1600</w:t>
            </w:r>
          </w:p>
        </w:tc>
        <w:tc>
          <w:tcPr>
            <w:tcW w:w="1012" w:type="pct"/>
            <w:noWrap w:val="0"/>
            <w:tcMar>
              <w:top w:w="16" w:type="dxa"/>
              <w:left w:w="16" w:type="dxa"/>
              <w:right w:w="16" w:type="dxa"/>
            </w:tcMar>
            <w:vAlign w:val="center"/>
          </w:tcPr>
          <w:p w14:paraId="00C046FF">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环保投资（万元）</w:t>
            </w:r>
          </w:p>
        </w:tc>
        <w:tc>
          <w:tcPr>
            <w:tcW w:w="1799" w:type="pct"/>
            <w:noWrap w:val="0"/>
            <w:vAlign w:val="center"/>
          </w:tcPr>
          <w:p w14:paraId="62E4C94A">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16</w:t>
            </w:r>
          </w:p>
        </w:tc>
      </w:tr>
      <w:tr w14:paraId="08392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5ECCADA4">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环保投资占比（%）</w:t>
            </w:r>
          </w:p>
        </w:tc>
        <w:tc>
          <w:tcPr>
            <w:tcW w:w="1569" w:type="pct"/>
            <w:noWrap w:val="0"/>
            <w:vAlign w:val="center"/>
          </w:tcPr>
          <w:p w14:paraId="08846364">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w:t>
            </w:r>
          </w:p>
        </w:tc>
        <w:tc>
          <w:tcPr>
            <w:tcW w:w="1012" w:type="pct"/>
            <w:noWrap w:val="0"/>
            <w:tcMar>
              <w:top w:w="16" w:type="dxa"/>
              <w:left w:w="16" w:type="dxa"/>
              <w:right w:w="16" w:type="dxa"/>
            </w:tcMar>
            <w:vAlign w:val="center"/>
          </w:tcPr>
          <w:p w14:paraId="4D639D4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施工工期</w:t>
            </w:r>
          </w:p>
        </w:tc>
        <w:tc>
          <w:tcPr>
            <w:tcW w:w="1799" w:type="pct"/>
            <w:noWrap w:val="0"/>
            <w:vAlign w:val="center"/>
          </w:tcPr>
          <w:p w14:paraId="74757338">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2026年1月—2026年6月</w:t>
            </w:r>
          </w:p>
        </w:tc>
      </w:tr>
      <w:tr w14:paraId="1EDDE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8" w:type="pct"/>
            <w:gridSpan w:val="2"/>
            <w:noWrap w:val="0"/>
            <w:tcMar>
              <w:top w:w="16" w:type="dxa"/>
              <w:left w:w="16" w:type="dxa"/>
              <w:right w:w="16" w:type="dxa"/>
            </w:tcMar>
            <w:vAlign w:val="center"/>
          </w:tcPr>
          <w:p w14:paraId="7AD20121">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是否开工建设</w:t>
            </w:r>
          </w:p>
        </w:tc>
        <w:tc>
          <w:tcPr>
            <w:tcW w:w="1569" w:type="pct"/>
            <w:noWrap w:val="0"/>
            <w:vAlign w:val="center"/>
          </w:tcPr>
          <w:p w14:paraId="3577E112">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否</w:t>
            </w:r>
          </w:p>
          <w:p w14:paraId="6A877DA7">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是：</w:t>
            </w:r>
          </w:p>
        </w:tc>
        <w:tc>
          <w:tcPr>
            <w:tcW w:w="1012" w:type="pct"/>
            <w:noWrap w:val="0"/>
            <w:tcMar>
              <w:top w:w="16" w:type="dxa"/>
              <w:left w:w="16" w:type="dxa"/>
              <w:right w:w="16" w:type="dxa"/>
            </w:tcMar>
            <w:vAlign w:val="center"/>
          </w:tcPr>
          <w:p w14:paraId="3B8C71A8">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用地（用海）</w:t>
            </w:r>
          </w:p>
          <w:p w14:paraId="3E7F27E5">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面积（m</w:t>
            </w:r>
            <w:r>
              <w:rPr>
                <w:rFonts w:hint="default" w:ascii="Times New Roman" w:hAnsi="Times New Roman" w:cs="Times New Roman"/>
                <w:color w:val="000000" w:themeColor="text1"/>
                <w:spacing w:val="-6"/>
                <w:sz w:val="24"/>
                <w:vertAlign w:val="superscript"/>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w:t>
            </w:r>
          </w:p>
        </w:tc>
        <w:tc>
          <w:tcPr>
            <w:tcW w:w="1799" w:type="pct"/>
            <w:noWrap w:val="0"/>
            <w:vAlign w:val="center"/>
          </w:tcPr>
          <w:p w14:paraId="02AAF757">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租赁面积12000</w:t>
            </w:r>
          </w:p>
        </w:tc>
      </w:tr>
      <w:tr w14:paraId="2A54F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noWrap w:val="0"/>
            <w:vAlign w:val="center"/>
          </w:tcPr>
          <w:p w14:paraId="2B041A3A">
            <w:pPr>
              <w:keepNext w:val="0"/>
              <w:keepLines w:val="0"/>
              <w:pageBreakBefore w:val="0"/>
              <w:suppressLineNumbers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专项评价设置情况</w:t>
            </w:r>
          </w:p>
        </w:tc>
        <w:tc>
          <w:tcPr>
            <w:tcW w:w="4571" w:type="pct"/>
            <w:gridSpan w:val="4"/>
            <w:noWrap w:val="0"/>
            <w:vAlign w:val="center"/>
          </w:tcPr>
          <w:p w14:paraId="37943208">
            <w:pPr>
              <w:pStyle w:val="3"/>
              <w:keepNext w:val="0"/>
              <w:keepLines w:val="0"/>
              <w:suppressLineNumbers w:val="0"/>
              <w:bidi w:val="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专项评价设置情况</w:t>
            </w:r>
          </w:p>
          <w:p w14:paraId="095F217E">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根据《建设项目环境影响报告表编制技术指南（污染影响类）（试行）》，项目专项评价设置情况见下表：</w:t>
            </w:r>
          </w:p>
          <w:p w14:paraId="47E2DF48">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专项评价设置情况一览表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3421"/>
              <w:gridCol w:w="2241"/>
              <w:gridCol w:w="1169"/>
            </w:tblGrid>
            <w:tr w14:paraId="6780F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3489035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专项评价类别</w:t>
                  </w:r>
                </w:p>
              </w:tc>
              <w:tc>
                <w:tcPr>
                  <w:tcW w:w="2142" w:type="pct"/>
                  <w:noWrap w:val="0"/>
                  <w:vAlign w:val="center"/>
                </w:tcPr>
                <w:p w14:paraId="5DF016F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设置原则</w:t>
                  </w:r>
                </w:p>
              </w:tc>
              <w:tc>
                <w:tcPr>
                  <w:tcW w:w="1403" w:type="pct"/>
                  <w:noWrap w:val="0"/>
                  <w:vAlign w:val="center"/>
                </w:tcPr>
                <w:p w14:paraId="72CE90AF">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本项目情况</w:t>
                  </w:r>
                </w:p>
              </w:tc>
              <w:tc>
                <w:tcPr>
                  <w:tcW w:w="729" w:type="pct"/>
                  <w:noWrap w:val="0"/>
                  <w:vAlign w:val="center"/>
                </w:tcPr>
                <w:p w14:paraId="23588426">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设置情况</w:t>
                  </w:r>
                </w:p>
              </w:tc>
            </w:tr>
            <w:tr w14:paraId="65646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1AAB95FB">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2142" w:type="pct"/>
                  <w:noWrap w:val="0"/>
                  <w:vAlign w:val="center"/>
                </w:tcPr>
                <w:p w14:paraId="0EEC1AB8">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排放废气含有毒有害污染物</w:t>
                  </w:r>
                  <w:r>
                    <w:rPr>
                      <w:rFonts w:hint="default" w:ascii="Times New Roman" w:hAnsi="Times New Roman" w:cs="Times New Roman"/>
                      <w:color w:val="000000" w:themeColor="text1"/>
                      <w:vertAlign w:val="super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、二噁英、苯并[a]芘、氰化物、氯气且厂界外500米范围内有环境空气保护目标</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的建设项目</w:t>
                  </w:r>
                </w:p>
              </w:tc>
              <w:tc>
                <w:tcPr>
                  <w:tcW w:w="1403" w:type="pct"/>
                  <w:noWrap w:val="0"/>
                  <w:vAlign w:val="center"/>
                </w:tcPr>
                <w:p w14:paraId="764901A5">
                  <w:pPr>
                    <w:pStyle w:val="33"/>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排放废气为非甲烷总烃，不</w:t>
                  </w:r>
                  <w:r>
                    <w:rPr>
                      <w:rFonts w:hint="default" w:ascii="Times New Roman" w:hAnsi="Times New Roman" w:cs="Times New Roman"/>
                      <w:color w:val="000000" w:themeColor="text1"/>
                      <w14:textFill>
                        <w14:solidFill>
                          <w14:schemeClr w14:val="tx1"/>
                        </w14:solidFill>
                      </w14:textFill>
                    </w:rPr>
                    <w:t>含有毒有害污染物</w:t>
                  </w:r>
                  <w:r>
                    <w:rPr>
                      <w:rFonts w:hint="default" w:ascii="Times New Roman" w:hAnsi="Times New Roman" w:cs="Times New Roman"/>
                      <w:color w:val="000000" w:themeColor="text1"/>
                      <w:vertAlign w:val="super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、二噁英、苯并[a]芘、氰化物、氯气</w:t>
                  </w:r>
                </w:p>
              </w:tc>
              <w:tc>
                <w:tcPr>
                  <w:tcW w:w="729" w:type="pct"/>
                  <w:noWrap w:val="0"/>
                  <w:vAlign w:val="center"/>
                </w:tcPr>
                <w:p w14:paraId="3F644CB7">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0C571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310D575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2142" w:type="pct"/>
                  <w:noWrap w:val="0"/>
                  <w:vAlign w:val="center"/>
                </w:tcPr>
                <w:p w14:paraId="0D26943C">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1403" w:type="pct"/>
                  <w:noWrap w:val="0"/>
                  <w:vAlign w:val="center"/>
                </w:tcPr>
                <w:p w14:paraId="0719B618">
                  <w:pPr>
                    <w:pStyle w:val="33"/>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无生产废水，职工生活污水经市政污水管网排入污水处理厂</w:t>
                  </w:r>
                </w:p>
              </w:tc>
              <w:tc>
                <w:tcPr>
                  <w:tcW w:w="729" w:type="pct"/>
                  <w:noWrap w:val="0"/>
                  <w:vAlign w:val="center"/>
                </w:tcPr>
                <w:p w14:paraId="5CCCCA66">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19F81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5630A775">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tc>
              <w:tc>
                <w:tcPr>
                  <w:tcW w:w="2142" w:type="pct"/>
                  <w:noWrap w:val="0"/>
                  <w:vAlign w:val="center"/>
                </w:tcPr>
                <w:p w14:paraId="68EFEA03">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的建设项目</w:t>
                  </w:r>
                </w:p>
              </w:tc>
              <w:tc>
                <w:tcPr>
                  <w:tcW w:w="1403" w:type="pct"/>
                  <w:noWrap w:val="0"/>
                  <w:vAlign w:val="center"/>
                </w:tcPr>
                <w:p w14:paraId="42C21FF7">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本项目危险物质</w:t>
                  </w:r>
                  <w:r>
                    <w:rPr>
                      <w:rFonts w:hint="eastAsia" w:cs="Times New Roman"/>
                      <w:color w:val="000000" w:themeColor="text1"/>
                      <w:lang w:eastAsia="zh-CN"/>
                      <w14:textFill>
                        <w14:solidFill>
                          <w14:schemeClr w14:val="tx1"/>
                        </w14:solidFill>
                      </w14:textFill>
                    </w:rPr>
                    <w:t>存储量</w:t>
                  </w:r>
                  <w:r>
                    <w:rPr>
                      <w:rFonts w:hint="default" w:ascii="Times New Roman" w:hAnsi="Times New Roman" w:cs="Times New Roman"/>
                      <w:color w:val="000000" w:themeColor="text1"/>
                      <w14:textFill>
                        <w14:solidFill>
                          <w14:schemeClr w14:val="tx1"/>
                        </w14:solidFill>
                      </w14:textFill>
                    </w:rPr>
                    <w:t>不超过临界量</w:t>
                  </w:r>
                </w:p>
              </w:tc>
              <w:tc>
                <w:tcPr>
                  <w:tcW w:w="729" w:type="pct"/>
                  <w:noWrap w:val="0"/>
                  <w:vAlign w:val="center"/>
                </w:tcPr>
                <w:p w14:paraId="5D40E524">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16962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0F29CF6E">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2142" w:type="pct"/>
                  <w:noWrap w:val="0"/>
                  <w:vAlign w:val="center"/>
                </w:tcPr>
                <w:p w14:paraId="19512790">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取水口下游500米范围内有重要水生生物的自然产卵场、索饵场、越冬场和洄游通道的新增河道的污染类建设项目</w:t>
                  </w:r>
                </w:p>
              </w:tc>
              <w:tc>
                <w:tcPr>
                  <w:tcW w:w="1403" w:type="pct"/>
                  <w:noWrap w:val="0"/>
                  <w:vAlign w:val="center"/>
                </w:tcPr>
                <w:p w14:paraId="4A61A030">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w:t>
                  </w:r>
                </w:p>
              </w:tc>
              <w:tc>
                <w:tcPr>
                  <w:tcW w:w="729" w:type="pct"/>
                  <w:noWrap w:val="0"/>
                  <w:vAlign w:val="center"/>
                </w:tcPr>
                <w:p w14:paraId="241F0573">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5E1A9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3" w:type="pct"/>
                  <w:noWrap w:val="0"/>
                  <w:vAlign w:val="center"/>
                </w:tcPr>
                <w:p w14:paraId="222B93DB">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2142" w:type="pct"/>
                  <w:noWrap w:val="0"/>
                  <w:vAlign w:val="center"/>
                </w:tcPr>
                <w:p w14:paraId="18E6ED45">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直接向海洋排放污染物的海洋工程建设项目</w:t>
                  </w:r>
                </w:p>
              </w:tc>
              <w:tc>
                <w:tcPr>
                  <w:tcW w:w="1403" w:type="pct"/>
                  <w:noWrap w:val="0"/>
                  <w:vAlign w:val="center"/>
                </w:tcPr>
                <w:p w14:paraId="21BDB32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不涉及</w:t>
                  </w:r>
                </w:p>
              </w:tc>
              <w:tc>
                <w:tcPr>
                  <w:tcW w:w="729" w:type="pct"/>
                  <w:noWrap w:val="0"/>
                  <w:vAlign w:val="center"/>
                </w:tcPr>
                <w:p w14:paraId="416F26A0">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不设置</w:t>
                  </w:r>
                </w:p>
              </w:tc>
            </w:tr>
            <w:tr w14:paraId="1E70D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3BA893C8">
                  <w:pPr>
                    <w:pStyle w:val="33"/>
                    <w:keepNext w:val="0"/>
                    <w:keepLines w:val="0"/>
                    <w:suppressLineNumbers w:val="0"/>
                    <w:bidi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注：1.废气中有毒有害污染物指纳入《有毒有害大气污染物名录》的污染物（不包括无排放标准的污染物）。</w:t>
                  </w:r>
                </w:p>
                <w:p w14:paraId="009E13F9">
                  <w:pPr>
                    <w:pStyle w:val="33"/>
                    <w:keepNext w:val="0"/>
                    <w:keepLines w:val="0"/>
                    <w:suppressLineNumbers w:val="0"/>
                    <w:bidi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2.环境空气保护目标指自然保护区、风景名胜区、居住区、文化区和农村地区中人群较集中的区域。</w:t>
                  </w:r>
                </w:p>
                <w:p w14:paraId="66645BD0">
                  <w:pPr>
                    <w:pStyle w:val="33"/>
                    <w:keepNext w:val="0"/>
                    <w:keepLines w:val="0"/>
                    <w:suppressLineNumbers w:val="0"/>
                    <w:bidi w:val="0"/>
                    <w:spacing w:before="0" w:beforeAutospacing="0" w:after="0" w:afterAutospacing="0"/>
                    <w:ind w:left="0" w:right="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3.临界量及其计算方法可参考《建设项目环境风险评价技术导则》（HJ169）附录B、附录C。</w:t>
                  </w:r>
                </w:p>
              </w:tc>
            </w:tr>
          </w:tbl>
          <w:p w14:paraId="15BE94B8">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综上所述，本项目不设专项评价。</w:t>
            </w:r>
          </w:p>
        </w:tc>
      </w:tr>
      <w:tr w14:paraId="52D2F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28" w:type="pct"/>
            <w:noWrap w:val="0"/>
            <w:vAlign w:val="center"/>
          </w:tcPr>
          <w:p w14:paraId="58BB58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规划情况</w:t>
            </w:r>
          </w:p>
        </w:tc>
        <w:tc>
          <w:tcPr>
            <w:tcW w:w="4571" w:type="pct"/>
            <w:gridSpan w:val="4"/>
            <w:noWrap w:val="0"/>
            <w:vAlign w:val="center"/>
          </w:tcPr>
          <w:p w14:paraId="217CC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规划名称：</w:t>
            </w:r>
            <w:r>
              <w:rPr>
                <w:rFonts w:hint="eastAsia"/>
                <w:color w:val="000000" w:themeColor="text1"/>
                <w14:textFill>
                  <w14:solidFill>
                    <w14:schemeClr w14:val="tx1"/>
                  </w14:solidFill>
                </w14:textFill>
              </w:rPr>
              <w:t>《青口镇东台片区控制性详细规划(修编）》</w:t>
            </w:r>
          </w:p>
          <w:p w14:paraId="65090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文号：</w:t>
            </w:r>
            <w:r>
              <w:rPr>
                <w:rFonts w:hint="eastAsia"/>
                <w:color w:val="000000" w:themeColor="text1"/>
                <w14:textFill>
                  <w14:solidFill>
                    <w14:schemeClr w14:val="tx1"/>
                  </w14:solidFill>
                </w14:textFill>
              </w:rPr>
              <w:t>侯自然综〔2024〕196号</w:t>
            </w:r>
          </w:p>
        </w:tc>
      </w:tr>
      <w:tr w14:paraId="4029B9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pct"/>
            <w:noWrap w:val="0"/>
            <w:vAlign w:val="center"/>
          </w:tcPr>
          <w:p w14:paraId="29422B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规划环境影响评价情况</w:t>
            </w:r>
          </w:p>
        </w:tc>
        <w:tc>
          <w:tcPr>
            <w:tcW w:w="4571" w:type="pct"/>
            <w:gridSpan w:val="4"/>
            <w:noWrap w:val="0"/>
            <w:vAlign w:val="center"/>
          </w:tcPr>
          <w:p w14:paraId="3C425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规划环评文件名称：《福州青口投资区环境影响报告书》</w:t>
            </w:r>
          </w:p>
          <w:p w14:paraId="2B272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召集</w:t>
            </w:r>
            <w:r>
              <w:rPr>
                <w:rFonts w:hint="eastAsia"/>
                <w:color w:val="000000" w:themeColor="text1"/>
                <w14:textFill>
                  <w14:solidFill>
                    <w14:schemeClr w14:val="tx1"/>
                  </w14:solidFill>
                </w14:textFill>
              </w:rPr>
              <w:t>审查机关：福州市环境保护局</w:t>
            </w:r>
          </w:p>
          <w:p w14:paraId="15A21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审查文件名称及文号：《福州市环境保护局关于福州青口投资区环境影响报告书审批意见的函》(榕环保函</w:t>
            </w:r>
            <w:r>
              <w:rPr>
                <w:rFonts w:hint="default"/>
                <w:color w:val="000000" w:themeColor="text1"/>
                <w14:textFill>
                  <w14:solidFill>
                    <w14:schemeClr w14:val="tx1"/>
                  </w14:solidFill>
                </w14:textFill>
              </w:rPr>
              <w:t>[2004]39</w:t>
            </w:r>
            <w:r>
              <w:rPr>
                <w:rFonts w:hint="eastAsia"/>
                <w:color w:val="000000" w:themeColor="text1"/>
                <w14:textFill>
                  <w14:solidFill>
                    <w14:schemeClr w14:val="tx1"/>
                  </w14:solidFill>
                </w14:textFill>
              </w:rPr>
              <w:t>号)</w:t>
            </w:r>
          </w:p>
          <w:p w14:paraId="0EA4A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规划环评</w:t>
            </w:r>
            <w:r>
              <w:rPr>
                <w:rFonts w:hint="eastAsia"/>
                <w:color w:val="000000" w:themeColor="text1"/>
                <w14:textFill>
                  <w14:solidFill>
                    <w14:schemeClr w14:val="tx1"/>
                  </w14:solidFill>
                </w14:textFill>
              </w:rPr>
              <w:t>文件</w:t>
            </w:r>
            <w:r>
              <w:rPr>
                <w:rFonts w:hint="default"/>
                <w:color w:val="000000" w:themeColor="text1"/>
                <w14:textFill>
                  <w14:solidFill>
                    <w14:schemeClr w14:val="tx1"/>
                  </w14:solidFill>
                </w14:textFill>
              </w:rPr>
              <w:t>名称：《福州青口投资区环境影响跟踪评价报告》</w:t>
            </w:r>
          </w:p>
          <w:p w14:paraId="27379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召集审查机关</w:t>
            </w:r>
            <w:r>
              <w:rPr>
                <w:rFonts w:hint="default"/>
                <w:color w:val="000000" w:themeColor="text1"/>
                <w14:textFill>
                  <w14:solidFill>
                    <w14:schemeClr w14:val="tx1"/>
                  </w14:solidFill>
                </w14:textFill>
              </w:rPr>
              <w:t>：福州市环境保护局</w:t>
            </w:r>
          </w:p>
          <w:p w14:paraId="7F4EF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000000" w:themeColor="text1"/>
                <w:kern w:val="0"/>
                <w:highlight w:val="yellow"/>
                <w:lang w:eastAsia="zh-CN"/>
                <w14:textFill>
                  <w14:solidFill>
                    <w14:schemeClr w14:val="tx1"/>
                  </w14:solidFill>
                </w14:textFill>
              </w:rPr>
            </w:pPr>
            <w:r>
              <w:rPr>
                <w:rFonts w:hint="eastAsia"/>
                <w:color w:val="000000" w:themeColor="text1"/>
                <w14:textFill>
                  <w14:solidFill>
                    <w14:schemeClr w14:val="tx1"/>
                  </w14:solidFill>
                </w14:textFill>
              </w:rPr>
              <w:t>审查文件名称及文号</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福州市环境保护局关于福州青口投资区环境影响跟踪评价报告书审查工作有关意见的复函</w:t>
            </w:r>
            <w:r>
              <w:rPr>
                <w:rFonts w:hint="eastAsia"/>
                <w:color w:val="000000" w:themeColor="text1"/>
                <w14:textFill>
                  <w14:solidFill>
                    <w14:schemeClr w14:val="tx1"/>
                  </w14:solidFill>
                </w14:textFill>
              </w:rPr>
              <w:t>》(榕环保函</w:t>
            </w:r>
            <w:r>
              <w:rPr>
                <w:rFonts w:hint="default"/>
                <w:color w:val="000000" w:themeColor="text1"/>
                <w14:textFill>
                  <w14:solidFill>
                    <w14:schemeClr w14:val="tx1"/>
                  </w14:solidFill>
                </w14:textFill>
              </w:rPr>
              <w:t>[20</w:t>
            </w:r>
            <w:r>
              <w:rPr>
                <w:rFonts w:hint="eastAsia"/>
                <w:color w:val="000000" w:themeColor="text1"/>
                <w14:textFill>
                  <w14:solidFill>
                    <w14:schemeClr w14:val="tx1"/>
                  </w14:solidFill>
                </w14:textFill>
              </w:rPr>
              <w:t>16</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40号)</w:t>
            </w:r>
          </w:p>
        </w:tc>
      </w:tr>
      <w:tr w14:paraId="26749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428" w:type="pct"/>
            <w:noWrap w:val="0"/>
            <w:vAlign w:val="center"/>
          </w:tcPr>
          <w:p w14:paraId="374EF4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规划及规划环境影响评价符合性分析</w:t>
            </w:r>
          </w:p>
        </w:tc>
        <w:tc>
          <w:tcPr>
            <w:tcW w:w="4571" w:type="pct"/>
            <w:gridSpan w:val="4"/>
            <w:noWrap w:val="0"/>
            <w:vAlign w:val="center"/>
          </w:tcPr>
          <w:p w14:paraId="7F47BAD0">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与《青口镇东台片区控制性详细规划(修编）》符合性分析</w:t>
            </w:r>
          </w:p>
          <w:p w14:paraId="1ED8CFE3">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根据《青口镇东台片区控制性详细规划(修编）》</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项目所在地土地用途规划为二类工业用地</w:t>
            </w:r>
            <w:r>
              <w:rPr>
                <w:rFonts w:hint="eastAsia"/>
                <w:color w:val="000000" w:themeColor="text1"/>
                <w14:textFill>
                  <w14:solidFill>
                    <w14:schemeClr w14:val="tx1"/>
                  </w14:solidFill>
                </w14:textFill>
              </w:rPr>
              <w:t>，详</w:t>
            </w:r>
            <w:r>
              <w:rPr>
                <w:rFonts w:hint="eastAsia"/>
                <w:color w:val="000000" w:themeColor="text1"/>
                <w:highlight w:val="none"/>
                <w14:textFill>
                  <w14:solidFill>
                    <w14:schemeClr w14:val="tx1"/>
                  </w14:solidFill>
                </w14:textFill>
              </w:rPr>
              <w:t>见附图</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w:t>
            </w:r>
            <w:r>
              <w:rPr>
                <w:rFonts w:hint="default"/>
                <w:color w:val="000000" w:themeColor="text1"/>
                <w14:textFill>
                  <w14:solidFill>
                    <w14:schemeClr w14:val="tx1"/>
                  </w14:solidFill>
                </w14:textFill>
              </w:rPr>
              <w:t>根据建设单位提供的</w:t>
            </w:r>
            <w:r>
              <w:rPr>
                <w:rFonts w:hint="eastAsia"/>
                <w:color w:val="000000" w:themeColor="text1"/>
                <w14:textFill>
                  <w14:solidFill>
                    <w14:schemeClr w14:val="tx1"/>
                  </w14:solidFill>
                </w14:textFill>
              </w:rPr>
              <w:t>不动产权证</w:t>
            </w:r>
            <w:r>
              <w:rPr>
                <w:rFonts w:hint="eastAsia"/>
                <w:color w:val="000000" w:themeColor="text1"/>
                <w:lang w:eastAsia="zh-CN"/>
                <w14:textFill>
                  <w14:solidFill>
                    <w14:schemeClr w14:val="tx1"/>
                  </w14:solidFill>
                </w14:textFill>
              </w:rPr>
              <w:t>：闽（2023）闽侯县不动产权第0011343号</w:t>
            </w:r>
            <w:r>
              <w:rPr>
                <w:rFonts w:hint="eastAsia"/>
                <w:color w:val="000000" w:themeColor="text1"/>
                <w14:textFill>
                  <w14:solidFill>
                    <w14:schemeClr w14:val="tx1"/>
                  </w14:solidFill>
                </w14:textFill>
              </w:rPr>
              <w:t>，规划用途</w:t>
            </w:r>
            <w:r>
              <w:rPr>
                <w:rFonts w:hint="default"/>
                <w:color w:val="000000" w:themeColor="text1"/>
                <w14:textFill>
                  <w14:solidFill>
                    <w14:schemeClr w14:val="tx1"/>
                  </w14:solidFill>
                </w14:textFill>
              </w:rPr>
              <w:t>为</w:t>
            </w:r>
            <w:r>
              <w:rPr>
                <w:rFonts w:hint="eastAsia"/>
                <w:color w:val="000000" w:themeColor="text1"/>
                <w14:textFill>
                  <w14:solidFill>
                    <w14:schemeClr w14:val="tx1"/>
                  </w14:solidFill>
                </w14:textFill>
              </w:rPr>
              <w:t>工业用地</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详见附件</w:t>
            </w:r>
            <w:r>
              <w:rPr>
                <w:rFonts w:hint="eastAsia"/>
                <w:color w:val="000000" w:themeColor="text1"/>
                <w:highlight w:val="none"/>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项目主要从事</w:t>
            </w:r>
            <w:r>
              <w:rPr>
                <w:rFonts w:hint="eastAsia"/>
                <w:color w:val="000000" w:themeColor="text1"/>
                <w:lang w:eastAsia="zh-CN"/>
                <w14:textFill>
                  <w14:solidFill>
                    <w14:schemeClr w14:val="tx1"/>
                  </w14:solidFill>
                </w14:textFill>
              </w:rPr>
              <w:t>汽车零部件加工</w:t>
            </w:r>
            <w:r>
              <w:rPr>
                <w:rFonts w:hint="default"/>
                <w:color w:val="000000" w:themeColor="text1"/>
                <w14:textFill>
                  <w14:solidFill>
                    <w14:schemeClr w14:val="tx1"/>
                  </w14:solidFill>
                </w14:textFill>
              </w:rPr>
              <w:t>，属于工业企业，因此，本项目选址符合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青口汽车城控制性详细规划</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的要求</w:t>
            </w:r>
            <w:r>
              <w:rPr>
                <w:rFonts w:hint="eastAsia"/>
                <w:color w:val="000000" w:themeColor="text1"/>
                <w14:textFill>
                  <w14:solidFill>
                    <w14:schemeClr w14:val="tx1"/>
                  </w14:solidFill>
                </w14:textFill>
              </w:rPr>
              <w:t>。</w:t>
            </w:r>
          </w:p>
          <w:p w14:paraId="13A90837">
            <w:pPr>
              <w:pStyle w:val="3"/>
              <w:keepNext w:val="0"/>
              <w:keepLines w:val="0"/>
              <w:suppressLineNumbers w:val="0"/>
              <w:bidi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与规划环评及审查意见符合性分析</w:t>
            </w:r>
          </w:p>
          <w:p w14:paraId="6B89E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规划环评审查意见要求：“同意按照福州市青口投资区建设领导小组办公室提出的福州青口投资区环境质量标准、污染物排放标准和主要污染物排放总量控制要求。请福州市青口投资区建设领导小组办公室加强对投资区的环境监管力度，严格控制入区项目”</w:t>
            </w:r>
            <w:r>
              <w:rPr>
                <w:rFonts w:hint="default"/>
                <w:color w:val="000000" w:themeColor="text1"/>
                <w:sz w:val="24"/>
                <w:szCs w:val="24"/>
                <w14:textFill>
                  <w14:solidFill>
                    <w14:schemeClr w14:val="tx1"/>
                  </w14:solidFill>
                </w14:textFill>
              </w:rPr>
              <w:t>。</w:t>
            </w:r>
          </w:p>
          <w:p w14:paraId="59085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rFonts w:hint="default"/>
                <w:color w:val="000000" w:themeColor="text1"/>
                <w:sz w:val="24"/>
                <w:szCs w:val="24"/>
                <w14:textFill>
                  <w14:solidFill>
                    <w14:schemeClr w14:val="tx1"/>
                  </w14:solidFill>
                </w14:textFill>
              </w:rPr>
              <w:t>规划环评</w:t>
            </w:r>
            <w:r>
              <w:rPr>
                <w:rFonts w:hint="eastAsia"/>
                <w:color w:val="000000" w:themeColor="text1"/>
                <w:sz w:val="24"/>
                <w:szCs w:val="24"/>
                <w14:textFill>
                  <w14:solidFill>
                    <w14:schemeClr w14:val="tx1"/>
                  </w14:solidFill>
                </w14:textFill>
              </w:rPr>
              <w:t>及跟踪规划环评</w:t>
            </w:r>
            <w:r>
              <w:rPr>
                <w:rFonts w:hint="default"/>
                <w:color w:val="000000" w:themeColor="text1"/>
                <w:sz w:val="24"/>
                <w:szCs w:val="24"/>
                <w14:textFill>
                  <w14:solidFill>
                    <w14:schemeClr w14:val="tx1"/>
                  </w14:solidFill>
                </w14:textFill>
              </w:rPr>
              <w:t>中产业政策要求：禁止在规划区及其上游汇水区域内新建畜禽养殖项目，现有的畜禽养殖项目应在规划中期内全部搬迁取缔。对于电子、食品、轻工、石材、建材</w:t>
            </w:r>
            <w:r>
              <w:rPr>
                <w:rFonts w:hint="eastAsia"/>
                <w:color w:val="000000" w:themeColor="text1"/>
                <w:sz w:val="24"/>
                <w:szCs w:val="24"/>
                <w14:textFill>
                  <w14:solidFill>
                    <w14:schemeClr w14:val="tx1"/>
                  </w14:solidFill>
                </w14:textFill>
              </w:rPr>
              <w:t>(主要指的是粉磨站、管桩制造)</w:t>
            </w:r>
            <w:r>
              <w:rPr>
                <w:rFonts w:hint="default"/>
                <w:color w:val="000000" w:themeColor="text1"/>
                <w:sz w:val="24"/>
                <w:szCs w:val="24"/>
                <w14:textFill>
                  <w14:solidFill>
                    <w14:schemeClr w14:val="tx1"/>
                  </w14:solidFill>
                </w14:textFill>
              </w:rPr>
              <w:t>等现有行业应限制其生产规模和用地规模的进一步扩大，规划区内限制新建此类项目，鼓励与汽车工业、汽车零配件加工等机械加工行业相关的产业进入规划区。鼓励发展循环经济。规划环评</w:t>
            </w:r>
            <w:r>
              <w:rPr>
                <w:rFonts w:hint="eastAsia"/>
                <w:color w:val="000000" w:themeColor="text1"/>
                <w:sz w:val="24"/>
                <w:szCs w:val="24"/>
                <w14:textFill>
                  <w14:solidFill>
                    <w14:schemeClr w14:val="tx1"/>
                  </w14:solidFill>
                </w14:textFill>
              </w:rPr>
              <w:t>及跟踪规划环评中</w:t>
            </w:r>
            <w:r>
              <w:rPr>
                <w:rFonts w:hint="default"/>
                <w:color w:val="000000" w:themeColor="text1"/>
                <w:sz w:val="24"/>
                <w:szCs w:val="24"/>
                <w14:textFill>
                  <w14:solidFill>
                    <w14:schemeClr w14:val="tx1"/>
                  </w14:solidFill>
                </w14:textFill>
              </w:rPr>
              <w:t>限制入规划区项目</w:t>
            </w:r>
            <w:r>
              <w:rPr>
                <w:rFonts w:hint="eastAsia"/>
                <w:color w:val="000000" w:themeColor="text1"/>
                <w:sz w:val="24"/>
                <w:szCs w:val="24"/>
                <w14:textFill>
                  <w14:solidFill>
                    <w14:schemeClr w14:val="tx1"/>
                  </w14:solidFill>
                </w14:textFill>
              </w:rPr>
              <w:t>详见表</w:t>
            </w:r>
            <w:r>
              <w:rPr>
                <w:rFonts w:hint="eastAsia"/>
                <w:color w:val="000000" w:themeColor="text1"/>
                <w:sz w:val="24"/>
                <w:szCs w:val="24"/>
                <w:lang w:val="en-US" w:eastAsia="zh-CN"/>
                <w14:textFill>
                  <w14:solidFill>
                    <w14:schemeClr w14:val="tx1"/>
                  </w14:solidFill>
                </w14:textFill>
              </w:rPr>
              <w:t>1.3-1</w:t>
            </w:r>
            <w:r>
              <w:rPr>
                <w:rFonts w:hint="eastAsia"/>
                <w:color w:val="000000" w:themeColor="text1"/>
                <w:sz w:val="24"/>
                <w:szCs w:val="24"/>
                <w14:textFill>
                  <w14:solidFill>
                    <w14:schemeClr w14:val="tx1"/>
                  </w14:solidFill>
                </w14:textFill>
              </w:rPr>
              <w:t>。</w:t>
            </w:r>
          </w:p>
          <w:p w14:paraId="71CA96EF">
            <w:pPr>
              <w:pStyle w:val="36"/>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限制入规划区项目</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274"/>
            </w:tblGrid>
            <w:tr w14:paraId="49D68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3FEFF658">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555" w:type="pct"/>
                  <w:noWrap w:val="0"/>
                  <w:vAlign w:val="center"/>
                </w:tcPr>
                <w:p w14:paraId="30B7CA55">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项目（行业）类别</w:t>
                  </w:r>
                </w:p>
              </w:tc>
            </w:tr>
            <w:tr w14:paraId="231A7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557C13B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55" w:type="pct"/>
                  <w:noWrap w:val="0"/>
                  <w:vAlign w:val="center"/>
                </w:tcPr>
                <w:p w14:paraId="78020113">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钢铁、冶金等大气污染严重行业</w:t>
                  </w:r>
                </w:p>
              </w:tc>
            </w:tr>
            <w:tr w14:paraId="793CA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4A64D2BB">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555" w:type="pct"/>
                  <w:noWrap w:val="0"/>
                  <w:vAlign w:val="center"/>
                </w:tcPr>
                <w:p w14:paraId="4ECA9AAE">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屠宰及肉类、蛋类加工</w:t>
                  </w:r>
                </w:p>
              </w:tc>
            </w:tr>
            <w:tr w14:paraId="07E68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2FD67DF4">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555" w:type="pct"/>
                  <w:noWrap w:val="0"/>
                  <w:vAlign w:val="center"/>
                </w:tcPr>
                <w:p w14:paraId="7E1C4CEC">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味精、柠檬酸、氨基酸制造，淀粉，淀粉糖等制品</w:t>
                  </w:r>
                </w:p>
              </w:tc>
            </w:tr>
            <w:tr w14:paraId="7ED30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29C4A0E5">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555" w:type="pct"/>
                  <w:noWrap w:val="0"/>
                  <w:vAlign w:val="center"/>
                </w:tcPr>
                <w:p w14:paraId="1E07021A">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含洗毛、染整、脱胶工段的纺织项目；含有蚕蛹废水、精炼废水等的丝绸项目</w:t>
                  </w:r>
                </w:p>
              </w:tc>
            </w:tr>
            <w:tr w14:paraId="3F109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2ABFCE31">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555" w:type="pct"/>
                  <w:noWrap w:val="0"/>
                  <w:vAlign w:val="center"/>
                </w:tcPr>
                <w:p w14:paraId="6062E8C3">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制革，毛皮鞣制</w:t>
                  </w:r>
                </w:p>
              </w:tc>
            </w:tr>
            <w:tr w14:paraId="20C6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1E137CC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555" w:type="pct"/>
                  <w:noWrap w:val="0"/>
                  <w:vAlign w:val="center"/>
                </w:tcPr>
                <w:p w14:paraId="729FE9E3">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纸浆制造，造纸（含废纸造纸）</w:t>
                  </w:r>
                </w:p>
              </w:tc>
            </w:tr>
            <w:tr w14:paraId="459F9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50BCD993">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4555" w:type="pct"/>
                  <w:noWrap w:val="0"/>
                  <w:vAlign w:val="center"/>
                </w:tcPr>
                <w:p w14:paraId="3DD23D9A">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基本化学原料制造，化学肥料制造，化学农药制造，化学染料制造，合成染料制造，助剂及其它有机产品制造，有机化工原料及中间体制造，合成材料制造，合成树脂及其它高分子材料制造，专用化学品制造，生物化工，感光材料制造，磁性记录材料制造，日用化学品制造等</w:t>
                  </w:r>
                </w:p>
              </w:tc>
            </w:tr>
            <w:tr w14:paraId="68BFA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52F4B35A">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555" w:type="pct"/>
                  <w:noWrap w:val="0"/>
                  <w:vAlign w:val="center"/>
                </w:tcPr>
                <w:p w14:paraId="2BF22022">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化学药品制造，生物制品</w:t>
                  </w:r>
                </w:p>
              </w:tc>
            </w:tr>
            <w:tr w14:paraId="4FC56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0601C7EB">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4555" w:type="pct"/>
                  <w:noWrap w:val="0"/>
                  <w:vAlign w:val="center"/>
                </w:tcPr>
                <w:p w14:paraId="297A6444">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化学纤维制造</w:t>
                  </w:r>
                </w:p>
              </w:tc>
            </w:tr>
            <w:tr w14:paraId="5FA9F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177CB69B">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555" w:type="pct"/>
                  <w:noWrap w:val="0"/>
                  <w:vAlign w:val="center"/>
                </w:tcPr>
                <w:p w14:paraId="71836ED5">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规模化畜禽养殖</w:t>
                  </w:r>
                </w:p>
              </w:tc>
            </w:tr>
            <w:tr w14:paraId="09A4A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pct"/>
                  <w:noWrap w:val="0"/>
                  <w:vAlign w:val="center"/>
                </w:tcPr>
                <w:p w14:paraId="4374F984">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4555" w:type="pct"/>
                  <w:noWrap w:val="0"/>
                  <w:vAlign w:val="center"/>
                </w:tcPr>
                <w:p w14:paraId="395D6A16">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电镀（区域内允许建设一个规模化的电镀中心，并要求采用清洁生产工艺）</w:t>
                  </w:r>
                </w:p>
              </w:tc>
            </w:tr>
          </w:tbl>
          <w:p w14:paraId="41C189D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本项目租赁已建厂房进行生产加工，不属于新增用地规模的企业，本项目</w:t>
            </w:r>
            <w:r>
              <w:rPr>
                <w:rFonts w:hint="eastAsia"/>
                <w:color w:val="000000" w:themeColor="text1"/>
                <w:lang w:eastAsia="zh-CN"/>
                <w14:textFill>
                  <w14:solidFill>
                    <w14:schemeClr w14:val="tx1"/>
                  </w14:solidFill>
                </w14:textFill>
              </w:rPr>
              <w:t>从事</w:t>
            </w:r>
            <w:r>
              <w:rPr>
                <w:rFonts w:hint="eastAsia"/>
                <w:color w:val="000000" w:themeColor="text1"/>
                <w14:textFill>
                  <w14:solidFill>
                    <w14:schemeClr w14:val="tx1"/>
                  </w14:solidFill>
                </w14:textFill>
              </w:rPr>
              <w:t>汽车零部件</w:t>
            </w:r>
            <w:r>
              <w:rPr>
                <w:rFonts w:hint="eastAsia"/>
                <w:color w:val="000000" w:themeColor="text1"/>
                <w:lang w:eastAsia="zh-CN"/>
                <w14:textFill>
                  <w14:solidFill>
                    <w14:schemeClr w14:val="tx1"/>
                  </w14:solidFill>
                </w14:textFill>
              </w:rPr>
              <w:t>的生产</w:t>
            </w:r>
            <w:r>
              <w:rPr>
                <w:rFonts w:hint="eastAsia"/>
                <w:color w:val="000000" w:themeColor="text1"/>
                <w14:textFill>
                  <w14:solidFill>
                    <w14:schemeClr w14:val="tx1"/>
                  </w14:solidFill>
                </w14:textFill>
              </w:rPr>
              <w:t>加工，</w:t>
            </w:r>
            <w:r>
              <w:rPr>
                <w:rFonts w:hint="eastAsia"/>
                <w:color w:val="000000" w:themeColor="text1"/>
                <w:lang w:eastAsia="zh-CN"/>
                <w14:textFill>
                  <w14:solidFill>
                    <w14:schemeClr w14:val="tx1"/>
                  </w14:solidFill>
                </w14:textFill>
              </w:rPr>
              <w:t>属于汽车零配件加工行业，</w:t>
            </w:r>
            <w:r>
              <w:rPr>
                <w:rFonts w:hint="eastAsia"/>
                <w:color w:val="000000" w:themeColor="text1"/>
                <w14:textFill>
                  <w14:solidFill>
                    <w14:schemeClr w14:val="tx1"/>
                  </w14:solidFill>
                </w14:textFill>
              </w:rPr>
              <w:t>因此项目符合规划环评、跟踪规划环评及规划环评审查意见要求。</w:t>
            </w:r>
          </w:p>
          <w:p w14:paraId="7BE2DE0E">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2063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pct"/>
            <w:noWrap w:val="0"/>
            <w:vAlign w:val="center"/>
          </w:tcPr>
          <w:p w14:paraId="372C4A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其他符合性分析</w:t>
            </w:r>
          </w:p>
        </w:tc>
        <w:tc>
          <w:tcPr>
            <w:tcW w:w="4571" w:type="pct"/>
            <w:gridSpan w:val="4"/>
            <w:noWrap w:val="0"/>
            <w:vAlign w:val="center"/>
          </w:tcPr>
          <w:p w14:paraId="6A1BCFDC">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与生态环境分区管控方案的符合性分析</w:t>
            </w:r>
          </w:p>
          <w:p w14:paraId="6E513A4A">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根据福州市人民政府办公厅关于印发《福州市生态环境分区管控方案（2023年更新）》的通知</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榕政办规〔2024〕20号</w:t>
            </w:r>
            <w:r>
              <w:rPr>
                <w:rFonts w:hint="eastAsia" w:cs="Times New Roman"/>
                <w:color w:val="000000" w:themeColor="text1"/>
                <w:lang w:eastAsia="zh-CN"/>
                <w14:textFill>
                  <w14:solidFill>
                    <w14:schemeClr w14:val="tx1"/>
                  </w14:solidFill>
                </w14:textFill>
              </w:rPr>
              <w:t>）和</w:t>
            </w:r>
            <w:r>
              <w:rPr>
                <w:rFonts w:hint="default" w:ascii="Times New Roman" w:hAnsi="Times New Roman" w:cs="Times New Roman"/>
                <w:color w:val="000000" w:themeColor="text1"/>
                <w14:textFill>
                  <w14:solidFill>
                    <w14:schemeClr w14:val="tx1"/>
                  </w14:solidFill>
                </w14:textFill>
              </w:rPr>
              <w:t>《福州市生态环境局关于发布福州市2024年生态环境分区管控动态更新成果的通知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榕环保综〔2025〕1号），项目与</w:t>
            </w:r>
            <w:r>
              <w:rPr>
                <w:rFonts w:hint="default" w:ascii="Times New Roman" w:hAnsi="Times New Roman" w:cs="Times New Roman"/>
                <w:color w:val="000000" w:themeColor="text1"/>
                <w:lang w:val="en-US" w:eastAsia="zh-CN"/>
                <w14:textFill>
                  <w14:solidFill>
                    <w14:schemeClr w14:val="tx1"/>
                  </w14:solidFill>
                </w14:textFill>
              </w:rPr>
              <w:t>其</w:t>
            </w:r>
            <w:r>
              <w:rPr>
                <w:rFonts w:hint="default" w:ascii="Times New Roman" w:hAnsi="Times New Roman" w:cs="Times New Roman"/>
                <w:color w:val="000000" w:themeColor="text1"/>
                <w14:textFill>
                  <w14:solidFill>
                    <w14:schemeClr w14:val="tx1"/>
                  </w14:solidFill>
                </w14:textFill>
              </w:rPr>
              <w:t>符合性分析如下：</w:t>
            </w:r>
          </w:p>
          <w:p w14:paraId="755BF3FE">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（1）生态保护红线</w:t>
            </w:r>
          </w:p>
          <w:p w14:paraId="11D024E2">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sz w:val="24"/>
                <w:highlight w:val="none"/>
                <w:u w:val="none"/>
                <w:shd w:val="clear" w:color="auto" w:fill="auto"/>
                <w:lang w:eastAsia="zh-CN"/>
                <w14:textFill>
                  <w14:solidFill>
                    <w14:schemeClr w14:val="tx1"/>
                  </w14:solidFill>
                </w14:textFill>
              </w:rPr>
              <w:t>福建省福州市闽侯县青口镇东台村</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选址不涉及自然保护区、风景名胜区、重要湿地、生态公益林、重要自然与人文景观、文物古迹及其他需要特别保护的区域，项目用地红线不在饮用水源保护区范围内；不涉及福州市生态空间陆海统筹分布中的陆域生态保护红线、海洋生态保护红线和一般生态空间。</w:t>
            </w:r>
          </w:p>
          <w:p w14:paraId="62BC663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因此，项目选址符合生态保护红线要求。</w:t>
            </w:r>
          </w:p>
          <w:p w14:paraId="209F4FE2">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（2）环境质量底线</w:t>
            </w:r>
          </w:p>
          <w:p w14:paraId="4F375CE9">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项目所在区域的环境质量底线为：环境空气质量目标为《环境空气质量标准》（GB3095-2012）二级，地表水环境质量目标为《地表水环境质量标准》（GB3838-2002）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的第二类水质标准</w:t>
            </w:r>
            <w:r>
              <w:rPr>
                <w:rFonts w:hint="default" w:ascii="Times New Roman" w:hAnsi="Times New Roman" w:cs="Times New Roman"/>
                <w:color w:val="000000" w:themeColor="text1"/>
                <w14:textFill>
                  <w14:solidFill>
                    <w14:schemeClr w14:val="tx1"/>
                  </w14:solidFill>
                </w14:textFill>
              </w:rPr>
              <w:t>，声环境质量目标为《声环境质量标准》（GB3096-2008）</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w:t>
            </w:r>
          </w:p>
          <w:p w14:paraId="30C1201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项目区为环境质量达标区，</w:t>
            </w:r>
            <w:r>
              <w:rPr>
                <w:rFonts w:hint="eastAsia" w:cs="Times New Roman"/>
                <w:color w:val="000000" w:themeColor="text1"/>
                <w:lang w:eastAsia="zh-CN"/>
                <w14:textFill>
                  <w14:solidFill>
                    <w14:schemeClr w14:val="tx1"/>
                  </w14:solidFill>
                </w14:textFill>
              </w:rPr>
              <w:t>废水、</w:t>
            </w:r>
            <w:r>
              <w:rPr>
                <w:rFonts w:hint="default" w:ascii="Times New Roman" w:hAnsi="Times New Roman" w:cs="Times New Roman"/>
                <w:color w:val="000000" w:themeColor="text1"/>
                <w14:textFill>
                  <w14:solidFill>
                    <w14:schemeClr w14:val="tx1"/>
                  </w14:solidFill>
                </w14:textFill>
              </w:rPr>
              <w:t>噪声</w:t>
            </w:r>
            <w:r>
              <w:rPr>
                <w:rFonts w:hint="eastAsia" w:cs="Times New Roman"/>
                <w:color w:val="000000" w:themeColor="text1"/>
                <w:lang w:eastAsia="zh-CN"/>
                <w14:textFill>
                  <w14:solidFill>
                    <w14:schemeClr w14:val="tx1"/>
                  </w14:solidFill>
                </w14:textFill>
              </w:rPr>
              <w:t>能够</w:t>
            </w:r>
            <w:r>
              <w:rPr>
                <w:rFonts w:hint="default" w:ascii="Times New Roman" w:hAnsi="Times New Roman" w:cs="Times New Roman"/>
                <w:color w:val="000000" w:themeColor="text1"/>
                <w14:textFill>
                  <w14:solidFill>
                    <w14:schemeClr w14:val="tx1"/>
                  </w14:solidFill>
                </w14:textFill>
              </w:rPr>
              <w:t>达标排放，项目污染物排放不会对区域环境质量底线造成冲击。</w:t>
            </w:r>
          </w:p>
          <w:p w14:paraId="5E4D881A">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（3）资源利用上线</w:t>
            </w:r>
          </w:p>
          <w:p w14:paraId="418749F7">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w:t>
            </w:r>
            <w:r>
              <w:rPr>
                <w:rFonts w:hint="eastAsia"/>
                <w:color w:val="000000" w:themeColor="text1"/>
                <w:lang w:eastAsia="zh-CN"/>
                <w14:textFill>
                  <w14:solidFill>
                    <w14:schemeClr w14:val="tx1"/>
                  </w14:solidFill>
                </w14:textFill>
              </w:rPr>
              <w:t>汽车零配件加工行业</w:t>
            </w:r>
            <w:r>
              <w:rPr>
                <w:rFonts w:hint="default" w:ascii="Times New Roman" w:hAnsi="Times New Roman" w:cs="Times New Roman"/>
                <w:color w:val="000000" w:themeColor="text1"/>
                <w14:textFill>
                  <w14:solidFill>
                    <w14:schemeClr w14:val="tx1"/>
                  </w14:solidFill>
                </w14:textFill>
              </w:rPr>
              <w:t>，水、电等资源及能源消耗量均不大，不属于高耗能和资源消耗型企业。并且项目建成运营后通过内部管理、设备选择和管理、污染治理等多方面采取合理可行的防治措施，以“节能、降耗、减污”为目标，有效</w:t>
            </w:r>
            <w:r>
              <w:rPr>
                <w:rFonts w:hint="eastAsia" w:cs="Times New Roman"/>
                <w:color w:val="000000" w:themeColor="text1"/>
                <w:lang w:eastAsia="zh-CN"/>
                <w14:textFill>
                  <w14:solidFill>
                    <w14:schemeClr w14:val="tx1"/>
                  </w14:solidFill>
                </w14:textFill>
              </w:rPr>
              <w:t>地</w:t>
            </w:r>
            <w:r>
              <w:rPr>
                <w:rFonts w:hint="default" w:ascii="Times New Roman" w:hAnsi="Times New Roman" w:cs="Times New Roman"/>
                <w:color w:val="000000" w:themeColor="text1"/>
                <w14:textFill>
                  <w14:solidFill>
                    <w14:schemeClr w14:val="tx1"/>
                  </w14:solidFill>
                </w14:textFill>
              </w:rPr>
              <w:t>控制污染，项目的水、电等资源利用不会突破区域的资源利用上线。</w:t>
            </w:r>
          </w:p>
          <w:p w14:paraId="504524A1">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（4）生态环境准入清单</w:t>
            </w:r>
          </w:p>
          <w:p w14:paraId="659BABD2">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sz w:val="24"/>
                <w:u w:val="none"/>
                <w:lang w:eastAsia="zh-CN"/>
                <w14:textFill>
                  <w14:solidFill>
                    <w14:schemeClr w14:val="tx1"/>
                  </w14:solidFill>
                </w14:textFill>
              </w:rPr>
              <w:t>福建省福州市闽侯县青口镇东台村</w:t>
            </w: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查询福建省生态环境分区管控数据应用平台，项目涉及1个生态环境管控单元，为</w:t>
            </w:r>
            <w:r>
              <w:rPr>
                <w:rFonts w:hint="eastAsia" w:cs="Times New Roman"/>
                <w:color w:val="000000" w:themeColor="text1"/>
                <w:lang w:val="en-US" w:eastAsia="zh-CN"/>
                <w14:textFill>
                  <w14:solidFill>
                    <w14:schemeClr w14:val="tx1"/>
                  </w14:solidFill>
                </w14:textFill>
              </w:rPr>
              <w:t>闽侯县重点管控单元3</w:t>
            </w:r>
            <w:r>
              <w:rPr>
                <w:rFonts w:hint="default" w:ascii="Times New Roman" w:hAnsi="Times New Roman" w:cs="Times New Roman"/>
                <w:color w:val="000000" w:themeColor="text1"/>
                <w:lang w:val="en-US" w:eastAsia="zh-CN"/>
                <w14:textFill>
                  <w14:solidFill>
                    <w14:schemeClr w14:val="tx1"/>
                  </w14:solidFill>
                </w14:textFill>
              </w:rPr>
              <w:t>。</w:t>
            </w:r>
          </w:p>
          <w:p w14:paraId="774FF57B">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对照亲清平台中分区管控栏目—福建省生态环境分区管控数据应用平台叠图及福建省生态环境分区管控综合查询报告</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附件</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可知，</w:t>
            </w:r>
            <w:r>
              <w:rPr>
                <w:rFonts w:hint="default" w:ascii="Times New Roman" w:hAnsi="Times New Roman" w:cs="Times New Roman"/>
                <w:color w:val="000000" w:themeColor="text1"/>
                <w:lang w:val="en-US" w:eastAsia="zh-CN"/>
                <w14:textFill>
                  <w14:solidFill>
                    <w14:schemeClr w14:val="tx1"/>
                  </w14:solidFill>
                </w14:textFill>
              </w:rPr>
              <w:t>项目与福建省管控符合性分析见表1.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-1，与福州市生态环境准入清单见表1.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-2，与</w:t>
            </w:r>
            <w:r>
              <w:rPr>
                <w:rFonts w:hint="eastAsia" w:cs="Times New Roman"/>
                <w:color w:val="000000" w:themeColor="text1"/>
                <w:lang w:val="en-US" w:eastAsia="zh-CN"/>
                <w14:textFill>
                  <w14:solidFill>
                    <w14:schemeClr w14:val="tx1"/>
                  </w14:solidFill>
                </w14:textFill>
              </w:rPr>
              <w:t>闽侯县</w:t>
            </w:r>
            <w:r>
              <w:rPr>
                <w:rFonts w:hint="default" w:ascii="Times New Roman" w:hAnsi="Times New Roman" w:cs="Times New Roman"/>
                <w:color w:val="000000" w:themeColor="text1"/>
                <w:lang w:val="en-US" w:eastAsia="zh-CN"/>
                <w14:textFill>
                  <w14:solidFill>
                    <w14:schemeClr w14:val="tx1"/>
                  </w14:solidFill>
                </w14:textFill>
              </w:rPr>
              <w:t>生态环境准入清单符合性分析见表1.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-3。</w:t>
            </w:r>
          </w:p>
          <w:p w14:paraId="2EB64962">
            <w:pPr>
              <w:pStyle w:val="36"/>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与福建省管控</w:t>
            </w:r>
            <w:r>
              <w:rPr>
                <w:rFonts w:hint="default"/>
                <w:color w:val="000000" w:themeColor="text1"/>
                <w14:textFill>
                  <w14:solidFill>
                    <w14:schemeClr w14:val="tx1"/>
                  </w14:solidFill>
                </w14:textFill>
              </w:rPr>
              <w:t>要求符合性分析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7"/>
              <w:gridCol w:w="599"/>
              <w:gridCol w:w="5233"/>
              <w:gridCol w:w="863"/>
              <w:gridCol w:w="556"/>
            </w:tblGrid>
            <w:tr w14:paraId="03BC4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61" w:type="pct"/>
                  <w:noWrap w:val="0"/>
                  <w:vAlign w:val="center"/>
                </w:tcPr>
                <w:p w14:paraId="3B12F24F">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适用范围</w:t>
                  </w:r>
                </w:p>
              </w:tc>
              <w:tc>
                <w:tcPr>
                  <w:tcW w:w="3649" w:type="pct"/>
                  <w:gridSpan w:val="2"/>
                  <w:noWrap w:val="0"/>
                  <w:vAlign w:val="center"/>
                </w:tcPr>
                <w:p w14:paraId="43625AE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准入要求</w:t>
                  </w:r>
                </w:p>
              </w:tc>
              <w:tc>
                <w:tcPr>
                  <w:tcW w:w="540" w:type="pct"/>
                  <w:noWrap w:val="0"/>
                  <w:vAlign w:val="center"/>
                </w:tcPr>
                <w:p w14:paraId="6610E686">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p>
              </w:tc>
              <w:tc>
                <w:tcPr>
                  <w:tcW w:w="348" w:type="pct"/>
                  <w:noWrap w:val="0"/>
                  <w:vAlign w:val="center"/>
                </w:tcPr>
                <w:p w14:paraId="0DE19F33">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符合性</w:t>
                  </w:r>
                </w:p>
              </w:tc>
            </w:tr>
            <w:tr w14:paraId="1008C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pct"/>
                  <w:vMerge w:val="restart"/>
                  <w:noWrap w:val="0"/>
                  <w:vAlign w:val="center"/>
                </w:tcPr>
                <w:p w14:paraId="5FEEFE87">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全省陆域</w:t>
                  </w:r>
                </w:p>
              </w:tc>
              <w:tc>
                <w:tcPr>
                  <w:tcW w:w="375" w:type="pct"/>
                  <w:noWrap w:val="0"/>
                  <w:vAlign w:val="center"/>
                </w:tcPr>
                <w:p w14:paraId="7D5908C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空间布局约束</w:t>
                  </w:r>
                </w:p>
              </w:tc>
              <w:tc>
                <w:tcPr>
                  <w:tcW w:w="3274" w:type="pct"/>
                  <w:noWrap w:val="0"/>
                  <w:vAlign w:val="center"/>
                </w:tcPr>
                <w:p w14:paraId="6152C6FF">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石化、汽车、船舶、冶金、水泥、制浆造纸、印染等重点产业，要符合全省规划布局要求。2.严控钢铁、水泥、平板玻璃等产能过剩行业新增产能，新增产能应实施产能等量或减量置换。3.除列入国家规划的大型煤电和符合相关要求的等容量替代项目，以及以供热为主的热电联产项目外，原则上不再建设新的煤电项目。4.氟化工产业应集中布局在《关于促进我省氟化工产业绿色高效发展的若干意见》中确定的园区，在上述园区之外不再新建氟化工项目，园区之外现有氟化工项目不再扩大规模。5.禁止在水环境质量不能稳定达标的区域内，建设新增相应不达标污染物指标排放量的工业项目。6.禁止在通风廊道和主导风向的上风向布局大气重污染企业，推进建成区大气重污染企业搬迁或升级改造、环境风险企业搬迁或关闭退出。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540" w:type="pct"/>
                  <w:noWrap w:val="0"/>
                  <w:vAlign w:val="center"/>
                </w:tcPr>
                <w:p w14:paraId="1562A760">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本项目主要从事</w:t>
                  </w:r>
                  <w:r>
                    <w:rPr>
                      <w:rFonts w:hint="eastAsia" w:ascii="Times New Roman" w:hAnsi="Times New Roman" w:cs="Times New Roman"/>
                      <w:color w:val="000000" w:themeColor="text1"/>
                      <w:lang w:val="en-US"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，不属于上述行业，项目不涉及重金属污染物排放</w:t>
                  </w:r>
                </w:p>
              </w:tc>
              <w:tc>
                <w:tcPr>
                  <w:tcW w:w="348" w:type="pct"/>
                  <w:noWrap w:val="0"/>
                  <w:vAlign w:val="center"/>
                </w:tcPr>
                <w:p w14:paraId="53273550">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609933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02EE9C6E">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p>
              </w:tc>
              <w:tc>
                <w:tcPr>
                  <w:tcW w:w="375" w:type="pct"/>
                  <w:noWrap w:val="0"/>
                  <w:vAlign w:val="center"/>
                </w:tcPr>
                <w:p w14:paraId="39826986">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污染物排放管控</w:t>
                  </w:r>
                </w:p>
              </w:tc>
              <w:tc>
                <w:tcPr>
                  <w:tcW w:w="3274" w:type="pct"/>
                  <w:noWrap w:val="0"/>
                  <w:vAlign w:val="center"/>
                </w:tcPr>
                <w:p w14:paraId="26216824">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p w14:paraId="505E49DB">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p w14:paraId="132FA7AE">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4.优化调整货物运输方式，提升铁路货运比例，推进钢铁、电力、电解铝、焦化等重点工业企业和工业园区货物由公路运输转向铁路运输。5.加强石化、涂料、纺织印染、橡胶、医药等行业新污染物环境风险管控。</w:t>
                  </w:r>
                </w:p>
              </w:tc>
              <w:tc>
                <w:tcPr>
                  <w:tcW w:w="540" w:type="pct"/>
                  <w:noWrap w:val="0"/>
                  <w:vAlign w:val="center"/>
                </w:tcPr>
                <w:p w14:paraId="44435C66">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本项目VOCs</w:t>
                  </w:r>
                  <w:r>
                    <w:rPr>
                      <w:rFonts w:hint="eastAsia" w:cs="Times New Roman"/>
                      <w:color w:val="000000" w:themeColor="text1"/>
                      <w:lang w:val="en-US" w:eastAsia="zh-CN"/>
                      <w14:textFill>
                        <w14:solidFill>
                          <w14:schemeClr w14:val="tx1"/>
                        </w14:solidFill>
                      </w14:textFill>
                    </w:rPr>
                    <w:t>排放实行倍量替代，不涉及</w:t>
                  </w:r>
                  <w:r>
                    <w:rPr>
                      <w:rFonts w:hint="default" w:ascii="Times New Roman" w:hAnsi="Times New Roman" w:cs="Times New Roman"/>
                      <w:color w:val="000000" w:themeColor="text1"/>
                      <w:lang w:val="en-US" w:eastAsia="zh-CN"/>
                      <w14:textFill>
                        <w14:solidFill>
                          <w14:schemeClr w14:val="tx1"/>
                        </w14:solidFill>
                      </w14:textFill>
                    </w:rPr>
                    <w:t>总磷排放，项目主要从事</w:t>
                  </w:r>
                  <w:r>
                    <w:rPr>
                      <w:rFonts w:hint="eastAsia" w:ascii="Times New Roman" w:hAnsi="Times New Roman" w:cs="Times New Roman"/>
                      <w:color w:val="000000" w:themeColor="text1"/>
                      <w:lang w:val="en-US"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，不属于上述行业</w:t>
                  </w:r>
                </w:p>
              </w:tc>
              <w:tc>
                <w:tcPr>
                  <w:tcW w:w="348" w:type="pct"/>
                  <w:noWrap w:val="0"/>
                  <w:vAlign w:val="center"/>
                </w:tcPr>
                <w:p w14:paraId="04CF18DB">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r w14:paraId="7EFDA2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586458AB">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c>
                <w:tcPr>
                  <w:tcW w:w="375" w:type="pct"/>
                  <w:noWrap w:val="0"/>
                  <w:vAlign w:val="center"/>
                </w:tcPr>
                <w:p w14:paraId="0856C656">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环境风险防控</w:t>
                  </w:r>
                </w:p>
              </w:tc>
              <w:tc>
                <w:tcPr>
                  <w:tcW w:w="3274" w:type="pct"/>
                  <w:noWrap w:val="0"/>
                  <w:vAlign w:val="center"/>
                </w:tcPr>
                <w:p w14:paraId="528BDE62">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无。</w:t>
                  </w:r>
                </w:p>
              </w:tc>
              <w:tc>
                <w:tcPr>
                  <w:tcW w:w="540" w:type="pct"/>
                  <w:noWrap w:val="0"/>
                  <w:vAlign w:val="center"/>
                </w:tcPr>
                <w:p w14:paraId="6EF59AA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348" w:type="pct"/>
                  <w:noWrap w:val="0"/>
                  <w:vAlign w:val="center"/>
                </w:tcPr>
                <w:p w14:paraId="5E67BCD1">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129CBF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046DBABA">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c>
                <w:tcPr>
                  <w:tcW w:w="375" w:type="pct"/>
                  <w:noWrap w:val="0"/>
                  <w:vAlign w:val="center"/>
                </w:tcPr>
                <w:p w14:paraId="0AAF10B8">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资源开发效率要求</w:t>
                  </w:r>
                </w:p>
              </w:tc>
              <w:tc>
                <w:tcPr>
                  <w:tcW w:w="3274" w:type="pct"/>
                  <w:noWrap w:val="0"/>
                  <w:vAlign w:val="center"/>
                </w:tcPr>
                <w:p w14:paraId="0DF06944">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实施能源消耗总量和强度双控。2.强化产业园区单位土地面积投资强度和效用指标的刚性约束，提高土地利用效率。3.具备使用再生水条件但未充分利用的钢铁、火电、化工、制浆造纸、印染等项目，不得批准其新增取水许可。在沿海地区电力、化工、石化等行业，推行直接利用海水作为循环冷却等工业用水。4.落实“闽环规〔2023〕1号”文件要求，不再新建每小时35蒸吨以下燃煤锅炉，以及每小时10蒸吨及以下燃生物质和其他使用高污染燃料的锅炉。集中供热管网覆盖范围内禁止新建、扩建分散燃煤、燃油等供热锅炉。5.落实“闽环保大气〔2023〕5号”文件要求，按照“提气、转电、控煤”的发展思路，推动陶瓷行业进一步优化用能结构，实现能源消费清洁低碳化。</w:t>
                  </w:r>
                </w:p>
              </w:tc>
              <w:tc>
                <w:tcPr>
                  <w:tcW w:w="540" w:type="pct"/>
                  <w:noWrap w:val="0"/>
                  <w:vAlign w:val="center"/>
                </w:tcPr>
                <w:p w14:paraId="18E25BC4">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本项目主要从事</w:t>
                  </w:r>
                  <w:r>
                    <w:rPr>
                      <w:rFonts w:hint="eastAsia" w:ascii="Times New Roman" w:hAnsi="Times New Roman" w:cs="Times New Roman"/>
                      <w:color w:val="000000" w:themeColor="text1"/>
                      <w:lang w:val="en-US"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，不设燃煤、燃油锅炉</w:t>
                  </w:r>
                </w:p>
              </w:tc>
              <w:tc>
                <w:tcPr>
                  <w:tcW w:w="348" w:type="pct"/>
                  <w:noWrap w:val="0"/>
                  <w:vAlign w:val="center"/>
                </w:tcPr>
                <w:p w14:paraId="1482841F">
                  <w:pPr>
                    <w:pStyle w:val="33"/>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符合</w:t>
                  </w:r>
                </w:p>
              </w:tc>
            </w:tr>
          </w:tbl>
          <w:p w14:paraId="6F172CDF">
            <w:pPr>
              <w:pStyle w:val="36"/>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福州市</w:t>
            </w:r>
            <w:r>
              <w:rPr>
                <w:rFonts w:hint="default"/>
                <w:color w:val="000000" w:themeColor="text1"/>
                <w14:textFill>
                  <w14:solidFill>
                    <w14:schemeClr w14:val="tx1"/>
                  </w14:solidFill>
                </w14:textFill>
              </w:rPr>
              <w:t>生态环境准入清单</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4"/>
              <w:gridCol w:w="447"/>
              <w:gridCol w:w="4843"/>
              <w:gridCol w:w="1296"/>
              <w:gridCol w:w="638"/>
            </w:tblGrid>
            <w:tr w14:paraId="050B5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78" w:type="pct"/>
                  <w:noWrap w:val="0"/>
                  <w:vAlign w:val="center"/>
                </w:tcPr>
                <w:p w14:paraId="61A5BE5C">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适用范围</w:t>
                  </w:r>
                </w:p>
              </w:tc>
              <w:tc>
                <w:tcPr>
                  <w:tcW w:w="3310" w:type="pct"/>
                  <w:gridSpan w:val="2"/>
                  <w:noWrap w:val="0"/>
                  <w:vAlign w:val="center"/>
                </w:tcPr>
                <w:p w14:paraId="3D41376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准入要求</w:t>
                  </w:r>
                </w:p>
              </w:tc>
              <w:tc>
                <w:tcPr>
                  <w:tcW w:w="811" w:type="pct"/>
                  <w:noWrap w:val="0"/>
                  <w:vAlign w:val="center"/>
                </w:tcPr>
                <w:p w14:paraId="1DDFBCD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p>
              </w:tc>
              <w:tc>
                <w:tcPr>
                  <w:tcW w:w="399" w:type="pct"/>
                  <w:noWrap w:val="0"/>
                  <w:vAlign w:val="center"/>
                </w:tcPr>
                <w:p w14:paraId="0BAC96A8">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符合性</w:t>
                  </w:r>
                </w:p>
              </w:tc>
            </w:tr>
            <w:tr w14:paraId="2CC01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8" w:type="pct"/>
                  <w:vMerge w:val="restart"/>
                  <w:noWrap w:val="0"/>
                  <w:vAlign w:val="center"/>
                </w:tcPr>
                <w:p w14:paraId="1664F053">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福州市陆域</w:t>
                  </w:r>
                </w:p>
              </w:tc>
              <w:tc>
                <w:tcPr>
                  <w:tcW w:w="280" w:type="pct"/>
                  <w:noWrap w:val="0"/>
                  <w:vAlign w:val="center"/>
                </w:tcPr>
                <w:p w14:paraId="34802E7B">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空间布局约束</w:t>
                  </w:r>
                </w:p>
              </w:tc>
              <w:tc>
                <w:tcPr>
                  <w:tcW w:w="3030" w:type="pct"/>
                  <w:noWrap w:val="0"/>
                  <w:vAlign w:val="center"/>
                </w:tcPr>
                <w:p w14:paraId="71C70DB8">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1.福州市石化中上游项目重点在江阴化工新材料专区、连江可门化工新材料产业园布局。</w:t>
                  </w:r>
                </w:p>
                <w:p w14:paraId="21823243">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2.鼓楼区内福州高新技术产业开发区洪山片禁止生产型企业的引入；仓山区内福州高新技术产业开发区仓山片不再新增生物医药原料药制造类企业。</w:t>
                  </w:r>
                </w:p>
                <w:p w14:paraId="3BAD8DCB">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3.罗源县内福州台商投资区松山片区禁止引进、建设集中电镀、制浆、医药、农药、酿造等重污染项目；连江县内福州台商投资区大官坂片区不再扩大聚酰胺一体化项目规模。</w:t>
                  </w:r>
                </w:p>
                <w:p w14:paraId="7636173A">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4.禁止在闽江马尾罗星塔以上流域范围新、扩建制革项目，严控新（扩）建植物制浆、印染、合成革及人造革、电镀项目。</w:t>
                  </w:r>
                </w:p>
                <w:p w14:paraId="51514146">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5.禁止在通风廊道和主导风向的上风向布局大气重污染企业，逐步将大气重污染企业和环境风险企业搬出城市建成区和生态保护红线范围。</w:t>
                  </w:r>
                </w:p>
              </w:tc>
              <w:tc>
                <w:tcPr>
                  <w:tcW w:w="811" w:type="pct"/>
                  <w:noWrap w:val="0"/>
                  <w:vAlign w:val="center"/>
                </w:tcPr>
                <w:p w14:paraId="36A78BF9">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本项目主要从事</w:t>
                  </w:r>
                  <w:r>
                    <w:rPr>
                      <w:rFonts w:hint="eastAsia"/>
                      <w:color w:val="000000" w:themeColor="text1"/>
                      <w:lang w:val="en-US" w:eastAsia="zh-CN"/>
                      <w14:textFill>
                        <w14:solidFill>
                          <w14:schemeClr w14:val="tx1"/>
                        </w14:solidFill>
                      </w14:textFill>
                    </w:rPr>
                    <w:t>汽车零部件生产</w:t>
                  </w:r>
                  <w:r>
                    <w:rPr>
                      <w:rFonts w:hint="default"/>
                      <w:color w:val="000000" w:themeColor="text1"/>
                      <w:lang w:val="en-US" w:eastAsia="zh-CN"/>
                      <w14:textFill>
                        <w14:solidFill>
                          <w14:schemeClr w14:val="tx1"/>
                        </w14:solidFill>
                      </w14:textFill>
                    </w:rPr>
                    <w:t>，不属于上述禁止建设项目。</w:t>
                  </w:r>
                </w:p>
              </w:tc>
              <w:tc>
                <w:tcPr>
                  <w:tcW w:w="399" w:type="pct"/>
                  <w:noWrap w:val="0"/>
                  <w:vAlign w:val="center"/>
                </w:tcPr>
                <w:p w14:paraId="4F896E2D">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435007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8" w:type="pct"/>
                  <w:vMerge w:val="continue"/>
                  <w:noWrap w:val="0"/>
                  <w:vAlign w:val="center"/>
                </w:tcPr>
                <w:p w14:paraId="56835287">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280" w:type="pct"/>
                  <w:noWrap w:val="0"/>
                  <w:vAlign w:val="center"/>
                </w:tcPr>
                <w:p w14:paraId="2F211D1F">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污染物排放管控</w:t>
                  </w:r>
                </w:p>
              </w:tc>
              <w:tc>
                <w:tcPr>
                  <w:tcW w:w="3030" w:type="pct"/>
                  <w:noWrap w:val="0"/>
                  <w:vAlign w:val="center"/>
                </w:tcPr>
                <w:p w14:paraId="7A678316">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14:paraId="362E20C6">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2.省级（含）以上工业园区外的工业企业新增主要污染物排放量（不含使用天然气、液化石油气等作为燃料的非火电锅炉和工业炉窑的工业企业新增的二氧化硫、氮氧化物排放量），按不低于1.2倍交易。</w:t>
                  </w:r>
                </w:p>
                <w:p w14:paraId="41F369E5">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3.涉新增VOCs排放项目，VOCs排放实行区域内倍量替代。</w:t>
                  </w:r>
                </w:p>
                <w:p w14:paraId="61DC13FC">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14:paraId="1DFEDB20">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5.氟化工、印染、电镀等行业企业实行水污染物特别排放限值。</w:t>
                  </w:r>
                </w:p>
              </w:tc>
              <w:tc>
                <w:tcPr>
                  <w:tcW w:w="811" w:type="pct"/>
                  <w:noWrap w:val="0"/>
                  <w:vAlign w:val="center"/>
                </w:tcPr>
                <w:p w14:paraId="1F345083">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本项目从事</w:t>
                  </w:r>
                  <w:r>
                    <w:rPr>
                      <w:rFonts w:hint="eastAsia"/>
                      <w:color w:val="000000" w:themeColor="text1"/>
                      <w:lang w:val="en-US" w:eastAsia="zh-CN"/>
                      <w14:textFill>
                        <w14:solidFill>
                          <w14:schemeClr w14:val="tx1"/>
                        </w14:solidFill>
                      </w14:textFill>
                    </w:rPr>
                    <w:t>汽车零部件生产</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不涉及</w:t>
                  </w:r>
                  <w:r>
                    <w:rPr>
                      <w:rFonts w:hint="default"/>
                      <w:color w:val="000000" w:themeColor="text1"/>
                      <w:lang w:val="en-US" w:eastAsia="zh-CN"/>
                      <w14:textFill>
                        <w14:solidFill>
                          <w14:schemeClr w14:val="tx1"/>
                        </w14:solidFill>
                      </w14:textFill>
                    </w:rPr>
                    <w:t>二氧化硫、氮氧化物</w:t>
                  </w:r>
                  <w:r>
                    <w:rPr>
                      <w:rFonts w:hint="eastAsia"/>
                      <w:color w:val="000000" w:themeColor="text1"/>
                      <w:lang w:val="en-US" w:eastAsia="zh-CN"/>
                      <w14:textFill>
                        <w14:solidFill>
                          <w14:schemeClr w14:val="tx1"/>
                        </w14:solidFill>
                      </w14:textFill>
                    </w:rPr>
                    <w:t>排放，VOCs排放实行倍量替代；</w:t>
                  </w:r>
                </w:p>
                <w:p w14:paraId="638B01F8">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不属于水泥、有色金属、钢铁、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化工、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火电</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、氟化工、印染、电镀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p>
              </w:tc>
              <w:tc>
                <w:tcPr>
                  <w:tcW w:w="399" w:type="pct"/>
                  <w:noWrap w:val="0"/>
                  <w:vAlign w:val="center"/>
                </w:tcPr>
                <w:p w14:paraId="1F7747BD">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312E4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8" w:type="pct"/>
                  <w:vMerge w:val="continue"/>
                  <w:noWrap w:val="0"/>
                  <w:vAlign w:val="center"/>
                </w:tcPr>
                <w:p w14:paraId="0045E3CC">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280" w:type="pct"/>
                  <w:noWrap w:val="0"/>
                  <w:vAlign w:val="center"/>
                </w:tcPr>
                <w:p w14:paraId="761152A8">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资源开发效率要求</w:t>
                  </w:r>
                </w:p>
              </w:tc>
              <w:tc>
                <w:tcPr>
                  <w:tcW w:w="3030" w:type="pct"/>
                  <w:noWrap w:val="0"/>
                  <w:vAlign w:val="center"/>
                </w:tcPr>
                <w:p w14:paraId="2A8883A9">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811" w:type="pct"/>
                  <w:noWrap w:val="0"/>
                  <w:vAlign w:val="center"/>
                </w:tcPr>
                <w:p w14:paraId="4795188F">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本项目不涉及锅炉使用</w:t>
                  </w:r>
                </w:p>
              </w:tc>
              <w:tc>
                <w:tcPr>
                  <w:tcW w:w="399" w:type="pct"/>
                  <w:noWrap w:val="0"/>
                  <w:vAlign w:val="center"/>
                </w:tcPr>
                <w:p w14:paraId="75149F4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bl>
          <w:p w14:paraId="55A25DB3">
            <w:pPr>
              <w:pStyle w:val="36"/>
              <w:keepNext w:val="0"/>
              <w:keepLines w:val="0"/>
              <w:suppressLineNumbers w:val="0"/>
              <w:bidi w:val="0"/>
              <w:spacing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与</w:t>
            </w:r>
            <w:r>
              <w:rPr>
                <w:rFonts w:hint="eastAsia"/>
                <w:color w:val="000000" w:themeColor="text1"/>
                <w:lang w:eastAsia="zh-CN"/>
                <w14:textFill>
                  <w14:solidFill>
                    <w14:schemeClr w14:val="tx1"/>
                  </w14:solidFill>
                </w14:textFill>
              </w:rPr>
              <w:t>闽侯县</w:t>
            </w:r>
            <w:r>
              <w:rPr>
                <w:rFonts w:hint="default"/>
                <w:color w:val="000000" w:themeColor="text1"/>
                <w14:textFill>
                  <w14:solidFill>
                    <w14:schemeClr w14:val="tx1"/>
                  </w14:solidFill>
                </w14:textFill>
              </w:rPr>
              <w:t>生态环境准入清单</w:t>
            </w:r>
            <w:r>
              <w:rPr>
                <w:rFonts w:hint="default"/>
                <w:color w:val="000000" w:themeColor="text1"/>
                <w:lang w:val="en-US" w:eastAsia="zh-CN"/>
                <w14:textFill>
                  <w14:solidFill>
                    <w14:schemeClr w14:val="tx1"/>
                  </w14:solidFill>
                </w14:textFill>
              </w:rPr>
              <w:t>符合性分析</w:t>
            </w:r>
          </w:p>
          <w:tbl>
            <w:tblPr>
              <w:tblStyle w:val="23"/>
              <w:tblW w:w="789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94"/>
              <w:gridCol w:w="655"/>
              <w:gridCol w:w="4235"/>
              <w:gridCol w:w="1700"/>
              <w:gridCol w:w="606"/>
            </w:tblGrid>
            <w:tr w14:paraId="62A6D7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4" w:type="dxa"/>
                  <w:noWrap w:val="0"/>
                  <w:vAlign w:val="center"/>
                </w:tcPr>
                <w:p w14:paraId="3A9B5683">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tc>
              <w:tc>
                <w:tcPr>
                  <w:tcW w:w="4890" w:type="dxa"/>
                  <w:gridSpan w:val="2"/>
                  <w:noWrap w:val="0"/>
                  <w:vAlign w:val="center"/>
                </w:tcPr>
                <w:p w14:paraId="1B032E5A">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准入要求</w:t>
                  </w:r>
                </w:p>
              </w:tc>
              <w:tc>
                <w:tcPr>
                  <w:tcW w:w="1700" w:type="dxa"/>
                  <w:noWrap w:val="0"/>
                  <w:vAlign w:val="center"/>
                </w:tcPr>
                <w:p w14:paraId="6E9CAEBB">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06" w:type="dxa"/>
                  <w:noWrap w:val="0"/>
                  <w:vAlign w:val="center"/>
                </w:tcPr>
                <w:p w14:paraId="1E8B77DD">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符合性</w:t>
                  </w:r>
                </w:p>
              </w:tc>
            </w:tr>
            <w:tr w14:paraId="07D613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4" w:type="dxa"/>
                  <w:vMerge w:val="restart"/>
                  <w:noWrap w:val="0"/>
                  <w:vAlign w:val="center"/>
                </w:tcPr>
                <w:p w14:paraId="316A62B5">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闽侯县重点管控单元</w:t>
                  </w:r>
                  <w:r>
                    <w:rPr>
                      <w:rFonts w:hint="eastAsia"/>
                      <w:color w:val="000000" w:themeColor="text1"/>
                      <w:lang w:val="en-US" w:eastAsia="zh-CN"/>
                      <w14:textFill>
                        <w14:solidFill>
                          <w14:schemeClr w14:val="tx1"/>
                        </w14:solidFill>
                      </w14:textFill>
                    </w:rPr>
                    <w:t>3</w:t>
                  </w:r>
                </w:p>
                <w:p w14:paraId="364561D0">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ZH35012120005</w:t>
                  </w:r>
                </w:p>
              </w:tc>
              <w:tc>
                <w:tcPr>
                  <w:tcW w:w="655" w:type="dxa"/>
                  <w:noWrap w:val="0"/>
                  <w:vAlign w:val="center"/>
                </w:tcPr>
                <w:p w14:paraId="4E0A22BF">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4235" w:type="dxa"/>
                  <w:noWrap w:val="0"/>
                  <w:vAlign w:val="center"/>
                </w:tcPr>
                <w:p w14:paraId="1744A90C">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严禁在人口聚集区新建涉及化学品和危险废物排放的项目。禁止在大气环境布局敏感重点管控区新建、扩建石化、化工、焦化、有色等高污染、高风险的涉气项目；城市建成区内现有化工、原料药制造等污染较重的企业应有序搬迁改造或依法关闭。</w:t>
                  </w:r>
                </w:p>
                <w:p w14:paraId="1A9503B7">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禁止在通风廊道和主导风向的上风向布局大气重污染企业。</w:t>
                  </w:r>
                  <w:r>
                    <w:rPr>
                      <w:rFonts w:hint="eastAsia"/>
                      <w:color w:val="000000" w:themeColor="text1"/>
                      <w14:textFill>
                        <w14:solidFill>
                          <w14:schemeClr w14:val="tx1"/>
                        </w14:solidFill>
                      </w14:textFill>
                    </w:rPr>
                    <w:t>严格控制包装印刷、工业涂装、制鞋等高VOCs排放的项目建设，相关新建项目必须进入工业园区。</w:t>
                  </w:r>
                </w:p>
                <w:p w14:paraId="3F69C232">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3.禁止开发利用未经评估和无害化处理的列入建设用地污染地块名录及开发利用负面清单的土地。</w:t>
                  </w:r>
                </w:p>
              </w:tc>
              <w:tc>
                <w:tcPr>
                  <w:tcW w:w="1700" w:type="dxa"/>
                  <w:noWrap w:val="0"/>
                  <w:vAlign w:val="center"/>
                </w:tcPr>
                <w:p w14:paraId="60CBD038">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本项目从事</w:t>
                  </w:r>
                  <w:r>
                    <w:rPr>
                      <w:rFonts w:hint="eastAsia"/>
                      <w:color w:val="000000" w:themeColor="text1"/>
                      <w:lang w:val="en-US" w:eastAsia="zh-CN"/>
                      <w14:textFill>
                        <w14:solidFill>
                          <w14:schemeClr w14:val="tx1"/>
                        </w14:solidFill>
                      </w14:textFill>
                    </w:rPr>
                    <w:t>汽车零部件生产，不属于石化、化工、焦化、有色项目；</w:t>
                  </w:r>
                </w:p>
                <w:p w14:paraId="2998493C">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2.项目</w:t>
                  </w:r>
                  <w:r>
                    <w:rPr>
                      <w:rFonts w:hint="eastAsia"/>
                      <w:color w:val="000000" w:themeColor="text1"/>
                      <w:lang w:val="en-US" w:eastAsia="zh-CN"/>
                      <w14:textFill>
                        <w14:solidFill>
                          <w14:schemeClr w14:val="tx1"/>
                        </w14:solidFill>
                      </w14:textFill>
                    </w:rPr>
                    <w:t>不属于</w:t>
                  </w:r>
                  <w:r>
                    <w:rPr>
                      <w:rFonts w:hint="eastAsia"/>
                      <w:color w:val="000000" w:themeColor="text1"/>
                      <w14:textFill>
                        <w14:solidFill>
                          <w14:schemeClr w14:val="tx1"/>
                        </w14:solidFill>
                      </w14:textFill>
                    </w:rPr>
                    <w:t>包装印刷、工业涂装、制鞋等高VOCs排放的项目</w:t>
                  </w:r>
                  <w:r>
                    <w:rPr>
                      <w:rFonts w:hint="default"/>
                      <w:color w:val="000000" w:themeColor="text1"/>
                      <w:lang w:val="en-US" w:eastAsia="zh-CN"/>
                      <w14:textFill>
                        <w14:solidFill>
                          <w14:schemeClr w14:val="tx1"/>
                        </w14:solidFill>
                      </w14:textFill>
                    </w:rPr>
                    <w:t>；</w:t>
                  </w:r>
                </w:p>
                <w:p w14:paraId="50A8601F">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本项目</w:t>
                  </w:r>
                  <w:r>
                    <w:rPr>
                      <w:rFonts w:hint="default"/>
                      <w:color w:val="000000" w:themeColor="text1"/>
                      <w:lang w:val="en-US" w:eastAsia="zh-CN"/>
                      <w14:textFill>
                        <w14:solidFill>
                          <w14:schemeClr w14:val="tx1"/>
                        </w14:solidFill>
                      </w14:textFill>
                    </w:rPr>
                    <w:t>不涉及</w:t>
                  </w:r>
                </w:p>
              </w:tc>
              <w:tc>
                <w:tcPr>
                  <w:tcW w:w="606" w:type="dxa"/>
                  <w:noWrap w:val="0"/>
                  <w:vAlign w:val="center"/>
                </w:tcPr>
                <w:p w14:paraId="4540079F">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36CCCE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188" w:hRule="atLeast"/>
                <w:jc w:val="center"/>
              </w:trPr>
              <w:tc>
                <w:tcPr>
                  <w:tcW w:w="694" w:type="dxa"/>
                  <w:vMerge w:val="continue"/>
                  <w:noWrap w:val="0"/>
                  <w:vAlign w:val="center"/>
                </w:tcPr>
                <w:p w14:paraId="7F638CA2">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655" w:type="dxa"/>
                  <w:noWrap w:val="0"/>
                  <w:vAlign w:val="center"/>
                </w:tcPr>
                <w:p w14:paraId="42565944">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4235" w:type="dxa"/>
                  <w:noWrap w:val="0"/>
                  <w:vAlign w:val="center"/>
                </w:tcPr>
                <w:p w14:paraId="2FEFF68A">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禁止向农田灌溉渠道排放工业废水或者医疗污水。向农田灌溉渠道排放城镇污水以及未综合利用的畜禽养殖废水、农产品加工废水的，应当保证其下游最近的灌溉取水点的水质符合农田灌溉水质标准。2.落实新增二氧化硫、氮氧化物和VOCs排放总量控制要求。</w:t>
                  </w:r>
                </w:p>
              </w:tc>
              <w:tc>
                <w:tcPr>
                  <w:tcW w:w="1700" w:type="dxa"/>
                  <w:noWrap w:val="0"/>
                  <w:vAlign w:val="center"/>
                </w:tcPr>
                <w:p w14:paraId="00E10952">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1.项目生产废水；</w:t>
                  </w:r>
                </w:p>
                <w:p w14:paraId="1F4400C7">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项目不涉及二氧化硫、氮氧化物，</w:t>
                  </w:r>
                  <w:r>
                    <w:rPr>
                      <w:rFonts w:hint="eastAsia"/>
                      <w:color w:val="000000" w:themeColor="text1"/>
                      <w:lang w:val="en-US" w:eastAsia="zh-CN"/>
                      <w14:textFill>
                        <w14:solidFill>
                          <w14:schemeClr w14:val="tx1"/>
                        </w14:solidFill>
                      </w14:textFill>
                    </w:rPr>
                    <w:t>VOCs</w:t>
                  </w:r>
                  <w:r>
                    <w:rPr>
                      <w:rFonts w:hint="eastAsia"/>
                      <w:color w:val="000000" w:themeColor="text1"/>
                      <w:lang w:eastAsia="zh-CN"/>
                      <w14:textFill>
                        <w14:solidFill>
                          <w14:schemeClr w14:val="tx1"/>
                        </w14:solidFill>
                      </w14:textFill>
                    </w:rPr>
                    <w:t>排放实行总量控制</w:t>
                  </w:r>
                </w:p>
              </w:tc>
              <w:tc>
                <w:tcPr>
                  <w:tcW w:w="606" w:type="dxa"/>
                  <w:noWrap w:val="0"/>
                  <w:vAlign w:val="center"/>
                </w:tcPr>
                <w:p w14:paraId="401C5411">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2F0C0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4" w:type="dxa"/>
                  <w:vMerge w:val="continue"/>
                  <w:noWrap w:val="0"/>
                  <w:vAlign w:val="center"/>
                </w:tcPr>
                <w:p w14:paraId="322021DB">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655" w:type="dxa"/>
                  <w:noWrap w:val="0"/>
                  <w:vAlign w:val="center"/>
                </w:tcPr>
                <w:p w14:paraId="12781908">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4235" w:type="dxa"/>
                  <w:noWrap w:val="0"/>
                  <w:vAlign w:val="center"/>
                </w:tcPr>
                <w:p w14:paraId="4D0296AE">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700" w:type="dxa"/>
                  <w:noWrap w:val="0"/>
                  <w:vAlign w:val="center"/>
                </w:tcPr>
                <w:p w14:paraId="494A3817">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项目不属于化学原料和化学制品制造业</w:t>
                  </w:r>
                </w:p>
              </w:tc>
              <w:tc>
                <w:tcPr>
                  <w:tcW w:w="606" w:type="dxa"/>
                  <w:noWrap w:val="0"/>
                  <w:vAlign w:val="center"/>
                </w:tcPr>
                <w:p w14:paraId="6C14B9DD">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045EF9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4" w:type="dxa"/>
                  <w:vMerge w:val="continue"/>
                  <w:noWrap w:val="0"/>
                  <w:vAlign w:val="center"/>
                </w:tcPr>
                <w:p w14:paraId="268B7B2A">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655" w:type="dxa"/>
                  <w:noWrap w:val="0"/>
                  <w:vAlign w:val="center"/>
                </w:tcPr>
                <w:p w14:paraId="6F2D6906">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4235" w:type="dxa"/>
                  <w:noWrap w:val="0"/>
                  <w:vAlign w:val="center"/>
                </w:tcPr>
                <w:p w14:paraId="16AC0C33">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w:t>
                  </w:r>
                </w:p>
              </w:tc>
              <w:tc>
                <w:tcPr>
                  <w:tcW w:w="1700" w:type="dxa"/>
                  <w:noWrap w:val="0"/>
                  <w:vAlign w:val="center"/>
                </w:tcPr>
                <w:p w14:paraId="50AD218B">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06" w:type="dxa"/>
                  <w:noWrap w:val="0"/>
                  <w:vAlign w:val="center"/>
                </w:tcPr>
                <w:p w14:paraId="0E646F5B">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14:paraId="58C322F5">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根据上表可知</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不属于清单中限制或禁止进入的行业，符合</w:t>
            </w:r>
            <w:r>
              <w:rPr>
                <w:rFonts w:hint="eastAsia" w:cs="Times New Roman"/>
                <w:color w:val="000000" w:themeColor="text1"/>
                <w:lang w:val="en-US" w:eastAsia="zh-CN"/>
                <w14:textFill>
                  <w14:solidFill>
                    <w14:schemeClr w14:val="tx1"/>
                  </w14:solidFill>
                </w14:textFill>
              </w:rPr>
              <w:t>福州市</w:t>
            </w:r>
            <w:r>
              <w:rPr>
                <w:rFonts w:hint="eastAsia" w:cs="Times New Roman"/>
                <w:color w:val="000000" w:themeColor="text1"/>
                <w:lang w:eastAsia="zh-CN"/>
                <w14:textFill>
                  <w14:solidFill>
                    <w14:schemeClr w14:val="tx1"/>
                  </w14:solidFill>
                </w14:textFill>
              </w:rPr>
              <w:t>闽侯</w:t>
            </w:r>
            <w:r>
              <w:rPr>
                <w:rFonts w:hint="default" w:ascii="Times New Roman" w:hAnsi="Times New Roman" w:cs="Times New Roman"/>
                <w:color w:val="000000" w:themeColor="text1"/>
                <w14:textFill>
                  <w14:solidFill>
                    <w14:schemeClr w14:val="tx1"/>
                  </w14:solidFill>
                </w14:textFill>
              </w:rPr>
              <w:t>生态环境准入清单管控要求。</w:t>
            </w:r>
          </w:p>
          <w:p w14:paraId="6EADF4A7">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综上所述，项目建设符合</w:t>
            </w:r>
            <w:r>
              <w:rPr>
                <w:rFonts w:hint="default" w:ascii="Times New Roman" w:hAnsi="Times New Roman" w:cs="Times New Roman"/>
                <w:color w:val="000000" w:themeColor="text1"/>
                <w:lang w:val="en-US" w:eastAsia="zh-CN"/>
                <w14:textFill>
                  <w14:solidFill>
                    <w14:schemeClr w14:val="tx1"/>
                  </w14:solidFill>
                </w14:textFill>
              </w:rPr>
              <w:t>生态环境分区管控</w:t>
            </w:r>
            <w:r>
              <w:rPr>
                <w:rFonts w:hint="default" w:ascii="Times New Roman" w:hAnsi="Times New Roman" w:cs="Times New Roman"/>
                <w:color w:val="000000" w:themeColor="text1"/>
                <w14:textFill>
                  <w14:solidFill>
                    <w14:schemeClr w14:val="tx1"/>
                  </w14:solidFill>
                </w14:textFill>
              </w:rPr>
              <w:t>要求。</w:t>
            </w:r>
          </w:p>
          <w:p w14:paraId="161D8DC9">
            <w:pPr>
              <w:pStyle w:val="3"/>
              <w:keepLines w:val="0"/>
              <w:suppressLineNumbers w:val="0"/>
              <w:bidi w:val="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与挥发性有机物污染防治相关政策符合性分析</w:t>
            </w:r>
          </w:p>
          <w:p w14:paraId="603207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b/>
                <w:bCs/>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本项目与挥发性有机物污染防治相关政策符合性分析详见表1.5-1。</w:t>
            </w:r>
          </w:p>
          <w:p w14:paraId="65F4C26C">
            <w:pPr>
              <w:pStyle w:val="36"/>
              <w:keepNext w:val="0"/>
              <w:keepLines w:val="0"/>
              <w:suppressLineNumbers w:val="0"/>
              <w:bidi w:val="0"/>
              <w:spacing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挥发性有机物污染防治政策相关内容</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256"/>
              <w:gridCol w:w="4454"/>
              <w:gridCol w:w="1722"/>
              <w:gridCol w:w="553"/>
            </w:tblGrid>
            <w:tr w14:paraId="213607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03CEC042">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文件名称</w:t>
                  </w:r>
                </w:p>
              </w:tc>
              <w:tc>
                <w:tcPr>
                  <w:tcW w:w="2788" w:type="pct"/>
                  <w:tcBorders>
                    <w:right w:val="single" w:color="auto" w:sz="4" w:space="0"/>
                  </w:tcBorders>
                  <w:noWrap w:val="0"/>
                  <w:vAlign w:val="center"/>
                </w:tcPr>
                <w:p w14:paraId="0AC4AC78">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相关内容</w:t>
                  </w:r>
                </w:p>
              </w:tc>
              <w:tc>
                <w:tcPr>
                  <w:tcW w:w="1078" w:type="pct"/>
                  <w:tcBorders>
                    <w:left w:val="single" w:color="auto" w:sz="4" w:space="0"/>
                    <w:right w:val="single" w:color="auto" w:sz="4" w:space="0"/>
                  </w:tcBorders>
                  <w:noWrap w:val="0"/>
                  <w:vAlign w:val="center"/>
                </w:tcPr>
                <w:p w14:paraId="080A3FF3">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项目情况</w:t>
                  </w:r>
                </w:p>
              </w:tc>
              <w:tc>
                <w:tcPr>
                  <w:tcW w:w="346" w:type="pct"/>
                  <w:tcBorders>
                    <w:left w:val="single" w:color="auto" w:sz="4" w:space="0"/>
                  </w:tcBorders>
                  <w:noWrap w:val="0"/>
                  <w:vAlign w:val="center"/>
                </w:tcPr>
                <w:p w14:paraId="147A3EDB">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符合性</w:t>
                  </w:r>
                </w:p>
              </w:tc>
            </w:tr>
            <w:tr w14:paraId="573310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1CB45E78">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《福建省2020年挥发性有机物治理攻坚实施方案》</w:t>
                  </w:r>
                </w:p>
              </w:tc>
              <w:tc>
                <w:tcPr>
                  <w:tcW w:w="2788" w:type="pct"/>
                  <w:tcBorders>
                    <w:right w:val="single" w:color="auto" w:sz="4" w:space="0"/>
                  </w:tcBorders>
                  <w:noWrap w:val="0"/>
                  <w:vAlign w:val="top"/>
                </w:tcPr>
                <w:p w14:paraId="58A176AC">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二、重点任务</w:t>
                  </w:r>
                </w:p>
                <w:p w14:paraId="02C4C7CA">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w:t>
                  </w:r>
                </w:p>
                <w:p w14:paraId="1AE41B0A">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（三）坚持绿色发展和源头防控相促进。</w:t>
                  </w:r>
                </w:p>
                <w:p w14:paraId="3FDC8E89">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…微观层面，实施原辅材料绿色化，严格落实国家和地方产品VOCs含量限值标准，大力推进低（无）VOCs含量原辅材料替代</w:t>
                  </w:r>
                </w:p>
                <w:p w14:paraId="419241D3">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大力推进低（无）VOCs含量原辅材料替代。</w:t>
                  </w:r>
                </w:p>
              </w:tc>
              <w:tc>
                <w:tcPr>
                  <w:tcW w:w="1078" w:type="pct"/>
                  <w:vMerge w:val="restart"/>
                  <w:tcBorders>
                    <w:left w:val="single" w:color="auto" w:sz="4" w:space="0"/>
                    <w:right w:val="single" w:color="auto" w:sz="4" w:space="0"/>
                  </w:tcBorders>
                  <w:noWrap w:val="0"/>
                  <w:vAlign w:val="center"/>
                </w:tcPr>
                <w:p w14:paraId="365EF2E5">
                  <w:pPr>
                    <w:pStyle w:val="47"/>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主要从事汽车零部件生产，主要生产工序为装配，项目不使用涂料、胶粘剂、油墨、清洗剂等含VOCs物料，项目内产生的VOCs主要为外购的发泡总成、面套总成、塑料件等原料在厂家生产过程中未完全挥发的少量挥发性有机物，项目线烘烤工序（50℃）需对工件进行加热，原料内残留的挥发性物质受热可能逸散至外环境，产生的VOCs极少。</w:t>
                  </w:r>
                </w:p>
              </w:tc>
              <w:tc>
                <w:tcPr>
                  <w:tcW w:w="346" w:type="pct"/>
                  <w:vMerge w:val="restart"/>
                  <w:tcBorders>
                    <w:left w:val="single" w:color="auto" w:sz="4" w:space="0"/>
                  </w:tcBorders>
                  <w:noWrap w:val="0"/>
                  <w:vAlign w:val="center"/>
                </w:tcPr>
                <w:p w14:paraId="10C2FF73">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0FD73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0988DE7D">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《福建省“十四五”空气质量改善规划》（2022年）</w:t>
                  </w:r>
                </w:p>
              </w:tc>
              <w:tc>
                <w:tcPr>
                  <w:tcW w:w="2788" w:type="pct"/>
                  <w:tcBorders>
                    <w:right w:val="single" w:color="auto" w:sz="4" w:space="0"/>
                  </w:tcBorders>
                  <w:noWrap w:val="0"/>
                  <w:vAlign w:val="center"/>
                </w:tcPr>
                <w:p w14:paraId="77AECBDE">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推广使用水性、高固体分、无溶剂、粉末等低VOCs含量涂料…</w:t>
                  </w:r>
                  <w:r>
                    <w:rPr>
                      <w:rFonts w:hint="eastAsia"/>
                      <w:color w:val="000000" w:themeColor="text1"/>
                      <w:lang w:eastAsia="zh-CN"/>
                      <w14:textFill>
                        <w14:solidFill>
                          <w14:schemeClr w14:val="tx1"/>
                        </w14:solidFill>
                      </w14:textFill>
                    </w:rPr>
                    <w:t>福州、厦门、漳州、泉州、莆田、宁德实施VOCs倍量替代</w:t>
                  </w:r>
                </w:p>
              </w:tc>
              <w:tc>
                <w:tcPr>
                  <w:tcW w:w="1078" w:type="pct"/>
                  <w:vMerge w:val="continue"/>
                  <w:tcBorders>
                    <w:left w:val="single" w:color="auto" w:sz="4" w:space="0"/>
                    <w:right w:val="single" w:color="auto" w:sz="4" w:space="0"/>
                  </w:tcBorders>
                  <w:noWrap w:val="0"/>
                  <w:vAlign w:val="center"/>
                </w:tcPr>
                <w:p w14:paraId="562034A0">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46" w:type="pct"/>
                  <w:vMerge w:val="continue"/>
                  <w:tcBorders>
                    <w:left w:val="single" w:color="auto" w:sz="4" w:space="0"/>
                  </w:tcBorders>
                  <w:noWrap w:val="0"/>
                  <w:vAlign w:val="center"/>
                </w:tcPr>
                <w:p w14:paraId="7172796B">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7ADA1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75F6B25D">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《福州市“十四五”生态环境保护规划》（榕政办[2021]123号）</w:t>
                  </w:r>
                </w:p>
              </w:tc>
              <w:tc>
                <w:tcPr>
                  <w:tcW w:w="2788" w:type="pct"/>
                  <w:tcBorders>
                    <w:right w:val="single" w:color="auto" w:sz="4" w:space="0"/>
                  </w:tcBorders>
                  <w:noWrap w:val="0"/>
                  <w:vAlign w:val="center"/>
                </w:tcPr>
                <w:p w14:paraId="3A750541">
                  <w:pPr>
                    <w:pStyle w:val="47"/>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强化挥发性有机物整治。持续开展挥发性有机物整治专项行动，推进福州市重点行业挥发性有机物综合治理工作（VOCs2.0），逐步推动重点企业编制挥发性有机物治理“一厂一策”。实行挥发性有机物排放倍量替代。加大涉VOCs企业源头替代力度，推广使用低（无）VOCs原辅材料替代</w:t>
                  </w:r>
                </w:p>
              </w:tc>
              <w:tc>
                <w:tcPr>
                  <w:tcW w:w="1078" w:type="pct"/>
                  <w:vMerge w:val="continue"/>
                  <w:tcBorders>
                    <w:left w:val="single" w:color="auto" w:sz="4" w:space="0"/>
                    <w:right w:val="single" w:color="auto" w:sz="4" w:space="0"/>
                  </w:tcBorders>
                  <w:noWrap w:val="0"/>
                  <w:vAlign w:val="center"/>
                </w:tcPr>
                <w:p w14:paraId="52723D8C">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346" w:type="pct"/>
                  <w:vMerge w:val="continue"/>
                  <w:tcBorders>
                    <w:left w:val="single" w:color="auto" w:sz="4" w:space="0"/>
                  </w:tcBorders>
                  <w:noWrap w:val="0"/>
                  <w:vAlign w:val="center"/>
                </w:tcPr>
                <w:p w14:paraId="0BFB644A">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4D2249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1BF17B2F">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​《福州市蓝天碧海净土保卫战行动计划》（榕环委办[2022]49号）</w:t>
                  </w:r>
                </w:p>
              </w:tc>
              <w:tc>
                <w:tcPr>
                  <w:tcW w:w="2788" w:type="pct"/>
                  <w:tcBorders>
                    <w:right w:val="single" w:color="auto" w:sz="4" w:space="0"/>
                  </w:tcBorders>
                  <w:noWrap w:val="0"/>
                  <w:vAlign w:val="center"/>
                </w:tcPr>
                <w:p w14:paraId="14F0519E">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四是严格涉VOCs建设项目环境影响评价审批。新、改、扩建涉VOCs排放项目，应使用低</w:t>
                  </w:r>
                  <w:r>
                    <w:rPr>
                      <w:rFonts w:hint="default"/>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无)VOCs涂料、粘胶剂等，实施新建项目VOCs排放区域内1.2及以上倍量替代。VOCs年排放量大于5吨的新建项目投运前应安装VOCs在线监控设备，并接入市生态云平台。</w:t>
                  </w:r>
                </w:p>
              </w:tc>
              <w:tc>
                <w:tcPr>
                  <w:tcW w:w="1078" w:type="pct"/>
                  <w:vMerge w:val="continue"/>
                  <w:tcBorders>
                    <w:left w:val="single" w:color="auto" w:sz="4" w:space="0"/>
                    <w:right w:val="single" w:color="auto" w:sz="4" w:space="0"/>
                  </w:tcBorders>
                  <w:noWrap w:val="0"/>
                  <w:vAlign w:val="center"/>
                </w:tcPr>
                <w:p w14:paraId="128BD2D7">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346" w:type="pct"/>
                  <w:vMerge w:val="continue"/>
                  <w:tcBorders>
                    <w:left w:val="single" w:color="auto" w:sz="4" w:space="0"/>
                  </w:tcBorders>
                  <w:noWrap w:val="0"/>
                  <w:vAlign w:val="center"/>
                </w:tcPr>
                <w:p w14:paraId="2208120E">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274CE5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19042C77">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《福州市生态环境局关于开展福州市重点行业挥发性有机物综合治理工作(VOCs2.0)的通知》</w:t>
                  </w:r>
                </w:p>
              </w:tc>
              <w:tc>
                <w:tcPr>
                  <w:tcW w:w="2788" w:type="pct"/>
                  <w:tcBorders>
                    <w:right w:val="single" w:color="auto" w:sz="4" w:space="0"/>
                  </w:tcBorders>
                  <w:noWrap w:val="0"/>
                  <w:vAlign w:val="center"/>
                </w:tcPr>
                <w:p w14:paraId="27C51FEF">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（三）严格审批，加强管控</w:t>
                  </w:r>
                </w:p>
                <w:p w14:paraId="40990EC8">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1.严格涉挥发性有机物建设项目环境影响评价审批。新、改、扩建排放挥发性有机物的建设项目实行倍量替代。鼓励使用低（无）挥发性有机物含量的原辅材料</w:t>
                  </w:r>
                </w:p>
              </w:tc>
              <w:tc>
                <w:tcPr>
                  <w:tcW w:w="1078" w:type="pct"/>
                  <w:vMerge w:val="continue"/>
                  <w:tcBorders>
                    <w:left w:val="single" w:color="auto" w:sz="4" w:space="0"/>
                    <w:right w:val="single" w:color="auto" w:sz="4" w:space="0"/>
                  </w:tcBorders>
                  <w:noWrap w:val="0"/>
                  <w:vAlign w:val="center"/>
                </w:tcPr>
                <w:p w14:paraId="30237C4E">
                  <w:pPr>
                    <w:pStyle w:val="47"/>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c>
                <w:tcPr>
                  <w:tcW w:w="346" w:type="pct"/>
                  <w:vMerge w:val="continue"/>
                  <w:tcBorders>
                    <w:left w:val="single" w:color="auto" w:sz="4" w:space="0"/>
                  </w:tcBorders>
                  <w:noWrap w:val="0"/>
                  <w:vAlign w:val="center"/>
                </w:tcPr>
                <w:p w14:paraId="22844088">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r w14:paraId="56D815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6" w:type="pct"/>
                  <w:noWrap w:val="0"/>
                  <w:vAlign w:val="center"/>
                </w:tcPr>
                <w:p w14:paraId="74CD1131">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《闽侯县人民政府办公室关于印发2022年闽侯县持续改善空气质量行动计划的通知》(侯政办发〔2022〕10号)</w:t>
                  </w:r>
                </w:p>
              </w:tc>
              <w:tc>
                <w:tcPr>
                  <w:tcW w:w="2788" w:type="pct"/>
                  <w:tcBorders>
                    <w:right w:val="single" w:color="auto" w:sz="4" w:space="0"/>
                  </w:tcBorders>
                  <w:noWrap w:val="0"/>
                  <w:vAlign w:val="center"/>
                </w:tcPr>
                <w:p w14:paraId="674BDED7">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（一）工业污染防治</w:t>
                  </w:r>
                </w:p>
                <w:p w14:paraId="3D5525A2">
                  <w:pPr>
                    <w:pStyle w:val="47"/>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严格涉 VOCS建设项目环境影响评价审批，新、改、扩建涉 VOCs排放项目，应使用低（无）VOCs涂料、粘胶剂等，实施新建项目 VOCS排放区域内倍量替代。VOCs年排放量大于10吨的新建项目投运前应安装 VOCs在线监控设备，并接入市生态云平台。</w:t>
                  </w:r>
                </w:p>
              </w:tc>
              <w:tc>
                <w:tcPr>
                  <w:tcW w:w="1078" w:type="pct"/>
                  <w:vMerge w:val="continue"/>
                  <w:tcBorders>
                    <w:left w:val="single" w:color="auto" w:sz="4" w:space="0"/>
                    <w:right w:val="single" w:color="auto" w:sz="4" w:space="0"/>
                  </w:tcBorders>
                  <w:noWrap w:val="0"/>
                  <w:vAlign w:val="center"/>
                </w:tcPr>
                <w:p w14:paraId="629A7584">
                  <w:pPr>
                    <w:pStyle w:val="47"/>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c>
                <w:tcPr>
                  <w:tcW w:w="346" w:type="pct"/>
                  <w:vMerge w:val="continue"/>
                  <w:tcBorders>
                    <w:left w:val="single" w:color="auto" w:sz="4" w:space="0"/>
                  </w:tcBorders>
                  <w:noWrap w:val="0"/>
                  <w:vAlign w:val="center"/>
                </w:tcPr>
                <w:p w14:paraId="2BE2F0F9">
                  <w:pPr>
                    <w:pStyle w:val="4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bl>
          <w:p w14:paraId="7A3693EB">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产业政策符合性分析</w:t>
            </w:r>
          </w:p>
          <w:p w14:paraId="69510725">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eastAsia="zh-CN"/>
                <w14:textFill>
                  <w14:solidFill>
                    <w14:schemeClr w14:val="tx1"/>
                  </w14:solidFill>
                </w14:textFill>
              </w:rPr>
              <w:t>从事汽车零部件生产</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经</w:t>
            </w:r>
            <w:r>
              <w:rPr>
                <w:rFonts w:hint="default" w:ascii="Times New Roman" w:hAnsi="Times New Roman" w:cs="Times New Roman"/>
                <w:color w:val="000000" w:themeColor="text1"/>
                <w14:textFill>
                  <w14:solidFill>
                    <w14:schemeClr w14:val="tx1"/>
                  </w14:solidFill>
                </w14:textFill>
              </w:rPr>
              <w:t>对照《产业结构调整指导目录（2024年本）》，本项目</w:t>
            </w:r>
            <w:r>
              <w:rPr>
                <w:rFonts w:hint="eastAsia" w:cs="Times New Roman"/>
                <w:color w:val="000000" w:themeColor="text1"/>
                <w:lang w:eastAsia="zh-CN"/>
                <w14:textFill>
                  <w14:solidFill>
                    <w14:schemeClr w14:val="tx1"/>
                  </w14:solidFill>
                </w14:textFill>
              </w:rPr>
              <w:t>不属于限制和淘汰类项目。</w:t>
            </w:r>
            <w:r>
              <w:rPr>
                <w:rFonts w:hint="default" w:ascii="Times New Roman" w:hAnsi="Times New Roman" w:cs="Times New Roman"/>
                <w:color w:val="000000" w:themeColor="text1"/>
                <w14:textFill>
                  <w14:solidFill>
                    <w14:schemeClr w14:val="tx1"/>
                  </w14:solidFill>
                </w14:textFill>
              </w:rPr>
              <w:t>对照《市场准入负面清单（202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年版）》，本项目不属于市场准入负面清单。且本项目已于</w:t>
            </w:r>
            <w:r>
              <w:rPr>
                <w:rFonts w:hint="eastAsia" w:cs="Times New Roman"/>
                <w:color w:val="000000" w:themeColor="text1"/>
                <w:lang w:eastAsia="zh-CN"/>
                <w14:textFill>
                  <w14:solidFill>
                    <w14:schemeClr w14:val="tx1"/>
                  </w14:solidFill>
                </w14:textFill>
              </w:rPr>
              <w:t>2025年11月13日</w:t>
            </w:r>
            <w:r>
              <w:rPr>
                <w:rFonts w:hint="default" w:ascii="Times New Roman" w:hAnsi="Times New Roman" w:cs="Times New Roman"/>
                <w:color w:val="000000" w:themeColor="text1"/>
                <w14:textFill>
                  <w14:solidFill>
                    <w14:schemeClr w14:val="tx1"/>
                  </w14:solidFill>
                </w14:textFill>
              </w:rPr>
              <w:t>在</w:t>
            </w:r>
            <w:r>
              <w:rPr>
                <w:rFonts w:hint="eastAsia" w:cs="Times New Roman"/>
                <w:color w:val="000000" w:themeColor="text1"/>
                <w:lang w:eastAsia="zh-CN"/>
                <w14:textFill>
                  <w14:solidFill>
                    <w14:schemeClr w14:val="tx1"/>
                  </w14:solidFill>
                </w14:textFill>
              </w:rPr>
              <w:t>闽侯县发展和改革局</w:t>
            </w:r>
            <w:r>
              <w:rPr>
                <w:rFonts w:hint="default" w:ascii="Times New Roman" w:hAnsi="Times New Roman" w:cs="Times New Roman"/>
                <w:color w:val="000000" w:themeColor="text1"/>
                <w14:textFill>
                  <w14:solidFill>
                    <w14:schemeClr w14:val="tx1"/>
                  </w14:solidFill>
                </w14:textFill>
              </w:rPr>
              <w:t>进行了备案，编号为</w:t>
            </w:r>
            <w:r>
              <w:rPr>
                <w:rFonts w:hint="eastAsia" w:cs="Times New Roman"/>
                <w:color w:val="000000" w:themeColor="text1"/>
                <w:lang w:eastAsia="zh-CN"/>
                <w14:textFill>
                  <w14:solidFill>
                    <w14:schemeClr w14:val="tx1"/>
                  </w14:solidFill>
                </w14:textFill>
              </w:rPr>
              <w:t>闽发改备[2025]A080540号</w:t>
            </w:r>
            <w:r>
              <w:rPr>
                <w:rFonts w:hint="default" w:ascii="Times New Roman" w:hAnsi="Times New Roman" w:cs="Times New Roman"/>
                <w:color w:val="000000" w:themeColor="text1"/>
                <w14:textFill>
                  <w14:solidFill>
                    <w14:schemeClr w14:val="tx1"/>
                  </w14:solidFill>
                </w14:textFill>
              </w:rPr>
              <w:t>，详见</w:t>
            </w:r>
            <w:r>
              <w:rPr>
                <w:rFonts w:hint="default" w:ascii="Times New Roman" w:hAnsi="Times New Roman" w:cs="Times New Roman"/>
                <w:color w:val="000000" w:themeColor="text1"/>
                <w:highlight w:val="none"/>
                <w14:textFill>
                  <w14:solidFill>
                    <w14:schemeClr w14:val="tx1"/>
                  </w14:solidFill>
                </w14:textFill>
              </w:rPr>
              <w:t>附件3。</w:t>
            </w:r>
          </w:p>
          <w:p w14:paraId="5F48788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因此，本项目的建设符合国家和地方的有关产业政策。</w:t>
            </w:r>
          </w:p>
          <w:p w14:paraId="79EB99C1">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选址合理性分析</w:t>
            </w:r>
          </w:p>
          <w:p w14:paraId="475F029F">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根据业主提供的不动产权证，本项目土地用途为工业用地</w:t>
            </w:r>
            <w:r>
              <w:rPr>
                <w:rFonts w:hint="default" w:ascii="Times New Roman" w:hAnsi="Times New Roman" w:cs="Times New Roman"/>
                <w:color w:val="000000" w:themeColor="text1"/>
                <w:highlight w:val="none"/>
                <w:lang w:val="en-US" w:eastAsia="zh-CN"/>
                <w14:textFill>
                  <w14:solidFill>
                    <w14:schemeClr w14:val="tx1"/>
                  </w14:solidFill>
                </w14:textFill>
              </w:rPr>
              <w:t>（详见附件5），</w:t>
            </w: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主要从事</w:t>
            </w:r>
            <w:r>
              <w:rPr>
                <w:rFonts w:hint="eastAsia" w:cs="Times New Roman"/>
                <w:color w:val="000000" w:themeColor="text1"/>
                <w:lang w:eastAsia="zh-CN"/>
                <w14:textFill>
                  <w14:solidFill>
                    <w14:schemeClr w14:val="tx1"/>
                  </w14:solidFill>
                </w14:textFill>
              </w:rPr>
              <w:t>汽车零部件生产</w:t>
            </w:r>
            <w:r>
              <w:rPr>
                <w:rFonts w:hint="default" w:ascii="Times New Roman" w:hAnsi="Times New Roman" w:cs="Times New Roman"/>
                <w:color w:val="000000" w:themeColor="text1"/>
                <w:lang w:val="en-US" w:eastAsia="zh-CN"/>
                <w14:textFill>
                  <w14:solidFill>
                    <w14:schemeClr w14:val="tx1"/>
                  </w14:solidFill>
                </w14:textFill>
              </w:rPr>
              <w:t>，属于工业企业，因此，项目选址符合土地利用规划的要求，故项目选址合理。</w:t>
            </w:r>
          </w:p>
          <w:p w14:paraId="20BA28FF">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总平面布局合理性分析</w:t>
            </w:r>
          </w:p>
          <w:p w14:paraId="274AF44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基本上按照工艺流程进行平面布局，项目的平面布局充分考虑了功能分区、交通组织，主要公建设施布局合理，且对噪声防治采取了有效防治措施；从整体上看，项目平面布局空间安排紧凑，功能分区明确，物流比较通畅，可相互协调，便于管理；从环境保护角度考虑，项目的平面布局合理可行。</w:t>
            </w:r>
          </w:p>
          <w:p w14:paraId="466A446B">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环境功能区划符合性分析</w:t>
            </w:r>
          </w:p>
          <w:p w14:paraId="2358BC21">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项目运营期环境</w:t>
            </w:r>
            <w:r>
              <w:rPr>
                <w:rFonts w:hint="eastAsia" w:cs="Times New Roman"/>
                <w:color w:val="000000" w:themeColor="text1"/>
                <w:lang w:eastAsia="zh-CN"/>
                <w14:textFill>
                  <w14:solidFill>
                    <w14:schemeClr w14:val="tx1"/>
                  </w14:solidFill>
                </w14:textFill>
              </w:rPr>
              <w:t>无大气</w:t>
            </w:r>
            <w:r>
              <w:rPr>
                <w:rFonts w:hint="default" w:ascii="Times New Roman" w:hAnsi="Times New Roman" w:cs="Times New Roman"/>
                <w:color w:val="000000" w:themeColor="text1"/>
                <w14:textFill>
                  <w14:solidFill>
                    <w14:schemeClr w14:val="tx1"/>
                  </w14:solidFill>
                </w14:textFill>
              </w:rPr>
              <w:t>污染排放，对周围环境空气不会产生影响，</w:t>
            </w:r>
            <w:r>
              <w:rPr>
                <w:rFonts w:hint="eastAsia" w:cs="Times New Roman"/>
                <w:color w:val="000000" w:themeColor="text1"/>
                <w:lang w:eastAsia="zh-CN"/>
                <w14:textFill>
                  <w14:solidFill>
                    <w14:schemeClr w14:val="tx1"/>
                  </w14:solidFill>
                </w14:textFill>
              </w:rPr>
              <w:t>项目所在区域环境空气质量</w:t>
            </w:r>
            <w:r>
              <w:rPr>
                <w:rFonts w:hint="default" w:ascii="Times New Roman" w:hAnsi="Times New Roman" w:cs="Times New Roman"/>
                <w:color w:val="000000" w:themeColor="text1"/>
                <w14:textFill>
                  <w14:solidFill>
                    <w14:schemeClr w14:val="tx1"/>
                  </w14:solidFill>
                </w14:textFill>
              </w:rPr>
              <w:t>符合《环境空气质量标准》（GB3095-2012）及其修改单中二级标准；项目</w:t>
            </w:r>
            <w:r>
              <w:rPr>
                <w:rFonts w:hint="eastAsia" w:cs="Times New Roman"/>
                <w:color w:val="000000" w:themeColor="text1"/>
                <w:lang w:eastAsia="zh-CN"/>
                <w14:textFill>
                  <w14:solidFill>
                    <w14:schemeClr w14:val="tx1"/>
                  </w14:solidFill>
                </w14:textFill>
              </w:rPr>
              <w:t>无生产废水</w:t>
            </w:r>
            <w:r>
              <w:rPr>
                <w:rFonts w:hint="default" w:ascii="Times New Roman" w:hAnsi="Times New Roman" w:cs="Times New Roman"/>
                <w:color w:val="000000" w:themeColor="text1"/>
                <w14:textFill>
                  <w14:solidFill>
                    <w14:schemeClr w14:val="tx1"/>
                  </w14:solidFill>
                </w14:textFill>
              </w:rPr>
              <w:t>，生活污水经厂区</w:t>
            </w:r>
            <w:r>
              <w:rPr>
                <w:rFonts w:hint="default" w:ascii="Times New Roman" w:hAnsi="Times New Roman" w:cs="Times New Roman"/>
                <w:color w:val="000000" w:themeColor="text1"/>
                <w:lang w:val="en-US" w:eastAsia="zh-CN"/>
                <w14:textFill>
                  <w14:solidFill>
                    <w14:schemeClr w14:val="tx1"/>
                  </w14:solidFill>
                </w14:textFill>
              </w:rPr>
              <w:t>已建</w:t>
            </w:r>
            <w:r>
              <w:rPr>
                <w:rFonts w:hint="default" w:ascii="Times New Roman" w:hAnsi="Times New Roman"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排入青口汽车工业开发区污水处理厂</w:t>
            </w:r>
            <w:r>
              <w:rPr>
                <w:rFonts w:hint="default" w:ascii="Times New Roman" w:hAnsi="Times New Roman" w:cs="Times New Roman"/>
                <w:color w:val="000000" w:themeColor="text1"/>
                <w14:textFill>
                  <w14:solidFill>
                    <w14:schemeClr w14:val="tx1"/>
                  </w14:solidFill>
                </w14:textFill>
              </w:rPr>
              <w:t>，几乎不会对周边水体环境造成影响，</w:t>
            </w:r>
            <w:r>
              <w:rPr>
                <w:rFonts w:hint="eastAsia" w:cs="Times New Roman"/>
                <w:color w:val="000000" w:themeColor="text1"/>
                <w:lang w:eastAsia="zh-CN"/>
                <w14:textFill>
                  <w14:solidFill>
                    <w14:schemeClr w14:val="tx1"/>
                  </w14:solidFill>
                </w14:textFill>
              </w:rPr>
              <w:t>项目纳污水域水环境质量</w:t>
            </w:r>
            <w:r>
              <w:rPr>
                <w:rFonts w:hint="default" w:ascii="Times New Roman" w:hAnsi="Times New Roman" w:cs="Times New Roman"/>
                <w:color w:val="000000" w:themeColor="text1"/>
                <w14:textFill>
                  <w14:solidFill>
                    <w14:schemeClr w14:val="tx1"/>
                  </w14:solidFill>
                </w14:textFill>
              </w:rPr>
              <w:t>符合《地表水环境质量标准》（GB3838-2002）的Ⅲ类水质标准；项目在采取一定的噪声污染防治措施后，项目产生的噪声不会对周围环境产生显著影响，项目所在区域的环境噪声符合《声环境质量标准》（GB3096-2008）的</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类区标准，因此，项目建设符合环境功能规划。</w:t>
            </w:r>
          </w:p>
          <w:p w14:paraId="5FA1A3A5">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周边环境相容性分析</w:t>
            </w:r>
          </w:p>
          <w:p w14:paraId="38AFF16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通过相关现状监测资料可知，项目所在地环境质量较好，满足其所在区域环境功能区规划要求</w:t>
            </w:r>
            <w:r>
              <w:rPr>
                <w:rFonts w:hint="eastAsia" w:cs="Times New Roman"/>
                <w:color w:val="000000" w:themeColor="text1"/>
                <w:lang w:eastAsia="zh-CN"/>
                <w14:textFill>
                  <w14:solidFill>
                    <w14:schemeClr w14:val="tx1"/>
                  </w14:solidFill>
                </w14:textFill>
              </w:rPr>
              <w:t>，具</w:t>
            </w:r>
            <w:r>
              <w:rPr>
                <w:rFonts w:hint="default" w:ascii="Times New Roman" w:hAnsi="Times New Roman" w:cs="Times New Roman"/>
                <w:color w:val="000000" w:themeColor="text1"/>
                <w14:textFill>
                  <w14:solidFill>
                    <w14:schemeClr w14:val="tx1"/>
                  </w14:solidFill>
                </w14:textFill>
              </w:rPr>
              <w:t>有一定的环境容量；项目生产设备较为先进</w:t>
            </w:r>
            <w:r>
              <w:rPr>
                <w:rFonts w:hint="eastAsia" w:cs="Times New Roman"/>
                <w:color w:val="000000" w:themeColor="text1"/>
                <w:lang w:eastAsia="zh-CN"/>
                <w14:textFill>
                  <w14:solidFill>
                    <w14:schemeClr w14:val="tx1"/>
                  </w14:solidFill>
                </w14:textFill>
              </w:rPr>
              <w:t>，对</w:t>
            </w:r>
            <w:r>
              <w:rPr>
                <w:rFonts w:hint="default" w:ascii="Times New Roman" w:hAnsi="Times New Roman" w:cs="Times New Roman"/>
                <w:color w:val="000000" w:themeColor="text1"/>
                <w14:textFill>
                  <w14:solidFill>
                    <w14:schemeClr w14:val="tx1"/>
                  </w14:solidFill>
                </w14:textFill>
              </w:rPr>
              <w:t>原材料的来源、运输、使用及污染物的排放均进行严格的控制，在采取报告中提出的各项污染防治措施后，可确保污染物达标排放。同时，厂址区域内交通、供电、供水和生活条件方便。因此，本项目选址与周边环境基本相容。</w:t>
            </w:r>
          </w:p>
          <w:p w14:paraId="67BE0CC5">
            <w:pPr>
              <w:pStyle w:val="3"/>
              <w:keepNext w:val="0"/>
              <w:keepLines w:val="0"/>
              <w:pageBreakBefore w:val="0"/>
              <w:widowControl w:val="0"/>
              <w:suppressLineNumbers w:val="0"/>
              <w:kinsoku/>
              <w:wordWrap/>
              <w:overflowPunct/>
              <w:topLinePunct w:val="0"/>
              <w:bidi w:val="0"/>
              <w:spacing w:line="360" w:lineRule="auto"/>
              <w:ind w:left="0" w:right="0" w:firstLine="0" w:firstLineChar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与“三区三线”符合性分析</w:t>
            </w:r>
          </w:p>
          <w:p w14:paraId="2AEDDBFC">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w:t>
            </w:r>
            <w:r>
              <w:rPr>
                <w:rFonts w:hint="eastAsia" w:cs="Times New Roman"/>
                <w:color w:val="000000" w:themeColor="text1"/>
                <w:sz w:val="24"/>
                <w:szCs w:val="24"/>
                <w:highlight w:val="none"/>
                <w:lang w:val="en-US" w:eastAsia="zh-CN"/>
                <w14:textFill>
                  <w14:solidFill>
                    <w14:schemeClr w14:val="tx1"/>
                  </w14:solidFill>
                </w14:textFill>
              </w:rPr>
              <w:t>福建省福州市闽侯县青口镇东台村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属于城镇开发边界内，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项目用地范围内不占用</w:t>
            </w:r>
            <w:r>
              <w:rPr>
                <w:rFonts w:hint="eastAsia" w:cs="Times New Roman"/>
                <w:color w:val="000000" w:themeColor="text1"/>
                <w:sz w:val="24"/>
                <w:szCs w:val="24"/>
                <w:highlight w:val="none"/>
                <w:lang w:eastAsia="zh-CN"/>
                <w14:textFill>
                  <w14:solidFill>
                    <w14:schemeClr w14:val="tx1"/>
                  </w14:solidFill>
                </w14:textFill>
              </w:rPr>
              <w:t>“三区三线”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规划的永久基本农田，对基本农田的保有率无影响，不占用“三区三线”成果划定的生态保护红线区。本项目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“三区三线”的要求。</w:t>
            </w:r>
          </w:p>
          <w:p w14:paraId="3449CF97">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r>
    </w:tbl>
    <w:p w14:paraId="394EA9C9">
      <w:pPr>
        <w:spacing w:line="360" w:lineRule="auto"/>
        <w:outlineLvl w:val="0"/>
        <w:rPr>
          <w:rFonts w:eastAsia="黑体"/>
          <w:color w:val="auto"/>
          <w:sz w:val="30"/>
        </w:rPr>
        <w:sectPr>
          <w:footerReference r:id="rId8"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DD2397">
      <w:pPr>
        <w:pStyle w:val="2"/>
        <w:bidi w:val="0"/>
        <w:rPr>
          <w:color w:val="auto"/>
        </w:rPr>
      </w:pPr>
      <w:bookmarkStart w:id="4" w:name="_Toc17246"/>
      <w:r>
        <w:rPr>
          <w:rFonts w:hint="eastAsia"/>
          <w:color w:val="auto"/>
        </w:rPr>
        <w:t>建设项目工程分析</w:t>
      </w:r>
      <w:bookmarkEnd w:id="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56"/>
        <w:gridCol w:w="8832"/>
      </w:tblGrid>
      <w:tr w14:paraId="752B47B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275" w:hRule="atLeast"/>
          <w:jc w:val="center"/>
        </w:trPr>
        <w:tc>
          <w:tcPr>
            <w:tcW w:w="455" w:type="dxa"/>
            <w:noWrap w:val="0"/>
            <w:vAlign w:val="center"/>
          </w:tcPr>
          <w:p w14:paraId="4D77F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建设内容</w:t>
            </w:r>
          </w:p>
        </w:tc>
        <w:tc>
          <w:tcPr>
            <w:tcW w:w="8833" w:type="dxa"/>
            <w:noWrap w:val="0"/>
            <w:vAlign w:val="top"/>
          </w:tcPr>
          <w:p w14:paraId="7C8CACC3">
            <w:pPr>
              <w:pStyle w:val="3"/>
              <w:keepNext w:val="0"/>
              <w:keepLines w:val="0"/>
              <w:suppressLineNumbers w:val="0"/>
              <w:bidi w:val="0"/>
              <w:ind w:left="0" w:right="0"/>
              <w:rPr>
                <w:rFonts w:hint="eastAsia"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项目由来</w:t>
            </w:r>
          </w:p>
          <w:p w14:paraId="5DA4D44A">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随着城市化进程提速，汽车保有量持续攀升，市场对汽车零部件的需求日益旺盛，尤其新能源与智能化零部件缺口显著。为响应市场需求、承接产业升级趋势，</w:t>
            </w:r>
            <w:r>
              <w:rPr>
                <w:rFonts w:hint="eastAsia" w:cs="Times New Roman"/>
                <w:color w:val="000000" w:themeColor="text1"/>
                <w:sz w:val="24"/>
                <w:lang w:eastAsia="zh-CN"/>
                <w14:textFill>
                  <w14:solidFill>
                    <w14:schemeClr w14:val="tx1"/>
                  </w14:solidFill>
                </w14:textFill>
              </w:rPr>
              <w:t>郑州精益达汽车零部件有限公司拟选址福建省福州市闽侯县青口镇东台村，租赁福州胜金电器企业有限公司1#楼，租赁厂房</w:t>
            </w:r>
            <w:r>
              <w:rPr>
                <w:rFonts w:hint="eastAsia" w:cs="Times New Roman"/>
                <w:color w:val="000000" w:themeColor="text1"/>
                <w:sz w:val="24"/>
                <w:lang w:val="en-US" w:eastAsia="zh-CN"/>
                <w14:textFill>
                  <w14:solidFill>
                    <w14:schemeClr w14:val="tx1"/>
                  </w14:solidFill>
                </w14:textFill>
              </w:rPr>
              <w:t>12000平米，建设</w:t>
            </w:r>
            <w:r>
              <w:rPr>
                <w:rFonts w:hint="eastAsia" w:cs="Times New Roman"/>
                <w:color w:val="000000" w:themeColor="text1"/>
                <w:sz w:val="24"/>
                <w:lang w:eastAsia="zh-CN"/>
                <w14:textFill>
                  <w14:solidFill>
                    <w14:schemeClr w14:val="tx1"/>
                  </w14:solidFill>
                </w14:textFill>
              </w:rPr>
              <w:t>座椅加工项目，年产</w:t>
            </w:r>
            <w:r>
              <w:rPr>
                <w:rFonts w:hint="eastAsia" w:cs="Times New Roman"/>
                <w:color w:val="000000" w:themeColor="text1"/>
                <w:sz w:val="24"/>
                <w:lang w:val="en-US" w:eastAsia="zh-CN"/>
                <w14:textFill>
                  <w14:solidFill>
                    <w14:schemeClr w14:val="tx1"/>
                  </w14:solidFill>
                </w14:textFill>
              </w:rPr>
              <w:t>10万台汽车座椅配套。</w:t>
            </w:r>
          </w:p>
          <w:p w14:paraId="3519EF43">
            <w:pPr>
              <w:keepNext w:val="0"/>
              <w:keepLines w:val="0"/>
              <w:suppressLineNumbers w:val="0"/>
              <w:spacing w:before="0" w:beforeAutospacing="0" w:after="0" w:afterAutospacing="0"/>
              <w:ind w:left="0" w:right="0" w:firstLine="48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根据《中华人民共和国环境保护法》、《中华人民共和国环境影响评价法》等有关法律法规</w:t>
            </w:r>
            <w:r>
              <w:rPr>
                <w:rFonts w:hint="eastAsia" w:cs="Times New Roman"/>
                <w:color w:val="000000" w:themeColor="text1"/>
                <w14:textFill>
                  <w14:solidFill>
                    <w14:schemeClr w14:val="tx1"/>
                  </w14:solidFill>
                </w14:textFill>
              </w:rPr>
              <w:t>以及</w:t>
            </w:r>
            <w:r>
              <w:rPr>
                <w:rFonts w:hint="default" w:cs="Times New Roman"/>
                <w:color w:val="000000" w:themeColor="text1"/>
                <w14:textFill>
                  <w14:solidFill>
                    <w14:schemeClr w14:val="tx1"/>
                  </w14:solidFill>
                </w14:textFill>
              </w:rPr>
              <w:t>《建设项目环境影响评价分类管理名录》</w:t>
            </w:r>
            <w:r>
              <w:rPr>
                <w:rFonts w:hint="eastAsia" w:cs="Times New Roman"/>
                <w:color w:val="000000" w:themeColor="text1"/>
                <w14:textFill>
                  <w14:solidFill>
                    <w14:schemeClr w14:val="tx1"/>
                  </w14:solidFill>
                </w14:textFill>
              </w:rPr>
              <w:t>（2021版）</w:t>
            </w:r>
            <w:r>
              <w:rPr>
                <w:rFonts w:hint="default" w:cs="Times New Roman"/>
                <w:color w:val="000000" w:themeColor="text1"/>
                <w14:textFill>
                  <w14:solidFill>
                    <w14:schemeClr w14:val="tx1"/>
                  </w14:solidFill>
                </w14:textFill>
              </w:rPr>
              <w:t>等相关规定，</w:t>
            </w:r>
            <w:r>
              <w:rPr>
                <w:rFonts w:hint="eastAsia" w:cs="Times New Roman"/>
                <w:color w:val="000000" w:themeColor="text1"/>
                <w14:textFill>
                  <w14:solidFill>
                    <w14:schemeClr w14:val="tx1"/>
                  </w14:solidFill>
                </w14:textFill>
              </w:rPr>
              <w:t>本项目</w:t>
            </w:r>
            <w:r>
              <w:rPr>
                <w:rFonts w:hint="default" w:cs="Times New Roman"/>
                <w:color w:val="000000" w:themeColor="text1"/>
                <w14:textFill>
                  <w14:solidFill>
                    <w14:schemeClr w14:val="tx1"/>
                  </w14:solidFill>
                </w14:textFill>
              </w:rPr>
              <w:t>应编制环境影响报告表</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具体见表</w:t>
            </w:r>
            <w:r>
              <w:rPr>
                <w:rFonts w:hint="eastAsia" w:cs="Times New Roman"/>
                <w:color w:val="000000" w:themeColor="text1"/>
                <w14:textFill>
                  <w14:solidFill>
                    <w14:schemeClr w14:val="tx1"/>
                  </w14:solidFill>
                </w14:textFill>
              </w:rPr>
              <w:t>2.1</w:t>
            </w:r>
            <w:r>
              <w:rPr>
                <w:rFonts w:hint="default"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cs="Times New Roman"/>
                <w:color w:val="000000" w:themeColor="text1"/>
                <w14:textFill>
                  <w14:solidFill>
                    <w14:schemeClr w14:val="tx1"/>
                  </w14:solidFill>
                </w14:textFill>
              </w:rPr>
              <w:t>。</w:t>
            </w:r>
          </w:p>
          <w:p w14:paraId="088879AA">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default" w:cs="Times New Roman"/>
                <w:color w:val="000000" w:themeColor="text1"/>
                <w14:textFill>
                  <w14:solidFill>
                    <w14:schemeClr w14:val="tx1"/>
                  </w14:solidFill>
                </w14:textFill>
              </w:rPr>
              <w:t>因此，建设单位委托本环评单位</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福建中森亚环保科技有限公司</w:t>
            </w:r>
            <w:r>
              <w:rPr>
                <w:rFonts w:hint="eastAsia" w:cs="Times New Roman"/>
                <w:color w:val="000000" w:themeColor="text1"/>
                <w14:textFill>
                  <w14:solidFill>
                    <w14:schemeClr w14:val="tx1"/>
                  </w14:solidFill>
                </w14:textFill>
              </w:rPr>
              <w:t>）</w:t>
            </w:r>
            <w:r>
              <w:rPr>
                <w:rFonts w:hint="default" w:cs="Times New Roman"/>
                <w:color w:val="000000" w:themeColor="text1"/>
                <w14:textFill>
                  <w14:solidFill>
                    <w14:schemeClr w14:val="tx1"/>
                  </w14:solidFill>
                </w14:textFill>
              </w:rPr>
              <w:t>编制该项目的环境影响评价文件（</w:t>
            </w:r>
            <w:r>
              <w:rPr>
                <w:rFonts w:hint="eastAsia" w:cs="Times New Roman"/>
                <w:color w:val="000000" w:themeColor="text1"/>
                <w:lang w:val="en-US" w:eastAsia="zh-CN"/>
                <w14:textFill>
                  <w14:solidFill>
                    <w14:schemeClr w14:val="tx1"/>
                  </w14:solidFill>
                </w14:textFill>
              </w:rPr>
              <w:t>详</w:t>
            </w:r>
            <w:r>
              <w:rPr>
                <w:rFonts w:hint="default" w:cs="Times New Roman"/>
                <w:color w:val="000000" w:themeColor="text1"/>
                <w14:textFill>
                  <w14:solidFill>
                    <w14:schemeClr w14:val="tx1"/>
                  </w14:solidFill>
                </w14:textFill>
              </w:rPr>
              <w:t>见附件1）。本环评单位接受委托后，立即派技术人员踏勘现场和收集相关资料，并依照《中华人民共和国环境保护法》、《中华人民共和国环境影响评价法》等相关规定编制成报告表，供建设单位报</w:t>
            </w:r>
            <w:r>
              <w:rPr>
                <w:rFonts w:hint="eastAsia" w:cs="Times New Roman"/>
                <w:color w:val="000000" w:themeColor="text1"/>
                <w:lang w:val="en-US" w:eastAsia="zh-CN"/>
                <w14:textFill>
                  <w14:solidFill>
                    <w14:schemeClr w14:val="tx1"/>
                  </w14:solidFill>
                </w14:textFill>
              </w:rPr>
              <w:t>生态环境</w:t>
            </w:r>
            <w:r>
              <w:rPr>
                <w:rFonts w:hint="default" w:cs="Times New Roman"/>
                <w:color w:val="000000" w:themeColor="text1"/>
                <w14:textFill>
                  <w14:solidFill>
                    <w14:schemeClr w14:val="tx1"/>
                  </w14:solidFill>
                </w14:textFill>
              </w:rPr>
              <w:t>主管部门审批</w:t>
            </w:r>
            <w:r>
              <w:rPr>
                <w:rFonts w:hint="eastAsia" w:cs="Times New Roman"/>
                <w:bCs/>
                <w:color w:val="000000" w:themeColor="text1"/>
                <w:sz w:val="24"/>
                <w14:textFill>
                  <w14:solidFill>
                    <w14:schemeClr w14:val="tx1"/>
                  </w14:solidFill>
                </w14:textFill>
              </w:rPr>
              <w:t>。</w:t>
            </w:r>
          </w:p>
          <w:p w14:paraId="69F11C9C">
            <w:pPr>
              <w:pStyle w:val="36"/>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项目环境影响评价分类一览表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3418"/>
              <w:gridCol w:w="2455"/>
              <w:gridCol w:w="906"/>
            </w:tblGrid>
            <w:tr w14:paraId="7EDC2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065" w:type="pct"/>
                  <w:tcBorders>
                    <w:tl2br w:val="single" w:color="auto" w:sz="4" w:space="0"/>
                  </w:tcBorders>
                  <w:shd w:val="clear" w:color="auto" w:fill="auto"/>
                  <w:noWrap w:val="0"/>
                  <w:vAlign w:val="center"/>
                </w:tcPr>
                <w:p w14:paraId="43985D8F">
                  <w:pPr>
                    <w:pStyle w:val="33"/>
                    <w:keepNext w:val="0"/>
                    <w:keepLines w:val="0"/>
                    <w:suppressLineNumbers w:val="0"/>
                    <w:bidi w:val="0"/>
                    <w:spacing w:before="0" w:beforeAutospacing="0" w:after="0" w:afterAutospacing="0"/>
                    <w:ind w:left="0" w:right="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环评类别</w:t>
                  </w:r>
                </w:p>
                <w:p w14:paraId="5ABBE6E4">
                  <w:pPr>
                    <w:pStyle w:val="33"/>
                    <w:keepNext w:val="0"/>
                    <w:keepLines w:val="0"/>
                    <w:suppressLineNumbers w:val="0"/>
                    <w:bidi w:val="0"/>
                    <w:spacing w:before="0" w:beforeAutospacing="0" w:after="0" w:afterAutospacing="0"/>
                    <w:ind w:left="0" w:right="0"/>
                    <w:jc w:val="both"/>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项目类别</w:t>
                  </w:r>
                </w:p>
              </w:tc>
              <w:tc>
                <w:tcPr>
                  <w:tcW w:w="1984" w:type="pct"/>
                  <w:tcBorders>
                    <w:tl2br w:val="nil"/>
                    <w:tr2bl w:val="nil"/>
                  </w:tcBorders>
                  <w:shd w:val="clear" w:color="auto" w:fill="auto"/>
                  <w:noWrap w:val="0"/>
                  <w:vAlign w:val="center"/>
                </w:tcPr>
                <w:p w14:paraId="66C8EBE5">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报告书</w:t>
                  </w:r>
                </w:p>
              </w:tc>
              <w:tc>
                <w:tcPr>
                  <w:tcW w:w="1425" w:type="pct"/>
                  <w:tcBorders>
                    <w:tl2br w:val="nil"/>
                    <w:tr2bl w:val="nil"/>
                  </w:tcBorders>
                  <w:shd w:val="clear" w:color="auto" w:fill="BEBEBE" w:themeFill="background1" w:themeFillShade="BF"/>
                  <w:noWrap w:val="0"/>
                  <w:vAlign w:val="center"/>
                </w:tcPr>
                <w:p w14:paraId="69D30F58">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报告表</w:t>
                  </w:r>
                </w:p>
              </w:tc>
              <w:tc>
                <w:tcPr>
                  <w:tcW w:w="524" w:type="pct"/>
                  <w:tcBorders>
                    <w:tl2br w:val="nil"/>
                    <w:tr2bl w:val="nil"/>
                  </w:tcBorders>
                  <w:noWrap w:val="0"/>
                  <w:vAlign w:val="center"/>
                </w:tcPr>
                <w:p w14:paraId="5FC4773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登记表</w:t>
                  </w:r>
                </w:p>
              </w:tc>
            </w:tr>
            <w:tr w14:paraId="04FA5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shd w:val="clear" w:color="auto" w:fill="BEBEBE" w:themeFill="background1" w:themeFillShade="BF"/>
                  <w:noWrap w:val="0"/>
                  <w:vAlign w:val="center"/>
                </w:tcPr>
                <w:p w14:paraId="06C5F36A">
                  <w:pPr>
                    <w:pStyle w:val="33"/>
                    <w:keepNext w:val="0"/>
                    <w:keepLines w:val="0"/>
                    <w:suppressLineNumbers w:val="0"/>
                    <w:bidi w:val="0"/>
                    <w:spacing w:before="0" w:beforeAutospacing="0" w:after="0" w:afterAutospacing="0"/>
                    <w:ind w:left="0" w:right="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三十三、汽车制造业 36</w:t>
                  </w:r>
                </w:p>
              </w:tc>
            </w:tr>
            <w:tr w14:paraId="2AD14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tcBorders>
                    <w:tl2br w:val="nil"/>
                    <w:tr2bl w:val="nil"/>
                  </w:tcBorders>
                  <w:shd w:val="clear" w:color="auto" w:fill="auto"/>
                  <w:noWrap w:val="0"/>
                  <w:vAlign w:val="center"/>
                </w:tcPr>
                <w:p w14:paraId="6B73F16F">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汽车零部件及配</w:t>
                  </w:r>
                </w:p>
                <w:p w14:paraId="2D4821D7">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件制造 367</w:t>
                  </w:r>
                </w:p>
              </w:tc>
              <w:tc>
                <w:tcPr>
                  <w:tcW w:w="1984" w:type="pct"/>
                  <w:tcBorders>
                    <w:tl2br w:val="nil"/>
                    <w:tr2bl w:val="nil"/>
                  </w:tcBorders>
                  <w:shd w:val="clear" w:color="auto" w:fill="auto"/>
                  <w:noWrap w:val="0"/>
                  <w:vAlign w:val="center"/>
                </w:tcPr>
                <w:p w14:paraId="10EE4363">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汽车整车制造（仅组装的除外）；汽车用发动机制造（仅组装的除外）；有电镀工艺的；年用溶剂型涂料（含稀释剂）10吨及以上的</w:t>
                  </w:r>
                </w:p>
              </w:tc>
              <w:tc>
                <w:tcPr>
                  <w:tcW w:w="1425" w:type="pct"/>
                  <w:tcBorders>
                    <w:tl2br w:val="nil"/>
                    <w:tr2bl w:val="nil"/>
                  </w:tcBorders>
                  <w:shd w:val="clear" w:color="auto" w:fill="BEBEBE" w:themeFill="background1" w:themeFillShade="BF"/>
                  <w:noWrap w:val="0"/>
                  <w:vAlign w:val="center"/>
                </w:tcPr>
                <w:p w14:paraId="767F0CD7">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其他（年用非溶剂型低VOCs含量涂料10吨以下的除外）</w:t>
                  </w:r>
                </w:p>
              </w:tc>
              <w:tc>
                <w:tcPr>
                  <w:tcW w:w="524" w:type="pct"/>
                  <w:tcBorders>
                    <w:tl2br w:val="nil"/>
                    <w:tr2bl w:val="nil"/>
                  </w:tcBorders>
                  <w:noWrap w:val="0"/>
                  <w:vAlign w:val="center"/>
                </w:tcPr>
                <w:p w14:paraId="6AD8C16E">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14:paraId="6A4D3507">
            <w:pPr>
              <w:pStyle w:val="3"/>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p w14:paraId="4586CD0E">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项目基本情况</w:t>
            </w:r>
          </w:p>
          <w:p w14:paraId="3047A409">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（1）项目名称：</w:t>
            </w:r>
            <w:r>
              <w:rPr>
                <w:rFonts w:hint="eastAsia" w:cs="Times New Roman"/>
                <w:bCs/>
                <w:color w:val="000000" w:themeColor="text1"/>
                <w:sz w:val="24"/>
                <w:lang w:eastAsia="zh-CN"/>
                <w14:textFill>
                  <w14:solidFill>
                    <w14:schemeClr w14:val="tx1"/>
                  </w14:solidFill>
                </w14:textFill>
              </w:rPr>
              <w:t>郑州精益达汽车零部件有限公司座椅加工项目</w:t>
            </w:r>
          </w:p>
          <w:p w14:paraId="5822BA2C">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（2）建设单位：</w:t>
            </w:r>
            <w:r>
              <w:rPr>
                <w:rFonts w:hint="eastAsia" w:cs="Times New Roman"/>
                <w:bCs/>
                <w:color w:val="000000" w:themeColor="text1"/>
                <w:sz w:val="24"/>
                <w:lang w:eastAsia="zh-CN"/>
                <w14:textFill>
                  <w14:solidFill>
                    <w14:schemeClr w14:val="tx1"/>
                  </w14:solidFill>
                </w14:textFill>
              </w:rPr>
              <w:t>郑州精益达汽车零部件有限公司</w:t>
            </w:r>
          </w:p>
          <w:p w14:paraId="699AE977">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（3）建设性质：新建</w:t>
            </w:r>
          </w:p>
          <w:p w14:paraId="267B1F40">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14:textFill>
                  <w14:solidFill>
                    <w14:schemeClr w14:val="tx1"/>
                  </w14:solidFill>
                </w14:textFill>
              </w:rPr>
              <w:t>（4）建设地点：</w:t>
            </w:r>
            <w:r>
              <w:rPr>
                <w:rFonts w:hint="eastAsia" w:cs="Times New Roman"/>
                <w:color w:val="000000" w:themeColor="text1"/>
                <w:sz w:val="24"/>
                <w:u w:val="none"/>
                <w:lang w:eastAsia="zh-CN"/>
                <w14:textFill>
                  <w14:solidFill>
                    <w14:schemeClr w14:val="tx1"/>
                  </w14:solidFill>
                </w14:textFill>
              </w:rPr>
              <w:t>福建省福州市闽侯县青口镇东台村，</w:t>
            </w:r>
            <w:r>
              <w:rPr>
                <w:rFonts w:hint="eastAsia" w:cs="Times New Roman"/>
                <w:color w:val="000000" w:themeColor="text1"/>
                <w:sz w:val="24"/>
                <w:lang w:eastAsia="zh-CN"/>
                <w14:textFill>
                  <w14:solidFill>
                    <w14:schemeClr w14:val="tx1"/>
                  </w14:solidFill>
                </w14:textFill>
              </w:rPr>
              <w:t>租赁福州胜金电器企业有限公司1#楼</w:t>
            </w:r>
          </w:p>
          <w:p w14:paraId="35C57D65">
            <w:pPr>
              <w:keepNext w:val="0"/>
              <w:keepLines w:val="0"/>
              <w:suppressLineNumbers w:val="0"/>
              <w:spacing w:before="0" w:beforeAutospacing="0" w:after="0" w:afterAutospacing="0" w:line="360" w:lineRule="auto"/>
              <w:ind w:left="0" w:right="0" w:firstLine="480" w:firstLineChars="200"/>
              <w:jc w:val="left"/>
              <w:rPr>
                <w:rFonts w:hint="default"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14:textFill>
                  <w14:solidFill>
                    <w14:schemeClr w14:val="tx1"/>
                  </w14:solidFill>
                </w14:textFill>
              </w:rPr>
              <w:t>（5）建设规模：租赁</w:t>
            </w:r>
            <w:r>
              <w:rPr>
                <w:rFonts w:hint="eastAsia" w:cs="Times New Roman"/>
                <w:bCs/>
                <w:color w:val="000000" w:themeColor="text1"/>
                <w:sz w:val="24"/>
                <w:lang w:eastAsia="zh-CN"/>
                <w14:textFill>
                  <w14:solidFill>
                    <w14:schemeClr w14:val="tx1"/>
                  </w14:solidFill>
                </w14:textFill>
              </w:rPr>
              <w:t>厂房</w:t>
            </w:r>
            <w:r>
              <w:rPr>
                <w:rFonts w:hint="eastAsia" w:cs="Times New Roman"/>
                <w:bCs/>
                <w:color w:val="000000" w:themeColor="text1"/>
                <w:sz w:val="24"/>
                <w14:textFill>
                  <w14:solidFill>
                    <w14:schemeClr w14:val="tx1"/>
                  </w14:solidFill>
                </w14:textFill>
              </w:rPr>
              <w:t>面积</w:t>
            </w:r>
            <w:r>
              <w:rPr>
                <w:rFonts w:hint="eastAsia" w:cs="Times New Roman"/>
                <w:bCs/>
                <w:color w:val="000000" w:themeColor="text1"/>
                <w:sz w:val="24"/>
                <w:lang w:eastAsia="zh-CN"/>
                <w14:textFill>
                  <w14:solidFill>
                    <w14:schemeClr w14:val="tx1"/>
                  </w14:solidFill>
                </w14:textFill>
              </w:rPr>
              <w:t>12000</w:t>
            </w:r>
            <w:r>
              <w:rPr>
                <w:rFonts w:hint="eastAsia" w:cs="Times New Roman"/>
                <w:bCs/>
                <w:color w:val="000000" w:themeColor="text1"/>
                <w:sz w:val="24"/>
                <w14:textFill>
                  <w14:solidFill>
                    <w14:schemeClr w14:val="tx1"/>
                  </w14:solidFill>
                </w14:textFill>
              </w:rPr>
              <w:t>m</w:t>
            </w:r>
            <w:r>
              <w:rPr>
                <w:rFonts w:hint="eastAsia" w:cs="Times New Roman"/>
                <w:bCs/>
                <w:color w:val="000000" w:themeColor="text1"/>
                <w:sz w:val="24"/>
                <w:vertAlign w:val="superscript"/>
                <w14:textFill>
                  <w14:solidFill>
                    <w14:schemeClr w14:val="tx1"/>
                  </w14:solidFill>
                </w14:textFill>
              </w:rPr>
              <w:t>2</w:t>
            </w:r>
            <w:r>
              <w:rPr>
                <w:rFonts w:hint="eastAsia" w:cs="Times New Roman"/>
                <w:bCs/>
                <w:color w:val="000000" w:themeColor="text1"/>
                <w:sz w:val="24"/>
                <w14:textFill>
                  <w14:solidFill>
                    <w14:schemeClr w14:val="tx1"/>
                  </w14:solidFill>
                </w14:textFill>
              </w:rPr>
              <w:t>，</w:t>
            </w:r>
            <w:r>
              <w:rPr>
                <w:rFonts w:hint="eastAsia" w:cs="Times New Roman"/>
                <w:bCs/>
                <w:color w:val="000000" w:themeColor="text1"/>
                <w:sz w:val="24"/>
                <w:lang w:eastAsia="zh-CN"/>
                <w14:textFill>
                  <w14:solidFill>
                    <w14:schemeClr w14:val="tx1"/>
                  </w14:solidFill>
                </w14:textFill>
              </w:rPr>
              <w:t>年产10万台汽车座椅配套</w:t>
            </w:r>
          </w:p>
          <w:p w14:paraId="5DB039A0">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14:textFill>
                  <w14:solidFill>
                    <w14:schemeClr w14:val="tx1"/>
                  </w14:solidFill>
                </w14:textFill>
              </w:rPr>
              <w:t>（6）总投资</w:t>
            </w:r>
            <w:r>
              <w:rPr>
                <w:rFonts w:hint="eastAsia" w:cs="Times New Roman"/>
                <w:bCs/>
                <w:color w:val="000000" w:themeColor="text1"/>
                <w:sz w:val="24"/>
                <w:highlight w:val="none"/>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1600</w:t>
            </w:r>
            <w:r>
              <w:rPr>
                <w:rFonts w:hint="eastAsia" w:cs="Times New Roman"/>
                <w:bCs/>
                <w:color w:val="000000" w:themeColor="text1"/>
                <w:sz w:val="24"/>
                <w:highlight w:val="none"/>
                <w:lang w:eastAsia="zh-CN"/>
                <w14:textFill>
                  <w14:solidFill>
                    <w14:schemeClr w14:val="tx1"/>
                  </w14:solidFill>
                </w14:textFill>
              </w:rPr>
              <w:t>万元</w:t>
            </w:r>
          </w:p>
          <w:p w14:paraId="755C217F">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（7）劳动定员：</w:t>
            </w:r>
            <w:r>
              <w:rPr>
                <w:rFonts w:hint="eastAsia" w:cs="Times New Roman"/>
                <w:bCs/>
                <w:color w:val="000000" w:themeColor="text1"/>
                <w:sz w:val="24"/>
                <w:lang w:val="en-US" w:eastAsia="zh-CN"/>
                <w14:textFill>
                  <w14:solidFill>
                    <w14:schemeClr w14:val="tx1"/>
                  </w14:solidFill>
                </w14:textFill>
              </w:rPr>
              <w:t>200</w:t>
            </w:r>
            <w:r>
              <w:rPr>
                <w:rFonts w:hint="eastAsia" w:cs="Times New Roman"/>
                <w:bCs/>
                <w:color w:val="000000" w:themeColor="text1"/>
                <w:sz w:val="24"/>
                <w14:textFill>
                  <w14:solidFill>
                    <w14:schemeClr w14:val="tx1"/>
                  </w14:solidFill>
                </w14:textFill>
              </w:rPr>
              <w:t>人，</w:t>
            </w:r>
            <w:r>
              <w:rPr>
                <w:rFonts w:hint="eastAsia" w:cs="Times New Roman"/>
                <w:bCs/>
                <w:color w:val="000000" w:themeColor="text1"/>
                <w:sz w:val="24"/>
                <w:lang w:val="en-US" w:eastAsia="zh-CN"/>
                <w14:textFill>
                  <w14:solidFill>
                    <w14:schemeClr w14:val="tx1"/>
                  </w14:solidFill>
                </w14:textFill>
              </w:rPr>
              <w:t>均不住</w:t>
            </w:r>
            <w:r>
              <w:rPr>
                <w:rFonts w:hint="eastAsia" w:cs="Times New Roman"/>
                <w:bCs/>
                <w:color w:val="000000" w:themeColor="text1"/>
                <w:sz w:val="24"/>
                <w14:textFill>
                  <w14:solidFill>
                    <w14:schemeClr w14:val="tx1"/>
                  </w14:solidFill>
                </w14:textFill>
              </w:rPr>
              <w:t>厂</w:t>
            </w:r>
          </w:p>
          <w:p w14:paraId="4794AE36">
            <w:pPr>
              <w:keepNext w:val="0"/>
              <w:keepLines w:val="0"/>
              <w:suppressLineNumbers w:val="0"/>
              <w:spacing w:before="0" w:beforeAutospacing="0" w:after="0" w:afterAutospacing="0" w:line="360" w:lineRule="auto"/>
              <w:ind w:left="0" w:right="0" w:firstLine="480" w:firstLineChars="200"/>
              <w:jc w:val="left"/>
              <w:rPr>
                <w:rFonts w:hint="eastAsia" w:cs="Times New Roman"/>
                <w:color w:val="000000" w:themeColor="text1"/>
                <w:lang w:val="en-US" w:eastAsia="zh-CN"/>
                <w14:textFill>
                  <w14:solidFill>
                    <w14:schemeClr w14:val="tx1"/>
                  </w14:solidFill>
                </w14:textFill>
              </w:rPr>
            </w:pPr>
            <w:r>
              <w:rPr>
                <w:rFonts w:hint="eastAsia" w:cs="Times New Roman"/>
                <w:bCs/>
                <w:color w:val="000000" w:themeColor="text1"/>
                <w:sz w:val="24"/>
                <w14:textFill>
                  <w14:solidFill>
                    <w14:schemeClr w14:val="tx1"/>
                  </w14:solidFill>
                </w14:textFill>
              </w:rPr>
              <w:t>（8）工作制度：年工作300天，</w:t>
            </w:r>
            <w:r>
              <w:rPr>
                <w:rFonts w:hint="eastAsia" w:cs="Times New Roman"/>
                <w:bCs/>
                <w:color w:val="000000" w:themeColor="text1"/>
                <w:sz w:val="24"/>
                <w:highlight w:val="none"/>
                <w:lang w:val="en-US" w:eastAsia="zh-CN"/>
                <w14:textFill>
                  <w14:solidFill>
                    <w14:schemeClr w14:val="tx1"/>
                  </w14:solidFill>
                </w14:textFill>
              </w:rPr>
              <w:t>2</w:t>
            </w:r>
            <w:r>
              <w:rPr>
                <w:rFonts w:hint="eastAsia" w:cs="Times New Roman"/>
                <w:bCs/>
                <w:color w:val="000000" w:themeColor="text1"/>
                <w:sz w:val="24"/>
                <w:highlight w:val="none"/>
                <w14:textFill>
                  <w14:solidFill>
                    <w14:schemeClr w14:val="tx1"/>
                  </w14:solidFill>
                </w14:textFill>
              </w:rPr>
              <w:t>班制，每班</w:t>
            </w:r>
            <w:r>
              <w:rPr>
                <w:rFonts w:hint="eastAsia" w:cs="Times New Roman"/>
                <w:bCs/>
                <w:color w:val="000000" w:themeColor="text1"/>
                <w:sz w:val="24"/>
                <w:highlight w:val="none"/>
                <w:lang w:val="en-US" w:eastAsia="zh-CN"/>
                <w14:textFill>
                  <w14:solidFill>
                    <w14:schemeClr w14:val="tx1"/>
                  </w14:solidFill>
                </w14:textFill>
              </w:rPr>
              <w:t>8</w:t>
            </w:r>
            <w:r>
              <w:rPr>
                <w:rFonts w:hint="eastAsia" w:cs="Times New Roman"/>
                <w:bCs/>
                <w:color w:val="000000" w:themeColor="text1"/>
                <w:sz w:val="24"/>
                <w:highlight w:val="none"/>
                <w14:textFill>
                  <w14:solidFill>
                    <w14:schemeClr w14:val="tx1"/>
                  </w14:solidFill>
                </w14:textFill>
              </w:rPr>
              <w:t>小时</w:t>
            </w:r>
          </w:p>
          <w:p w14:paraId="78194A0F">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建设内容及规模</w:t>
            </w:r>
          </w:p>
          <w:p w14:paraId="60CFDE7A">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本项目组成及主要建设内容详见表2</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1</w:t>
            </w:r>
            <w:r>
              <w:rPr>
                <w:rFonts w:hint="eastAsia" w:cs="Times New Roman"/>
                <w:bCs/>
                <w:color w:val="000000" w:themeColor="text1"/>
                <w:sz w:val="24"/>
                <w14:textFill>
                  <w14:solidFill>
                    <w14:schemeClr w14:val="tx1"/>
                  </w14:solidFill>
                </w14:textFill>
              </w:rPr>
              <w:t>。</w:t>
            </w:r>
          </w:p>
          <w:p w14:paraId="48355B67">
            <w:pPr>
              <w:pStyle w:val="36"/>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项目工程组成一览表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66"/>
              <w:gridCol w:w="6534"/>
            </w:tblGrid>
            <w:tr w14:paraId="2BFD4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gridSpan w:val="2"/>
                  <w:noWrap w:val="0"/>
                  <w:vAlign w:val="center"/>
                </w:tcPr>
                <w:p w14:paraId="6F8958EF">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项目名称</w:t>
                  </w:r>
                </w:p>
              </w:tc>
              <w:tc>
                <w:tcPr>
                  <w:tcW w:w="3792" w:type="pct"/>
                  <w:noWrap w:val="0"/>
                  <w:vAlign w:val="center"/>
                </w:tcPr>
                <w:p w14:paraId="34B0BB8C">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建设内容及规模</w:t>
                  </w:r>
                </w:p>
              </w:tc>
            </w:tr>
            <w:tr w14:paraId="6881E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noWrap w:val="0"/>
                  <w:vAlign w:val="center"/>
                </w:tcPr>
                <w:p w14:paraId="47425042">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主体工程</w:t>
                  </w:r>
                </w:p>
              </w:tc>
              <w:tc>
                <w:tcPr>
                  <w:tcW w:w="792" w:type="pct"/>
                  <w:noWrap w:val="0"/>
                  <w:vAlign w:val="center"/>
                </w:tcPr>
                <w:p w14:paraId="2E716821">
                  <w:pPr>
                    <w:pStyle w:val="33"/>
                    <w:keepNext w:val="0"/>
                    <w:keepLines w:val="0"/>
                    <w:suppressLineNumbers w:val="0"/>
                    <w:bidi w:val="0"/>
                    <w:spacing w:before="0" w:beforeAutospacing="0" w:after="0" w:afterAutospacing="0"/>
                    <w:ind w:left="0" w:right="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1#楼</w:t>
                  </w:r>
                </w:p>
              </w:tc>
              <w:tc>
                <w:tcPr>
                  <w:tcW w:w="3792" w:type="pct"/>
                  <w:noWrap w:val="0"/>
                  <w:vAlign w:val="center"/>
                </w:tcPr>
                <w:p w14:paraId="040B5B4E">
                  <w:pPr>
                    <w:pStyle w:val="33"/>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1层</w:t>
                  </w:r>
                  <w:r>
                    <w:rPr>
                      <w:rFonts w:hint="eastAsia" w:cs="Times New Roman"/>
                      <w:color w:val="000000" w:themeColor="text1"/>
                      <w:lang w:eastAsia="zh-CN"/>
                      <w14:textFill>
                        <w14:solidFill>
                          <w14:schemeClr w14:val="tx1"/>
                        </w14:solidFill>
                      </w14:textFill>
                    </w:rPr>
                    <w:t>钢结构</w:t>
                  </w:r>
                  <w:r>
                    <w:rPr>
                      <w:rFonts w:hint="eastAsia" w:cs="Times New Roman"/>
                      <w:color w:val="000000" w:themeColor="text1"/>
                      <w14:textFill>
                        <w14:solidFill>
                          <w14:schemeClr w14:val="tx1"/>
                        </w14:solidFill>
                      </w14:textFill>
                    </w:rPr>
                    <w:t>车间，建筑面积</w:t>
                  </w:r>
                  <w:r>
                    <w:rPr>
                      <w:rFonts w:hint="eastAsia" w:cs="Times New Roman"/>
                      <w:color w:val="000000" w:themeColor="text1"/>
                      <w:lang w:eastAsia="zh-CN"/>
                      <w14:textFill>
                        <w14:solidFill>
                          <w14:schemeClr w14:val="tx1"/>
                        </w14:solidFill>
                      </w14:textFill>
                    </w:rPr>
                    <w:t>12000</w:t>
                  </w:r>
                  <w:r>
                    <w:rPr>
                      <w:rFonts w:hint="eastAsia" w:cs="Times New Roman"/>
                      <w:color w:val="000000" w:themeColor="text1"/>
                      <w14:textFill>
                        <w14:solidFill>
                          <w14:schemeClr w14:val="tx1"/>
                        </w14:solidFill>
                      </w14:textFill>
                    </w:rPr>
                    <w:t>m</w:t>
                  </w:r>
                  <w:r>
                    <w:rPr>
                      <w:rFonts w:hint="eastAsia"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，包括原料区、生产区、成品区</w:t>
                  </w:r>
                </w:p>
              </w:tc>
            </w:tr>
            <w:tr w14:paraId="62A98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restart"/>
                  <w:noWrap w:val="0"/>
                  <w:vAlign w:val="center"/>
                </w:tcPr>
                <w:p w14:paraId="6160FA24">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公辅工程</w:t>
                  </w:r>
                </w:p>
              </w:tc>
              <w:tc>
                <w:tcPr>
                  <w:tcW w:w="792" w:type="pct"/>
                  <w:noWrap w:val="0"/>
                  <w:vAlign w:val="center"/>
                </w:tcPr>
                <w:p w14:paraId="6FADB060">
                  <w:pPr>
                    <w:pStyle w:val="33"/>
                    <w:keepNext w:val="0"/>
                    <w:keepLines w:val="0"/>
                    <w:suppressLineNumbers w:val="0"/>
                    <w:bidi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供电</w:t>
                  </w:r>
                  <w:r>
                    <w:rPr>
                      <w:rFonts w:hint="eastAsia" w:cs="Times New Roman"/>
                      <w:color w:val="000000" w:themeColor="text1"/>
                      <w14:textFill>
                        <w14:solidFill>
                          <w14:schemeClr w14:val="tx1"/>
                        </w14:solidFill>
                      </w14:textFill>
                    </w:rPr>
                    <w:t>系统</w:t>
                  </w:r>
                </w:p>
              </w:tc>
              <w:tc>
                <w:tcPr>
                  <w:tcW w:w="3792" w:type="pct"/>
                  <w:noWrap w:val="0"/>
                  <w:vAlign w:val="center"/>
                </w:tcPr>
                <w:p w14:paraId="732039BD">
                  <w:pPr>
                    <w:pStyle w:val="33"/>
                    <w:keepNext w:val="0"/>
                    <w:keepLines w:val="0"/>
                    <w:suppressLineNumbers w:val="0"/>
                    <w:bidi w:val="0"/>
                    <w:spacing w:before="0" w:beforeAutospacing="0" w:after="0" w:afterAutospacing="0"/>
                    <w:ind w:left="0" w:right="0" w:firstLine="0" w:firstLineChars="0"/>
                    <w:jc w:val="left"/>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由市政电网引入</w:t>
                  </w:r>
                </w:p>
              </w:tc>
            </w:tr>
            <w:tr w14:paraId="33D8D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continue"/>
                  <w:noWrap w:val="0"/>
                  <w:vAlign w:val="center"/>
                </w:tcPr>
                <w:p w14:paraId="58E78C0F">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92" w:type="pct"/>
                  <w:noWrap w:val="0"/>
                  <w:vAlign w:val="center"/>
                </w:tcPr>
                <w:p w14:paraId="0DD646A7">
                  <w:pPr>
                    <w:pStyle w:val="33"/>
                    <w:keepNext w:val="0"/>
                    <w:keepLines w:val="0"/>
                    <w:suppressLineNumbers w:val="0"/>
                    <w:bidi w:val="0"/>
                    <w:spacing w:before="0" w:beforeAutospacing="0" w:after="0" w:afterAutospacing="0"/>
                    <w:ind w:left="0" w:right="0" w:firstLine="0" w:firstLineChars="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给水系统</w:t>
                  </w:r>
                </w:p>
              </w:tc>
              <w:tc>
                <w:tcPr>
                  <w:tcW w:w="3792" w:type="pct"/>
                  <w:noWrap w:val="0"/>
                  <w:vAlign w:val="center"/>
                </w:tcPr>
                <w:p w14:paraId="25820ABB">
                  <w:pPr>
                    <w:pStyle w:val="33"/>
                    <w:keepNext w:val="0"/>
                    <w:keepLines w:val="0"/>
                    <w:suppressLineNumbers w:val="0"/>
                    <w:bidi w:val="0"/>
                    <w:spacing w:before="0" w:beforeAutospacing="0" w:after="0" w:afterAutospacing="0"/>
                    <w:ind w:left="0" w:right="0" w:firstLine="0" w:firstLineChars="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市政给水管网供给</w:t>
                  </w:r>
                </w:p>
              </w:tc>
            </w:tr>
            <w:tr w14:paraId="72AE4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14" w:type="pct"/>
                  <w:vMerge w:val="continue"/>
                  <w:noWrap w:val="0"/>
                  <w:vAlign w:val="center"/>
                </w:tcPr>
                <w:p w14:paraId="7C8F8DFA">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92" w:type="pct"/>
                  <w:noWrap w:val="0"/>
                  <w:vAlign w:val="center"/>
                </w:tcPr>
                <w:p w14:paraId="1E869D15">
                  <w:pPr>
                    <w:pStyle w:val="33"/>
                    <w:keepNext w:val="0"/>
                    <w:keepLines w:val="0"/>
                    <w:suppressLineNumbers w:val="0"/>
                    <w:bidi w:val="0"/>
                    <w:spacing w:before="0" w:beforeAutospacing="0" w:after="0" w:afterAutospacing="0"/>
                    <w:ind w:left="0" w:right="0" w:firstLine="0" w:firstLineChars="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排水系统</w:t>
                  </w:r>
                </w:p>
              </w:tc>
              <w:tc>
                <w:tcPr>
                  <w:tcW w:w="3792" w:type="pct"/>
                  <w:noWrap w:val="0"/>
                  <w:vAlign w:val="center"/>
                </w:tcPr>
                <w:p w14:paraId="6EB8919E">
                  <w:pPr>
                    <w:pStyle w:val="33"/>
                    <w:keepNext w:val="0"/>
                    <w:keepLines w:val="0"/>
                    <w:suppressLineNumbers w:val="0"/>
                    <w:bidi w:val="0"/>
                    <w:spacing w:before="0" w:beforeAutospacing="0" w:after="0" w:afterAutospacing="0"/>
                    <w:ind w:left="0" w:right="0" w:firstLine="0" w:firstLineChars="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厂区</w:t>
                  </w:r>
                  <w:r>
                    <w:rPr>
                      <w:rFonts w:hint="eastAsia" w:cs="Times New Roman"/>
                      <w:color w:val="000000" w:themeColor="text1"/>
                      <w14:textFill>
                        <w14:solidFill>
                          <w14:schemeClr w14:val="tx1"/>
                        </w14:solidFill>
                      </w14:textFill>
                    </w:rPr>
                    <w:t>雨污分流</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职工生活</w:t>
                  </w:r>
                  <w:r>
                    <w:rPr>
                      <w:rFonts w:hint="eastAsia" w:cs="Times New Roman"/>
                      <w:color w:val="000000" w:themeColor="text1"/>
                      <w:lang w:val="en-US" w:eastAsia="zh-CN"/>
                      <w14:textFill>
                        <w14:solidFill>
                          <w14:schemeClr w14:val="tx1"/>
                        </w14:solidFill>
                      </w14:textFill>
                    </w:rPr>
                    <w:t>污水依托出租方污水管收集后在通过已建</w:t>
                  </w:r>
                  <w:r>
                    <w:rPr>
                      <w:rFonts w:hint="eastAsia"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通过市政污水管网排入青口汽车工业开发区污水处理厂进一步处理。</w:t>
                  </w:r>
                </w:p>
              </w:tc>
            </w:tr>
            <w:tr w14:paraId="75A46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restart"/>
                  <w:noWrap w:val="0"/>
                  <w:vAlign w:val="center"/>
                </w:tcPr>
                <w:p w14:paraId="07410186">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环保工程</w:t>
                  </w:r>
                </w:p>
              </w:tc>
              <w:tc>
                <w:tcPr>
                  <w:tcW w:w="792" w:type="pct"/>
                  <w:noWrap w:val="0"/>
                  <w:vAlign w:val="center"/>
                </w:tcPr>
                <w:p w14:paraId="32FA6D41">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废水治理</w:t>
                  </w:r>
                </w:p>
              </w:tc>
              <w:tc>
                <w:tcPr>
                  <w:tcW w:w="3792" w:type="pct"/>
                  <w:noWrap w:val="0"/>
                  <w:vAlign w:val="center"/>
                </w:tcPr>
                <w:p w14:paraId="7B1FDA61">
                  <w:pPr>
                    <w:pStyle w:val="33"/>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无生产废水，</w:t>
                  </w:r>
                  <w:r>
                    <w:rPr>
                      <w:rFonts w:hint="eastAsia" w:cs="Times New Roman"/>
                      <w:color w:val="000000" w:themeColor="text1"/>
                      <w14:textFill>
                        <w14:solidFill>
                          <w14:schemeClr w14:val="tx1"/>
                        </w14:solidFill>
                      </w14:textFill>
                    </w:rPr>
                    <w:t>职工生活</w:t>
                  </w:r>
                  <w:r>
                    <w:rPr>
                      <w:rFonts w:hint="eastAsia" w:cs="Times New Roman"/>
                      <w:color w:val="000000" w:themeColor="text1"/>
                      <w:lang w:val="en-US" w:eastAsia="zh-CN"/>
                      <w14:textFill>
                        <w14:solidFill>
                          <w14:schemeClr w14:val="tx1"/>
                        </w14:solidFill>
                      </w14:textFill>
                    </w:rPr>
                    <w:t>污水依托出租方污水管收集后通过已建</w:t>
                  </w:r>
                  <w:r>
                    <w:rPr>
                      <w:rFonts w:hint="eastAsia" w:cs="Times New Roman"/>
                      <w:color w:val="000000" w:themeColor="text1"/>
                      <w14:textFill>
                        <w14:solidFill>
                          <w14:schemeClr w14:val="tx1"/>
                        </w14:solidFill>
                      </w14:textFill>
                    </w:rPr>
                    <w:t>化粪池处理后</w:t>
                  </w:r>
                  <w:r>
                    <w:rPr>
                      <w:rFonts w:hint="eastAsia" w:cs="Times New Roman"/>
                      <w:color w:val="000000" w:themeColor="text1"/>
                      <w:lang w:eastAsia="zh-CN"/>
                      <w14:textFill>
                        <w14:solidFill>
                          <w14:schemeClr w14:val="tx1"/>
                        </w14:solidFill>
                      </w14:textFill>
                    </w:rPr>
                    <w:t>通过市政污水管网排入青口汽车工业开发区污水处理厂进一步处理。</w:t>
                  </w:r>
                </w:p>
              </w:tc>
            </w:tr>
            <w:tr w14:paraId="136C1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4" w:type="pct"/>
                  <w:vMerge w:val="continue"/>
                  <w:noWrap w:val="0"/>
                  <w:vAlign w:val="center"/>
                </w:tcPr>
                <w:p w14:paraId="7CD19B7D">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92" w:type="pct"/>
                  <w:noWrap w:val="0"/>
                  <w:vAlign w:val="center"/>
                </w:tcPr>
                <w:p w14:paraId="61CE2324">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废气治理</w:t>
                  </w:r>
                </w:p>
              </w:tc>
              <w:tc>
                <w:tcPr>
                  <w:tcW w:w="3792" w:type="pct"/>
                  <w:noWrap w:val="0"/>
                  <w:vAlign w:val="center"/>
                </w:tcPr>
                <w:p w14:paraId="6D0B8B5B">
                  <w:pPr>
                    <w:pStyle w:val="33"/>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在线烘烤工序中原料受热逸散的少量非甲烷总烃以无组织形式排放</w:t>
                  </w:r>
                </w:p>
              </w:tc>
            </w:tr>
            <w:tr w14:paraId="425F9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continue"/>
                  <w:noWrap w:val="0"/>
                  <w:vAlign w:val="center"/>
                </w:tcPr>
                <w:p w14:paraId="00F07324">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92" w:type="pct"/>
                  <w:noWrap w:val="0"/>
                  <w:vAlign w:val="center"/>
                </w:tcPr>
                <w:p w14:paraId="621E0A99">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噪声治理</w:t>
                  </w:r>
                </w:p>
              </w:tc>
              <w:tc>
                <w:tcPr>
                  <w:tcW w:w="3792" w:type="pct"/>
                  <w:noWrap w:val="0"/>
                  <w:vAlign w:val="center"/>
                </w:tcPr>
                <w:p w14:paraId="3D0C679B">
                  <w:pPr>
                    <w:pStyle w:val="33"/>
                    <w:keepNext w:val="0"/>
                    <w:keepLines w:val="0"/>
                    <w:suppressLineNumbers w:val="0"/>
                    <w:bidi w:val="0"/>
                    <w:spacing w:before="0" w:beforeAutospacing="0" w:after="0" w:afterAutospacing="0"/>
                    <w:ind w:left="0" w:right="0"/>
                    <w:jc w:val="left"/>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选用低噪声设备，优化车间布局，采取基础减振、厂房隔声等综合降噪措施；加强厂内运输车辆管理</w:t>
                  </w:r>
                </w:p>
              </w:tc>
            </w:tr>
            <w:tr w14:paraId="128CA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continue"/>
                  <w:noWrap w:val="0"/>
                  <w:vAlign w:val="center"/>
                </w:tcPr>
                <w:p w14:paraId="67C406C9">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792" w:type="pct"/>
                  <w:noWrap w:val="0"/>
                  <w:vAlign w:val="center"/>
                </w:tcPr>
                <w:p w14:paraId="3D6291B0">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固体废物</w:t>
                  </w:r>
                </w:p>
              </w:tc>
              <w:tc>
                <w:tcPr>
                  <w:tcW w:w="3792" w:type="pct"/>
                  <w:noWrap w:val="0"/>
                  <w:vAlign w:val="center"/>
                </w:tcPr>
                <w:p w14:paraId="04869838">
                  <w:pPr>
                    <w:pStyle w:val="33"/>
                    <w:keepNext w:val="0"/>
                    <w:keepLines w:val="0"/>
                    <w:suppressLineNumbers w:val="0"/>
                    <w:bidi w:val="0"/>
                    <w:spacing w:before="0" w:beforeAutospacing="0" w:after="0" w:afterAutospacing="0"/>
                    <w:ind w:left="0" w:right="0"/>
                    <w:jc w:val="left"/>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①设</w:t>
                  </w:r>
                  <w:r>
                    <w:rPr>
                      <w:rFonts w:hint="eastAsia" w:cs="Times New Roman"/>
                      <w:color w:val="000000" w:themeColor="text1"/>
                      <w:lang w:eastAsia="zh-CN"/>
                      <w14:textFill>
                        <w14:solidFill>
                          <w14:schemeClr w14:val="tx1"/>
                        </w14:solidFill>
                      </w14:textFill>
                    </w:rPr>
                    <w:t>危废间</w:t>
                  </w:r>
                  <w:r>
                    <w:rPr>
                      <w:rFonts w:hint="eastAsia" w:cs="Times New Roman"/>
                      <w:color w:val="000000" w:themeColor="text1"/>
                      <w14:textFill>
                        <w14:solidFill>
                          <w14:schemeClr w14:val="tx1"/>
                        </w14:solidFill>
                      </w14:textFill>
                    </w:rPr>
                    <w:t>1间，</w:t>
                  </w:r>
                  <w:r>
                    <w:rPr>
                      <w:rFonts w:hint="eastAsia" w:cs="Times New Roman"/>
                      <w:color w:val="000000" w:themeColor="text1"/>
                      <w:lang w:eastAsia="zh-CN"/>
                      <w14:textFill>
                        <w14:solidFill>
                          <w14:schemeClr w14:val="tx1"/>
                        </w14:solidFill>
                      </w14:textFill>
                    </w:rPr>
                    <w:t>位于车间东南角，</w:t>
                  </w:r>
                  <w:r>
                    <w:rPr>
                      <w:rFonts w:hint="eastAsia" w:cs="Times New Roman"/>
                      <w:color w:val="000000" w:themeColor="text1"/>
                      <w:lang w:val="en-US" w:eastAsia="zh-CN"/>
                      <w14:textFill>
                        <w14:solidFill>
                          <w14:schemeClr w14:val="tx1"/>
                        </w14:solidFill>
                      </w14:textFill>
                    </w:rPr>
                    <w:t>面积6m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。危险废物</w:t>
                  </w:r>
                  <w:r>
                    <w:rPr>
                      <w:rFonts w:hint="eastAsia" w:cs="Times New Roman"/>
                      <w:color w:val="000000" w:themeColor="text1"/>
                      <w14:textFill>
                        <w14:solidFill>
                          <w14:schemeClr w14:val="tx1"/>
                        </w14:solidFill>
                      </w14:textFill>
                    </w:rPr>
                    <w:t>集中收集至</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后，委托有资质单位处理处置</w:t>
                  </w:r>
                  <w:r>
                    <w:rPr>
                      <w:rFonts w:hint="eastAsia" w:cs="Times New Roman"/>
                      <w:color w:val="000000" w:themeColor="text1"/>
                      <w:lang w:val="en-US" w:eastAsia="zh-CN"/>
                      <w14:textFill>
                        <w14:solidFill>
                          <w14:schemeClr w14:val="tx1"/>
                        </w14:solidFill>
                      </w14:textFill>
                    </w:rPr>
                    <w:t>；</w:t>
                  </w:r>
                </w:p>
                <w:p w14:paraId="129E2302">
                  <w:pPr>
                    <w:pStyle w:val="33"/>
                    <w:keepNext w:val="0"/>
                    <w:keepLines w:val="0"/>
                    <w:suppressLineNumbers w:val="0"/>
                    <w:bidi w:val="0"/>
                    <w:spacing w:before="0" w:beforeAutospacing="0" w:after="0" w:afterAutospacing="0"/>
                    <w:ind w:left="0" w:right="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②</w:t>
                  </w:r>
                  <w:r>
                    <w:rPr>
                      <w:rFonts w:hint="eastAsia" w:cs="Times New Roman"/>
                      <w:color w:val="000000" w:themeColor="text1"/>
                      <w14:textFill>
                        <w14:solidFill>
                          <w14:schemeClr w14:val="tx1"/>
                        </w14:solidFill>
                      </w14:textFill>
                    </w:rPr>
                    <w:t>设一般固废贮存间1间，</w:t>
                  </w:r>
                  <w:r>
                    <w:rPr>
                      <w:rFonts w:hint="eastAsia" w:cs="Times New Roman"/>
                      <w:color w:val="000000" w:themeColor="text1"/>
                      <w:lang w:eastAsia="zh-CN"/>
                      <w14:textFill>
                        <w14:solidFill>
                          <w14:schemeClr w14:val="tx1"/>
                        </w14:solidFill>
                      </w14:textFill>
                    </w:rPr>
                    <w:t>位于车间东南角，</w:t>
                  </w:r>
                  <w:r>
                    <w:rPr>
                      <w:rFonts w:hint="eastAsia" w:cs="Times New Roman"/>
                      <w:color w:val="000000" w:themeColor="text1"/>
                      <w:lang w:val="en-US" w:eastAsia="zh-CN"/>
                      <w14:textFill>
                        <w14:solidFill>
                          <w14:schemeClr w14:val="tx1"/>
                        </w14:solidFill>
                      </w14:textFill>
                    </w:rPr>
                    <w:t>面积20m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。一般固废</w:t>
                  </w:r>
                  <w:r>
                    <w:rPr>
                      <w:rFonts w:hint="eastAsia" w:cs="Times New Roman"/>
                      <w:color w:val="000000" w:themeColor="text1"/>
                      <w14:textFill>
                        <w14:solidFill>
                          <w14:schemeClr w14:val="tx1"/>
                        </w14:solidFill>
                      </w14:textFill>
                    </w:rPr>
                    <w:t>定期外售综合利用</w:t>
                  </w:r>
                  <w:r>
                    <w:rPr>
                      <w:rFonts w:hint="eastAsia" w:cs="Times New Roman"/>
                      <w:color w:val="000000" w:themeColor="text1"/>
                      <w:lang w:val="en-US" w:eastAsia="zh-CN"/>
                      <w14:textFill>
                        <w14:solidFill>
                          <w14:schemeClr w14:val="tx1"/>
                        </w14:solidFill>
                      </w14:textFill>
                    </w:rPr>
                    <w:t>；</w:t>
                  </w:r>
                </w:p>
                <w:p w14:paraId="71F63EDC">
                  <w:pPr>
                    <w:pStyle w:val="33"/>
                    <w:keepNext w:val="0"/>
                    <w:keepLines w:val="0"/>
                    <w:suppressLineNumbers w:val="0"/>
                    <w:bidi w:val="0"/>
                    <w:spacing w:before="0" w:beforeAutospacing="0" w:after="0" w:afterAutospacing="0"/>
                    <w:ind w:left="0" w:right="0"/>
                    <w:jc w:val="left"/>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w:t>
                  </w:r>
                  <w:r>
                    <w:rPr>
                      <w:rFonts w:hint="eastAsia" w:cs="Times New Roman"/>
                      <w:color w:val="000000" w:themeColor="text1"/>
                      <w14:textFill>
                        <w14:solidFill>
                          <w14:schemeClr w14:val="tx1"/>
                        </w14:solidFill>
                      </w14:textFill>
                    </w:rPr>
                    <w:t>生活垃圾委托环卫部门统一清运处理</w:t>
                  </w:r>
                  <w:r>
                    <w:rPr>
                      <w:rFonts w:hint="eastAsia" w:cs="Times New Roman"/>
                      <w:color w:val="000000" w:themeColor="text1"/>
                      <w:lang w:eastAsia="zh-CN"/>
                      <w14:textFill>
                        <w14:solidFill>
                          <w14:schemeClr w14:val="tx1"/>
                        </w14:solidFill>
                      </w14:textFill>
                    </w:rPr>
                    <w:t>。</w:t>
                  </w:r>
                </w:p>
              </w:tc>
            </w:tr>
          </w:tbl>
          <w:p w14:paraId="5B28D94F">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主要生产设备</w:t>
            </w:r>
          </w:p>
          <w:p w14:paraId="0ECE5D45">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项目主要生产设备详见表</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2-</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w:t>
            </w:r>
          </w:p>
          <w:p w14:paraId="43F9964A">
            <w:pPr>
              <w:pStyle w:val="36"/>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主要生产设备一览表</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00"/>
              <w:gridCol w:w="3044"/>
              <w:gridCol w:w="2644"/>
              <w:gridCol w:w="2125"/>
            </w:tblGrid>
            <w:tr w14:paraId="79625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464" w:type="pct"/>
                  <w:tcBorders>
                    <w:tl2br w:val="nil"/>
                    <w:tr2bl w:val="nil"/>
                  </w:tcBorders>
                  <w:noWrap w:val="0"/>
                  <w:vAlign w:val="center"/>
                </w:tcPr>
                <w:p w14:paraId="6AD6DCB0">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序号</w:t>
                  </w:r>
                </w:p>
              </w:tc>
              <w:tc>
                <w:tcPr>
                  <w:tcW w:w="1766" w:type="pct"/>
                  <w:tcBorders>
                    <w:tl2br w:val="nil"/>
                    <w:tr2bl w:val="nil"/>
                  </w:tcBorders>
                  <w:noWrap w:val="0"/>
                  <w:vAlign w:val="center"/>
                </w:tcPr>
                <w:p w14:paraId="0DB32D66">
                  <w:pPr>
                    <w:pStyle w:val="33"/>
                    <w:keepNext w:val="0"/>
                    <w:keepLines w:val="0"/>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设备名称</w:t>
                  </w:r>
                  <w:r>
                    <w:rPr>
                      <w:rFonts w:hint="eastAsia"/>
                      <w:color w:val="000000" w:themeColor="text1"/>
                      <w:lang w:val="en-US" w:eastAsia="zh-CN"/>
                      <w14:textFill>
                        <w14:solidFill>
                          <w14:schemeClr w14:val="tx1"/>
                        </w14:solidFill>
                      </w14:textFill>
                    </w:rPr>
                    <w:t>(台)</w:t>
                  </w:r>
                </w:p>
              </w:tc>
              <w:tc>
                <w:tcPr>
                  <w:tcW w:w="1534" w:type="pct"/>
                  <w:tcBorders>
                    <w:tl2br w:val="nil"/>
                    <w:tr2bl w:val="nil"/>
                  </w:tcBorders>
                  <w:noWrap w:val="0"/>
                  <w:vAlign w:val="center"/>
                </w:tcPr>
                <w:p w14:paraId="02EF9F7A">
                  <w:pPr>
                    <w:pStyle w:val="33"/>
                    <w:keepNext w:val="0"/>
                    <w:keepLines w:val="0"/>
                    <w:suppressLineNumbers w:val="0"/>
                    <w:bidi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型号/</w:t>
                  </w:r>
                  <w:r>
                    <w:rPr>
                      <w:rFonts w:hint="default"/>
                      <w:color w:val="000000" w:themeColor="text1"/>
                      <w:lang w:val="en-US" w:eastAsia="zh-CN"/>
                      <w14:textFill>
                        <w14:solidFill>
                          <w14:schemeClr w14:val="tx1"/>
                        </w14:solidFill>
                      </w14:textFill>
                    </w:rPr>
                    <w:t>功率</w:t>
                  </w:r>
                </w:p>
              </w:tc>
              <w:tc>
                <w:tcPr>
                  <w:tcW w:w="1233" w:type="pct"/>
                  <w:tcBorders>
                    <w:tl2br w:val="nil"/>
                    <w:tr2bl w:val="nil"/>
                  </w:tcBorders>
                  <w:noWrap w:val="0"/>
                  <w:vAlign w:val="center"/>
                </w:tcPr>
                <w:p w14:paraId="14B12943">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数量</w:t>
                  </w:r>
                </w:p>
              </w:tc>
            </w:tr>
            <w:tr w14:paraId="639E0E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08EEA526">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1766" w:type="pct"/>
                  <w:tcBorders>
                    <w:tl2br w:val="nil"/>
                    <w:tr2bl w:val="nil"/>
                  </w:tcBorders>
                  <w:noWrap w:val="0"/>
                  <w:vAlign w:val="center"/>
                </w:tcPr>
                <w:p w14:paraId="3A39CE0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534" w:type="pct"/>
                  <w:tcBorders>
                    <w:tl2br w:val="nil"/>
                    <w:tr2bl w:val="nil"/>
                  </w:tcBorders>
                  <w:noWrap w:val="0"/>
                  <w:vAlign w:val="center"/>
                </w:tcPr>
                <w:p w14:paraId="2263AEDA">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33" w:type="pct"/>
                  <w:tcBorders>
                    <w:tl2br w:val="nil"/>
                    <w:tr2bl w:val="nil"/>
                  </w:tcBorders>
                  <w:noWrap w:val="0"/>
                  <w:vAlign w:val="center"/>
                </w:tcPr>
                <w:p w14:paraId="4B2D3479">
                  <w:pPr>
                    <w:pStyle w:val="33"/>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p>
              </w:tc>
            </w:tr>
            <w:tr w14:paraId="132DEF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6C975AB8">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1766" w:type="pct"/>
                  <w:tcBorders>
                    <w:tl2br w:val="nil"/>
                    <w:tr2bl w:val="nil"/>
                  </w:tcBorders>
                  <w:noWrap w:val="0"/>
                  <w:vAlign w:val="center"/>
                </w:tcPr>
                <w:p w14:paraId="0CCAF37E">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663D4160">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4D094B93">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117B3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70AA4574">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1766" w:type="pct"/>
                  <w:tcBorders>
                    <w:tl2br w:val="nil"/>
                    <w:tr2bl w:val="nil"/>
                  </w:tcBorders>
                  <w:noWrap w:val="0"/>
                  <w:vAlign w:val="center"/>
                </w:tcPr>
                <w:p w14:paraId="707717E2">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65018D0D">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656DF716">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5D69C1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64" w:type="pct"/>
                  <w:tcBorders>
                    <w:tl2br w:val="nil"/>
                    <w:tr2bl w:val="nil"/>
                  </w:tcBorders>
                  <w:noWrap w:val="0"/>
                  <w:vAlign w:val="center"/>
                </w:tcPr>
                <w:p w14:paraId="4203978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w:t>
                  </w:r>
                </w:p>
              </w:tc>
              <w:tc>
                <w:tcPr>
                  <w:tcW w:w="1766" w:type="pct"/>
                  <w:tcBorders>
                    <w:tl2br w:val="nil"/>
                    <w:tr2bl w:val="nil"/>
                  </w:tcBorders>
                  <w:noWrap w:val="0"/>
                  <w:vAlign w:val="center"/>
                </w:tcPr>
                <w:p w14:paraId="2E2C4EA9">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05AD6D42">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6149C467">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17F004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9" w:hRule="atLeast"/>
                <w:jc w:val="center"/>
              </w:trPr>
              <w:tc>
                <w:tcPr>
                  <w:tcW w:w="464" w:type="pct"/>
                  <w:tcBorders>
                    <w:tl2br w:val="nil"/>
                    <w:tr2bl w:val="nil"/>
                  </w:tcBorders>
                  <w:noWrap w:val="0"/>
                  <w:vAlign w:val="center"/>
                </w:tcPr>
                <w:p w14:paraId="3E117688">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5</w:t>
                  </w:r>
                </w:p>
              </w:tc>
              <w:tc>
                <w:tcPr>
                  <w:tcW w:w="1766" w:type="pct"/>
                  <w:tcBorders>
                    <w:tl2br w:val="nil"/>
                    <w:tr2bl w:val="nil"/>
                  </w:tcBorders>
                  <w:noWrap w:val="0"/>
                  <w:vAlign w:val="center"/>
                </w:tcPr>
                <w:p w14:paraId="18C2ED6E">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1201472D">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31D2AD26">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6A0BA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464" w:type="pct"/>
                  <w:tcBorders>
                    <w:tl2br w:val="nil"/>
                    <w:tr2bl w:val="nil"/>
                  </w:tcBorders>
                  <w:noWrap w:val="0"/>
                  <w:vAlign w:val="center"/>
                </w:tcPr>
                <w:p w14:paraId="1865F42F">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1766" w:type="pct"/>
                  <w:tcBorders>
                    <w:tl2br w:val="nil"/>
                    <w:tr2bl w:val="nil"/>
                  </w:tcBorders>
                  <w:noWrap w:val="0"/>
                  <w:vAlign w:val="center"/>
                </w:tcPr>
                <w:p w14:paraId="0EAC4E74">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78483273">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0530655F">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71555D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464" w:type="pct"/>
                  <w:tcBorders>
                    <w:tl2br w:val="nil"/>
                    <w:tr2bl w:val="nil"/>
                  </w:tcBorders>
                  <w:noWrap w:val="0"/>
                  <w:vAlign w:val="center"/>
                </w:tcPr>
                <w:p w14:paraId="07E6164E">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w:t>
                  </w:r>
                </w:p>
              </w:tc>
              <w:tc>
                <w:tcPr>
                  <w:tcW w:w="1766" w:type="pct"/>
                  <w:tcBorders>
                    <w:tl2br w:val="nil"/>
                    <w:tr2bl w:val="nil"/>
                  </w:tcBorders>
                  <w:noWrap w:val="0"/>
                  <w:vAlign w:val="center"/>
                </w:tcPr>
                <w:p w14:paraId="4C676C65">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0F214BED">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4F4537D0">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3EF88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464" w:type="pct"/>
                  <w:tcBorders>
                    <w:tl2br w:val="nil"/>
                    <w:tr2bl w:val="nil"/>
                  </w:tcBorders>
                  <w:noWrap w:val="0"/>
                  <w:vAlign w:val="center"/>
                </w:tcPr>
                <w:p w14:paraId="0807F41C">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8</w:t>
                  </w:r>
                </w:p>
              </w:tc>
              <w:tc>
                <w:tcPr>
                  <w:tcW w:w="1766" w:type="pct"/>
                  <w:tcBorders>
                    <w:tl2br w:val="nil"/>
                    <w:tr2bl w:val="nil"/>
                  </w:tcBorders>
                  <w:noWrap w:val="0"/>
                  <w:vAlign w:val="center"/>
                </w:tcPr>
                <w:p w14:paraId="539B590E">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3B8CD72E">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3722E6FB">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5A8F85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464" w:type="pct"/>
                  <w:tcBorders>
                    <w:tl2br w:val="nil"/>
                    <w:tr2bl w:val="nil"/>
                  </w:tcBorders>
                  <w:noWrap w:val="0"/>
                  <w:vAlign w:val="center"/>
                </w:tcPr>
                <w:p w14:paraId="08F0B50D">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1766" w:type="pct"/>
                  <w:tcBorders>
                    <w:tl2br w:val="nil"/>
                    <w:tr2bl w:val="nil"/>
                  </w:tcBorders>
                  <w:noWrap w:val="0"/>
                  <w:vAlign w:val="center"/>
                </w:tcPr>
                <w:p w14:paraId="52C3667D">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534" w:type="pct"/>
                  <w:tcBorders>
                    <w:tl2br w:val="nil"/>
                    <w:tr2bl w:val="nil"/>
                  </w:tcBorders>
                  <w:noWrap w:val="0"/>
                  <w:vAlign w:val="center"/>
                </w:tcPr>
                <w:p w14:paraId="07315C1D">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233" w:type="pct"/>
                  <w:tcBorders>
                    <w:tl2br w:val="nil"/>
                    <w:tr2bl w:val="nil"/>
                  </w:tcBorders>
                  <w:noWrap w:val="0"/>
                  <w:vAlign w:val="center"/>
                </w:tcPr>
                <w:p w14:paraId="23289CA0">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r w14:paraId="4A4500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464" w:type="pct"/>
                  <w:tcBorders>
                    <w:tl2br w:val="nil"/>
                    <w:tr2bl w:val="nil"/>
                  </w:tcBorders>
                  <w:noWrap w:val="0"/>
                  <w:vAlign w:val="center"/>
                </w:tcPr>
                <w:p w14:paraId="24653F72">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766" w:type="pct"/>
                  <w:tcBorders>
                    <w:tl2br w:val="nil"/>
                    <w:tr2bl w:val="nil"/>
                  </w:tcBorders>
                  <w:noWrap w:val="0"/>
                  <w:vAlign w:val="center"/>
                </w:tcPr>
                <w:p w14:paraId="4D29FB6C">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1534" w:type="pct"/>
                  <w:tcBorders>
                    <w:tl2br w:val="nil"/>
                    <w:tr2bl w:val="nil"/>
                  </w:tcBorders>
                  <w:noWrap w:val="0"/>
                  <w:vAlign w:val="center"/>
                </w:tcPr>
                <w:p w14:paraId="0715E044">
                  <w:pPr>
                    <w:pStyle w:val="33"/>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p>
              </w:tc>
              <w:tc>
                <w:tcPr>
                  <w:tcW w:w="1233" w:type="pct"/>
                  <w:tcBorders>
                    <w:tl2br w:val="nil"/>
                    <w:tr2bl w:val="nil"/>
                  </w:tcBorders>
                  <w:noWrap w:val="0"/>
                  <w:vAlign w:val="center"/>
                </w:tcPr>
                <w:p w14:paraId="78754AEC">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r>
          </w:tbl>
          <w:p w14:paraId="5DF7930F">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主要产品方案</w:t>
            </w:r>
          </w:p>
          <w:p w14:paraId="141CCFC6">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项目主要产品方案详见表</w:t>
            </w:r>
            <w:r>
              <w:rPr>
                <w:rFonts w:hint="eastAsia" w:cs="Times New Roman"/>
                <w:bCs/>
                <w:color w:val="000000" w:themeColor="text1"/>
                <w:sz w:val="24"/>
                <w:lang w:val="en-US" w:eastAsia="zh-CN"/>
                <w14:textFill>
                  <w14:solidFill>
                    <w14:schemeClr w14:val="tx1"/>
                  </w14:solidFill>
                </w14:textFill>
              </w:rPr>
              <w:t>2.2-3</w:t>
            </w:r>
            <w:r>
              <w:rPr>
                <w:rFonts w:hint="eastAsia" w:cs="Times New Roman"/>
                <w:bCs/>
                <w:color w:val="000000" w:themeColor="text1"/>
                <w:sz w:val="24"/>
                <w14:textFill>
                  <w14:solidFill>
                    <w14:schemeClr w14:val="tx1"/>
                  </w14:solidFill>
                </w14:textFill>
              </w:rPr>
              <w:t>。</w:t>
            </w:r>
          </w:p>
          <w:p w14:paraId="54079A38">
            <w:pPr>
              <w:pStyle w:val="36"/>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项目产品方案一览表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237"/>
              <w:gridCol w:w="2121"/>
              <w:gridCol w:w="3440"/>
            </w:tblGrid>
            <w:tr w14:paraId="40B29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noWrap w:val="0"/>
                  <w:vAlign w:val="center"/>
                </w:tcPr>
                <w:p w14:paraId="41A2F504">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序号</w:t>
                  </w:r>
                </w:p>
              </w:tc>
              <w:tc>
                <w:tcPr>
                  <w:tcW w:w="1298" w:type="pct"/>
                  <w:noWrap w:val="0"/>
                  <w:vAlign w:val="center"/>
                </w:tcPr>
                <w:p w14:paraId="232974A8">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产品名称</w:t>
                  </w:r>
                </w:p>
              </w:tc>
              <w:tc>
                <w:tcPr>
                  <w:tcW w:w="1231" w:type="pct"/>
                  <w:noWrap w:val="0"/>
                  <w:vAlign w:val="center"/>
                </w:tcPr>
                <w:p w14:paraId="793A2E6F">
                  <w:pPr>
                    <w:pStyle w:val="33"/>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产量</w:t>
                  </w:r>
                </w:p>
              </w:tc>
              <w:tc>
                <w:tcPr>
                  <w:tcW w:w="1996" w:type="pct"/>
                  <w:noWrap w:val="0"/>
                  <w:vAlign w:val="center"/>
                </w:tcPr>
                <w:p w14:paraId="0DB284BD">
                  <w:pPr>
                    <w:pStyle w:val="33"/>
                    <w:keepNext w:val="0"/>
                    <w:keepLines w:val="0"/>
                    <w:suppressLineNumbers w:val="0"/>
                    <w:bidi w:val="0"/>
                    <w:spacing w:before="0" w:beforeAutospacing="0" w:after="0" w:afterAutospacing="0"/>
                    <w:ind w:left="0" w:right="0"/>
                    <w:rPr>
                      <w:rFonts w:hint="eastAsia"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备注</w:t>
                  </w:r>
                </w:p>
              </w:tc>
            </w:tr>
            <w:tr w14:paraId="20D25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noWrap w:val="0"/>
                  <w:vAlign w:val="center"/>
                </w:tcPr>
                <w:p w14:paraId="70886331">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c>
                <w:tcPr>
                  <w:tcW w:w="1298" w:type="pct"/>
                  <w:noWrap w:val="0"/>
                  <w:vAlign w:val="center"/>
                </w:tcPr>
                <w:p w14:paraId="68013EDA">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汽车座椅配套</w:t>
                  </w:r>
                </w:p>
              </w:tc>
              <w:tc>
                <w:tcPr>
                  <w:tcW w:w="1231" w:type="pct"/>
                  <w:noWrap w:val="0"/>
                  <w:vAlign w:val="center"/>
                </w:tcPr>
                <w:p w14:paraId="5437DAA0">
                  <w:pPr>
                    <w:pStyle w:val="33"/>
                    <w:keepNext w:val="0"/>
                    <w:keepLines w:val="0"/>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10万套/年</w:t>
                  </w:r>
                </w:p>
              </w:tc>
              <w:tc>
                <w:tcPr>
                  <w:tcW w:w="1996" w:type="pct"/>
                  <w:noWrap w:val="0"/>
                  <w:vAlign w:val="center"/>
                </w:tcPr>
                <w:p w14:paraId="2535EB38">
                  <w:pPr>
                    <w:pStyle w:val="33"/>
                    <w:keepNext w:val="0"/>
                    <w:keepLines w:val="0"/>
                    <w:suppressLineNumbers w:val="0"/>
                    <w:bidi w:val="0"/>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半成品物料均为外购，项目仅在生产车间内进行总装，座椅产能对应10万台汽车/年</w:t>
                  </w:r>
                </w:p>
              </w:tc>
            </w:tr>
          </w:tbl>
          <w:p w14:paraId="2EB54817">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主要原辅材料及能源消耗情况</w:t>
            </w:r>
          </w:p>
          <w:p w14:paraId="4FE580F6">
            <w:pPr>
              <w:keepNext w:val="0"/>
              <w:keepLines w:val="0"/>
              <w:suppressLineNumbers w:val="0"/>
              <w:spacing w:before="0" w:beforeAutospacing="0" w:after="0" w:afterAutospacing="0" w:line="336"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项目主要原辅材料见表</w:t>
            </w:r>
            <w:r>
              <w:rPr>
                <w:rFonts w:hint="eastAsia" w:cs="Times New Roman"/>
                <w:bCs/>
                <w:color w:val="000000" w:themeColor="text1"/>
                <w:sz w:val="24"/>
                <w:lang w:val="en-US" w:eastAsia="zh-CN"/>
                <w14:textFill>
                  <w14:solidFill>
                    <w14:schemeClr w14:val="tx1"/>
                  </w14:solidFill>
                </w14:textFill>
              </w:rPr>
              <w:t>2.2-4</w:t>
            </w:r>
            <w:r>
              <w:rPr>
                <w:rFonts w:hint="eastAsia" w:cs="Times New Roman"/>
                <w:bCs/>
                <w:color w:val="000000" w:themeColor="text1"/>
                <w:sz w:val="24"/>
                <w14:textFill>
                  <w14:solidFill>
                    <w14:schemeClr w14:val="tx1"/>
                  </w14:solidFill>
                </w14:textFill>
              </w:rPr>
              <w:t>，能源消耗情况见表</w:t>
            </w:r>
            <w:r>
              <w:rPr>
                <w:rFonts w:hint="eastAsia" w:cs="Times New Roman"/>
                <w:bCs/>
                <w:color w:val="000000" w:themeColor="text1"/>
                <w:sz w:val="24"/>
                <w:lang w:val="en-US" w:eastAsia="zh-CN"/>
                <w14:textFill>
                  <w14:solidFill>
                    <w14:schemeClr w14:val="tx1"/>
                  </w14:solidFill>
                </w14:textFill>
              </w:rPr>
              <w:t>2.2-5</w:t>
            </w:r>
            <w:r>
              <w:rPr>
                <w:rFonts w:hint="eastAsia" w:cs="Times New Roman"/>
                <w:bCs/>
                <w:color w:val="000000" w:themeColor="text1"/>
                <w:sz w:val="24"/>
                <w14:textFill>
                  <w14:solidFill>
                    <w14:schemeClr w14:val="tx1"/>
                  </w14:solidFill>
                </w14:textFill>
              </w:rPr>
              <w:t>。</w:t>
            </w:r>
          </w:p>
          <w:p w14:paraId="665C3C06">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主要原辅材料一览表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815"/>
              <w:gridCol w:w="2237"/>
              <w:gridCol w:w="1484"/>
              <w:gridCol w:w="1272"/>
              <w:gridCol w:w="2805"/>
            </w:tblGrid>
            <w:tr w14:paraId="476E2CE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44CD871E">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298" w:type="pct"/>
                  <w:tcBorders>
                    <w:tl2br w:val="nil"/>
                    <w:tr2bl w:val="nil"/>
                  </w:tcBorders>
                  <w:noWrap w:val="0"/>
                  <w:vAlign w:val="center"/>
                </w:tcPr>
                <w:p w14:paraId="2423BA6E">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主要原辅材料名称</w:t>
                  </w:r>
                </w:p>
              </w:tc>
              <w:tc>
                <w:tcPr>
                  <w:tcW w:w="861" w:type="pct"/>
                  <w:tcBorders>
                    <w:tl2br w:val="nil"/>
                    <w:tr2bl w:val="nil"/>
                  </w:tcBorders>
                  <w:noWrap w:val="0"/>
                  <w:vAlign w:val="center"/>
                </w:tcPr>
                <w:p w14:paraId="078DC3CB">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用量</w:t>
                  </w:r>
                </w:p>
              </w:tc>
              <w:tc>
                <w:tcPr>
                  <w:tcW w:w="738" w:type="pct"/>
                  <w:tcBorders>
                    <w:tl2br w:val="nil"/>
                    <w:tr2bl w:val="nil"/>
                  </w:tcBorders>
                  <w:noWrap w:val="0"/>
                  <w:vAlign w:val="center"/>
                </w:tcPr>
                <w:p w14:paraId="38BD5A95">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单位</w:t>
                  </w:r>
                </w:p>
              </w:tc>
              <w:tc>
                <w:tcPr>
                  <w:tcW w:w="1628" w:type="pct"/>
                  <w:tcBorders>
                    <w:tl2br w:val="nil"/>
                    <w:tr2bl w:val="nil"/>
                  </w:tcBorders>
                  <w:noWrap w:val="0"/>
                  <w:vAlign w:val="center"/>
                </w:tcPr>
                <w:p w14:paraId="2B42ED02">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备注</w:t>
                  </w:r>
                </w:p>
              </w:tc>
            </w:tr>
            <w:tr w14:paraId="7245188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3B33501C">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298" w:type="pct"/>
                  <w:tcBorders>
                    <w:tl2br w:val="nil"/>
                    <w:tr2bl w:val="nil"/>
                  </w:tcBorders>
                  <w:noWrap w:val="0"/>
                  <w:vAlign w:val="center"/>
                </w:tcPr>
                <w:p w14:paraId="21DB328F">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p>
              </w:tc>
              <w:tc>
                <w:tcPr>
                  <w:tcW w:w="861" w:type="pct"/>
                  <w:tcBorders>
                    <w:tl2br w:val="nil"/>
                    <w:tr2bl w:val="nil"/>
                  </w:tcBorders>
                  <w:noWrap w:val="0"/>
                  <w:vAlign w:val="center"/>
                </w:tcPr>
                <w:p w14:paraId="3DE30B91">
                  <w:pPr>
                    <w:pStyle w:val="33"/>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p>
              </w:tc>
              <w:tc>
                <w:tcPr>
                  <w:tcW w:w="738" w:type="pct"/>
                  <w:tcBorders>
                    <w:tl2br w:val="nil"/>
                    <w:tr2bl w:val="nil"/>
                  </w:tcBorders>
                  <w:noWrap w:val="0"/>
                  <w:vAlign w:val="center"/>
                </w:tcPr>
                <w:p w14:paraId="759A643F">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1628" w:type="pct"/>
                  <w:tcBorders>
                    <w:tl2br w:val="nil"/>
                    <w:tr2bl w:val="nil"/>
                  </w:tcBorders>
                  <w:noWrap w:val="0"/>
                  <w:vAlign w:val="center"/>
                </w:tcPr>
                <w:p w14:paraId="17700318">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395CE2A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392B2351">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298" w:type="pct"/>
                  <w:tcBorders>
                    <w:tl2br w:val="nil"/>
                    <w:tr2bl w:val="nil"/>
                  </w:tcBorders>
                  <w:noWrap w:val="0"/>
                  <w:vAlign w:val="center"/>
                </w:tcPr>
                <w:p w14:paraId="7F55BA2F">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861" w:type="pct"/>
                  <w:tcBorders>
                    <w:tl2br w:val="nil"/>
                    <w:tr2bl w:val="nil"/>
                  </w:tcBorders>
                  <w:noWrap w:val="0"/>
                  <w:vAlign w:val="center"/>
                </w:tcPr>
                <w:p w14:paraId="11F9BC54">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738" w:type="pct"/>
                  <w:tcBorders>
                    <w:tl2br w:val="nil"/>
                    <w:tr2bl w:val="nil"/>
                  </w:tcBorders>
                  <w:noWrap w:val="0"/>
                  <w:vAlign w:val="center"/>
                </w:tcPr>
                <w:p w14:paraId="24E366ED">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628" w:type="pct"/>
                  <w:tcBorders>
                    <w:tl2br w:val="nil"/>
                    <w:tr2bl w:val="nil"/>
                  </w:tcBorders>
                  <w:noWrap w:val="0"/>
                  <w:vAlign w:val="center"/>
                </w:tcPr>
                <w:p w14:paraId="6E58A84C">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355CFD8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5497FE1D">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298" w:type="pct"/>
                  <w:tcBorders>
                    <w:tl2br w:val="nil"/>
                    <w:tr2bl w:val="nil"/>
                  </w:tcBorders>
                  <w:noWrap w:val="0"/>
                  <w:vAlign w:val="center"/>
                </w:tcPr>
                <w:p w14:paraId="2AAD567E">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861" w:type="pct"/>
                  <w:tcBorders>
                    <w:tl2br w:val="nil"/>
                    <w:tr2bl w:val="nil"/>
                  </w:tcBorders>
                  <w:noWrap w:val="0"/>
                  <w:vAlign w:val="center"/>
                </w:tcPr>
                <w:p w14:paraId="2B9CBDA8">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738" w:type="pct"/>
                  <w:tcBorders>
                    <w:tl2br w:val="nil"/>
                    <w:tr2bl w:val="nil"/>
                  </w:tcBorders>
                  <w:noWrap w:val="0"/>
                  <w:vAlign w:val="center"/>
                </w:tcPr>
                <w:p w14:paraId="067EEA2D">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628" w:type="pct"/>
                  <w:tcBorders>
                    <w:tl2br w:val="nil"/>
                    <w:tr2bl w:val="nil"/>
                  </w:tcBorders>
                  <w:noWrap w:val="0"/>
                  <w:vAlign w:val="center"/>
                </w:tcPr>
                <w:p w14:paraId="3EF70E88">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5A12ABB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473" w:type="pct"/>
                  <w:tcBorders>
                    <w:tl2br w:val="nil"/>
                    <w:tr2bl w:val="nil"/>
                  </w:tcBorders>
                  <w:noWrap w:val="0"/>
                  <w:vAlign w:val="center"/>
                </w:tcPr>
                <w:p w14:paraId="6A9358C1">
                  <w:pPr>
                    <w:pStyle w:val="33"/>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298" w:type="pct"/>
                  <w:tcBorders>
                    <w:tl2br w:val="nil"/>
                    <w:tr2bl w:val="nil"/>
                  </w:tcBorders>
                  <w:noWrap w:val="0"/>
                  <w:vAlign w:val="center"/>
                </w:tcPr>
                <w:p w14:paraId="1D4EA5FE">
                  <w:pPr>
                    <w:pStyle w:val="33"/>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p>
              </w:tc>
              <w:tc>
                <w:tcPr>
                  <w:tcW w:w="861" w:type="pct"/>
                  <w:tcBorders>
                    <w:tl2br w:val="nil"/>
                    <w:tr2bl w:val="nil"/>
                  </w:tcBorders>
                  <w:noWrap w:val="0"/>
                  <w:vAlign w:val="center"/>
                </w:tcPr>
                <w:p w14:paraId="5291D430">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738" w:type="pct"/>
                  <w:tcBorders>
                    <w:tl2br w:val="nil"/>
                    <w:tr2bl w:val="nil"/>
                  </w:tcBorders>
                  <w:noWrap w:val="0"/>
                  <w:vAlign w:val="center"/>
                </w:tcPr>
                <w:p w14:paraId="6BE65CB2">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1628" w:type="pct"/>
                  <w:tcBorders>
                    <w:tl2br w:val="nil"/>
                    <w:tr2bl w:val="nil"/>
                  </w:tcBorders>
                  <w:noWrap w:val="0"/>
                  <w:vAlign w:val="center"/>
                </w:tcPr>
                <w:p w14:paraId="01BF1E90">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6E77E73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28" w:hRule="atLeast"/>
                <w:jc w:val="center"/>
              </w:trPr>
              <w:tc>
                <w:tcPr>
                  <w:tcW w:w="473" w:type="pct"/>
                  <w:tcBorders>
                    <w:tl2br w:val="nil"/>
                    <w:tr2bl w:val="nil"/>
                  </w:tcBorders>
                  <w:noWrap w:val="0"/>
                  <w:vAlign w:val="center"/>
                </w:tcPr>
                <w:p w14:paraId="2E14F24E">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298" w:type="pct"/>
                  <w:tcBorders>
                    <w:tl2br w:val="nil"/>
                    <w:tr2bl w:val="nil"/>
                  </w:tcBorders>
                  <w:noWrap w:val="0"/>
                  <w:vAlign w:val="center"/>
                </w:tcPr>
                <w:p w14:paraId="4BA1F01D">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861" w:type="pct"/>
                  <w:tcBorders>
                    <w:tl2br w:val="nil"/>
                    <w:tr2bl w:val="nil"/>
                  </w:tcBorders>
                  <w:noWrap w:val="0"/>
                  <w:vAlign w:val="center"/>
                </w:tcPr>
                <w:p w14:paraId="2E4EEAC2">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38" w:type="pct"/>
                  <w:tcBorders>
                    <w:tl2br w:val="nil"/>
                    <w:tr2bl w:val="nil"/>
                  </w:tcBorders>
                  <w:noWrap w:val="0"/>
                  <w:vAlign w:val="center"/>
                </w:tcPr>
                <w:p w14:paraId="055E2BA0">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1628" w:type="pct"/>
                  <w:tcBorders>
                    <w:tl2br w:val="nil"/>
                    <w:tr2bl w:val="nil"/>
                  </w:tcBorders>
                  <w:noWrap w:val="0"/>
                  <w:vAlign w:val="center"/>
                </w:tcPr>
                <w:p w14:paraId="58D1B11D">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r w14:paraId="290E5CA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3" w:hRule="atLeast"/>
                <w:jc w:val="center"/>
              </w:trPr>
              <w:tc>
                <w:tcPr>
                  <w:tcW w:w="473" w:type="pct"/>
                  <w:tcBorders>
                    <w:tl2br w:val="nil"/>
                    <w:tr2bl w:val="nil"/>
                  </w:tcBorders>
                  <w:noWrap w:val="0"/>
                  <w:vAlign w:val="center"/>
                </w:tcPr>
                <w:p w14:paraId="31DDF4D6">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298" w:type="pct"/>
                  <w:tcBorders>
                    <w:tl2br w:val="nil"/>
                    <w:tr2bl w:val="nil"/>
                  </w:tcBorders>
                  <w:noWrap w:val="0"/>
                  <w:vAlign w:val="center"/>
                </w:tcPr>
                <w:p w14:paraId="4F75A063">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c>
                <w:tcPr>
                  <w:tcW w:w="861" w:type="pct"/>
                  <w:tcBorders>
                    <w:tl2br w:val="nil"/>
                    <w:tr2bl w:val="nil"/>
                  </w:tcBorders>
                  <w:noWrap w:val="0"/>
                  <w:vAlign w:val="center"/>
                </w:tcPr>
                <w:p w14:paraId="5163492F">
                  <w:pPr>
                    <w:pStyle w:val="33"/>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tc>
              <w:tc>
                <w:tcPr>
                  <w:tcW w:w="738" w:type="pct"/>
                  <w:tcBorders>
                    <w:tl2br w:val="nil"/>
                    <w:tr2bl w:val="nil"/>
                  </w:tcBorders>
                  <w:noWrap w:val="0"/>
                  <w:vAlign w:val="center"/>
                </w:tcPr>
                <w:p w14:paraId="77563B84">
                  <w:pPr>
                    <w:pStyle w:val="33"/>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tc>
              <w:tc>
                <w:tcPr>
                  <w:tcW w:w="1628" w:type="pct"/>
                  <w:tcBorders>
                    <w:tl2br w:val="nil"/>
                    <w:tr2bl w:val="nil"/>
                  </w:tcBorders>
                  <w:noWrap w:val="0"/>
                  <w:vAlign w:val="center"/>
                </w:tcPr>
                <w:p w14:paraId="65AF4AA4">
                  <w:pPr>
                    <w:pStyle w:val="33"/>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p>
              </w:tc>
            </w:tr>
          </w:tbl>
          <w:p w14:paraId="23013151">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能源消耗情况一览表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3"/>
              <w:gridCol w:w="2230"/>
              <w:gridCol w:w="1452"/>
              <w:gridCol w:w="1295"/>
              <w:gridCol w:w="2807"/>
            </w:tblGrid>
            <w:tr w14:paraId="75E67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34E8E1F5">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序号</w:t>
                  </w:r>
                </w:p>
              </w:tc>
              <w:tc>
                <w:tcPr>
                  <w:tcW w:w="1295" w:type="pct"/>
                  <w:noWrap w:val="0"/>
                  <w:vAlign w:val="center"/>
                </w:tcPr>
                <w:p w14:paraId="0A220FB3">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名称</w:t>
                  </w:r>
                </w:p>
              </w:tc>
              <w:tc>
                <w:tcPr>
                  <w:tcW w:w="843" w:type="pct"/>
                  <w:noWrap w:val="0"/>
                  <w:vAlign w:val="center"/>
                </w:tcPr>
                <w:p w14:paraId="361ABA85">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用量</w:t>
                  </w:r>
                </w:p>
              </w:tc>
              <w:tc>
                <w:tcPr>
                  <w:tcW w:w="752" w:type="pct"/>
                  <w:noWrap w:val="0"/>
                  <w:vAlign w:val="center"/>
                </w:tcPr>
                <w:p w14:paraId="44E53D05">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单位</w:t>
                  </w:r>
                </w:p>
              </w:tc>
              <w:tc>
                <w:tcPr>
                  <w:tcW w:w="1630" w:type="pct"/>
                  <w:noWrap w:val="0"/>
                  <w:vAlign w:val="center"/>
                </w:tcPr>
                <w:p w14:paraId="4FCA95F9">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备注</w:t>
                  </w:r>
                </w:p>
              </w:tc>
            </w:tr>
            <w:tr w14:paraId="62A06C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49747554">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c>
                <w:tcPr>
                  <w:tcW w:w="1295" w:type="pct"/>
                  <w:noWrap w:val="0"/>
                  <w:vAlign w:val="center"/>
                </w:tcPr>
                <w:p w14:paraId="6460F6B5">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w:t>
                  </w:r>
                </w:p>
              </w:tc>
              <w:tc>
                <w:tcPr>
                  <w:tcW w:w="843" w:type="pct"/>
                  <w:noWrap w:val="0"/>
                  <w:vAlign w:val="center"/>
                </w:tcPr>
                <w:p w14:paraId="25262043">
                  <w:pPr>
                    <w:pStyle w:val="33"/>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300</w:t>
                  </w:r>
                </w:p>
              </w:tc>
              <w:tc>
                <w:tcPr>
                  <w:tcW w:w="752" w:type="pct"/>
                  <w:noWrap w:val="0"/>
                  <w:vAlign w:val="center"/>
                </w:tcPr>
                <w:p w14:paraId="4BE5D399">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t/a</w:t>
                  </w:r>
                </w:p>
              </w:tc>
              <w:tc>
                <w:tcPr>
                  <w:tcW w:w="1630" w:type="pct"/>
                  <w:noWrap w:val="0"/>
                  <w:vAlign w:val="center"/>
                </w:tcPr>
                <w:p w14:paraId="330B43E8">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市政供水管网</w:t>
                  </w:r>
                </w:p>
              </w:tc>
            </w:tr>
            <w:tr w14:paraId="018E2F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8" w:type="pct"/>
                  <w:noWrap w:val="0"/>
                  <w:vAlign w:val="center"/>
                </w:tcPr>
                <w:p w14:paraId="2B4FFBF3">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1295" w:type="pct"/>
                  <w:noWrap w:val="0"/>
                  <w:vAlign w:val="center"/>
                </w:tcPr>
                <w:p w14:paraId="119A70B7">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电</w:t>
                  </w:r>
                </w:p>
              </w:tc>
              <w:tc>
                <w:tcPr>
                  <w:tcW w:w="843" w:type="pct"/>
                  <w:noWrap w:val="0"/>
                  <w:vAlign w:val="center"/>
                </w:tcPr>
                <w:p w14:paraId="056C742F">
                  <w:pPr>
                    <w:pStyle w:val="33"/>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173</w:t>
                  </w:r>
                </w:p>
              </w:tc>
              <w:tc>
                <w:tcPr>
                  <w:tcW w:w="752" w:type="pct"/>
                  <w:noWrap w:val="0"/>
                  <w:vAlign w:val="center"/>
                </w:tcPr>
                <w:p w14:paraId="33F1DE79">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万kW·h/a</w:t>
                  </w:r>
                </w:p>
              </w:tc>
              <w:tc>
                <w:tcPr>
                  <w:tcW w:w="1630" w:type="pct"/>
                  <w:noWrap w:val="0"/>
                  <w:vAlign w:val="center"/>
                </w:tcPr>
                <w:p w14:paraId="11D66E7F">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市政电网</w:t>
                  </w:r>
                </w:p>
              </w:tc>
            </w:tr>
          </w:tbl>
          <w:p w14:paraId="318D0587">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p w14:paraId="35FA1A1E">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 w:val="24"/>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1.</w:t>
            </w:r>
            <w:r>
              <w:rPr>
                <w:rFonts w:hint="eastAsia" w:cs="Times New Roman"/>
                <w:bCs/>
                <w:color w:val="000000" w:themeColor="text1"/>
                <w:sz w:val="24"/>
                <w14:textFill>
                  <w14:solidFill>
                    <w14:schemeClr w14:val="tx1"/>
                  </w14:solidFill>
                </w14:textFill>
              </w:rPr>
              <w:t>供电工程：项目供电电源由市政电网供给。</w:t>
            </w:r>
          </w:p>
          <w:p w14:paraId="030F4F33">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给排水工程</w:t>
            </w:r>
          </w:p>
          <w:p w14:paraId="1D3F1BCC">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（1）供水系统</w:t>
            </w:r>
          </w:p>
          <w:p w14:paraId="790F6446">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项目供水由市政给水管接入，分别引至厂内各用水点。</w:t>
            </w:r>
          </w:p>
          <w:p w14:paraId="30948BD3">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①生产用水</w:t>
            </w:r>
          </w:p>
          <w:p w14:paraId="395684E6">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lang w:eastAsia="zh-CN"/>
                <w14:textFill>
                  <w14:solidFill>
                    <w14:schemeClr w14:val="tx1"/>
                  </w14:solidFill>
                </w14:textFill>
              </w:rPr>
              <w:t>本项目无生产用水</w:t>
            </w:r>
          </w:p>
          <w:p w14:paraId="711F759F">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②职工生活用水</w:t>
            </w:r>
          </w:p>
          <w:p w14:paraId="44573F89">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000000" w:themeColor="text1"/>
                <w:sz w:val="24"/>
                <w14:textFill>
                  <w14:solidFill>
                    <w14:schemeClr w14:val="tx1"/>
                  </w14:solidFill>
                </w14:textFill>
              </w:rPr>
            </w:pPr>
            <w:r>
              <w:rPr>
                <w:rFonts w:hint="default"/>
                <w:color w:val="000000" w:themeColor="text1"/>
                <w:sz w:val="24"/>
                <w:szCs w:val="24"/>
                <w14:textFill>
                  <w14:solidFill>
                    <w14:schemeClr w14:val="tx1"/>
                  </w14:solidFill>
                </w14:textFill>
              </w:rPr>
              <w:t>项目拟定职工人数</w:t>
            </w:r>
            <w:r>
              <w:rPr>
                <w:rFonts w:hint="eastAsia"/>
                <w:color w:val="000000" w:themeColor="text1"/>
                <w:sz w:val="24"/>
                <w:szCs w:val="24"/>
                <w:lang w:val="en-US" w:eastAsia="zh-CN"/>
                <w14:textFill>
                  <w14:solidFill>
                    <w14:schemeClr w14:val="tx1"/>
                  </w14:solidFill>
                </w14:textFill>
              </w:rPr>
              <w:t>200</w:t>
            </w:r>
            <w:r>
              <w:rPr>
                <w:rFonts w:hint="default"/>
                <w:color w:val="000000" w:themeColor="text1"/>
                <w:sz w:val="24"/>
                <w:szCs w:val="24"/>
                <w14:textFill>
                  <w14:solidFill>
                    <w14:schemeClr w14:val="tx1"/>
                  </w14:solidFill>
                </w14:textFill>
              </w:rPr>
              <w:t>人(包括生产人员、管理人员等)，均不住厂内</w:t>
            </w:r>
            <w:r>
              <w:rPr>
                <w:rFonts w:hint="eastAsia" w:ascii="Times New Roman" w:hAnsi="Times New Roman" w:eastAsia="宋体" w:cs="Times New Roman"/>
                <w:bCs/>
                <w:color w:val="000000" w:themeColor="text1"/>
                <w:sz w:val="24"/>
                <w14:textFill>
                  <w14:solidFill>
                    <w14:schemeClr w14:val="tx1"/>
                  </w14:solidFill>
                </w14:textFill>
              </w:rPr>
              <w:t>，根据《建筑给水排水设计</w:t>
            </w:r>
            <w:r>
              <w:rPr>
                <w:rFonts w:hint="eastAsia" w:cs="Times New Roman"/>
                <w:bCs/>
                <w:color w:val="000000" w:themeColor="text1"/>
                <w:sz w:val="24"/>
                <w:lang w:eastAsia="zh-CN"/>
                <w14:textFill>
                  <w14:solidFill>
                    <w14:schemeClr w14:val="tx1"/>
                  </w14:solidFill>
                </w14:textFill>
              </w:rPr>
              <w:t>标准</w:t>
            </w:r>
            <w:r>
              <w:rPr>
                <w:rFonts w:hint="eastAsia" w:ascii="Times New Roman" w:hAnsi="Times New Roman" w:eastAsia="宋体" w:cs="Times New Roman"/>
                <w:bCs/>
                <w:color w:val="000000" w:themeColor="text1"/>
                <w:sz w:val="24"/>
                <w14:textFill>
                  <w14:solidFill>
                    <w14:schemeClr w14:val="tx1"/>
                  </w14:solidFill>
                </w14:textFill>
              </w:rPr>
              <w:t>》（GB50015-20</w:t>
            </w:r>
            <w:r>
              <w:rPr>
                <w:rFonts w:hint="eastAsia" w:ascii="Times New Roman" w:hAnsi="Times New Roman" w:eastAsia="宋体" w:cs="Times New Roman"/>
                <w:bCs/>
                <w:color w:val="000000" w:themeColor="text1"/>
                <w:sz w:val="24"/>
                <w:lang w:val="en-US" w:eastAsia="zh-CN"/>
                <w14:textFill>
                  <w14:solidFill>
                    <w14:schemeClr w14:val="tx1"/>
                  </w14:solidFill>
                </w14:textFill>
              </w:rPr>
              <w:t>19</w:t>
            </w:r>
            <w:r>
              <w:rPr>
                <w:rFonts w:hint="eastAsia" w:ascii="Times New Roman" w:hAnsi="Times New Roman" w:eastAsia="宋体" w:cs="Times New Roman"/>
                <w:bCs/>
                <w:color w:val="000000" w:themeColor="text1"/>
                <w:sz w:val="24"/>
                <w14:textFill>
                  <w14:solidFill>
                    <w14:schemeClr w14:val="tx1"/>
                  </w14:solidFill>
                </w14:textFill>
              </w:rPr>
              <w:t>），不住厂职工生活用水量按50L/人·d计</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则职工生活用水量为</w:t>
            </w:r>
            <w:r>
              <w:rPr>
                <w:rFonts w:hint="eastAsia" w:cs="Times New Roman"/>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Cs/>
                <w:color w:val="000000" w:themeColor="text1"/>
                <w:sz w:val="24"/>
                <w14:textFill>
                  <w14:solidFill>
                    <w14:schemeClr w14:val="tx1"/>
                  </w14:solidFill>
                </w14:textFill>
              </w:rPr>
              <w:t>t/d（</w:t>
            </w:r>
            <w:r>
              <w:rPr>
                <w:rFonts w:hint="eastAsia" w:cs="Times New Roman"/>
                <w:bCs/>
                <w:color w:val="000000" w:themeColor="text1"/>
                <w:sz w:val="24"/>
                <w:lang w:val="en-US" w:eastAsia="zh-CN"/>
                <w14:textFill>
                  <w14:solidFill>
                    <w14:schemeClr w14:val="tx1"/>
                  </w14:solidFill>
                </w14:textFill>
              </w:rPr>
              <w:t>300</w:t>
            </w:r>
            <w:r>
              <w:rPr>
                <w:rFonts w:hint="eastAsia" w:ascii="Times New Roman" w:hAnsi="Times New Roman" w:eastAsia="宋体" w:cs="Times New Roman"/>
                <w:bCs/>
                <w:color w:val="000000" w:themeColor="text1"/>
                <w:sz w:val="24"/>
                <w14:textFill>
                  <w14:solidFill>
                    <w14:schemeClr w14:val="tx1"/>
                  </w14:solidFill>
                </w14:textFill>
              </w:rPr>
              <w:t>0t/a），</w:t>
            </w:r>
            <w:r>
              <w:rPr>
                <w:rFonts w:hint="default"/>
                <w:color w:val="000000" w:themeColor="text1"/>
                <w:sz w:val="24"/>
                <w:szCs w:val="24"/>
                <w14:textFill>
                  <w14:solidFill>
                    <w14:schemeClr w14:val="tx1"/>
                  </w14:solidFill>
                </w14:textFill>
              </w:rPr>
              <w:t>废水排放量正常取用水量的85%</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95%，本评价按90%计算(其余10%蒸发损耗等)</w:t>
            </w:r>
            <w:r>
              <w:rPr>
                <w:rFonts w:hint="eastAsia"/>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则职工生活污水量为</w:t>
            </w:r>
            <w:r>
              <w:rPr>
                <w:rFonts w:hint="eastAsia" w:cs="Times New Roman"/>
                <w:bCs/>
                <w:color w:val="000000" w:themeColor="text1"/>
                <w:sz w:val="24"/>
                <w:lang w:val="en-US" w:eastAsia="zh-CN"/>
                <w14:textFill>
                  <w14:solidFill>
                    <w14:schemeClr w14:val="tx1"/>
                  </w14:solidFill>
                </w14:textFill>
              </w:rPr>
              <w:t>9</w:t>
            </w:r>
            <w:r>
              <w:rPr>
                <w:rFonts w:hint="eastAsia" w:ascii="Times New Roman" w:hAnsi="Times New Roman" w:eastAsia="宋体" w:cs="Times New Roman"/>
                <w:bCs/>
                <w:color w:val="000000" w:themeColor="text1"/>
                <w:sz w:val="24"/>
                <w14:textFill>
                  <w14:solidFill>
                    <w14:schemeClr w14:val="tx1"/>
                  </w14:solidFill>
                </w14:textFill>
              </w:rPr>
              <w:t>t/d（</w:t>
            </w:r>
            <w:r>
              <w:rPr>
                <w:rFonts w:hint="eastAsia" w:cs="Times New Roman"/>
                <w:bCs/>
                <w:color w:val="000000" w:themeColor="text1"/>
                <w:sz w:val="24"/>
                <w:lang w:val="en-US" w:eastAsia="zh-CN"/>
                <w14:textFill>
                  <w14:solidFill>
                    <w14:schemeClr w14:val="tx1"/>
                  </w14:solidFill>
                </w14:textFill>
              </w:rPr>
              <w:t>2700</w:t>
            </w:r>
            <w:r>
              <w:rPr>
                <w:rFonts w:hint="eastAsia" w:ascii="Times New Roman" w:hAnsi="Times New Roman" w:eastAsia="宋体" w:cs="Times New Roman"/>
                <w:bCs/>
                <w:color w:val="000000" w:themeColor="text1"/>
                <w:sz w:val="24"/>
                <w14:textFill>
                  <w14:solidFill>
                    <w14:schemeClr w14:val="tx1"/>
                  </w14:solidFill>
                </w14:textFill>
              </w:rPr>
              <w:t>t/a）。</w:t>
            </w:r>
          </w:p>
          <w:p w14:paraId="4CA60555">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④</w:t>
            </w:r>
            <w:r>
              <w:rPr>
                <w:rFonts w:hint="eastAsia" w:cs="Times New Roman"/>
                <w:bCs/>
                <w:color w:val="000000" w:themeColor="text1"/>
                <w:sz w:val="24"/>
                <w14:textFill>
                  <w14:solidFill>
                    <w14:schemeClr w14:val="tx1"/>
                  </w14:solidFill>
                </w14:textFill>
              </w:rPr>
              <w:t>水平衡</w:t>
            </w:r>
          </w:p>
          <w:p w14:paraId="2EC54CF8">
            <w:pPr>
              <w:keepNext w:val="0"/>
              <w:keepLines w:val="0"/>
              <w:suppressLineNumbers w:val="0"/>
              <w:spacing w:before="0" w:beforeAutospacing="0" w:after="0" w:afterAutospacing="0" w:line="360" w:lineRule="auto"/>
              <w:ind w:left="0" w:right="0" w:firstLine="480" w:firstLineChars="200"/>
              <w:jc w:val="left"/>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Cs/>
                <w:color w:val="000000" w:themeColor="text1"/>
                <w:sz w:val="24"/>
                <w14:textFill>
                  <w14:solidFill>
                    <w14:schemeClr w14:val="tx1"/>
                  </w14:solidFill>
                </w14:textFill>
              </w:rPr>
              <w:t>项目新鲜水用量为</w:t>
            </w:r>
            <w:r>
              <w:rPr>
                <w:rFonts w:hint="eastAsia" w:cs="Times New Roman"/>
                <w:bCs/>
                <w:color w:val="000000" w:themeColor="text1"/>
                <w:sz w:val="24"/>
                <w:lang w:val="en-US" w:eastAsia="zh-CN"/>
                <w14:textFill>
                  <w14:solidFill>
                    <w14:schemeClr w14:val="tx1"/>
                  </w14:solidFill>
                </w14:textFill>
              </w:rPr>
              <w:t>10</w:t>
            </w:r>
            <w:r>
              <w:rPr>
                <w:rFonts w:hint="eastAsia" w:cs="Times New Roman"/>
                <w:bCs/>
                <w:color w:val="000000" w:themeColor="text1"/>
                <w:sz w:val="24"/>
                <w14:textFill>
                  <w14:solidFill>
                    <w14:schemeClr w14:val="tx1"/>
                  </w14:solidFill>
                </w14:textFill>
              </w:rPr>
              <w:t>t/d（</w:t>
            </w:r>
            <w:r>
              <w:rPr>
                <w:rFonts w:hint="eastAsia" w:cs="Times New Roman"/>
                <w:bCs/>
                <w:color w:val="000000" w:themeColor="text1"/>
                <w:sz w:val="24"/>
                <w:lang w:val="en-US" w:eastAsia="zh-CN"/>
                <w14:textFill>
                  <w14:solidFill>
                    <w14:schemeClr w14:val="tx1"/>
                  </w14:solidFill>
                </w14:textFill>
              </w:rPr>
              <w:t>3000</w:t>
            </w:r>
            <w:r>
              <w:rPr>
                <w:rFonts w:hint="eastAsia" w:cs="Times New Roman"/>
                <w:bCs/>
                <w:color w:val="000000" w:themeColor="text1"/>
                <w:sz w:val="24"/>
                <w14:textFill>
                  <w14:solidFill>
                    <w14:schemeClr w14:val="tx1"/>
                  </w14:solidFill>
                </w14:textFill>
              </w:rPr>
              <w:t>t/a），水平衡详见图2</w:t>
            </w:r>
            <w:r>
              <w:rPr>
                <w:rFonts w:hint="eastAsia" w:cs="Times New Roman"/>
                <w:bCs/>
                <w:color w:val="000000" w:themeColor="text1"/>
                <w:sz w:val="24"/>
                <w:lang w:val="en-US" w:eastAsia="zh-CN"/>
                <w14:textFill>
                  <w14:solidFill>
                    <w14:schemeClr w14:val="tx1"/>
                  </w14:solidFill>
                </w14:textFill>
              </w:rPr>
              <w:t>.2</w:t>
            </w:r>
            <w:r>
              <w:rPr>
                <w:rFonts w:hint="eastAsia" w:cs="Times New Roman"/>
                <w:bCs/>
                <w:color w:val="000000" w:themeColor="text1"/>
                <w:sz w:val="24"/>
                <w14:textFill>
                  <w14:solidFill>
                    <w14:schemeClr w14:val="tx1"/>
                  </w14:solidFill>
                </w14:textFill>
              </w:rPr>
              <w:t>-1。</w:t>
            </w:r>
          </w:p>
          <w:p w14:paraId="48F808D7">
            <w:pPr>
              <w:pStyle w:val="38"/>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default"/>
                <w:color w:val="000000" w:themeColor="text1"/>
                <w:sz w:val="24"/>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408305</wp:posOffset>
                      </wp:positionH>
                      <wp:positionV relativeFrom="paragraph">
                        <wp:posOffset>42545</wp:posOffset>
                      </wp:positionV>
                      <wp:extent cx="4546600" cy="651510"/>
                      <wp:effectExtent l="0" t="0" r="0" b="5715"/>
                      <wp:wrapNone/>
                      <wp:docPr id="325" name="组合 325"/>
                      <wp:cNvGraphicFramePr/>
                      <a:graphic xmlns:a="http://schemas.openxmlformats.org/drawingml/2006/main">
                        <a:graphicData uri="http://schemas.microsoft.com/office/word/2010/wordprocessingGroup">
                          <wpg:wgp>
                            <wpg:cNvGrpSpPr/>
                            <wpg:grpSpPr>
                              <a:xfrm>
                                <a:off x="0" y="0"/>
                                <a:ext cx="4546600" cy="651510"/>
                                <a:chOff x="7820" y="266767"/>
                                <a:chExt cx="7160" cy="1026"/>
                              </a:xfrm>
                            </wpg:grpSpPr>
                            <wps:wsp>
                              <wps:cNvPr id="25" name="文本框 53"/>
                              <wps:cNvSpPr txBox="1"/>
                              <wps:spPr>
                                <a:xfrm>
                                  <a:off x="7820" y="267145"/>
                                  <a:ext cx="944" cy="648"/>
                                </a:xfrm>
                                <a:prstGeom prst="rect">
                                  <a:avLst/>
                                </a:prstGeom>
                                <a:noFill/>
                                <a:ln>
                                  <a:noFill/>
                                </a:ln>
                              </wps:spPr>
                              <wps:txbx>
                                <w:txbxContent>
                                  <w:p w14:paraId="55271321">
                                    <w:pPr>
                                      <w:pStyle w:val="39"/>
                                      <w:bidi w:val="0"/>
                                      <w:rPr>
                                        <w:rFonts w:hint="default"/>
                                      </w:rPr>
                                    </w:pPr>
                                    <w:r>
                                      <w:rPr>
                                        <w:rFonts w:hint="default"/>
                                      </w:rPr>
                                      <w:t>新鲜水</w:t>
                                    </w:r>
                                  </w:p>
                                  <w:p w14:paraId="3193544B">
                                    <w:pPr>
                                      <w:pStyle w:val="39"/>
                                      <w:bidi w:val="0"/>
                                      <w:rPr>
                                        <w:rFonts w:hint="default"/>
                                        <w:lang w:val="en-US" w:eastAsia="zh-CN"/>
                                      </w:rPr>
                                    </w:pPr>
                                    <w:r>
                                      <w:rPr>
                                        <w:rFonts w:hint="eastAsia"/>
                                        <w:lang w:val="en-US" w:eastAsia="zh-CN"/>
                                      </w:rPr>
                                      <w:t>3000</w:t>
                                    </w:r>
                                  </w:p>
                                </w:txbxContent>
                              </wps:txbx>
                              <wps:bodyPr lIns="91439" tIns="45719" rIns="91439" bIns="45719" upright="1"/>
                            </wps:wsp>
                            <wps:wsp>
                              <wps:cNvPr id="29" name="文本框 54"/>
                              <wps:cNvSpPr txBox="1"/>
                              <wps:spPr>
                                <a:xfrm>
                                  <a:off x="9355" y="267310"/>
                                  <a:ext cx="1257" cy="440"/>
                                </a:xfrm>
                                <a:prstGeom prst="rect">
                                  <a:avLst/>
                                </a:prstGeom>
                                <a:noFill/>
                                <a:ln w="9525" cap="flat" cmpd="sng">
                                  <a:solidFill>
                                    <a:srgbClr val="000000"/>
                                  </a:solidFill>
                                  <a:prstDash val="solid"/>
                                  <a:miter/>
                                  <a:headEnd type="none" w="med" len="med"/>
                                  <a:tailEnd type="none" w="med" len="med"/>
                                </a:ln>
                              </wps:spPr>
                              <wps:txbx>
                                <w:txbxContent>
                                  <w:p w14:paraId="7B730883">
                                    <w:pPr>
                                      <w:pStyle w:val="39"/>
                                      <w:bidi w:val="0"/>
                                      <w:rPr>
                                        <w:rFonts w:hint="eastAsia"/>
                                      </w:rPr>
                                    </w:pPr>
                                    <w:r>
                                      <w:rPr>
                                        <w:rFonts w:hint="eastAsia"/>
                                      </w:rPr>
                                      <w:t>生活用水</w:t>
                                    </w:r>
                                  </w:p>
                                </w:txbxContent>
                              </wps:txbx>
                              <wps:bodyPr upright="1"/>
                            </wps:wsp>
                            <wps:wsp>
                              <wps:cNvPr id="32" name="直接连接符 55"/>
                              <wps:cNvCnPr/>
                              <wps:spPr>
                                <a:xfrm>
                                  <a:off x="10617" y="267524"/>
                                  <a:ext cx="716" cy="1"/>
                                </a:xfrm>
                                <a:prstGeom prst="line">
                                  <a:avLst/>
                                </a:prstGeom>
                                <a:ln w="9525" cap="flat" cmpd="sng">
                                  <a:solidFill>
                                    <a:srgbClr val="000000"/>
                                  </a:solidFill>
                                  <a:prstDash val="solid"/>
                                  <a:headEnd type="none" w="med" len="med"/>
                                  <a:tailEnd type="triangle" w="med" len="med"/>
                                </a:ln>
                              </wps:spPr>
                              <wps:bodyPr upright="1"/>
                            </wps:wsp>
                            <wps:wsp>
                              <wps:cNvPr id="38" name="任意多边形 75"/>
                              <wps:cNvSpPr/>
                              <wps:spPr>
                                <a:xfrm rot="21360000">
                                  <a:off x="9893" y="266983"/>
                                  <a:ext cx="477" cy="300"/>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headEnd type="none" w="med" len="med"/>
                                  <a:tailEnd type="triangle" w="med" len="med"/>
                                </a:ln>
                              </wps:spPr>
                              <wps:bodyPr upright="1"/>
                            </wps:wsp>
                            <wps:wsp>
                              <wps:cNvPr id="78" name="文本框 78"/>
                              <wps:cNvSpPr txBox="1"/>
                              <wps:spPr>
                                <a:xfrm>
                                  <a:off x="12531" y="267179"/>
                                  <a:ext cx="819" cy="428"/>
                                </a:xfrm>
                                <a:prstGeom prst="rect">
                                  <a:avLst/>
                                </a:prstGeom>
                                <a:noFill/>
                                <a:ln>
                                  <a:noFill/>
                                </a:ln>
                              </wps:spPr>
                              <wps:txbx>
                                <w:txbxContent>
                                  <w:p w14:paraId="67D336FC">
                                    <w:pPr>
                                      <w:pStyle w:val="39"/>
                                      <w:bidi w:val="0"/>
                                      <w:rPr>
                                        <w:rFonts w:hint="default"/>
                                        <w:lang w:val="en-US" w:eastAsia="zh-CN"/>
                                      </w:rPr>
                                    </w:pPr>
                                    <w:r>
                                      <w:rPr>
                                        <w:rFonts w:hint="eastAsia"/>
                                        <w:lang w:val="en-US" w:eastAsia="zh-CN"/>
                                      </w:rPr>
                                      <w:t>2700</w:t>
                                    </w:r>
                                  </w:p>
                                </w:txbxContent>
                              </wps:txbx>
                              <wps:bodyPr upright="1"/>
                            </wps:wsp>
                            <wps:wsp>
                              <wps:cNvPr id="42" name="文本框 83"/>
                              <wps:cNvSpPr txBox="1"/>
                              <wps:spPr>
                                <a:xfrm>
                                  <a:off x="10011" y="266767"/>
                                  <a:ext cx="1538" cy="428"/>
                                </a:xfrm>
                                <a:prstGeom prst="rect">
                                  <a:avLst/>
                                </a:prstGeom>
                                <a:noFill/>
                                <a:ln>
                                  <a:noFill/>
                                </a:ln>
                              </wps:spPr>
                              <wps:txbx>
                                <w:txbxContent>
                                  <w:p w14:paraId="1A4CDB86">
                                    <w:pPr>
                                      <w:pStyle w:val="39"/>
                                      <w:bidi w:val="0"/>
                                      <w:rPr>
                                        <w:rFonts w:hint="default"/>
                                        <w:lang w:val="en-US" w:eastAsia="zh-CN"/>
                                      </w:rPr>
                                    </w:pPr>
                                    <w:r>
                                      <w:rPr>
                                        <w:rFonts w:hint="default"/>
                                        <w:lang w:val="en-US" w:eastAsia="zh-CN"/>
                                      </w:rPr>
                                      <w:t>损耗</w:t>
                                    </w:r>
                                    <w:r>
                                      <w:rPr>
                                        <w:rFonts w:hint="eastAsia"/>
                                        <w:lang w:val="en-US" w:eastAsia="zh-CN"/>
                                      </w:rPr>
                                      <w:t>300</w:t>
                                    </w:r>
                                  </w:p>
                                </w:txbxContent>
                              </wps:txbx>
                              <wps:bodyPr upright="1"/>
                            </wps:wsp>
                            <wps:wsp>
                              <wps:cNvPr id="51" name="直接连接符 85"/>
                              <wps:cNvCnPr/>
                              <wps:spPr>
                                <a:xfrm>
                                  <a:off x="8710" y="267533"/>
                                  <a:ext cx="672" cy="1"/>
                                </a:xfrm>
                                <a:prstGeom prst="line">
                                  <a:avLst/>
                                </a:prstGeom>
                                <a:ln w="9525" cap="flat" cmpd="sng">
                                  <a:solidFill>
                                    <a:srgbClr val="000000"/>
                                  </a:solidFill>
                                  <a:prstDash val="solid"/>
                                  <a:headEnd type="none" w="med" len="med"/>
                                  <a:tailEnd type="triangle" w="med" len="med"/>
                                </a:ln>
                              </wps:spPr>
                              <wps:bodyPr upright="1"/>
                            </wps:wsp>
                            <wps:wsp>
                              <wps:cNvPr id="317" name="直接连接符 222"/>
                              <wps:cNvCnPr/>
                              <wps:spPr>
                                <a:xfrm>
                                  <a:off x="12588" y="267536"/>
                                  <a:ext cx="716" cy="1"/>
                                </a:xfrm>
                                <a:prstGeom prst="line">
                                  <a:avLst/>
                                </a:prstGeom>
                                <a:ln w="9525" cap="flat" cmpd="sng">
                                  <a:solidFill>
                                    <a:srgbClr val="000000"/>
                                  </a:solidFill>
                                  <a:prstDash val="solid"/>
                                  <a:headEnd type="none" w="med" len="med"/>
                                  <a:tailEnd type="triangle" w="med" len="med"/>
                                </a:ln>
                              </wps:spPr>
                              <wps:bodyPr upright="1"/>
                            </wps:wsp>
                            <wps:wsp>
                              <wps:cNvPr id="318" name="文本框 223"/>
                              <wps:cNvSpPr txBox="1"/>
                              <wps:spPr>
                                <a:xfrm>
                                  <a:off x="13354" y="267322"/>
                                  <a:ext cx="1627" cy="428"/>
                                </a:xfrm>
                                <a:prstGeom prst="rect">
                                  <a:avLst/>
                                </a:prstGeom>
                                <a:noFill/>
                                <a:ln>
                                  <a:noFill/>
                                </a:ln>
                              </wps:spPr>
                              <wps:txbx>
                                <w:txbxContent>
                                  <w:p w14:paraId="192BA9C3">
                                    <w:pPr>
                                      <w:pStyle w:val="39"/>
                                      <w:bidi w:val="0"/>
                                      <w:rPr>
                                        <w:rFonts w:hint="default"/>
                                        <w:lang w:val="en-US" w:eastAsia="zh-CN"/>
                                      </w:rPr>
                                    </w:pPr>
                                    <w:r>
                                      <w:rPr>
                                        <w:rFonts w:hint="eastAsia"/>
                                        <w:lang w:val="en-US" w:eastAsia="zh-CN"/>
                                      </w:rPr>
                                      <w:t>市政污水管网</w:t>
                                    </w:r>
                                  </w:p>
                                </w:txbxContent>
                              </wps:txbx>
                              <wps:bodyPr upright="1"/>
                            </wps:wsp>
                            <wps:wsp>
                              <wps:cNvPr id="323" name="文本框 54"/>
                              <wps:cNvSpPr txBox="1"/>
                              <wps:spPr>
                                <a:xfrm>
                                  <a:off x="11330" y="267329"/>
                                  <a:ext cx="1257" cy="440"/>
                                </a:xfrm>
                                <a:prstGeom prst="rect">
                                  <a:avLst/>
                                </a:prstGeom>
                                <a:noFill/>
                                <a:ln w="9525" cap="flat" cmpd="sng">
                                  <a:solidFill>
                                    <a:srgbClr val="000000"/>
                                  </a:solidFill>
                                  <a:prstDash val="solid"/>
                                  <a:miter/>
                                  <a:headEnd type="none" w="med" len="med"/>
                                  <a:tailEnd type="none" w="med" len="med"/>
                                </a:ln>
                              </wps:spPr>
                              <wps:txbx>
                                <w:txbxContent>
                                  <w:p w14:paraId="3FAEFF66">
                                    <w:pPr>
                                      <w:pStyle w:val="39"/>
                                      <w:bidi w:val="0"/>
                                      <w:rPr>
                                        <w:rFonts w:hint="eastAsia" w:eastAsia="宋体"/>
                                        <w:lang w:eastAsia="zh-CN"/>
                                      </w:rPr>
                                    </w:pPr>
                                    <w:r>
                                      <w:rPr>
                                        <w:rFonts w:hint="eastAsia"/>
                                        <w:lang w:eastAsia="zh-CN"/>
                                      </w:rPr>
                                      <w:t>化粪池</w:t>
                                    </w:r>
                                  </w:p>
                                </w:txbxContent>
                              </wps:txbx>
                              <wps:bodyPr upright="1"/>
                            </wps:wsp>
                            <wps:wsp>
                              <wps:cNvPr id="324" name="文本框 324"/>
                              <wps:cNvSpPr txBox="1"/>
                              <wps:spPr>
                                <a:xfrm>
                                  <a:off x="10512" y="267177"/>
                                  <a:ext cx="819" cy="428"/>
                                </a:xfrm>
                                <a:prstGeom prst="rect">
                                  <a:avLst/>
                                </a:prstGeom>
                                <a:noFill/>
                                <a:ln>
                                  <a:noFill/>
                                </a:ln>
                              </wps:spPr>
                              <wps:txbx>
                                <w:txbxContent>
                                  <w:p w14:paraId="56A99912">
                                    <w:pPr>
                                      <w:pStyle w:val="39"/>
                                      <w:bidi w:val="0"/>
                                      <w:rPr>
                                        <w:rFonts w:hint="default"/>
                                        <w:lang w:val="en-US" w:eastAsia="zh-CN"/>
                                      </w:rPr>
                                    </w:pPr>
                                    <w:r>
                                      <w:rPr>
                                        <w:rFonts w:hint="eastAsia"/>
                                        <w:lang w:val="en-US" w:eastAsia="zh-CN"/>
                                      </w:rPr>
                                      <w:t>2700</w:t>
                                    </w:r>
                                  </w:p>
                                </w:txbxContent>
                              </wps:txbx>
                              <wps:bodyPr upright="1"/>
                            </wps:wsp>
                          </wpg:wgp>
                        </a:graphicData>
                      </a:graphic>
                    </wp:anchor>
                  </w:drawing>
                </mc:Choice>
                <mc:Fallback>
                  <w:pict>
                    <v:group id="_x0000_s1026" o:spid="_x0000_s1026" o:spt="203" style="position:absolute;left:0pt;margin-left:32.15pt;margin-top:3.35pt;height:51.3pt;width:358pt;z-index:251661312;mso-width-relative:page;mso-height-relative:page;" coordorigin="7820,266767" coordsize="7160,1026" o:gfxdata="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BK4D0Q2AAAAAgBAAAPAAAAAAAAAAEAIAAAACIAAABkcnMvZG93&#10;bnJldi54bWxQSwECFAAUAAAACACHTuJAWpPiGh4FAADtGAAADgAAAAAAAAABACAAAAAnAQAAZHJz&#10;L2Uyb0RvYy54bWxQSwUGAAAAAAYABgBZAQAAtwgAAAAA&#10;">
                      <o:lock v:ext="edit" aspectratio="f"/>
                      <v:shape id="文本框 53" o:spid="_x0000_s1026" o:spt="202" type="#_x0000_t202" style="position:absolute;left:7820;top:267145;height:648;width:944;" filled="f" stroked="f" coordsize="21600,21600" o:gfxdata="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YlHe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14:paraId="55271321">
                              <w:pPr>
                                <w:pStyle w:val="39"/>
                                <w:bidi w:val="0"/>
                                <w:rPr>
                                  <w:rFonts w:hint="default"/>
                                </w:rPr>
                              </w:pPr>
                              <w:r>
                                <w:rPr>
                                  <w:rFonts w:hint="default"/>
                                </w:rPr>
                                <w:t>新鲜水</w:t>
                              </w:r>
                            </w:p>
                            <w:p w14:paraId="3193544B">
                              <w:pPr>
                                <w:pStyle w:val="39"/>
                                <w:bidi w:val="0"/>
                                <w:rPr>
                                  <w:rFonts w:hint="default"/>
                                  <w:lang w:val="en-US" w:eastAsia="zh-CN"/>
                                </w:rPr>
                              </w:pPr>
                              <w:r>
                                <w:rPr>
                                  <w:rFonts w:hint="eastAsia"/>
                                  <w:lang w:val="en-US" w:eastAsia="zh-CN"/>
                                </w:rPr>
                                <w:t>3000</w:t>
                              </w:r>
                            </w:p>
                          </w:txbxContent>
                        </v:textbox>
                      </v:shape>
                      <v:shape id="文本框 54" o:spid="_x0000_s1026" o:spt="202" type="#_x0000_t202" style="position:absolute;left:9355;top:267310;height:440;width:1257;" filled="f" stroked="t" coordsize="21600,21600" o:gfxdata="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XOF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B730883">
                              <w:pPr>
                                <w:pStyle w:val="39"/>
                                <w:bidi w:val="0"/>
                                <w:rPr>
                                  <w:rFonts w:hint="eastAsia"/>
                                </w:rPr>
                              </w:pPr>
                              <w:r>
                                <w:rPr>
                                  <w:rFonts w:hint="eastAsia"/>
                                </w:rPr>
                                <w:t>生活用水</w:t>
                              </w:r>
                            </w:p>
                          </w:txbxContent>
                        </v:textbox>
                      </v:shape>
                      <v:line id="直接连接符 55" o:spid="_x0000_s1026" o:spt="20" style="position:absolute;left:10617;top:267524;height:1;width:716;"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任意多边形 75" o:spid="_x0000_s1026" o:spt="100" style="position:absolute;left:9893;top:266983;height:300;width:477;rotation:-262144f;" filled="f" stroked="t" coordsize="690,230" o:gfxdata="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REQTLUAAADbAAAADwAA&#10;AAAAAAABACAAAAAiAAAAZHJzL2Rvd25yZXYueG1sUEsBAhQAFAAAAAgAh07iQDMvBZ47AAAAOQAA&#10;ABAAAAAAAAAAAQAgAAAABAEAAGRycy9zaGFwZXhtbC54bWxQSwUGAAAAAAYABgBbAQAArgMAAAAA&#10;" path="m0,230c180,202,360,175,390,140c420,105,130,40,180,20c230,0,460,10,690,20e">
                        <v:fill on="f" focussize="0,0"/>
                        <v:stroke color="#000000" joinstyle="round" dashstyle="dash" endarrow="block"/>
                        <v:imagedata o:title=""/>
                        <o:lock v:ext="edit" aspectratio="f"/>
                      </v:shape>
                      <v:shape id="_x0000_s1026" o:spid="_x0000_s1026" o:spt="202" type="#_x0000_t202" style="position:absolute;left:12531;top:267179;height:428;width:819;"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7D336FC">
                              <w:pPr>
                                <w:pStyle w:val="39"/>
                                <w:bidi w:val="0"/>
                                <w:rPr>
                                  <w:rFonts w:hint="default"/>
                                  <w:lang w:val="en-US" w:eastAsia="zh-CN"/>
                                </w:rPr>
                              </w:pPr>
                              <w:r>
                                <w:rPr>
                                  <w:rFonts w:hint="eastAsia"/>
                                  <w:lang w:val="en-US" w:eastAsia="zh-CN"/>
                                </w:rPr>
                                <w:t>2700</w:t>
                              </w:r>
                            </w:p>
                          </w:txbxContent>
                        </v:textbox>
                      </v:shape>
                      <v:shape id="文本框 83" o:spid="_x0000_s1026" o:spt="202" type="#_x0000_t202" style="position:absolute;left:10011;top:266767;height:428;width:1538;"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A4CDB86">
                              <w:pPr>
                                <w:pStyle w:val="39"/>
                                <w:bidi w:val="0"/>
                                <w:rPr>
                                  <w:rFonts w:hint="default"/>
                                  <w:lang w:val="en-US" w:eastAsia="zh-CN"/>
                                </w:rPr>
                              </w:pPr>
                              <w:r>
                                <w:rPr>
                                  <w:rFonts w:hint="default"/>
                                  <w:lang w:val="en-US" w:eastAsia="zh-CN"/>
                                </w:rPr>
                                <w:t>损耗</w:t>
                              </w:r>
                              <w:r>
                                <w:rPr>
                                  <w:rFonts w:hint="eastAsia"/>
                                  <w:lang w:val="en-US" w:eastAsia="zh-CN"/>
                                </w:rPr>
                                <w:t>300</w:t>
                              </w:r>
                            </w:p>
                          </w:txbxContent>
                        </v:textbox>
                      </v:shape>
                      <v:line id="直接连接符 85" o:spid="_x0000_s1026" o:spt="20" style="position:absolute;left:8710;top:267533;height:1;width:672;"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22" o:spid="_x0000_s1026" o:spt="20" style="position:absolute;left:12588;top:267536;height:1;width:716;" filled="f" stroked="t" coordsize="21600,21600" o:gfxdata="UEsDBAoAAAAAAIdO4kAAAAAAAAAAAAAAAAAEAAAAZHJzL1BLAwQUAAAACACHTuJAQUme/sAAAADc&#10;AAAADwAAAGRycy9kb3ducmV2LnhtbEWPT2vCQBTE74LfYXmCN91EoQ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23" o:spid="_x0000_s1026" o:spt="202" type="#_x0000_t202" style="position:absolute;left:13354;top:267322;height:428;width:1627;" filled="f" stroked="f" coordsize="21600,21600" o:gfxdata="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sV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92BA9C3">
                              <w:pPr>
                                <w:pStyle w:val="39"/>
                                <w:bidi w:val="0"/>
                                <w:rPr>
                                  <w:rFonts w:hint="default"/>
                                  <w:lang w:val="en-US" w:eastAsia="zh-CN"/>
                                </w:rPr>
                              </w:pPr>
                              <w:r>
                                <w:rPr>
                                  <w:rFonts w:hint="eastAsia"/>
                                  <w:lang w:val="en-US" w:eastAsia="zh-CN"/>
                                </w:rPr>
                                <w:t>市政污水管网</w:t>
                              </w:r>
                            </w:p>
                          </w:txbxContent>
                        </v:textbox>
                      </v:shape>
                      <v:shape id="文本框 54" o:spid="_x0000_s1026" o:spt="202" type="#_x0000_t202" style="position:absolute;left:11330;top:267329;height:440;width:1257;" filled="f" stroked="t" coordsize="21600,21600" o:gfxdata="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9zV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FAEFF66">
                              <w:pPr>
                                <w:pStyle w:val="39"/>
                                <w:bidi w:val="0"/>
                                <w:rPr>
                                  <w:rFonts w:hint="eastAsia" w:eastAsia="宋体"/>
                                  <w:lang w:eastAsia="zh-CN"/>
                                </w:rPr>
                              </w:pPr>
                              <w:r>
                                <w:rPr>
                                  <w:rFonts w:hint="eastAsia"/>
                                  <w:lang w:eastAsia="zh-CN"/>
                                </w:rPr>
                                <w:t>化粪池</w:t>
                              </w:r>
                            </w:p>
                          </w:txbxContent>
                        </v:textbox>
                      </v:shape>
                      <v:shape id="_x0000_s1026" o:spid="_x0000_s1026" o:spt="202" type="#_x0000_t202" style="position:absolute;left:10512;top:267177;height:428;width:819;" filled="f" stroked="f" coordsize="21600,21600" o:gfxdata="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s7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6A99912">
                              <w:pPr>
                                <w:pStyle w:val="39"/>
                                <w:bidi w:val="0"/>
                                <w:rPr>
                                  <w:rFonts w:hint="default"/>
                                  <w:lang w:val="en-US" w:eastAsia="zh-CN"/>
                                </w:rPr>
                              </w:pPr>
                              <w:r>
                                <w:rPr>
                                  <w:rFonts w:hint="eastAsia"/>
                                  <w:lang w:val="en-US" w:eastAsia="zh-CN"/>
                                </w:rPr>
                                <w:t>2700</w:t>
                              </w:r>
                            </w:p>
                          </w:txbxContent>
                        </v:textbox>
                      </v:shape>
                    </v:group>
                  </w:pict>
                </mc:Fallback>
              </mc:AlternateContent>
            </w:r>
          </w:p>
          <w:p w14:paraId="3CC78393">
            <w:pPr>
              <w:pStyle w:val="36"/>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0CB379D9">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65823D3A">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p>
          <w:p w14:paraId="440BD745">
            <w:pPr>
              <w:pStyle w:val="36"/>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p>
          <w:p w14:paraId="75E34DF0">
            <w:pPr>
              <w:pStyle w:val="36"/>
              <w:keepNext w:val="0"/>
              <w:keepLines w:val="0"/>
              <w:numPr>
                <w:ilvl w:val="0"/>
                <w:numId w:val="0"/>
              </w:numPr>
              <w:suppressLineNumbers w:val="0"/>
              <w:bidi w:val="0"/>
              <w:spacing w:before="0" w:beforeAutospacing="0" w:after="0" w:afterAutospacing="0"/>
              <w:ind w:left="0" w:leftChars="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图2</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14:textFill>
                  <w14:solidFill>
                    <w14:schemeClr w14:val="tx1"/>
                  </w14:solidFill>
                </w14:textFill>
              </w:rPr>
              <w:t>-1水平衡图（单位：t/d）</w:t>
            </w:r>
          </w:p>
          <w:p w14:paraId="269E32BD">
            <w:pPr>
              <w:keepNext w:val="0"/>
              <w:keepLines w:val="0"/>
              <w:suppressLineNumbers w:val="0"/>
              <w:spacing w:before="0" w:beforeAutospacing="0" w:after="0" w:afterAutospacing="0"/>
              <w:ind w:left="0" w:right="0"/>
              <w:rPr>
                <w:rFonts w:hint="eastAsia" w:cs="Times New Roman"/>
                <w:color w:val="000000" w:themeColor="text1"/>
                <w:highlight w:val="none"/>
                <w14:textFill>
                  <w14:solidFill>
                    <w14:schemeClr w14:val="tx1"/>
                  </w14:solidFill>
                </w14:textFill>
              </w:rPr>
            </w:pPr>
          </w:p>
          <w:p w14:paraId="6A561D4D">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（2）排水系统</w:t>
            </w:r>
          </w:p>
          <w:p w14:paraId="5FCDDAFA">
            <w:pPr>
              <w:keepNext w:val="0"/>
              <w:keepLines w:val="0"/>
              <w:suppressLineNumbers w:val="0"/>
              <w:spacing w:before="0" w:beforeAutospacing="0" w:after="0" w:afterAutospacing="0" w:line="360" w:lineRule="auto"/>
              <w:ind w:left="0" w:right="0" w:firstLine="480" w:firstLineChars="200"/>
              <w:jc w:val="left"/>
              <w:rPr>
                <w:rFonts w:hint="default" w:cs="Times New Roman"/>
                <w:bCs/>
                <w:color w:val="000000" w:themeColor="text1"/>
                <w:sz w:val="24"/>
                <w14:textFill>
                  <w14:solidFill>
                    <w14:schemeClr w14:val="tx1"/>
                  </w14:solidFill>
                </w14:textFill>
              </w:rPr>
            </w:pPr>
            <w:r>
              <w:rPr>
                <w:rFonts w:hint="eastAsia" w:cs="Times New Roman"/>
                <w:bCs/>
                <w:color w:val="000000" w:themeColor="text1"/>
                <w:sz w:val="24"/>
                <w14:textFill>
                  <w14:solidFill>
                    <w14:schemeClr w14:val="tx1"/>
                  </w14:solidFill>
                </w14:textFill>
              </w:rPr>
              <w:t>项目</w:t>
            </w:r>
            <w:r>
              <w:rPr>
                <w:rFonts w:hint="eastAsia" w:cs="Times New Roman"/>
                <w:bCs/>
                <w:color w:val="000000" w:themeColor="text1"/>
                <w:sz w:val="24"/>
                <w:lang w:eastAsia="zh-CN"/>
                <w14:textFill>
                  <w14:solidFill>
                    <w14:schemeClr w14:val="tx1"/>
                  </w14:solidFill>
                </w14:textFill>
              </w:rPr>
              <w:t>厂区</w:t>
            </w:r>
            <w:r>
              <w:rPr>
                <w:rFonts w:hint="eastAsia" w:cs="Times New Roman"/>
                <w:bCs/>
                <w:color w:val="000000" w:themeColor="text1"/>
                <w:sz w:val="24"/>
                <w14:textFill>
                  <w14:solidFill>
                    <w14:schemeClr w14:val="tx1"/>
                  </w14:solidFill>
                </w14:textFill>
              </w:rPr>
              <w:t>排水采用雨污分流制。</w:t>
            </w:r>
            <w:r>
              <w:rPr>
                <w:rFonts w:hint="eastAsia" w:cs="Times New Roman"/>
                <w:bCs/>
                <w:color w:val="000000" w:themeColor="text1"/>
                <w:sz w:val="24"/>
                <w:lang w:eastAsia="zh-CN"/>
                <w14:textFill>
                  <w14:solidFill>
                    <w14:schemeClr w14:val="tx1"/>
                  </w14:solidFill>
                </w14:textFill>
              </w:rPr>
              <w:t>无生产废水产生</w:t>
            </w:r>
            <w:r>
              <w:rPr>
                <w:rFonts w:hint="eastAsia" w:cs="Times New Roman"/>
                <w:bCs/>
                <w:color w:val="000000" w:themeColor="text1"/>
                <w:sz w:val="24"/>
                <w14:textFill>
                  <w14:solidFill>
                    <w14:schemeClr w14:val="tx1"/>
                  </w14:solidFill>
                </w14:textFill>
              </w:rPr>
              <w:t>；职工生活</w:t>
            </w:r>
            <w:r>
              <w:rPr>
                <w:rFonts w:hint="eastAsia" w:cs="Times New Roman"/>
                <w:bCs/>
                <w:color w:val="000000" w:themeColor="text1"/>
                <w:sz w:val="24"/>
                <w:lang w:val="en-US" w:eastAsia="zh-CN"/>
                <w14:textFill>
                  <w14:solidFill>
                    <w14:schemeClr w14:val="tx1"/>
                  </w14:solidFill>
                </w14:textFill>
              </w:rPr>
              <w:t>污水</w:t>
            </w:r>
            <w:r>
              <w:rPr>
                <w:rFonts w:hint="eastAsia" w:cs="Times New Roman"/>
                <w:bCs/>
                <w:color w:val="000000" w:themeColor="text1"/>
                <w:sz w:val="24"/>
                <w14:textFill>
                  <w14:solidFill>
                    <w14:schemeClr w14:val="tx1"/>
                  </w14:solidFill>
                </w14:textFill>
              </w:rPr>
              <w:t>经</w:t>
            </w:r>
            <w:r>
              <w:rPr>
                <w:rFonts w:hint="eastAsia" w:cs="Times New Roman"/>
                <w:bCs/>
                <w:color w:val="000000" w:themeColor="text1"/>
                <w:sz w:val="24"/>
                <w:lang w:val="en-US" w:eastAsia="zh-CN"/>
                <w14:textFill>
                  <w14:solidFill>
                    <w14:schemeClr w14:val="tx1"/>
                  </w14:solidFill>
                </w14:textFill>
              </w:rPr>
              <w:t>出租方已建化粪池</w:t>
            </w:r>
            <w:r>
              <w:rPr>
                <w:rFonts w:hint="eastAsia" w:cs="Times New Roman"/>
                <w:bCs/>
                <w:color w:val="000000" w:themeColor="text1"/>
                <w:sz w:val="24"/>
                <w14:textFill>
                  <w14:solidFill>
                    <w14:schemeClr w14:val="tx1"/>
                  </w14:solidFill>
                </w14:textFill>
              </w:rPr>
              <w:t>处理后</w:t>
            </w:r>
            <w:r>
              <w:rPr>
                <w:rFonts w:hint="eastAsia" w:cs="Times New Roman"/>
                <w:bCs/>
                <w:color w:val="000000" w:themeColor="text1"/>
                <w:sz w:val="24"/>
                <w:lang w:eastAsia="zh-CN"/>
                <w14:textFill>
                  <w14:solidFill>
                    <w14:schemeClr w14:val="tx1"/>
                  </w14:solidFill>
                </w14:textFill>
              </w:rPr>
              <w:t>经市政污水管网排入</w:t>
            </w:r>
            <w:r>
              <w:rPr>
                <w:rFonts w:hint="eastAsia" w:cs="Times New Roman"/>
                <w:color w:val="000000" w:themeColor="text1"/>
                <w:lang w:eastAsia="zh-CN"/>
                <w14:textFill>
                  <w14:solidFill>
                    <w14:schemeClr w14:val="tx1"/>
                  </w14:solidFill>
                </w14:textFill>
              </w:rPr>
              <w:t>青口汽车工业开发区污水处理厂进一步处理</w:t>
            </w:r>
            <w:r>
              <w:rPr>
                <w:rFonts w:hint="eastAsia" w:cs="Times New Roman"/>
                <w:bCs/>
                <w:color w:val="000000" w:themeColor="text1"/>
                <w:sz w:val="24"/>
                <w14:textFill>
                  <w14:solidFill>
                    <w14:schemeClr w14:val="tx1"/>
                  </w14:solidFill>
                </w14:textFill>
              </w:rPr>
              <w:t>。</w:t>
            </w:r>
          </w:p>
          <w:p w14:paraId="48B8E7B0">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平面布置</w:t>
            </w:r>
          </w:p>
          <w:p w14:paraId="56351312">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本项目位于</w:t>
            </w:r>
            <w:r>
              <w:rPr>
                <w:rFonts w:hint="eastAsia" w:cs="Times New Roman"/>
                <w:bCs/>
                <w:color w:val="000000" w:themeColor="text1"/>
                <w:sz w:val="24"/>
                <w:lang w:eastAsia="zh-CN"/>
                <w14:textFill>
                  <w14:solidFill>
                    <w14:schemeClr w14:val="tx1"/>
                  </w14:solidFill>
                </w14:textFill>
              </w:rPr>
              <w:t>福建省福州市闽侯县青口镇东台村</w:t>
            </w:r>
            <w:r>
              <w:rPr>
                <w:rFonts w:hint="eastAsia" w:ascii="Times New Roman" w:hAnsi="Times New Roman" w:eastAsia="宋体" w:cs="Times New Roman"/>
                <w:bCs/>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租赁福州胜金电器企业有限公司1#楼，</w:t>
            </w:r>
            <w:r>
              <w:rPr>
                <w:rFonts w:hint="eastAsia" w:cs="Times New Roman"/>
                <w:bCs/>
                <w:color w:val="000000" w:themeColor="text1"/>
                <w:sz w:val="24"/>
                <w14:textFill>
                  <w14:solidFill>
                    <w14:schemeClr w14:val="tx1"/>
                  </w14:solidFill>
                </w14:textFill>
              </w:rPr>
              <w:t>租赁</w:t>
            </w:r>
            <w:r>
              <w:rPr>
                <w:rFonts w:hint="eastAsia" w:cs="Times New Roman"/>
                <w:bCs/>
                <w:color w:val="000000" w:themeColor="text1"/>
                <w:sz w:val="24"/>
                <w:lang w:eastAsia="zh-CN"/>
                <w14:textFill>
                  <w14:solidFill>
                    <w14:schemeClr w14:val="tx1"/>
                  </w14:solidFill>
                </w14:textFill>
              </w:rPr>
              <w:t>厂房</w:t>
            </w:r>
            <w:r>
              <w:rPr>
                <w:rFonts w:hint="eastAsia" w:cs="Times New Roman"/>
                <w:bCs/>
                <w:color w:val="000000" w:themeColor="text1"/>
                <w:sz w:val="24"/>
                <w14:textFill>
                  <w14:solidFill>
                    <w14:schemeClr w14:val="tx1"/>
                  </w14:solidFill>
                </w14:textFill>
              </w:rPr>
              <w:t>面积</w:t>
            </w:r>
            <w:r>
              <w:rPr>
                <w:rFonts w:hint="eastAsia" w:cs="Times New Roman"/>
                <w:bCs/>
                <w:color w:val="000000" w:themeColor="text1"/>
                <w:sz w:val="24"/>
                <w:lang w:eastAsia="zh-CN"/>
                <w14:textFill>
                  <w14:solidFill>
                    <w14:schemeClr w14:val="tx1"/>
                  </w14:solidFill>
                </w14:textFill>
              </w:rPr>
              <w:t>12000</w:t>
            </w:r>
            <w:r>
              <w:rPr>
                <w:rFonts w:hint="eastAsia" w:cs="Times New Roman"/>
                <w:bCs/>
                <w:color w:val="000000" w:themeColor="text1"/>
                <w:sz w:val="24"/>
                <w14:textFill>
                  <w14:solidFill>
                    <w14:schemeClr w14:val="tx1"/>
                  </w14:solidFill>
                </w14:textFill>
              </w:rPr>
              <w:t>m</w:t>
            </w:r>
            <w:r>
              <w:rPr>
                <w:rFonts w:hint="eastAsia" w:cs="Times New Roman"/>
                <w:bCs/>
                <w:color w:val="000000" w:themeColor="text1"/>
                <w:sz w:val="24"/>
                <w:vertAlign w:val="superscript"/>
                <w14:textFill>
                  <w14:solidFill>
                    <w14:schemeClr w14:val="tx1"/>
                  </w14:solidFill>
                </w14:textFill>
              </w:rPr>
              <w:t>2</w:t>
            </w:r>
            <w:r>
              <w:rPr>
                <w:rFonts w:hint="eastAsia" w:cs="Times New Roman"/>
                <w:bCs/>
                <w:color w:val="000000" w:themeColor="text1"/>
                <w:sz w:val="24"/>
                <w14:textFill>
                  <w14:solidFill>
                    <w14:schemeClr w14:val="tx1"/>
                  </w14:solidFill>
                </w14:textFill>
              </w:rPr>
              <w:t>，</w:t>
            </w:r>
            <w:r>
              <w:rPr>
                <w:rFonts w:hint="eastAsia" w:ascii="Times New Roman" w:hAnsi="Times New Roman" w:eastAsia="宋体" w:cs="Times New Roman"/>
                <w:bCs/>
                <w:color w:val="000000" w:themeColor="text1"/>
                <w:sz w:val="24"/>
                <w14:textFill>
                  <w14:solidFill>
                    <w14:schemeClr w14:val="tx1"/>
                  </w14:solidFill>
                </w14:textFill>
              </w:rPr>
              <w:t>项目厂区</w:t>
            </w:r>
            <w:r>
              <w:rPr>
                <w:rFonts w:hint="eastAsia" w:cs="Times New Roman"/>
                <w:bCs/>
                <w:color w:val="000000" w:themeColor="text1"/>
                <w:sz w:val="24"/>
                <w:lang w:eastAsia="zh-CN"/>
                <w14:textFill>
                  <w14:solidFill>
                    <w14:schemeClr w14:val="tx1"/>
                  </w14:solidFill>
                </w14:textFill>
              </w:rPr>
              <w:t>东</w:t>
            </w:r>
            <w:r>
              <w:rPr>
                <w:rFonts w:hint="eastAsia" w:ascii="Times New Roman" w:hAnsi="Times New Roman" w:eastAsia="宋体" w:cs="Times New Roman"/>
                <w:bCs/>
                <w:color w:val="000000" w:themeColor="text1"/>
                <w:sz w:val="24"/>
                <w14:textFill>
                  <w14:solidFill>
                    <w14:schemeClr w14:val="tx1"/>
                  </w14:solidFill>
                </w14:textFill>
              </w:rPr>
              <w:t>南侧设置有1个出入口，便于原材料与成品的运输，</w:t>
            </w:r>
            <w:r>
              <w:rPr>
                <w:rFonts w:hint="eastAsia" w:cs="Times New Roman"/>
                <w:bCs/>
                <w:color w:val="000000" w:themeColor="text1"/>
                <w:sz w:val="24"/>
                <w:lang w:eastAsia="zh-CN"/>
                <w14:textFill>
                  <w14:solidFill>
                    <w14:schemeClr w14:val="tx1"/>
                  </w14:solidFill>
                </w14:textFill>
              </w:rPr>
              <w:t>项目生产车间</w:t>
            </w:r>
            <w:r>
              <w:rPr>
                <w:rFonts w:hint="eastAsia" w:ascii="Times New Roman" w:hAnsi="Times New Roman" w:eastAsia="宋体" w:cs="Times New Roman"/>
                <w:bCs/>
                <w:color w:val="000000" w:themeColor="text1"/>
                <w:sz w:val="24"/>
                <w:highlight w:val="none"/>
                <w14:textFill>
                  <w14:solidFill>
                    <w14:schemeClr w14:val="tx1"/>
                  </w14:solidFill>
                </w14:textFill>
              </w:rPr>
              <w:t>位于厂区</w:t>
            </w:r>
            <w:r>
              <w:rPr>
                <w:rFonts w:hint="eastAsia" w:cs="Times New Roman"/>
                <w:bCs/>
                <w:color w:val="000000" w:themeColor="text1"/>
                <w:sz w:val="24"/>
                <w:highlight w:val="none"/>
                <w:lang w:val="en-US" w:eastAsia="zh-CN"/>
                <w14:textFill>
                  <w14:solidFill>
                    <w14:schemeClr w14:val="tx1"/>
                  </w14:solidFill>
                </w14:textFill>
              </w:rPr>
              <w:t>西北侧</w:t>
            </w:r>
            <w:r>
              <w:rPr>
                <w:rFonts w:hint="eastAsia" w:ascii="Times New Roman" w:hAnsi="Times New Roman" w:eastAsia="宋体" w:cs="Times New Roman"/>
                <w:bCs/>
                <w:color w:val="000000" w:themeColor="text1"/>
                <w:sz w:val="24"/>
                <w:highlight w:val="none"/>
                <w14:textFill>
                  <w14:solidFill>
                    <w14:schemeClr w14:val="tx1"/>
                  </w14:solidFill>
                </w14:textFill>
              </w:rPr>
              <w:t>，车间</w:t>
            </w:r>
            <w:r>
              <w:rPr>
                <w:rFonts w:hint="eastAsia" w:cs="Times New Roman"/>
                <w:bCs/>
                <w:color w:val="000000" w:themeColor="text1"/>
                <w:sz w:val="24"/>
                <w:highlight w:val="none"/>
                <w:lang w:eastAsia="zh-CN"/>
                <w14:textFill>
                  <w14:solidFill>
                    <w14:schemeClr w14:val="tx1"/>
                  </w14:solidFill>
                </w14:textFill>
              </w:rPr>
              <w:t>西南侧为生产区，车间西北侧为原料卸货</w:t>
            </w:r>
            <w:r>
              <w:rPr>
                <w:rFonts w:hint="eastAsia" w:cs="Times New Roman"/>
                <w:bCs/>
                <w:color w:val="000000" w:themeColor="text1"/>
                <w:sz w:val="24"/>
                <w:highlight w:val="none"/>
                <w:lang w:val="en-US" w:eastAsia="zh-CN"/>
                <w14:textFill>
                  <w14:solidFill>
                    <w14:schemeClr w14:val="tx1"/>
                  </w14:solidFill>
                </w14:textFill>
              </w:rPr>
              <w:t>/拆包/分拣</w:t>
            </w:r>
            <w:r>
              <w:rPr>
                <w:rFonts w:hint="eastAsia" w:cs="Times New Roman"/>
                <w:bCs/>
                <w:color w:val="000000" w:themeColor="text1"/>
                <w:sz w:val="24"/>
                <w:highlight w:val="none"/>
                <w:lang w:eastAsia="zh-CN"/>
                <w14:textFill>
                  <w14:solidFill>
                    <w14:schemeClr w14:val="tx1"/>
                  </w14:solidFill>
                </w14:textFill>
              </w:rPr>
              <w:t>区、原料排序区、原料中转区，车间东北侧为成品中转区，车间东南侧为成品排序</w:t>
            </w:r>
            <w:r>
              <w:rPr>
                <w:rFonts w:hint="eastAsia" w:cs="Times New Roman"/>
                <w:bCs/>
                <w:color w:val="000000" w:themeColor="text1"/>
                <w:sz w:val="24"/>
                <w:highlight w:val="none"/>
                <w:lang w:val="en-US" w:eastAsia="zh-CN"/>
                <w14:textFill>
                  <w14:solidFill>
                    <w14:schemeClr w14:val="tx1"/>
                  </w14:solidFill>
                </w14:textFill>
              </w:rPr>
              <w:t>/发货区，一般固废间和危废间设置在车间东南角，</w:t>
            </w:r>
            <w:r>
              <w:rPr>
                <w:rFonts w:hint="eastAsia" w:ascii="Times New Roman" w:hAnsi="Times New Roman" w:eastAsia="宋体" w:cs="Times New Roman"/>
                <w:bCs/>
                <w:color w:val="000000" w:themeColor="text1"/>
                <w:sz w:val="24"/>
                <w:highlight w:val="none"/>
                <w14:textFill>
                  <w14:solidFill>
                    <w14:schemeClr w14:val="tx1"/>
                  </w14:solidFill>
                </w14:textFill>
              </w:rPr>
              <w:t>各功能区分区</w:t>
            </w:r>
            <w:r>
              <w:rPr>
                <w:rFonts w:hint="eastAsia" w:ascii="Times New Roman" w:hAnsi="Times New Roman" w:eastAsia="宋体" w:cs="Times New Roman"/>
                <w:bCs/>
                <w:color w:val="000000" w:themeColor="text1"/>
                <w:sz w:val="24"/>
                <w14:textFill>
                  <w14:solidFill>
                    <w14:schemeClr w14:val="tx1"/>
                  </w14:solidFill>
                </w14:textFill>
              </w:rPr>
              <w:t>明确，人流、物流便捷流畅，流动线路划分明确。考虑到项目生产工艺要求，为确保工艺流程顺畅，物料管线简捷，减少物料转运，尽量合理</w:t>
            </w:r>
            <w:r>
              <w:rPr>
                <w:rFonts w:hint="eastAsia" w:cs="Times New Roman"/>
                <w:bCs/>
                <w:color w:val="000000" w:themeColor="text1"/>
                <w:sz w:val="24"/>
                <w:lang w:eastAsia="zh-CN"/>
                <w14:textFill>
                  <w14:solidFill>
                    <w14:schemeClr w14:val="tx1"/>
                  </w14:solidFill>
                </w14:textFill>
              </w:rPr>
              <w:t>地</w:t>
            </w:r>
            <w:r>
              <w:rPr>
                <w:rFonts w:hint="eastAsia" w:ascii="Times New Roman" w:hAnsi="Times New Roman" w:eastAsia="宋体" w:cs="Times New Roman"/>
                <w:bCs/>
                <w:color w:val="000000" w:themeColor="text1"/>
                <w:sz w:val="24"/>
                <w14:textFill>
                  <w14:solidFill>
                    <w14:schemeClr w14:val="tx1"/>
                  </w14:solidFill>
                </w14:textFill>
              </w:rPr>
              <w:t>利用了厂房的平面和立体空间。</w:t>
            </w:r>
          </w:p>
          <w:p w14:paraId="661EAB24">
            <w:pPr>
              <w:keepNext w:val="0"/>
              <w:keepLines w:val="0"/>
              <w:suppressLineNumbers w:val="0"/>
              <w:spacing w:before="0" w:beforeAutospacing="0" w:after="0" w:afterAutospacing="0" w:line="360" w:lineRule="auto"/>
              <w:ind w:left="0" w:right="0" w:firstLine="480" w:firstLineChars="200"/>
              <w:jc w:val="left"/>
              <w:rPr>
                <w:rFonts w:hint="eastAsia"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 w:val="24"/>
                <w:highlight w:val="none"/>
                <w14:textFill>
                  <w14:solidFill>
                    <w14:schemeClr w14:val="tx1"/>
                  </w14:solidFill>
                </w14:textFill>
              </w:rPr>
              <w:t>综上所述，项目厂区布置合理紧凑，便于生产和管理。项目</w:t>
            </w:r>
            <w:r>
              <w:rPr>
                <w:rFonts w:hint="eastAsia" w:cs="Times New Roman"/>
                <w:bCs/>
                <w:color w:val="000000" w:themeColor="text1"/>
                <w:sz w:val="24"/>
                <w:highlight w:val="none"/>
                <w:lang w:eastAsia="zh-CN"/>
                <w14:textFill>
                  <w14:solidFill>
                    <w14:schemeClr w14:val="tx1"/>
                  </w14:solidFill>
                </w14:textFill>
              </w:rPr>
              <w:t>车间</w:t>
            </w:r>
            <w:r>
              <w:rPr>
                <w:rFonts w:hint="eastAsia" w:ascii="Times New Roman" w:hAnsi="Times New Roman" w:eastAsia="宋体" w:cs="Times New Roman"/>
                <w:bCs/>
                <w:color w:val="000000" w:themeColor="text1"/>
                <w:sz w:val="24"/>
                <w:highlight w:val="none"/>
                <w14:textFill>
                  <w14:solidFill>
                    <w14:schemeClr w14:val="tx1"/>
                  </w14:solidFill>
                </w14:textFill>
              </w:rPr>
              <w:t>平面</w:t>
            </w:r>
            <w:r>
              <w:rPr>
                <w:rFonts w:hint="eastAsia" w:cs="Times New Roman"/>
                <w:bCs/>
                <w:color w:val="000000" w:themeColor="text1"/>
                <w:sz w:val="24"/>
                <w:highlight w:val="none"/>
                <w:lang w:eastAsia="zh-CN"/>
                <w14:textFill>
                  <w14:solidFill>
                    <w14:schemeClr w14:val="tx1"/>
                  </w14:solidFill>
                </w14:textFill>
              </w:rPr>
              <w:t>布置</w:t>
            </w:r>
            <w:r>
              <w:rPr>
                <w:rFonts w:hint="eastAsia" w:ascii="Times New Roman" w:hAnsi="Times New Roman" w:eastAsia="宋体" w:cs="Times New Roman"/>
                <w:bCs/>
                <w:color w:val="000000" w:themeColor="text1"/>
                <w:sz w:val="24"/>
                <w:highlight w:val="none"/>
                <w14:textFill>
                  <w14:solidFill>
                    <w14:schemeClr w14:val="tx1"/>
                  </w14:solidFill>
                </w14:textFill>
              </w:rPr>
              <w:t>图</w:t>
            </w:r>
            <w:r>
              <w:rPr>
                <w:rFonts w:hint="eastAsia" w:cs="Times New Roman"/>
                <w:bCs/>
                <w:color w:val="000000" w:themeColor="text1"/>
                <w:sz w:val="24"/>
                <w:highlight w:val="none"/>
                <w:lang w:eastAsia="zh-CN"/>
                <w14:textFill>
                  <w14:solidFill>
                    <w14:schemeClr w14:val="tx1"/>
                  </w14:solidFill>
                </w14:textFill>
              </w:rPr>
              <w:t>详见</w:t>
            </w:r>
            <w:r>
              <w:rPr>
                <w:rFonts w:hint="eastAsia" w:ascii="Times New Roman" w:hAnsi="Times New Roman" w:eastAsia="宋体" w:cs="Times New Roman"/>
                <w:bCs/>
                <w:color w:val="000000" w:themeColor="text1"/>
                <w:sz w:val="24"/>
                <w:highlight w:val="none"/>
                <w14:textFill>
                  <w14:solidFill>
                    <w14:schemeClr w14:val="tx1"/>
                  </w14:solidFill>
                </w14:textFill>
              </w:rPr>
              <w:t>附图</w:t>
            </w:r>
            <w:r>
              <w:rPr>
                <w:rFonts w:hint="eastAsia"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14:textFill>
                  <w14:solidFill>
                    <w14:schemeClr w14:val="tx1"/>
                  </w14:solidFill>
                </w14:textFill>
              </w:rPr>
              <w:t>。</w:t>
            </w:r>
          </w:p>
        </w:tc>
      </w:tr>
      <w:tr w14:paraId="55526B39">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895" w:hRule="atLeast"/>
          <w:jc w:val="center"/>
        </w:trPr>
        <w:tc>
          <w:tcPr>
            <w:tcW w:w="455" w:type="dxa"/>
            <w:noWrap w:val="0"/>
            <w:vAlign w:val="center"/>
          </w:tcPr>
          <w:p w14:paraId="57C34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工艺流程和产排污环节</w:t>
            </w:r>
          </w:p>
        </w:tc>
        <w:tc>
          <w:tcPr>
            <w:tcW w:w="8833" w:type="dxa"/>
            <w:noWrap w:val="0"/>
            <w:vAlign w:val="top"/>
          </w:tcPr>
          <w:p w14:paraId="63713761">
            <w:pPr>
              <w:pStyle w:val="3"/>
              <w:keepNext w:val="0"/>
              <w:keepLines w:val="0"/>
              <w:suppressLineNumbers w:val="0"/>
              <w:bidi w:val="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工艺流程和产排污环节</w:t>
            </w:r>
          </w:p>
          <w:p w14:paraId="2812AC9E">
            <w:pPr>
              <w:pStyle w:val="4"/>
              <w:keepNext w:val="0"/>
              <w:keepLines w:val="0"/>
              <w:suppressLineNumbers w:val="0"/>
              <w:bidi w:val="0"/>
              <w:ind w:left="0" w:right="0"/>
              <w:rPr>
                <w:rFonts w:hint="eastAsia"/>
                <w:b w:val="0"/>
                <w:bCs w:val="0"/>
                <w:color w:val="000000" w:themeColor="text1"/>
                <w:sz w:val="24"/>
                <w:lang w:eastAsia="zh-CN" w:bidi="ar"/>
                <w14:textFill>
                  <w14:solidFill>
                    <w14:schemeClr w14:val="tx1"/>
                  </w14:solidFill>
                </w14:textFill>
              </w:rPr>
            </w:pPr>
            <w:r>
              <w:rPr>
                <w:rFonts w:hint="eastAsia"/>
                <w:color w:val="000000" w:themeColor="text1"/>
                <w14:textFill>
                  <w14:solidFill>
                    <w14:schemeClr w14:val="tx1"/>
                  </w14:solidFill>
                </w14:textFill>
              </w:rPr>
              <w:t>工艺流程</w:t>
            </w:r>
          </w:p>
          <w:p w14:paraId="2496DFC2">
            <w:pPr>
              <w:pStyle w:val="4"/>
              <w:keepNext w:val="0"/>
              <w:keepLines w:val="0"/>
              <w:suppressLineNumbers w:val="0"/>
              <w:bidi w:val="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产排污环节</w:t>
            </w:r>
          </w:p>
          <w:p w14:paraId="464A446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eastAsia="宋体" w:cs="Times New Roman"/>
                <w:color w:val="000000" w:themeColor="text1"/>
                <w:sz w:val="24"/>
                <w:szCs w:val="32"/>
                <w14:textFill>
                  <w14:solidFill>
                    <w14:schemeClr w14:val="tx1"/>
                  </w14:solidFill>
                </w14:textFill>
              </w:rPr>
              <w:t>本项目运营期产污环节汇总见下表2.</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14:textFill>
                  <w14:solidFill>
                    <w14:schemeClr w14:val="tx1"/>
                  </w14:solidFill>
                </w14:textFill>
              </w:rPr>
              <w:t>-1。</w:t>
            </w:r>
          </w:p>
          <w:p w14:paraId="3C8A90E7">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项目产污情况一览表</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Layout w:type="autofit"/>
              <w:tblCellMar>
                <w:top w:w="0" w:type="dxa"/>
                <w:left w:w="108" w:type="dxa"/>
                <w:bottom w:w="0" w:type="dxa"/>
                <w:right w:w="108" w:type="dxa"/>
              </w:tblCellMar>
            </w:tblPr>
            <w:tblGrid>
              <w:gridCol w:w="720"/>
              <w:gridCol w:w="1618"/>
              <w:gridCol w:w="1582"/>
              <w:gridCol w:w="2089"/>
              <w:gridCol w:w="2604"/>
            </w:tblGrid>
            <w:tr w14:paraId="7831AA7F">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noWrap w:val="0"/>
                  <w:vAlign w:val="center"/>
                </w:tcPr>
                <w:p w14:paraId="55292569">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名称</w:t>
                  </w:r>
                </w:p>
              </w:tc>
              <w:tc>
                <w:tcPr>
                  <w:tcW w:w="939" w:type="pct"/>
                  <w:noWrap w:val="0"/>
                  <w:vAlign w:val="center"/>
                </w:tcPr>
                <w:p w14:paraId="78E4DA77">
                  <w:pPr>
                    <w:pStyle w:val="33"/>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类别</w:t>
                  </w:r>
                </w:p>
              </w:tc>
              <w:tc>
                <w:tcPr>
                  <w:tcW w:w="918" w:type="pct"/>
                  <w:noWrap w:val="0"/>
                  <w:vAlign w:val="center"/>
                </w:tcPr>
                <w:p w14:paraId="539A140C">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排污节点</w:t>
                  </w:r>
                </w:p>
              </w:tc>
              <w:tc>
                <w:tcPr>
                  <w:tcW w:w="1212" w:type="pct"/>
                  <w:noWrap w:val="0"/>
                  <w:vAlign w:val="center"/>
                </w:tcPr>
                <w:p w14:paraId="3DEB6815">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污染因子</w:t>
                  </w:r>
                </w:p>
              </w:tc>
              <w:tc>
                <w:tcPr>
                  <w:tcW w:w="1511" w:type="pct"/>
                  <w:noWrap w:val="0"/>
                  <w:vAlign w:val="center"/>
                </w:tcPr>
                <w:p w14:paraId="2040B40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sz w:val="21"/>
                      <w14:textFill>
                        <w14:solidFill>
                          <w14:schemeClr w14:val="tx1"/>
                        </w14:solidFill>
                      </w14:textFill>
                    </w:rPr>
                  </w:pPr>
                  <w:r>
                    <w:rPr>
                      <w:rFonts w:hint="default" w:cs="Times New Roman"/>
                      <w:color w:val="000000" w:themeColor="text1"/>
                      <w:sz w:val="21"/>
                      <w14:textFill>
                        <w14:solidFill>
                          <w14:schemeClr w14:val="tx1"/>
                        </w14:solidFill>
                      </w14:textFill>
                    </w:rPr>
                    <w:t>处理措施</w:t>
                  </w:r>
                </w:p>
              </w:tc>
            </w:tr>
            <w:tr w14:paraId="3E5FB3AF">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noWrap w:val="0"/>
                  <w:vAlign w:val="center"/>
                </w:tcPr>
                <w:p w14:paraId="25781A97">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废水</w:t>
                  </w:r>
                </w:p>
              </w:tc>
              <w:tc>
                <w:tcPr>
                  <w:tcW w:w="939" w:type="pct"/>
                  <w:noWrap w:val="0"/>
                  <w:vAlign w:val="center"/>
                </w:tcPr>
                <w:p w14:paraId="1E451281">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生活污水</w:t>
                  </w:r>
                </w:p>
              </w:tc>
              <w:tc>
                <w:tcPr>
                  <w:tcW w:w="918" w:type="pct"/>
                  <w:noWrap w:val="0"/>
                  <w:vAlign w:val="center"/>
                </w:tcPr>
                <w:p w14:paraId="4EA525AB">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职工生产办公</w:t>
                  </w:r>
                </w:p>
              </w:tc>
              <w:tc>
                <w:tcPr>
                  <w:tcW w:w="1212" w:type="pct"/>
                  <w:noWrap w:val="0"/>
                  <w:vAlign w:val="center"/>
                </w:tcPr>
                <w:p w14:paraId="47FED78A">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default" w:cs="Times New Roman"/>
                      <w:color w:val="000000" w:themeColor="text1"/>
                      <w14:textFill>
                        <w14:solidFill>
                          <w14:schemeClr w14:val="tx1"/>
                        </w14:solidFill>
                      </w14:textFill>
                    </w:rPr>
                    <w:t>pH、COD、</w:t>
                  </w:r>
                  <w:r>
                    <w:rPr>
                      <w:rFonts w:hint="eastAsia" w:cs="Times New Roman"/>
                      <w:color w:val="000000" w:themeColor="text1"/>
                      <w14:textFill>
                        <w14:solidFill>
                          <w14:schemeClr w14:val="tx1"/>
                        </w14:solidFill>
                      </w14:textFill>
                    </w:rPr>
                    <w:t>BOD</w:t>
                  </w:r>
                  <w:r>
                    <w:rPr>
                      <w:rFonts w:hint="eastAsia" w:cs="Times New Roman"/>
                      <w:color w:val="000000" w:themeColor="text1"/>
                      <w:vertAlign w:val="subscript"/>
                      <w14:textFill>
                        <w14:solidFill>
                          <w14:schemeClr w14:val="tx1"/>
                        </w14:solidFill>
                      </w14:textFill>
                    </w:rPr>
                    <w:t>5</w:t>
                  </w:r>
                  <w:r>
                    <w:rPr>
                      <w:rFonts w:hint="default" w:cs="Times New Roman"/>
                      <w:color w:val="000000" w:themeColor="text1"/>
                      <w14:textFill>
                        <w14:solidFill>
                          <w14:schemeClr w14:val="tx1"/>
                        </w14:solidFill>
                      </w14:textFill>
                    </w:rPr>
                    <w:t>、SS、</w:t>
                  </w:r>
                  <w:r>
                    <w:rPr>
                      <w:rFonts w:hint="eastAsia" w:cs="Times New Roman"/>
                      <w:color w:val="000000" w:themeColor="text1"/>
                      <w14:textFill>
                        <w14:solidFill>
                          <w14:schemeClr w14:val="tx1"/>
                        </w14:solidFill>
                      </w14:textFill>
                    </w:rPr>
                    <w:t>氨氮</w:t>
                  </w:r>
                </w:p>
              </w:tc>
              <w:tc>
                <w:tcPr>
                  <w:tcW w:w="1511" w:type="pct"/>
                  <w:noWrap w:val="0"/>
                  <w:vAlign w:val="center"/>
                </w:tcPr>
                <w:p w14:paraId="0093CF52">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生活污水→化粪池→</w:t>
                  </w:r>
                  <w:r>
                    <w:rPr>
                      <w:rFonts w:hint="eastAsia" w:cs="Times New Roman"/>
                      <w:color w:val="000000" w:themeColor="text1"/>
                      <w:lang w:eastAsia="zh-CN"/>
                      <w14:textFill>
                        <w14:solidFill>
                          <w14:schemeClr w14:val="tx1"/>
                        </w14:solidFill>
                      </w14:textFill>
                    </w:rPr>
                    <w:t>市政污水管网</w:t>
                  </w:r>
                  <w:r>
                    <w:rPr>
                      <w:rFonts w:hint="eastAsia"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青口汽车工业开发区污水处理厂</w:t>
                  </w:r>
                </w:p>
              </w:tc>
            </w:tr>
            <w:tr w14:paraId="39795B0B">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noWrap w:val="0"/>
                  <w:vAlign w:val="center"/>
                </w:tcPr>
                <w:p w14:paraId="1129EE2A">
                  <w:pPr>
                    <w:pStyle w:val="33"/>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废气</w:t>
                  </w:r>
                </w:p>
              </w:tc>
              <w:tc>
                <w:tcPr>
                  <w:tcW w:w="939" w:type="pct"/>
                  <w:noWrap w:val="0"/>
                  <w:vAlign w:val="center"/>
                </w:tcPr>
                <w:p w14:paraId="516106CD">
                  <w:pPr>
                    <w:pStyle w:val="33"/>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有机废气</w:t>
                  </w:r>
                </w:p>
              </w:tc>
              <w:tc>
                <w:tcPr>
                  <w:tcW w:w="918" w:type="pct"/>
                  <w:noWrap w:val="0"/>
                  <w:vAlign w:val="center"/>
                </w:tcPr>
                <w:p w14:paraId="043B7BF8">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在线烘烤</w:t>
                  </w:r>
                </w:p>
              </w:tc>
              <w:tc>
                <w:tcPr>
                  <w:tcW w:w="1212" w:type="pct"/>
                  <w:noWrap w:val="0"/>
                  <w:vAlign w:val="center"/>
                </w:tcPr>
                <w:p w14:paraId="0A0E82AC">
                  <w:pPr>
                    <w:pStyle w:val="33"/>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非甲烷总烃</w:t>
                  </w:r>
                </w:p>
              </w:tc>
              <w:tc>
                <w:tcPr>
                  <w:tcW w:w="1511" w:type="pct"/>
                  <w:noWrap w:val="0"/>
                  <w:vAlign w:val="center"/>
                </w:tcPr>
                <w:p w14:paraId="17D7A702">
                  <w:pPr>
                    <w:pStyle w:val="33"/>
                    <w:keepNext w:val="0"/>
                    <w:keepLines w:val="0"/>
                    <w:suppressLineNumbers w:val="0"/>
                    <w:bidi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以无组织形式排放</w:t>
                  </w:r>
                </w:p>
              </w:tc>
            </w:tr>
            <w:tr w14:paraId="4B313177">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1357" w:type="pct"/>
                  <w:gridSpan w:val="2"/>
                  <w:noWrap w:val="0"/>
                  <w:vAlign w:val="center"/>
                </w:tcPr>
                <w:p w14:paraId="1E51D4B7">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w:t>
                  </w:r>
                </w:p>
              </w:tc>
              <w:tc>
                <w:tcPr>
                  <w:tcW w:w="918" w:type="pct"/>
                  <w:noWrap w:val="0"/>
                  <w:vAlign w:val="center"/>
                </w:tcPr>
                <w:p w14:paraId="1944D95F">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机械设备运行</w:t>
                  </w:r>
                </w:p>
              </w:tc>
              <w:tc>
                <w:tcPr>
                  <w:tcW w:w="1212" w:type="pct"/>
                  <w:noWrap w:val="0"/>
                  <w:vAlign w:val="center"/>
                </w:tcPr>
                <w:p w14:paraId="6FEF40B0">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w:t>
                  </w:r>
                </w:p>
              </w:tc>
              <w:tc>
                <w:tcPr>
                  <w:tcW w:w="1511" w:type="pct"/>
                  <w:noWrap w:val="0"/>
                  <w:vAlign w:val="center"/>
                </w:tcPr>
                <w:p w14:paraId="0497F630">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低噪声设备，减振、隔声</w:t>
                  </w:r>
                </w:p>
              </w:tc>
            </w:tr>
            <w:tr w14:paraId="6F18D1EC">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vMerge w:val="restart"/>
                  <w:noWrap w:val="0"/>
                  <w:vAlign w:val="center"/>
                </w:tcPr>
                <w:p w14:paraId="0D06B417">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固体废物</w:t>
                  </w:r>
                </w:p>
              </w:tc>
              <w:tc>
                <w:tcPr>
                  <w:tcW w:w="939" w:type="pct"/>
                  <w:noWrap w:val="0"/>
                  <w:vAlign w:val="center"/>
                </w:tcPr>
                <w:p w14:paraId="76C841A0">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生活垃圾</w:t>
                  </w:r>
                </w:p>
              </w:tc>
              <w:tc>
                <w:tcPr>
                  <w:tcW w:w="918" w:type="pct"/>
                  <w:noWrap w:val="0"/>
                  <w:vAlign w:val="center"/>
                </w:tcPr>
                <w:p w14:paraId="349EDAEB">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日常生活</w:t>
                  </w:r>
                </w:p>
              </w:tc>
              <w:tc>
                <w:tcPr>
                  <w:tcW w:w="1212" w:type="pct"/>
                  <w:tcBorders>
                    <w:bottom w:val="single" w:color="auto" w:sz="4" w:space="0"/>
                  </w:tcBorders>
                  <w:noWrap w:val="0"/>
                  <w:vAlign w:val="center"/>
                </w:tcPr>
                <w:p w14:paraId="430CA836">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生活垃圾</w:t>
                  </w:r>
                </w:p>
              </w:tc>
              <w:tc>
                <w:tcPr>
                  <w:tcW w:w="1511" w:type="pct"/>
                  <w:tcBorders>
                    <w:bottom w:val="single" w:color="auto" w:sz="4" w:space="0"/>
                  </w:tcBorders>
                  <w:noWrap w:val="0"/>
                  <w:vAlign w:val="center"/>
                </w:tcPr>
                <w:p w14:paraId="133A561C">
                  <w:pPr>
                    <w:pStyle w:val="33"/>
                    <w:keepNext w:val="0"/>
                    <w:keepLines w:val="0"/>
                    <w:suppressLineNumbers w:val="0"/>
                    <w:bidi w:val="0"/>
                    <w:spacing w:before="0" w:beforeAutospacing="0" w:after="0" w:afterAutospacing="0"/>
                    <w:ind w:left="0" w:right="0"/>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委托环卫部门清运</w:t>
                  </w:r>
                </w:p>
              </w:tc>
            </w:tr>
            <w:tr w14:paraId="35CFD2C6">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vMerge w:val="continue"/>
                  <w:noWrap w:val="0"/>
                  <w:vAlign w:val="center"/>
                </w:tcPr>
                <w:p w14:paraId="7B6CB6E5">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39" w:type="pct"/>
                  <w:vMerge w:val="restart"/>
                  <w:noWrap w:val="0"/>
                  <w:vAlign w:val="center"/>
                </w:tcPr>
                <w:p w14:paraId="3FA6FB1A">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一般工业固废</w:t>
                  </w:r>
                </w:p>
              </w:tc>
              <w:tc>
                <w:tcPr>
                  <w:tcW w:w="918" w:type="pct"/>
                  <w:noWrap w:val="0"/>
                  <w:vAlign w:val="center"/>
                </w:tcPr>
                <w:p w14:paraId="6EAD952D">
                  <w:pPr>
                    <w:pStyle w:val="33"/>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来料检验</w:t>
                  </w:r>
                </w:p>
              </w:tc>
              <w:tc>
                <w:tcPr>
                  <w:tcW w:w="1212" w:type="pct"/>
                  <w:tcBorders>
                    <w:top w:val="single" w:color="auto" w:sz="4" w:space="0"/>
                    <w:bottom w:val="single" w:color="auto" w:sz="4" w:space="0"/>
                  </w:tcBorders>
                  <w:noWrap w:val="0"/>
                  <w:vAlign w:val="center"/>
                </w:tcPr>
                <w:p w14:paraId="73BB9A84">
                  <w:pPr>
                    <w:pStyle w:val="33"/>
                    <w:keepNext w:val="0"/>
                    <w:keepLines w:val="0"/>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不合格品</w:t>
                  </w:r>
                </w:p>
              </w:tc>
              <w:tc>
                <w:tcPr>
                  <w:tcW w:w="1511" w:type="pct"/>
                  <w:tcBorders>
                    <w:top w:val="single" w:color="auto" w:sz="4" w:space="0"/>
                    <w:bottom w:val="single" w:color="auto" w:sz="4" w:space="0"/>
                  </w:tcBorders>
                  <w:noWrap w:val="0"/>
                  <w:vAlign w:val="center"/>
                </w:tcPr>
                <w:p w14:paraId="2FEF889D">
                  <w:pPr>
                    <w:pStyle w:val="33"/>
                    <w:keepNext w:val="0"/>
                    <w:keepLines w:val="0"/>
                    <w:suppressLineNumbers w:val="0"/>
                    <w:spacing w:before="0" w:beforeAutospacing="0" w:after="0" w:afterAutospacing="0"/>
                    <w:ind w:left="0" w:right="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外售物资回收单位</w:t>
                  </w:r>
                </w:p>
              </w:tc>
            </w:tr>
            <w:tr w14:paraId="2CDF1201">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vMerge w:val="continue"/>
                  <w:noWrap w:val="0"/>
                  <w:vAlign w:val="center"/>
                </w:tcPr>
                <w:p w14:paraId="02C907E7">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39" w:type="pct"/>
                  <w:vMerge w:val="continue"/>
                  <w:noWrap w:val="0"/>
                  <w:vAlign w:val="center"/>
                </w:tcPr>
                <w:p w14:paraId="137E0F55">
                  <w:pPr>
                    <w:pStyle w:val="33"/>
                    <w:keepNext w:val="0"/>
                    <w:keepLines w:val="0"/>
                    <w:suppressLineNumbers w:val="0"/>
                    <w:bidi w:val="0"/>
                    <w:spacing w:before="0" w:beforeAutospacing="0" w:after="0" w:afterAutospacing="0"/>
                    <w:ind w:left="0" w:right="0"/>
                    <w:rPr>
                      <w:rFonts w:hint="eastAsia" w:cs="Times New Roman"/>
                      <w:color w:val="000000" w:themeColor="text1"/>
                      <w14:textFill>
                        <w14:solidFill>
                          <w14:schemeClr w14:val="tx1"/>
                        </w14:solidFill>
                      </w14:textFill>
                    </w:rPr>
                  </w:pPr>
                </w:p>
              </w:tc>
              <w:tc>
                <w:tcPr>
                  <w:tcW w:w="918" w:type="pct"/>
                  <w:noWrap w:val="0"/>
                  <w:vAlign w:val="center"/>
                </w:tcPr>
                <w:p w14:paraId="09573980">
                  <w:pPr>
                    <w:pStyle w:val="33"/>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原料外包装</w:t>
                  </w:r>
                </w:p>
              </w:tc>
              <w:tc>
                <w:tcPr>
                  <w:tcW w:w="1212" w:type="pct"/>
                  <w:tcBorders>
                    <w:top w:val="single" w:color="auto" w:sz="4" w:space="0"/>
                    <w:bottom w:val="single" w:color="auto" w:sz="4" w:space="0"/>
                  </w:tcBorders>
                  <w:noWrap w:val="0"/>
                  <w:vAlign w:val="center"/>
                </w:tcPr>
                <w:p w14:paraId="450E7D7B">
                  <w:pPr>
                    <w:pStyle w:val="33"/>
                    <w:keepNext w:val="0"/>
                    <w:keepLines w:val="0"/>
                    <w:suppressLineNumbers w:val="0"/>
                    <w:bidi w:val="0"/>
                    <w:spacing w:before="0" w:beforeAutospacing="0" w:after="0" w:afterAutospacing="0"/>
                    <w:ind w:left="0" w:right="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废包装材料</w:t>
                  </w:r>
                </w:p>
              </w:tc>
              <w:tc>
                <w:tcPr>
                  <w:tcW w:w="1511" w:type="pct"/>
                  <w:tcBorders>
                    <w:top w:val="single" w:color="auto" w:sz="4" w:space="0"/>
                    <w:bottom w:val="single" w:color="auto" w:sz="4" w:space="0"/>
                  </w:tcBorders>
                  <w:noWrap w:val="0"/>
                  <w:vAlign w:val="center"/>
                </w:tcPr>
                <w:p w14:paraId="10C9B37D">
                  <w:pPr>
                    <w:pStyle w:val="33"/>
                    <w:keepNext w:val="0"/>
                    <w:keepLines w:val="0"/>
                    <w:suppressLineNumbers w:val="0"/>
                    <w:spacing w:before="0" w:beforeAutospacing="0" w:after="0" w:afterAutospacing="0"/>
                    <w:ind w:left="0" w:right="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外售物资回收单位</w:t>
                  </w:r>
                </w:p>
              </w:tc>
            </w:tr>
            <w:tr w14:paraId="683B9B95">
              <w:tblPrEx>
                <w:tblBorders>
                  <w:top w:val="single" w:color="000000" w:sz="12" w:space="0"/>
                  <w:left w:val="none" w:color="auto" w:sz="0" w:space="0"/>
                  <w:bottom w:val="single" w:color="000000" w:sz="12" w:space="0"/>
                  <w:right w:val="none" w:color="auto" w:sz="0" w:space="0"/>
                  <w:insideH w:val="single" w:color="000000" w:sz="8" w:space="0"/>
                  <w:insideV w:val="single" w:color="auto" w:sz="4" w:space="0"/>
                </w:tblBorders>
                <w:tblCellMar>
                  <w:top w:w="0" w:type="dxa"/>
                  <w:left w:w="108" w:type="dxa"/>
                  <w:bottom w:w="0" w:type="dxa"/>
                  <w:right w:w="108" w:type="dxa"/>
                </w:tblCellMar>
              </w:tblPrEx>
              <w:trPr>
                <w:trHeight w:val="312" w:hRule="atLeast"/>
                <w:jc w:val="center"/>
              </w:trPr>
              <w:tc>
                <w:tcPr>
                  <w:tcW w:w="418" w:type="pct"/>
                  <w:vMerge w:val="continue"/>
                  <w:noWrap w:val="0"/>
                  <w:vAlign w:val="center"/>
                </w:tcPr>
                <w:p w14:paraId="2FADA44C">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p>
              </w:tc>
              <w:tc>
                <w:tcPr>
                  <w:tcW w:w="939" w:type="pct"/>
                  <w:noWrap w:val="0"/>
                  <w:vAlign w:val="center"/>
                </w:tcPr>
                <w:p w14:paraId="4F724A51">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危险废物</w:t>
                  </w:r>
                </w:p>
              </w:tc>
              <w:tc>
                <w:tcPr>
                  <w:tcW w:w="918" w:type="pct"/>
                  <w:noWrap w:val="0"/>
                  <w:vAlign w:val="center"/>
                </w:tcPr>
                <w:p w14:paraId="528F7896">
                  <w:pPr>
                    <w:pStyle w:val="33"/>
                    <w:keepNext w:val="0"/>
                    <w:keepLines w:val="0"/>
                    <w:suppressLineNumbers w:val="0"/>
                    <w:bidi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生产</w:t>
                  </w:r>
                  <w:r>
                    <w:rPr>
                      <w:rFonts w:hint="eastAsia" w:cs="Times New Roman"/>
                      <w:color w:val="000000" w:themeColor="text1"/>
                      <w:lang w:eastAsia="zh-CN"/>
                      <w14:textFill>
                        <w14:solidFill>
                          <w14:schemeClr w14:val="tx1"/>
                        </w14:solidFill>
                      </w14:textFill>
                    </w:rPr>
                    <w:t>设备</w:t>
                  </w:r>
                  <w:r>
                    <w:rPr>
                      <w:rFonts w:hint="eastAsia" w:cs="Times New Roman"/>
                      <w:color w:val="000000" w:themeColor="text1"/>
                      <w14:textFill>
                        <w14:solidFill>
                          <w14:schemeClr w14:val="tx1"/>
                        </w14:solidFill>
                      </w14:textFill>
                    </w:rPr>
                    <w:t>养护</w:t>
                  </w:r>
                </w:p>
              </w:tc>
              <w:tc>
                <w:tcPr>
                  <w:tcW w:w="1212" w:type="pct"/>
                  <w:noWrap w:val="0"/>
                  <w:vAlign w:val="center"/>
                </w:tcPr>
                <w:p w14:paraId="1619B58D">
                  <w:pPr>
                    <w:pStyle w:val="33"/>
                    <w:keepNext w:val="0"/>
                    <w:keepLines w:val="0"/>
                    <w:suppressLineNumbers w:val="0"/>
                    <w:bidi w:val="0"/>
                    <w:spacing w:before="0" w:beforeAutospacing="0" w:after="0" w:afterAutospacing="0"/>
                    <w:ind w:left="0" w:right="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废润滑油、废油桶、含油抹布及手套</w:t>
                  </w:r>
                </w:p>
              </w:tc>
              <w:tc>
                <w:tcPr>
                  <w:tcW w:w="1511" w:type="pct"/>
                  <w:noWrap w:val="0"/>
                  <w:vAlign w:val="center"/>
                </w:tcPr>
                <w:p w14:paraId="0E5A84BE">
                  <w:pPr>
                    <w:pStyle w:val="33"/>
                    <w:keepNext w:val="0"/>
                    <w:keepLines w:val="0"/>
                    <w:suppressLineNumbers w:val="0"/>
                    <w:spacing w:before="0" w:beforeAutospacing="0" w:after="0" w:afterAutospacing="0"/>
                    <w:ind w:left="0" w:right="0"/>
                    <w:rPr>
                      <w:rFonts w:hint="default"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集中收集至</w:t>
                  </w:r>
                  <w:r>
                    <w:rPr>
                      <w:rFonts w:hint="eastAsia" w:cs="Times New Roman"/>
                      <w:color w:val="000000" w:themeColor="text1"/>
                      <w:lang w:eastAsia="zh-CN"/>
                      <w14:textFill>
                        <w14:solidFill>
                          <w14:schemeClr w14:val="tx1"/>
                        </w14:solidFill>
                      </w14:textFill>
                    </w:rPr>
                    <w:t>危废暂存间</w:t>
                  </w:r>
                  <w:r>
                    <w:rPr>
                      <w:rFonts w:hint="eastAsia" w:cs="Times New Roman"/>
                      <w:color w:val="000000" w:themeColor="text1"/>
                      <w14:textFill>
                        <w14:solidFill>
                          <w14:schemeClr w14:val="tx1"/>
                        </w14:solidFill>
                      </w14:textFill>
                    </w:rPr>
                    <w:t>后，委托有资质单位处理处置</w:t>
                  </w:r>
                </w:p>
              </w:tc>
            </w:tr>
          </w:tbl>
          <w:p w14:paraId="5BF6840C">
            <w:pPr>
              <w:keepNext w:val="0"/>
              <w:keepLines w:val="0"/>
              <w:suppressLineNumbers w:val="0"/>
              <w:spacing w:before="0" w:beforeAutospacing="0" w:after="0" w:afterAutospacing="0" w:line="360" w:lineRule="auto"/>
              <w:ind w:left="0" w:leftChars="0" w:right="0" w:firstLine="0" w:firstLineChars="0"/>
              <w:jc w:val="left"/>
              <w:rPr>
                <w:rFonts w:hint="eastAsia" w:eastAsia="宋体" w:cs="Times New Roman"/>
                <w:bCs/>
                <w:color w:val="000000" w:themeColor="text1"/>
                <w:sz w:val="24"/>
                <w:lang w:val="en-US" w:eastAsia="zh-CN"/>
                <w14:textFill>
                  <w14:solidFill>
                    <w14:schemeClr w14:val="tx1"/>
                  </w14:solidFill>
                </w14:textFill>
              </w:rPr>
            </w:pPr>
          </w:p>
        </w:tc>
      </w:tr>
      <w:tr w14:paraId="11627CF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455" w:type="dxa"/>
            <w:noWrap w:val="0"/>
            <w:vAlign w:val="center"/>
          </w:tcPr>
          <w:p w14:paraId="32DD7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bCs/>
                <w:color w:val="000000" w:themeColor="text1"/>
                <w:kern w:val="2"/>
                <w:szCs w:val="24"/>
                <w14:textFill>
                  <w14:solidFill>
                    <w14:schemeClr w14:val="tx1"/>
                  </w14:solidFill>
                </w14:textFill>
              </w:rPr>
              <w:t>与项目有关的原有环境污染问题</w:t>
            </w:r>
          </w:p>
        </w:tc>
        <w:tc>
          <w:tcPr>
            <w:tcW w:w="8833" w:type="dxa"/>
            <w:noWrap w:val="0"/>
            <w:vAlign w:val="center"/>
          </w:tcPr>
          <w:p w14:paraId="4B116C08">
            <w:pPr>
              <w:keepNext w:val="0"/>
              <w:keepLines w:val="0"/>
              <w:suppressLineNumbers w:val="0"/>
              <w:spacing w:before="0" w:beforeAutospacing="0" w:after="0" w:afterAutospacing="0" w:line="360" w:lineRule="auto"/>
              <w:ind w:left="0" w:right="0" w:firstLine="480" w:firstLineChars="200"/>
              <w:jc w:val="left"/>
              <w:rPr>
                <w:rFonts w:hint="eastAsia" w:eastAsia="宋体" w:cs="Times New Roman"/>
                <w:bCs/>
                <w:color w:val="000000" w:themeColor="text1"/>
                <w:sz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r>
    </w:tbl>
    <w:p w14:paraId="3E908619">
      <w:pPr>
        <w:jc w:val="center"/>
        <w:rPr>
          <w:rFonts w:ascii="黑体" w:hAnsi="黑体" w:eastAsia="黑体"/>
          <w:snapToGrid w:val="0"/>
          <w:color w:val="auto"/>
          <w:sz w:val="36"/>
          <w:szCs w:val="36"/>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174FFCF7">
      <w:pPr>
        <w:adjustRightInd w:val="0"/>
        <w:snapToGrid w:val="0"/>
        <w:spacing w:before="0" w:beforeAutospacing="0" w:after="0" w:afterAutospacing="0" w:line="15" w:lineRule="auto"/>
        <w:jc w:val="center"/>
        <w:rPr>
          <w:rFonts w:hint="eastAsia" w:ascii="黑体" w:hAnsi="黑体" w:eastAsia="黑体"/>
          <w:snapToGrid w:val="0"/>
          <w:color w:val="auto"/>
          <w:sz w:val="30"/>
          <w:szCs w:val="30"/>
        </w:rPr>
      </w:pPr>
    </w:p>
    <w:p w14:paraId="35C6FB65">
      <w:pPr>
        <w:pStyle w:val="2"/>
        <w:bidi w:val="0"/>
        <w:rPr>
          <w:color w:val="auto"/>
        </w:rPr>
      </w:pPr>
      <w:bookmarkStart w:id="5" w:name="_Toc29909"/>
      <w:r>
        <w:rPr>
          <w:rFonts w:hint="eastAsia"/>
          <w:color w:val="auto"/>
        </w:rPr>
        <w:t>区域环境质量现状、环境保护目标及评价标准</w:t>
      </w:r>
      <w:bookmarkEnd w:id="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4"/>
      </w:tblGrid>
      <w:tr w14:paraId="53A53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14:paraId="61A096A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p>
        </w:tc>
        <w:tc>
          <w:tcPr>
            <w:tcW w:w="8777" w:type="dxa"/>
            <w:noWrap w:val="0"/>
            <w:vAlign w:val="top"/>
          </w:tcPr>
          <w:p w14:paraId="29492AFD">
            <w:pPr>
              <w:pStyle w:val="3"/>
              <w:keepNext w:val="0"/>
              <w:keepLines w:val="0"/>
              <w:suppressLineNumbers w:val="0"/>
              <w:bidi w:val="0"/>
              <w:ind w:left="0" w:right="0"/>
              <w:rPr>
                <w:rFonts w:hint="default"/>
                <w:color w:val="auto"/>
              </w:rPr>
            </w:pPr>
            <w:r>
              <w:rPr>
                <w:rFonts w:hint="eastAsia"/>
                <w:color w:val="auto"/>
              </w:rPr>
              <w:t>区域环境质量现状</w:t>
            </w:r>
          </w:p>
          <w:p w14:paraId="3266CFB0">
            <w:pPr>
              <w:pStyle w:val="4"/>
              <w:keepNext w:val="0"/>
              <w:keepLines w:val="0"/>
              <w:suppressLineNumbers w:val="0"/>
              <w:bidi w:val="0"/>
              <w:ind w:left="0" w:right="0"/>
              <w:rPr>
                <w:rFonts w:hint="default"/>
                <w:color w:val="auto"/>
              </w:rPr>
            </w:pPr>
            <w:r>
              <w:rPr>
                <w:rFonts w:hint="eastAsia"/>
                <w:color w:val="auto"/>
              </w:rPr>
              <w:t>地表水环境</w:t>
            </w:r>
          </w:p>
          <w:p w14:paraId="05932B19">
            <w:pPr>
              <w:keepNext w:val="0"/>
              <w:keepLines w:val="0"/>
              <w:suppressLineNumbers w:val="0"/>
              <w:spacing w:before="0" w:beforeAutospacing="0" w:after="0" w:afterAutospacing="0" w:line="360" w:lineRule="auto"/>
              <w:ind w:left="0" w:right="0" w:firstLine="480" w:firstLineChars="200"/>
              <w:rPr>
                <w:rFonts w:hint="default"/>
              </w:rPr>
            </w:pPr>
            <w:r>
              <w:rPr>
                <w:rFonts w:hint="eastAsia" w:cs="Times New Roman"/>
                <w:color w:val="auto"/>
                <w:kern w:val="0"/>
                <w:sz w:val="24"/>
              </w:rPr>
              <w:t>（1）环境功能区划及环境质量标准</w:t>
            </w:r>
          </w:p>
          <w:p w14:paraId="7B31FE74">
            <w:pPr>
              <w:keepNext w:val="0"/>
              <w:keepLines w:val="0"/>
              <w:suppressLineNumbers w:val="0"/>
              <w:bidi w:val="0"/>
              <w:spacing w:before="0" w:beforeAutospacing="0" w:after="0" w:afterAutospacing="0"/>
              <w:ind w:left="0" w:right="0"/>
              <w:rPr>
                <w:rFonts w:hint="default"/>
                <w:lang w:eastAsia="zh-CN"/>
              </w:rPr>
            </w:pPr>
            <w:r>
              <w:rPr>
                <w:rFonts w:hint="default"/>
              </w:rPr>
              <w:t>项目周边主要水系为</w:t>
            </w:r>
            <w:r>
              <w:rPr>
                <w:rFonts w:hint="eastAsia"/>
                <w:lang w:eastAsia="zh-CN"/>
              </w:rPr>
              <w:t>淘江及淘江支流，</w:t>
            </w:r>
            <w:r>
              <w:rPr>
                <w:rFonts w:hint="default"/>
              </w:rPr>
              <w:t>根据</w:t>
            </w:r>
            <w:r>
              <w:rPr>
                <w:rFonts w:hint="default"/>
                <w:lang w:eastAsia="zh-CN"/>
              </w:rPr>
              <w:t>福州市人民</w:t>
            </w:r>
            <w:r>
              <w:rPr>
                <w:rFonts w:hint="default"/>
              </w:rPr>
              <w:t>政府</w:t>
            </w:r>
            <w:r>
              <w:rPr>
                <w:rFonts w:hint="default"/>
                <w:lang w:eastAsia="zh-CN"/>
              </w:rPr>
              <w:t>榕政综</w:t>
            </w:r>
            <w:r>
              <w:rPr>
                <w:rFonts w:hint="default"/>
                <w:lang w:val="en-US" w:eastAsia="zh-CN"/>
              </w:rPr>
              <w:t>[</w:t>
            </w:r>
            <w:r>
              <w:rPr>
                <w:rFonts w:hint="default"/>
              </w:rPr>
              <w:t>20</w:t>
            </w:r>
            <w:r>
              <w:rPr>
                <w:rFonts w:hint="default"/>
                <w:lang w:val="en-US" w:eastAsia="zh-CN"/>
              </w:rPr>
              <w:t>19]316</w:t>
            </w:r>
            <w:r>
              <w:rPr>
                <w:rFonts w:hint="default"/>
              </w:rPr>
              <w:t>号批准《福州市</w:t>
            </w:r>
            <w:r>
              <w:rPr>
                <w:rFonts w:hint="default"/>
                <w:lang w:eastAsia="zh-CN"/>
              </w:rPr>
              <w:t>水</w:t>
            </w:r>
            <w:r>
              <w:rPr>
                <w:rFonts w:hint="default"/>
              </w:rPr>
              <w:t>功能区划》，</w:t>
            </w:r>
            <w:r>
              <w:rPr>
                <w:rFonts w:hint="eastAsia"/>
                <w:lang w:eastAsia="zh-CN"/>
              </w:rPr>
              <w:t>该断面水体为工业、景观用水，水质保护目标</w:t>
            </w:r>
            <w:r>
              <w:rPr>
                <w:rFonts w:hint="default"/>
              </w:rPr>
              <w:t>为Ⅲ类</w:t>
            </w:r>
            <w:r>
              <w:rPr>
                <w:rFonts w:hint="eastAsia"/>
                <w:lang w:eastAsia="zh-CN"/>
              </w:rPr>
              <w:t>，执行</w:t>
            </w:r>
            <w:r>
              <w:rPr>
                <w:rFonts w:hint="default"/>
              </w:rPr>
              <w:t>《地表水环境质量标准》(GB3838-2002)中Ⅲ类标准，详见表3.</w:t>
            </w:r>
            <w:r>
              <w:rPr>
                <w:rFonts w:hint="eastAsia"/>
                <w:lang w:val="en-US" w:eastAsia="zh-CN"/>
              </w:rPr>
              <w:t>1</w:t>
            </w:r>
            <w:r>
              <w:rPr>
                <w:rFonts w:hint="default"/>
              </w:rPr>
              <w:t>-1。</w:t>
            </w:r>
          </w:p>
          <w:p w14:paraId="6D1961A5">
            <w:pPr>
              <w:pStyle w:val="36"/>
              <w:keepNext w:val="0"/>
              <w:keepLines w:val="0"/>
              <w:suppressLineNumbers w:val="0"/>
              <w:bidi w:val="0"/>
              <w:spacing w:beforeAutospacing="0" w:after="0" w:afterAutospacing="0"/>
              <w:ind w:left="0" w:right="0"/>
              <w:rPr>
                <w:rFonts w:hint="default"/>
              </w:rPr>
            </w:pPr>
            <w:r>
              <w:rPr>
                <w:rFonts w:hint="default"/>
              </w:rPr>
              <w:t xml:space="preserve">地表水环境质量标准  </w:t>
            </w:r>
          </w:p>
          <w:p w14:paraId="0ABFB0A9">
            <w:pPr>
              <w:pStyle w:val="38"/>
              <w:keepNext w:val="0"/>
              <w:keepLines w:val="0"/>
              <w:suppressLineNumbers w:val="0"/>
              <w:bidi w:val="0"/>
              <w:spacing w:before="0" w:beforeAutospacing="0" w:after="0" w:afterAutospacing="0"/>
              <w:ind w:left="0" w:right="0"/>
              <w:jc w:val="right"/>
              <w:rPr>
                <w:rFonts w:hint="default"/>
              </w:rPr>
            </w:pPr>
            <w:r>
              <w:rPr>
                <w:rFonts w:hint="default"/>
              </w:rPr>
              <w:t>单位：mg/L</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05"/>
              <w:gridCol w:w="3307"/>
              <w:gridCol w:w="1272"/>
              <w:gridCol w:w="1012"/>
              <w:gridCol w:w="1010"/>
              <w:gridCol w:w="1012"/>
            </w:tblGrid>
            <w:tr w14:paraId="2609B7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exact"/>
                <w:jc w:val="center"/>
              </w:trPr>
              <w:tc>
                <w:tcPr>
                  <w:tcW w:w="583" w:type="pct"/>
                  <w:shd w:val="clear" w:color="auto" w:fill="auto"/>
                  <w:noWrap w:val="0"/>
                  <w:vAlign w:val="center"/>
                </w:tcPr>
                <w:p w14:paraId="14B11C84">
                  <w:pPr>
                    <w:pStyle w:val="33"/>
                    <w:keepNext w:val="0"/>
                    <w:keepLines w:val="0"/>
                    <w:suppressLineNumbers w:val="0"/>
                    <w:bidi w:val="0"/>
                    <w:spacing w:before="0" w:beforeAutospacing="0" w:after="0" w:afterAutospacing="0"/>
                    <w:ind w:left="0" w:right="0"/>
                    <w:rPr>
                      <w:rFonts w:hint="default"/>
                    </w:rPr>
                  </w:pPr>
                  <w:r>
                    <w:rPr>
                      <w:rFonts w:hint="default"/>
                    </w:rPr>
                    <w:t>序号</w:t>
                  </w:r>
                </w:p>
              </w:tc>
              <w:tc>
                <w:tcPr>
                  <w:tcW w:w="1918" w:type="pct"/>
                  <w:shd w:val="clear" w:color="auto" w:fill="auto"/>
                  <w:noWrap w:val="0"/>
                  <w:vAlign w:val="center"/>
                </w:tcPr>
                <w:p w14:paraId="4EF777B9">
                  <w:pPr>
                    <w:pStyle w:val="33"/>
                    <w:keepNext w:val="0"/>
                    <w:keepLines w:val="0"/>
                    <w:suppressLineNumbers w:val="0"/>
                    <w:bidi w:val="0"/>
                    <w:spacing w:before="0" w:beforeAutospacing="0" w:after="0" w:afterAutospacing="0"/>
                    <w:ind w:left="0" w:right="0"/>
                    <w:rPr>
                      <w:rFonts w:hint="default"/>
                    </w:rPr>
                  </w:pPr>
                  <w:r>
                    <w:rPr>
                      <w:rFonts w:hint="default"/>
                    </w:rPr>
                    <w:t>项目</w:t>
                  </w:r>
                </w:p>
              </w:tc>
              <w:tc>
                <w:tcPr>
                  <w:tcW w:w="738" w:type="pct"/>
                  <w:shd w:val="clear" w:color="auto" w:fill="auto"/>
                  <w:noWrap w:val="0"/>
                  <w:vAlign w:val="center"/>
                </w:tcPr>
                <w:p w14:paraId="500EDADE">
                  <w:pPr>
                    <w:pStyle w:val="33"/>
                    <w:keepNext w:val="0"/>
                    <w:keepLines w:val="0"/>
                    <w:suppressLineNumbers w:val="0"/>
                    <w:bidi w:val="0"/>
                    <w:spacing w:before="0" w:beforeAutospacing="0" w:after="0" w:afterAutospacing="0"/>
                    <w:ind w:left="0" w:right="0"/>
                    <w:rPr>
                      <w:rFonts w:hint="default"/>
                    </w:rPr>
                  </w:pPr>
                  <w:r>
                    <w:rPr>
                      <w:rFonts w:hint="default"/>
                    </w:rPr>
                    <w:t>Ⅱ类</w:t>
                  </w:r>
                </w:p>
              </w:tc>
              <w:tc>
                <w:tcPr>
                  <w:tcW w:w="587" w:type="pct"/>
                  <w:shd w:val="clear" w:color="auto" w:fill="F1F1F1"/>
                  <w:noWrap w:val="0"/>
                  <w:vAlign w:val="center"/>
                </w:tcPr>
                <w:p w14:paraId="52FECF9A">
                  <w:pPr>
                    <w:pStyle w:val="33"/>
                    <w:keepNext w:val="0"/>
                    <w:keepLines w:val="0"/>
                    <w:suppressLineNumbers w:val="0"/>
                    <w:bidi w:val="0"/>
                    <w:spacing w:before="0" w:beforeAutospacing="0" w:after="0" w:afterAutospacing="0"/>
                    <w:ind w:left="0" w:right="0"/>
                    <w:rPr>
                      <w:rFonts w:hint="default"/>
                    </w:rPr>
                  </w:pPr>
                  <w:r>
                    <w:rPr>
                      <w:rFonts w:hint="default"/>
                    </w:rPr>
                    <w:t>Ⅲ类</w:t>
                  </w:r>
                </w:p>
              </w:tc>
              <w:tc>
                <w:tcPr>
                  <w:tcW w:w="586" w:type="pct"/>
                  <w:noWrap w:val="0"/>
                  <w:vAlign w:val="center"/>
                </w:tcPr>
                <w:p w14:paraId="043DA357">
                  <w:pPr>
                    <w:pStyle w:val="33"/>
                    <w:keepNext w:val="0"/>
                    <w:keepLines w:val="0"/>
                    <w:suppressLineNumbers w:val="0"/>
                    <w:bidi w:val="0"/>
                    <w:spacing w:before="0" w:beforeAutospacing="0" w:after="0" w:afterAutospacing="0"/>
                    <w:ind w:left="0" w:right="0"/>
                    <w:rPr>
                      <w:rFonts w:hint="default"/>
                    </w:rPr>
                  </w:pPr>
                  <w:r>
                    <w:rPr>
                      <w:rFonts w:hint="default"/>
                    </w:rPr>
                    <w:t>Ⅳ类</w:t>
                  </w:r>
                </w:p>
              </w:tc>
              <w:tc>
                <w:tcPr>
                  <w:tcW w:w="586" w:type="pct"/>
                  <w:noWrap w:val="0"/>
                  <w:vAlign w:val="center"/>
                </w:tcPr>
                <w:p w14:paraId="4280DB1C">
                  <w:pPr>
                    <w:pStyle w:val="33"/>
                    <w:keepNext w:val="0"/>
                    <w:keepLines w:val="0"/>
                    <w:suppressLineNumbers w:val="0"/>
                    <w:bidi w:val="0"/>
                    <w:spacing w:before="0" w:beforeAutospacing="0" w:after="0" w:afterAutospacing="0"/>
                    <w:ind w:left="0" w:right="0"/>
                    <w:rPr>
                      <w:rFonts w:hint="default"/>
                    </w:rPr>
                  </w:pPr>
                  <w:r>
                    <w:rPr>
                      <w:rFonts w:hint="default"/>
                    </w:rPr>
                    <w:t>Ⅴ类</w:t>
                  </w:r>
                </w:p>
              </w:tc>
            </w:tr>
            <w:tr w14:paraId="04878D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3CE4E64B">
                  <w:pPr>
                    <w:pStyle w:val="33"/>
                    <w:keepNext w:val="0"/>
                    <w:keepLines w:val="0"/>
                    <w:suppressLineNumbers w:val="0"/>
                    <w:bidi w:val="0"/>
                    <w:spacing w:before="0" w:beforeAutospacing="0" w:after="0" w:afterAutospacing="0"/>
                    <w:ind w:left="0" w:right="0"/>
                    <w:rPr>
                      <w:rFonts w:hint="default"/>
                    </w:rPr>
                  </w:pPr>
                  <w:r>
                    <w:rPr>
                      <w:rFonts w:hint="default"/>
                    </w:rPr>
                    <w:t>1</w:t>
                  </w:r>
                </w:p>
              </w:tc>
              <w:tc>
                <w:tcPr>
                  <w:tcW w:w="1918" w:type="pct"/>
                  <w:shd w:val="clear" w:color="auto" w:fill="auto"/>
                  <w:noWrap w:val="0"/>
                  <w:vAlign w:val="center"/>
                </w:tcPr>
                <w:p w14:paraId="1B5FF300">
                  <w:pPr>
                    <w:pStyle w:val="33"/>
                    <w:keepNext w:val="0"/>
                    <w:keepLines w:val="0"/>
                    <w:suppressLineNumbers w:val="0"/>
                    <w:bidi w:val="0"/>
                    <w:spacing w:before="0" w:beforeAutospacing="0" w:after="0" w:afterAutospacing="0"/>
                    <w:ind w:left="0" w:right="0"/>
                    <w:rPr>
                      <w:rFonts w:hint="default"/>
                    </w:rPr>
                  </w:pPr>
                  <w:r>
                    <w:rPr>
                      <w:rFonts w:hint="default"/>
                    </w:rPr>
                    <w:t>pH(无量纲)</w:t>
                  </w:r>
                </w:p>
              </w:tc>
              <w:tc>
                <w:tcPr>
                  <w:tcW w:w="2498" w:type="pct"/>
                  <w:gridSpan w:val="4"/>
                  <w:shd w:val="clear" w:color="auto" w:fill="F1F1F1"/>
                  <w:noWrap w:val="0"/>
                  <w:vAlign w:val="center"/>
                </w:tcPr>
                <w:p w14:paraId="4C02CFA8">
                  <w:pPr>
                    <w:pStyle w:val="33"/>
                    <w:keepNext w:val="0"/>
                    <w:keepLines w:val="0"/>
                    <w:suppressLineNumbers w:val="0"/>
                    <w:bidi w:val="0"/>
                    <w:spacing w:before="0" w:beforeAutospacing="0" w:after="0" w:afterAutospacing="0"/>
                    <w:ind w:left="0" w:right="0"/>
                    <w:rPr>
                      <w:rFonts w:hint="default"/>
                    </w:rPr>
                  </w:pPr>
                  <w:r>
                    <w:rPr>
                      <w:rFonts w:hint="default"/>
                    </w:rPr>
                    <w:t>6</w:t>
                  </w:r>
                  <w:r>
                    <w:rPr>
                      <w:rFonts w:hint="eastAsia"/>
                      <w:lang w:eastAsia="zh-CN"/>
                    </w:rPr>
                    <w:t>~</w:t>
                  </w:r>
                  <w:r>
                    <w:rPr>
                      <w:rFonts w:hint="default"/>
                    </w:rPr>
                    <w:t>9</w:t>
                  </w:r>
                </w:p>
              </w:tc>
            </w:tr>
            <w:tr w14:paraId="13DC62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59DF8310">
                  <w:pPr>
                    <w:pStyle w:val="33"/>
                    <w:keepNext w:val="0"/>
                    <w:keepLines w:val="0"/>
                    <w:suppressLineNumbers w:val="0"/>
                    <w:bidi w:val="0"/>
                    <w:spacing w:before="0" w:beforeAutospacing="0" w:after="0" w:afterAutospacing="0"/>
                    <w:ind w:left="0" w:right="0"/>
                    <w:rPr>
                      <w:rFonts w:hint="default"/>
                    </w:rPr>
                  </w:pPr>
                  <w:r>
                    <w:rPr>
                      <w:rFonts w:hint="default"/>
                    </w:rPr>
                    <w:t>2</w:t>
                  </w:r>
                </w:p>
              </w:tc>
              <w:tc>
                <w:tcPr>
                  <w:tcW w:w="1918" w:type="pct"/>
                  <w:shd w:val="clear" w:color="auto" w:fill="auto"/>
                  <w:noWrap w:val="0"/>
                  <w:vAlign w:val="center"/>
                </w:tcPr>
                <w:p w14:paraId="652843C9">
                  <w:pPr>
                    <w:pStyle w:val="33"/>
                    <w:keepNext w:val="0"/>
                    <w:keepLines w:val="0"/>
                    <w:suppressLineNumbers w:val="0"/>
                    <w:bidi w:val="0"/>
                    <w:spacing w:before="0" w:beforeAutospacing="0" w:after="0" w:afterAutospacing="0"/>
                    <w:ind w:left="0" w:right="0"/>
                    <w:rPr>
                      <w:rFonts w:hint="default"/>
                    </w:rPr>
                  </w:pPr>
                  <w:r>
                    <w:rPr>
                      <w:rFonts w:hint="default"/>
                    </w:rPr>
                    <w:t>溶解氧≥</w:t>
                  </w:r>
                </w:p>
              </w:tc>
              <w:tc>
                <w:tcPr>
                  <w:tcW w:w="738" w:type="pct"/>
                  <w:shd w:val="clear" w:color="auto" w:fill="auto"/>
                  <w:noWrap w:val="0"/>
                  <w:vAlign w:val="center"/>
                </w:tcPr>
                <w:p w14:paraId="589D0698">
                  <w:pPr>
                    <w:pStyle w:val="33"/>
                    <w:keepNext w:val="0"/>
                    <w:keepLines w:val="0"/>
                    <w:suppressLineNumbers w:val="0"/>
                    <w:bidi w:val="0"/>
                    <w:spacing w:before="0" w:beforeAutospacing="0" w:after="0" w:afterAutospacing="0"/>
                    <w:ind w:left="0" w:right="0"/>
                    <w:rPr>
                      <w:rFonts w:hint="default"/>
                    </w:rPr>
                  </w:pPr>
                  <w:r>
                    <w:rPr>
                      <w:rFonts w:hint="default"/>
                    </w:rPr>
                    <w:t>6</w:t>
                  </w:r>
                </w:p>
              </w:tc>
              <w:tc>
                <w:tcPr>
                  <w:tcW w:w="587" w:type="pct"/>
                  <w:shd w:val="clear" w:color="auto" w:fill="F1F1F1"/>
                  <w:noWrap w:val="0"/>
                  <w:vAlign w:val="center"/>
                </w:tcPr>
                <w:p w14:paraId="40B7B6F0">
                  <w:pPr>
                    <w:pStyle w:val="33"/>
                    <w:keepNext w:val="0"/>
                    <w:keepLines w:val="0"/>
                    <w:suppressLineNumbers w:val="0"/>
                    <w:bidi w:val="0"/>
                    <w:spacing w:before="0" w:beforeAutospacing="0" w:after="0" w:afterAutospacing="0"/>
                    <w:ind w:left="0" w:right="0"/>
                    <w:rPr>
                      <w:rFonts w:hint="default"/>
                    </w:rPr>
                  </w:pPr>
                  <w:r>
                    <w:rPr>
                      <w:rFonts w:hint="default"/>
                    </w:rPr>
                    <w:t>5</w:t>
                  </w:r>
                </w:p>
              </w:tc>
              <w:tc>
                <w:tcPr>
                  <w:tcW w:w="586" w:type="pct"/>
                  <w:noWrap w:val="0"/>
                  <w:vAlign w:val="center"/>
                </w:tcPr>
                <w:p w14:paraId="1398B825">
                  <w:pPr>
                    <w:pStyle w:val="33"/>
                    <w:keepNext w:val="0"/>
                    <w:keepLines w:val="0"/>
                    <w:suppressLineNumbers w:val="0"/>
                    <w:bidi w:val="0"/>
                    <w:spacing w:before="0" w:beforeAutospacing="0" w:after="0" w:afterAutospacing="0"/>
                    <w:ind w:left="0" w:right="0"/>
                    <w:rPr>
                      <w:rFonts w:hint="default"/>
                    </w:rPr>
                  </w:pPr>
                  <w:r>
                    <w:rPr>
                      <w:rFonts w:hint="default"/>
                    </w:rPr>
                    <w:t>3</w:t>
                  </w:r>
                </w:p>
              </w:tc>
              <w:tc>
                <w:tcPr>
                  <w:tcW w:w="586" w:type="pct"/>
                  <w:noWrap w:val="0"/>
                  <w:vAlign w:val="center"/>
                </w:tcPr>
                <w:p w14:paraId="465AB95A">
                  <w:pPr>
                    <w:pStyle w:val="33"/>
                    <w:keepNext w:val="0"/>
                    <w:keepLines w:val="0"/>
                    <w:suppressLineNumbers w:val="0"/>
                    <w:bidi w:val="0"/>
                    <w:spacing w:before="0" w:beforeAutospacing="0" w:after="0" w:afterAutospacing="0"/>
                    <w:ind w:left="0" w:right="0"/>
                    <w:rPr>
                      <w:rFonts w:hint="default"/>
                    </w:rPr>
                  </w:pPr>
                  <w:r>
                    <w:rPr>
                      <w:rFonts w:hint="default"/>
                    </w:rPr>
                    <w:t>2</w:t>
                  </w:r>
                </w:p>
              </w:tc>
            </w:tr>
            <w:tr w14:paraId="08D442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6815EFA4">
                  <w:pPr>
                    <w:pStyle w:val="33"/>
                    <w:keepNext w:val="0"/>
                    <w:keepLines w:val="0"/>
                    <w:suppressLineNumbers w:val="0"/>
                    <w:bidi w:val="0"/>
                    <w:spacing w:before="0" w:beforeAutospacing="0" w:after="0" w:afterAutospacing="0"/>
                    <w:ind w:left="0" w:right="0"/>
                    <w:rPr>
                      <w:rFonts w:hint="default"/>
                    </w:rPr>
                  </w:pPr>
                  <w:r>
                    <w:rPr>
                      <w:rFonts w:hint="default"/>
                    </w:rPr>
                    <w:t>3</w:t>
                  </w:r>
                </w:p>
              </w:tc>
              <w:tc>
                <w:tcPr>
                  <w:tcW w:w="1918" w:type="pct"/>
                  <w:shd w:val="clear" w:color="auto" w:fill="auto"/>
                  <w:noWrap w:val="0"/>
                  <w:vAlign w:val="center"/>
                </w:tcPr>
                <w:p w14:paraId="21AFE6B7">
                  <w:pPr>
                    <w:pStyle w:val="33"/>
                    <w:keepNext w:val="0"/>
                    <w:keepLines w:val="0"/>
                    <w:suppressLineNumbers w:val="0"/>
                    <w:bidi w:val="0"/>
                    <w:spacing w:before="0" w:beforeAutospacing="0" w:after="0" w:afterAutospacing="0"/>
                    <w:ind w:left="0" w:right="0"/>
                    <w:rPr>
                      <w:rFonts w:hint="default"/>
                    </w:rPr>
                  </w:pPr>
                  <w:r>
                    <w:rPr>
                      <w:rFonts w:hint="default"/>
                    </w:rPr>
                    <w:t>高锰酸盐指数≤</w:t>
                  </w:r>
                </w:p>
              </w:tc>
              <w:tc>
                <w:tcPr>
                  <w:tcW w:w="738" w:type="pct"/>
                  <w:shd w:val="clear" w:color="auto" w:fill="auto"/>
                  <w:noWrap w:val="0"/>
                  <w:vAlign w:val="center"/>
                </w:tcPr>
                <w:p w14:paraId="7BCFD64F">
                  <w:pPr>
                    <w:pStyle w:val="33"/>
                    <w:keepNext w:val="0"/>
                    <w:keepLines w:val="0"/>
                    <w:suppressLineNumbers w:val="0"/>
                    <w:bidi w:val="0"/>
                    <w:spacing w:before="0" w:beforeAutospacing="0" w:after="0" w:afterAutospacing="0"/>
                    <w:ind w:left="0" w:right="0"/>
                    <w:rPr>
                      <w:rFonts w:hint="default"/>
                    </w:rPr>
                  </w:pPr>
                  <w:r>
                    <w:rPr>
                      <w:rFonts w:hint="default"/>
                    </w:rPr>
                    <w:t>4</w:t>
                  </w:r>
                </w:p>
              </w:tc>
              <w:tc>
                <w:tcPr>
                  <w:tcW w:w="587" w:type="pct"/>
                  <w:shd w:val="clear" w:color="auto" w:fill="F1F1F1"/>
                  <w:noWrap w:val="0"/>
                  <w:vAlign w:val="center"/>
                </w:tcPr>
                <w:p w14:paraId="0DEF7D86">
                  <w:pPr>
                    <w:pStyle w:val="33"/>
                    <w:keepNext w:val="0"/>
                    <w:keepLines w:val="0"/>
                    <w:suppressLineNumbers w:val="0"/>
                    <w:bidi w:val="0"/>
                    <w:spacing w:before="0" w:beforeAutospacing="0" w:after="0" w:afterAutospacing="0"/>
                    <w:ind w:left="0" w:right="0"/>
                    <w:rPr>
                      <w:rFonts w:hint="default"/>
                    </w:rPr>
                  </w:pPr>
                  <w:r>
                    <w:rPr>
                      <w:rFonts w:hint="default"/>
                    </w:rPr>
                    <w:t>6</w:t>
                  </w:r>
                </w:p>
              </w:tc>
              <w:tc>
                <w:tcPr>
                  <w:tcW w:w="586" w:type="pct"/>
                  <w:noWrap w:val="0"/>
                  <w:vAlign w:val="center"/>
                </w:tcPr>
                <w:p w14:paraId="33A33F3E">
                  <w:pPr>
                    <w:pStyle w:val="33"/>
                    <w:keepNext w:val="0"/>
                    <w:keepLines w:val="0"/>
                    <w:suppressLineNumbers w:val="0"/>
                    <w:bidi w:val="0"/>
                    <w:spacing w:before="0" w:beforeAutospacing="0" w:after="0" w:afterAutospacing="0"/>
                    <w:ind w:left="0" w:right="0"/>
                    <w:rPr>
                      <w:rFonts w:hint="default"/>
                    </w:rPr>
                  </w:pPr>
                  <w:r>
                    <w:rPr>
                      <w:rFonts w:hint="default"/>
                    </w:rPr>
                    <w:t>10</w:t>
                  </w:r>
                </w:p>
              </w:tc>
              <w:tc>
                <w:tcPr>
                  <w:tcW w:w="586" w:type="pct"/>
                  <w:noWrap w:val="0"/>
                  <w:vAlign w:val="center"/>
                </w:tcPr>
                <w:p w14:paraId="19DDA655">
                  <w:pPr>
                    <w:pStyle w:val="33"/>
                    <w:keepNext w:val="0"/>
                    <w:keepLines w:val="0"/>
                    <w:suppressLineNumbers w:val="0"/>
                    <w:bidi w:val="0"/>
                    <w:spacing w:before="0" w:beforeAutospacing="0" w:after="0" w:afterAutospacing="0"/>
                    <w:ind w:left="0" w:right="0"/>
                    <w:rPr>
                      <w:rFonts w:hint="default"/>
                    </w:rPr>
                  </w:pPr>
                  <w:r>
                    <w:rPr>
                      <w:rFonts w:hint="default"/>
                    </w:rPr>
                    <w:t>15</w:t>
                  </w:r>
                </w:p>
              </w:tc>
            </w:tr>
            <w:tr w14:paraId="5DF0E5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05571593">
                  <w:pPr>
                    <w:pStyle w:val="33"/>
                    <w:keepNext w:val="0"/>
                    <w:keepLines w:val="0"/>
                    <w:suppressLineNumbers w:val="0"/>
                    <w:bidi w:val="0"/>
                    <w:spacing w:before="0" w:beforeAutospacing="0" w:after="0" w:afterAutospacing="0"/>
                    <w:ind w:left="0" w:right="0"/>
                    <w:rPr>
                      <w:rFonts w:hint="default"/>
                    </w:rPr>
                  </w:pPr>
                  <w:r>
                    <w:rPr>
                      <w:rFonts w:hint="default"/>
                    </w:rPr>
                    <w:t>4</w:t>
                  </w:r>
                </w:p>
              </w:tc>
              <w:tc>
                <w:tcPr>
                  <w:tcW w:w="1918" w:type="pct"/>
                  <w:shd w:val="clear" w:color="auto" w:fill="auto"/>
                  <w:noWrap w:val="0"/>
                  <w:vAlign w:val="center"/>
                </w:tcPr>
                <w:p w14:paraId="242B4851">
                  <w:pPr>
                    <w:pStyle w:val="33"/>
                    <w:keepNext w:val="0"/>
                    <w:keepLines w:val="0"/>
                    <w:suppressLineNumbers w:val="0"/>
                    <w:bidi w:val="0"/>
                    <w:spacing w:before="0" w:beforeAutospacing="0" w:after="0" w:afterAutospacing="0"/>
                    <w:ind w:left="0" w:right="0"/>
                    <w:rPr>
                      <w:rFonts w:hint="default"/>
                    </w:rPr>
                  </w:pPr>
                  <w:r>
                    <w:rPr>
                      <w:rFonts w:hint="default"/>
                    </w:rPr>
                    <w:t>化学需氧量(COD)≤</w:t>
                  </w:r>
                </w:p>
              </w:tc>
              <w:tc>
                <w:tcPr>
                  <w:tcW w:w="738" w:type="pct"/>
                  <w:shd w:val="clear" w:color="auto" w:fill="auto"/>
                  <w:noWrap w:val="0"/>
                  <w:vAlign w:val="center"/>
                </w:tcPr>
                <w:p w14:paraId="687B9715">
                  <w:pPr>
                    <w:pStyle w:val="33"/>
                    <w:keepNext w:val="0"/>
                    <w:keepLines w:val="0"/>
                    <w:suppressLineNumbers w:val="0"/>
                    <w:bidi w:val="0"/>
                    <w:spacing w:before="0" w:beforeAutospacing="0" w:after="0" w:afterAutospacing="0"/>
                    <w:ind w:left="0" w:right="0"/>
                    <w:rPr>
                      <w:rFonts w:hint="default"/>
                    </w:rPr>
                  </w:pPr>
                  <w:r>
                    <w:rPr>
                      <w:rFonts w:hint="default"/>
                    </w:rPr>
                    <w:t>15</w:t>
                  </w:r>
                </w:p>
              </w:tc>
              <w:tc>
                <w:tcPr>
                  <w:tcW w:w="587" w:type="pct"/>
                  <w:shd w:val="clear" w:color="auto" w:fill="F1F1F1"/>
                  <w:noWrap w:val="0"/>
                  <w:vAlign w:val="center"/>
                </w:tcPr>
                <w:p w14:paraId="228B11AF">
                  <w:pPr>
                    <w:pStyle w:val="33"/>
                    <w:keepNext w:val="0"/>
                    <w:keepLines w:val="0"/>
                    <w:suppressLineNumbers w:val="0"/>
                    <w:bidi w:val="0"/>
                    <w:spacing w:before="0" w:beforeAutospacing="0" w:after="0" w:afterAutospacing="0"/>
                    <w:ind w:left="0" w:right="0"/>
                    <w:rPr>
                      <w:rFonts w:hint="default"/>
                    </w:rPr>
                  </w:pPr>
                  <w:r>
                    <w:rPr>
                      <w:rFonts w:hint="default"/>
                    </w:rPr>
                    <w:t>20</w:t>
                  </w:r>
                </w:p>
              </w:tc>
              <w:tc>
                <w:tcPr>
                  <w:tcW w:w="586" w:type="pct"/>
                  <w:noWrap w:val="0"/>
                  <w:vAlign w:val="center"/>
                </w:tcPr>
                <w:p w14:paraId="1179E31B">
                  <w:pPr>
                    <w:pStyle w:val="33"/>
                    <w:keepNext w:val="0"/>
                    <w:keepLines w:val="0"/>
                    <w:suppressLineNumbers w:val="0"/>
                    <w:bidi w:val="0"/>
                    <w:spacing w:before="0" w:beforeAutospacing="0" w:after="0" w:afterAutospacing="0"/>
                    <w:ind w:left="0" w:right="0"/>
                    <w:rPr>
                      <w:rFonts w:hint="default"/>
                    </w:rPr>
                  </w:pPr>
                  <w:r>
                    <w:rPr>
                      <w:rFonts w:hint="default"/>
                    </w:rPr>
                    <w:t>30</w:t>
                  </w:r>
                </w:p>
              </w:tc>
              <w:tc>
                <w:tcPr>
                  <w:tcW w:w="586" w:type="pct"/>
                  <w:noWrap w:val="0"/>
                  <w:vAlign w:val="center"/>
                </w:tcPr>
                <w:p w14:paraId="77674D1D">
                  <w:pPr>
                    <w:pStyle w:val="33"/>
                    <w:keepNext w:val="0"/>
                    <w:keepLines w:val="0"/>
                    <w:suppressLineNumbers w:val="0"/>
                    <w:bidi w:val="0"/>
                    <w:spacing w:before="0" w:beforeAutospacing="0" w:after="0" w:afterAutospacing="0"/>
                    <w:ind w:left="0" w:right="0"/>
                    <w:rPr>
                      <w:rFonts w:hint="default"/>
                    </w:rPr>
                  </w:pPr>
                  <w:r>
                    <w:rPr>
                      <w:rFonts w:hint="default"/>
                    </w:rPr>
                    <w:t>40</w:t>
                  </w:r>
                </w:p>
              </w:tc>
            </w:tr>
            <w:tr w14:paraId="3DBB10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71B6029D">
                  <w:pPr>
                    <w:pStyle w:val="33"/>
                    <w:keepNext w:val="0"/>
                    <w:keepLines w:val="0"/>
                    <w:suppressLineNumbers w:val="0"/>
                    <w:bidi w:val="0"/>
                    <w:spacing w:before="0" w:beforeAutospacing="0" w:after="0" w:afterAutospacing="0"/>
                    <w:ind w:left="0" w:right="0"/>
                    <w:rPr>
                      <w:rFonts w:hint="default"/>
                    </w:rPr>
                  </w:pPr>
                  <w:r>
                    <w:rPr>
                      <w:rFonts w:hint="default"/>
                    </w:rPr>
                    <w:t>5</w:t>
                  </w:r>
                </w:p>
              </w:tc>
              <w:tc>
                <w:tcPr>
                  <w:tcW w:w="1918" w:type="pct"/>
                  <w:shd w:val="clear" w:color="auto" w:fill="auto"/>
                  <w:noWrap w:val="0"/>
                  <w:vAlign w:val="center"/>
                </w:tcPr>
                <w:p w14:paraId="027D2A71">
                  <w:pPr>
                    <w:pStyle w:val="33"/>
                    <w:keepNext w:val="0"/>
                    <w:keepLines w:val="0"/>
                    <w:suppressLineNumbers w:val="0"/>
                    <w:bidi w:val="0"/>
                    <w:spacing w:before="0" w:beforeAutospacing="0" w:after="0" w:afterAutospacing="0"/>
                    <w:ind w:left="0" w:right="0"/>
                    <w:rPr>
                      <w:rFonts w:hint="default"/>
                    </w:rPr>
                  </w:pPr>
                  <w:r>
                    <w:rPr>
                      <w:rFonts w:hint="default"/>
                    </w:rPr>
                    <w:t>氨氮(NH3-N)≤</w:t>
                  </w:r>
                </w:p>
              </w:tc>
              <w:tc>
                <w:tcPr>
                  <w:tcW w:w="738" w:type="pct"/>
                  <w:shd w:val="clear" w:color="auto" w:fill="auto"/>
                  <w:noWrap w:val="0"/>
                  <w:vAlign w:val="center"/>
                </w:tcPr>
                <w:p w14:paraId="4E584640">
                  <w:pPr>
                    <w:pStyle w:val="33"/>
                    <w:keepNext w:val="0"/>
                    <w:keepLines w:val="0"/>
                    <w:suppressLineNumbers w:val="0"/>
                    <w:bidi w:val="0"/>
                    <w:spacing w:before="0" w:beforeAutospacing="0" w:after="0" w:afterAutospacing="0"/>
                    <w:ind w:left="0" w:right="0"/>
                    <w:rPr>
                      <w:rFonts w:hint="default"/>
                    </w:rPr>
                  </w:pPr>
                  <w:r>
                    <w:rPr>
                      <w:rFonts w:hint="default"/>
                    </w:rPr>
                    <w:t>0.5</w:t>
                  </w:r>
                </w:p>
              </w:tc>
              <w:tc>
                <w:tcPr>
                  <w:tcW w:w="587" w:type="pct"/>
                  <w:shd w:val="clear" w:color="auto" w:fill="F1F1F1"/>
                  <w:noWrap w:val="0"/>
                  <w:vAlign w:val="center"/>
                </w:tcPr>
                <w:p w14:paraId="6ADBDC2F">
                  <w:pPr>
                    <w:pStyle w:val="33"/>
                    <w:keepNext w:val="0"/>
                    <w:keepLines w:val="0"/>
                    <w:suppressLineNumbers w:val="0"/>
                    <w:bidi w:val="0"/>
                    <w:spacing w:before="0" w:beforeAutospacing="0" w:after="0" w:afterAutospacing="0"/>
                    <w:ind w:left="0" w:right="0"/>
                    <w:rPr>
                      <w:rFonts w:hint="default"/>
                    </w:rPr>
                  </w:pPr>
                  <w:r>
                    <w:rPr>
                      <w:rFonts w:hint="default"/>
                    </w:rPr>
                    <w:t>1.0</w:t>
                  </w:r>
                </w:p>
              </w:tc>
              <w:tc>
                <w:tcPr>
                  <w:tcW w:w="586" w:type="pct"/>
                  <w:noWrap w:val="0"/>
                  <w:vAlign w:val="center"/>
                </w:tcPr>
                <w:p w14:paraId="05F10832">
                  <w:pPr>
                    <w:pStyle w:val="33"/>
                    <w:keepNext w:val="0"/>
                    <w:keepLines w:val="0"/>
                    <w:suppressLineNumbers w:val="0"/>
                    <w:bidi w:val="0"/>
                    <w:spacing w:before="0" w:beforeAutospacing="0" w:after="0" w:afterAutospacing="0"/>
                    <w:ind w:left="0" w:right="0"/>
                    <w:rPr>
                      <w:rFonts w:hint="default"/>
                    </w:rPr>
                  </w:pPr>
                  <w:r>
                    <w:rPr>
                      <w:rFonts w:hint="default"/>
                    </w:rPr>
                    <w:t>1.5</w:t>
                  </w:r>
                </w:p>
              </w:tc>
              <w:tc>
                <w:tcPr>
                  <w:tcW w:w="586" w:type="pct"/>
                  <w:noWrap w:val="0"/>
                  <w:vAlign w:val="center"/>
                </w:tcPr>
                <w:p w14:paraId="3A027198">
                  <w:pPr>
                    <w:pStyle w:val="33"/>
                    <w:keepNext w:val="0"/>
                    <w:keepLines w:val="0"/>
                    <w:suppressLineNumbers w:val="0"/>
                    <w:bidi w:val="0"/>
                    <w:spacing w:before="0" w:beforeAutospacing="0" w:after="0" w:afterAutospacing="0"/>
                    <w:ind w:left="0" w:right="0"/>
                    <w:rPr>
                      <w:rFonts w:hint="default"/>
                    </w:rPr>
                  </w:pPr>
                  <w:r>
                    <w:rPr>
                      <w:rFonts w:hint="default"/>
                    </w:rPr>
                    <w:t>2.0</w:t>
                  </w:r>
                </w:p>
              </w:tc>
            </w:tr>
            <w:tr w14:paraId="0EB366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3" w:type="pct"/>
                  <w:shd w:val="clear" w:color="auto" w:fill="auto"/>
                  <w:noWrap w:val="0"/>
                  <w:vAlign w:val="center"/>
                </w:tcPr>
                <w:p w14:paraId="753DBE67">
                  <w:pPr>
                    <w:pStyle w:val="33"/>
                    <w:keepNext w:val="0"/>
                    <w:keepLines w:val="0"/>
                    <w:suppressLineNumbers w:val="0"/>
                    <w:bidi w:val="0"/>
                    <w:spacing w:before="0" w:beforeAutospacing="0" w:after="0" w:afterAutospacing="0"/>
                    <w:ind w:left="0" w:right="0"/>
                    <w:rPr>
                      <w:rFonts w:hint="default"/>
                    </w:rPr>
                  </w:pPr>
                  <w:r>
                    <w:rPr>
                      <w:rFonts w:hint="default"/>
                    </w:rPr>
                    <w:t>6</w:t>
                  </w:r>
                </w:p>
              </w:tc>
              <w:tc>
                <w:tcPr>
                  <w:tcW w:w="1918" w:type="pct"/>
                  <w:shd w:val="clear" w:color="auto" w:fill="auto"/>
                  <w:noWrap w:val="0"/>
                  <w:vAlign w:val="center"/>
                </w:tcPr>
                <w:p w14:paraId="0EF48674">
                  <w:pPr>
                    <w:pStyle w:val="33"/>
                    <w:keepNext w:val="0"/>
                    <w:keepLines w:val="0"/>
                    <w:suppressLineNumbers w:val="0"/>
                    <w:bidi w:val="0"/>
                    <w:spacing w:before="0" w:beforeAutospacing="0" w:after="0" w:afterAutospacing="0"/>
                    <w:ind w:left="0" w:right="0"/>
                    <w:rPr>
                      <w:rFonts w:hint="default"/>
                    </w:rPr>
                  </w:pPr>
                  <w:r>
                    <w:rPr>
                      <w:rFonts w:hint="default"/>
                    </w:rPr>
                    <w:t>五日生化需氧量(BOD5)≤</w:t>
                  </w:r>
                </w:p>
              </w:tc>
              <w:tc>
                <w:tcPr>
                  <w:tcW w:w="738" w:type="pct"/>
                  <w:shd w:val="clear" w:color="auto" w:fill="auto"/>
                  <w:noWrap w:val="0"/>
                  <w:vAlign w:val="center"/>
                </w:tcPr>
                <w:p w14:paraId="44DFB175">
                  <w:pPr>
                    <w:pStyle w:val="33"/>
                    <w:keepNext w:val="0"/>
                    <w:keepLines w:val="0"/>
                    <w:suppressLineNumbers w:val="0"/>
                    <w:bidi w:val="0"/>
                    <w:spacing w:before="0" w:beforeAutospacing="0" w:after="0" w:afterAutospacing="0"/>
                    <w:ind w:left="0" w:right="0"/>
                    <w:rPr>
                      <w:rFonts w:hint="default"/>
                    </w:rPr>
                  </w:pPr>
                  <w:r>
                    <w:rPr>
                      <w:rFonts w:hint="default"/>
                    </w:rPr>
                    <w:t>3</w:t>
                  </w:r>
                </w:p>
              </w:tc>
              <w:tc>
                <w:tcPr>
                  <w:tcW w:w="587" w:type="pct"/>
                  <w:shd w:val="clear" w:color="auto" w:fill="F1F1F1"/>
                  <w:noWrap w:val="0"/>
                  <w:vAlign w:val="center"/>
                </w:tcPr>
                <w:p w14:paraId="204608F8">
                  <w:pPr>
                    <w:pStyle w:val="33"/>
                    <w:keepNext w:val="0"/>
                    <w:keepLines w:val="0"/>
                    <w:suppressLineNumbers w:val="0"/>
                    <w:bidi w:val="0"/>
                    <w:spacing w:before="0" w:beforeAutospacing="0" w:after="0" w:afterAutospacing="0"/>
                    <w:ind w:left="0" w:right="0"/>
                    <w:rPr>
                      <w:rFonts w:hint="default"/>
                    </w:rPr>
                  </w:pPr>
                  <w:r>
                    <w:rPr>
                      <w:rFonts w:hint="default"/>
                    </w:rPr>
                    <w:t>4</w:t>
                  </w:r>
                </w:p>
              </w:tc>
              <w:tc>
                <w:tcPr>
                  <w:tcW w:w="586" w:type="pct"/>
                  <w:noWrap w:val="0"/>
                  <w:vAlign w:val="center"/>
                </w:tcPr>
                <w:p w14:paraId="241C1012">
                  <w:pPr>
                    <w:pStyle w:val="33"/>
                    <w:keepNext w:val="0"/>
                    <w:keepLines w:val="0"/>
                    <w:suppressLineNumbers w:val="0"/>
                    <w:bidi w:val="0"/>
                    <w:spacing w:before="0" w:beforeAutospacing="0" w:after="0" w:afterAutospacing="0"/>
                    <w:ind w:left="0" w:right="0"/>
                    <w:rPr>
                      <w:rFonts w:hint="default"/>
                    </w:rPr>
                  </w:pPr>
                  <w:r>
                    <w:rPr>
                      <w:rFonts w:hint="default"/>
                    </w:rPr>
                    <w:t>6</w:t>
                  </w:r>
                </w:p>
              </w:tc>
              <w:tc>
                <w:tcPr>
                  <w:tcW w:w="586" w:type="pct"/>
                  <w:noWrap w:val="0"/>
                  <w:vAlign w:val="center"/>
                </w:tcPr>
                <w:p w14:paraId="1573F727">
                  <w:pPr>
                    <w:pStyle w:val="33"/>
                    <w:keepNext w:val="0"/>
                    <w:keepLines w:val="0"/>
                    <w:suppressLineNumbers w:val="0"/>
                    <w:bidi w:val="0"/>
                    <w:spacing w:before="0" w:beforeAutospacing="0" w:after="0" w:afterAutospacing="0"/>
                    <w:ind w:left="0" w:right="0"/>
                    <w:rPr>
                      <w:rFonts w:hint="default"/>
                    </w:rPr>
                  </w:pPr>
                  <w:r>
                    <w:rPr>
                      <w:rFonts w:hint="default"/>
                    </w:rPr>
                    <w:t>10</w:t>
                  </w:r>
                </w:p>
              </w:tc>
            </w:tr>
          </w:tbl>
          <w:p w14:paraId="49C8A93F">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2）</w:t>
            </w:r>
            <w:r>
              <w:rPr>
                <w:rFonts w:hint="default"/>
              </w:rPr>
              <w:t>地表水环境质量现状</w:t>
            </w:r>
          </w:p>
          <w:p w14:paraId="4BFF97E2">
            <w:pPr>
              <w:keepNext w:val="0"/>
              <w:keepLines w:val="0"/>
              <w:suppressLineNumbers w:val="0"/>
              <w:bidi w:val="0"/>
              <w:spacing w:before="0" w:beforeAutospacing="0" w:after="0" w:afterAutospacing="0"/>
              <w:ind w:left="0" w:right="0"/>
              <w:rPr>
                <w:rFonts w:hint="eastAsia"/>
                <w:lang w:eastAsia="zh-CN"/>
              </w:rPr>
            </w:pPr>
            <w:r>
              <w:rPr>
                <w:rFonts w:hint="default"/>
              </w:rPr>
              <w:t>根据《建设项目环境影响报告表编制技术指南</w:t>
            </w:r>
            <w:r>
              <w:rPr>
                <w:rFonts w:hint="eastAsia"/>
                <w:lang w:val="en-US" w:eastAsia="zh-CN"/>
              </w:rPr>
              <w:t>(</w:t>
            </w:r>
            <w:r>
              <w:rPr>
                <w:rFonts w:hint="default"/>
              </w:rPr>
              <w:t>污染影响类</w:t>
            </w:r>
            <w:r>
              <w:rPr>
                <w:rFonts w:hint="eastAsia"/>
                <w:lang w:val="en-US" w:eastAsia="zh-CN"/>
              </w:rPr>
              <w:t>)(</w:t>
            </w:r>
            <w:r>
              <w:rPr>
                <w:rFonts w:hint="default"/>
              </w:rPr>
              <w:t>试行</w:t>
            </w:r>
            <w:r>
              <w:rPr>
                <w:rFonts w:hint="eastAsia"/>
                <w:lang w:val="en-US" w:eastAsia="zh-CN"/>
              </w:rPr>
              <w:t>)</w:t>
            </w:r>
            <w:r>
              <w:rPr>
                <w:rFonts w:hint="default"/>
              </w:rPr>
              <w:t>》</w:t>
            </w:r>
            <w:r>
              <w:rPr>
                <w:rFonts w:hint="eastAsia"/>
                <w:lang w:val="en-US" w:eastAsia="zh-CN"/>
              </w:rPr>
              <w:t>(</w:t>
            </w:r>
            <w:r>
              <w:rPr>
                <w:rFonts w:hint="default"/>
              </w:rPr>
              <w:t>环办环评〔2020〕33号</w:t>
            </w:r>
            <w:r>
              <w:rPr>
                <w:rFonts w:hint="eastAsia"/>
                <w:lang w:val="en-US" w:eastAsia="zh-CN"/>
              </w:rPr>
              <w:t>)</w:t>
            </w:r>
            <w:r>
              <w:rPr>
                <w:rFonts w:hint="default"/>
              </w:rPr>
              <w:t>的要求</w:t>
            </w:r>
            <w:r>
              <w:rPr>
                <w:rFonts w:hint="default"/>
                <w:lang w:eastAsia="zh-CN"/>
              </w:rPr>
              <w:t>：“</w:t>
            </w:r>
            <w:r>
              <w:rPr>
                <w:rFonts w:hint="eastAsi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lang w:eastAsia="zh-CN"/>
              </w:rPr>
              <w:t>”。</w:t>
            </w:r>
          </w:p>
          <w:p w14:paraId="58FD5398">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为了解项目纳污水域地表水环境质量现状，</w:t>
            </w:r>
            <w:r>
              <w:rPr>
                <w:rFonts w:hint="eastAsia"/>
                <w:lang w:val="en-US" w:eastAsia="zh-CN"/>
              </w:rPr>
              <w:t>根据福州市生态环境局发布的2025年1—9月福州市水环境质量状况，2025年1—9月，主要流域9个国控断面Ⅰ-Ⅲ类水质比例为100%，36个省控及以上断面Ⅰ-Ⅲ类水质比例为100%；小流域54个省控断面Ⅰ-Ⅲ类水质比例为100%。县级及以上集中式饮用水源地水质达标率为100%，详见下图。</w:t>
            </w:r>
          </w:p>
          <w:p w14:paraId="02D10C5C">
            <w:pPr>
              <w:pStyle w:val="46"/>
              <w:keepNext w:val="0"/>
              <w:keepLines w:val="0"/>
              <w:widowControl/>
              <w:suppressLineNumbers w:val="0"/>
              <w:bidi w:val="0"/>
              <w:spacing w:before="0" w:beforeAutospacing="0" w:after="0" w:afterAutospacing="0"/>
              <w:ind w:left="0" w:leftChars="0" w:right="0" w:firstLine="0" w:firstLineChars="0"/>
              <w:rPr>
                <w:rFonts w:hint="eastAsia" w:ascii="Times New Roman" w:hAnsi="Times New Roman"/>
                <w:color w:val="000000" w:themeColor="text1"/>
                <w:sz w:val="20"/>
                <w:szCs w:val="20"/>
                <w:lang w:val="en-US" w:eastAsia="zh-CN"/>
                <w14:textFill>
                  <w14:solidFill>
                    <w14:schemeClr w14:val="tx1"/>
                  </w14:solidFill>
                </w14:textFill>
              </w:rPr>
            </w:pPr>
            <w:r>
              <w:rPr>
                <w:rFonts w:hint="default" w:ascii="Times New Roman" w:hAnsi="Times New Roman"/>
                <w:sz w:val="20"/>
                <w:szCs w:val="20"/>
              </w:rPr>
              <w:drawing>
                <wp:inline distT="0" distB="0" distL="114300" distR="114300">
                  <wp:extent cx="5473065" cy="2301240"/>
                  <wp:effectExtent l="9525" t="9525" r="19050" b="20955"/>
                  <wp:docPr id="3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2"/>
                          <pic:cNvPicPr>
                            <a:picLocks noChangeAspect="1"/>
                          </pic:cNvPicPr>
                        </pic:nvPicPr>
                        <pic:blipFill>
                          <a:blip r:embed="rId14"/>
                          <a:stretch>
                            <a:fillRect/>
                          </a:stretch>
                        </pic:blipFill>
                        <pic:spPr>
                          <a:xfrm>
                            <a:off x="0" y="0"/>
                            <a:ext cx="5473065" cy="2301240"/>
                          </a:xfrm>
                          <a:prstGeom prst="rect">
                            <a:avLst/>
                          </a:prstGeom>
                          <a:noFill/>
                          <a:ln>
                            <a:solidFill>
                              <a:schemeClr val="tx1"/>
                            </a:solidFill>
                          </a:ln>
                        </pic:spPr>
                      </pic:pic>
                    </a:graphicData>
                  </a:graphic>
                </wp:inline>
              </w:drawing>
            </w:r>
          </w:p>
          <w:p w14:paraId="20D158DE">
            <w:pPr>
              <w:keepNext w:val="0"/>
              <w:keepLines w:val="0"/>
              <w:suppressLineNumbers w:val="0"/>
              <w:bidi w:val="0"/>
              <w:spacing w:before="0" w:beforeAutospacing="0" w:after="0" w:afterAutospacing="0"/>
              <w:ind w:left="0" w:leftChars="0" w:right="0" w:firstLine="0" w:firstLineChars="0"/>
              <w:jc w:val="center"/>
              <w:rPr>
                <w:rFonts w:hint="default"/>
                <w:b/>
                <w:bCs/>
                <w:lang w:val="en-US" w:eastAsia="zh-CN"/>
              </w:rPr>
            </w:pPr>
            <w:r>
              <w:rPr>
                <w:rFonts w:hint="eastAsia"/>
                <w:b/>
                <w:bCs/>
                <w:lang w:val="en-US" w:eastAsia="zh-CN"/>
              </w:rPr>
              <w:t>图3.1-1 福州市水环境质量状况截图</w:t>
            </w:r>
          </w:p>
          <w:p w14:paraId="1EA1EB91">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数据可知，淘江水质现状属于《地表水环境质量标准》（GB3838-2002）Ⅲ类水质，水质状况良好，属于达标区。项目职工生活污水经出租方厂区已建的化粪池处理达标后排入市政污水管网，不直接排入周边地表水体，几乎不会改变周边地表水体的环境质量现状。</w:t>
            </w:r>
          </w:p>
          <w:p w14:paraId="04C74E2C">
            <w:pPr>
              <w:pStyle w:val="4"/>
              <w:keepNext w:val="0"/>
              <w:keepLines w:val="0"/>
              <w:suppressLineNumbers w:val="0"/>
              <w:bidi w:val="0"/>
              <w:ind w:left="0" w:right="0"/>
              <w:rPr>
                <w:rFonts w:hint="default"/>
                <w:color w:val="auto"/>
              </w:rPr>
            </w:pPr>
            <w:r>
              <w:rPr>
                <w:rFonts w:hint="eastAsia"/>
                <w:color w:val="auto"/>
              </w:rPr>
              <w:t>大气环境</w:t>
            </w:r>
          </w:p>
          <w:p w14:paraId="6D715976">
            <w:pPr>
              <w:keepNext w:val="0"/>
              <w:keepLines w:val="0"/>
              <w:suppressLineNumbers w:val="0"/>
              <w:spacing w:before="0" w:beforeAutospacing="0" w:after="0" w:afterAutospacing="0" w:line="360" w:lineRule="auto"/>
              <w:ind w:left="0" w:right="0" w:firstLine="480" w:firstLineChars="200"/>
              <w:rPr>
                <w:rFonts w:hint="default" w:cs="Times New Roman"/>
                <w:color w:val="auto"/>
                <w:kern w:val="0"/>
                <w:sz w:val="24"/>
              </w:rPr>
            </w:pPr>
            <w:r>
              <w:rPr>
                <w:rFonts w:hint="eastAsia" w:cs="Times New Roman"/>
                <w:color w:val="auto"/>
                <w:kern w:val="0"/>
                <w:sz w:val="24"/>
              </w:rPr>
              <w:t>（1）环境功能区划及环境质量标准</w:t>
            </w:r>
          </w:p>
          <w:p w14:paraId="7380F55D">
            <w:pPr>
              <w:keepNext w:val="0"/>
              <w:keepLines w:val="0"/>
              <w:suppressLineNumbers w:val="0"/>
              <w:spacing w:before="0" w:beforeAutospacing="0" w:after="0" w:afterAutospacing="0" w:line="360" w:lineRule="auto"/>
              <w:ind w:left="0" w:right="0" w:firstLine="480" w:firstLineChars="200"/>
              <w:rPr>
                <w:rFonts w:hint="default" w:cs="Times New Roman"/>
                <w:color w:val="auto"/>
                <w:kern w:val="0"/>
                <w:sz w:val="24"/>
              </w:rPr>
            </w:pPr>
            <w:r>
              <w:rPr>
                <w:rFonts w:hint="default" w:ascii="Times New Roman" w:hAnsi="Times New Roman" w:cs="Times New Roman"/>
                <w:color w:val="auto"/>
                <w:sz w:val="24"/>
                <w:highlight w:val="none"/>
              </w:rPr>
              <w:t>根据福州市人民政府榕政综[2014]30号文件正式批准实施《福州市环境空气质量功能区划(报批稿)》的规定</w:t>
            </w:r>
            <w:r>
              <w:rPr>
                <w:rFonts w:hint="eastAsia" w:ascii="Times New Roman" w:hAnsi="Times New Roman" w:cs="Times New Roman"/>
                <w:color w:val="auto"/>
                <w:sz w:val="24"/>
                <w:highlight w:val="none"/>
                <w:lang w:eastAsia="zh-CN"/>
              </w:rPr>
              <w:t>，</w:t>
            </w:r>
            <w:r>
              <w:rPr>
                <w:rFonts w:hint="eastAsia" w:cs="Times New Roman"/>
                <w:color w:val="auto"/>
                <w:kern w:val="0"/>
                <w:sz w:val="24"/>
              </w:rPr>
              <w:t>项目所在区域环境空气功能区划为二类区，环境空气质量执行《环境空气质量标准》（GB3095-2012）中二级标准，详见表3</w:t>
            </w:r>
            <w:r>
              <w:rPr>
                <w:rFonts w:hint="eastAsia" w:cs="Times New Roman"/>
                <w:color w:val="auto"/>
                <w:kern w:val="0"/>
                <w:sz w:val="24"/>
                <w:lang w:val="en-US" w:eastAsia="zh-CN"/>
              </w:rPr>
              <w:t>.1</w:t>
            </w:r>
            <w:r>
              <w:rPr>
                <w:rFonts w:hint="eastAsia" w:cs="Times New Roman"/>
                <w:color w:val="auto"/>
                <w:kern w:val="0"/>
                <w:sz w:val="24"/>
              </w:rPr>
              <w:t>-</w:t>
            </w:r>
            <w:r>
              <w:rPr>
                <w:rFonts w:hint="eastAsia" w:cs="Times New Roman"/>
                <w:color w:val="auto"/>
                <w:kern w:val="0"/>
                <w:sz w:val="24"/>
                <w:lang w:val="en-US" w:eastAsia="zh-CN"/>
              </w:rPr>
              <w:t>2</w:t>
            </w:r>
            <w:r>
              <w:rPr>
                <w:rFonts w:hint="eastAsia" w:cs="Times New Roman"/>
                <w:color w:val="auto"/>
                <w:kern w:val="0"/>
                <w:sz w:val="24"/>
              </w:rPr>
              <w:t>。</w:t>
            </w:r>
          </w:p>
          <w:p w14:paraId="122CB5F8">
            <w:pPr>
              <w:pStyle w:val="36"/>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环境空气质量标准</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2031"/>
              <w:gridCol w:w="1587"/>
              <w:gridCol w:w="1556"/>
              <w:gridCol w:w="1990"/>
            </w:tblGrid>
            <w:tr w14:paraId="6C58A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pct"/>
                  <w:noWrap w:val="0"/>
                  <w:vAlign w:val="center"/>
                </w:tcPr>
                <w:p w14:paraId="2EB7F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污染物名称</w:t>
                  </w:r>
                </w:p>
              </w:tc>
              <w:tc>
                <w:tcPr>
                  <w:tcW w:w="1179" w:type="pct"/>
                  <w:noWrap w:val="0"/>
                  <w:vAlign w:val="center"/>
                </w:tcPr>
                <w:p w14:paraId="1426D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取值时间</w:t>
                  </w:r>
                </w:p>
              </w:tc>
              <w:tc>
                <w:tcPr>
                  <w:tcW w:w="921" w:type="pct"/>
                  <w:noWrap w:val="0"/>
                  <w:vAlign w:val="center"/>
                </w:tcPr>
                <w:p w14:paraId="40E60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浓度限值</w:t>
                  </w:r>
                </w:p>
              </w:tc>
              <w:tc>
                <w:tcPr>
                  <w:tcW w:w="903" w:type="pct"/>
                  <w:noWrap w:val="0"/>
                  <w:vAlign w:val="center"/>
                </w:tcPr>
                <w:p w14:paraId="1DFE2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浓度单位</w:t>
                  </w:r>
                </w:p>
              </w:tc>
              <w:tc>
                <w:tcPr>
                  <w:tcW w:w="1155" w:type="pct"/>
                  <w:noWrap w:val="0"/>
                  <w:vAlign w:val="center"/>
                </w:tcPr>
                <w:p w14:paraId="38949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标准来源</w:t>
                  </w:r>
                </w:p>
              </w:tc>
            </w:tr>
            <w:tr w14:paraId="6DF77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restart"/>
                  <w:noWrap w:val="0"/>
                  <w:vAlign w:val="center"/>
                </w:tcPr>
                <w:p w14:paraId="76A91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SO</w:t>
                  </w:r>
                  <w:r>
                    <w:rPr>
                      <w:rFonts w:hint="default" w:cs="Times New Roman"/>
                      <w:color w:val="auto"/>
                      <w:sz w:val="21"/>
                      <w:szCs w:val="21"/>
                      <w:vertAlign w:val="subscript"/>
                    </w:rPr>
                    <w:t>2</w:t>
                  </w:r>
                </w:p>
              </w:tc>
              <w:tc>
                <w:tcPr>
                  <w:tcW w:w="1179" w:type="pct"/>
                  <w:noWrap w:val="0"/>
                  <w:vAlign w:val="center"/>
                </w:tcPr>
                <w:p w14:paraId="20DED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年平均</w:t>
                  </w:r>
                </w:p>
              </w:tc>
              <w:tc>
                <w:tcPr>
                  <w:tcW w:w="921" w:type="pct"/>
                  <w:noWrap w:val="0"/>
                  <w:vAlign w:val="center"/>
                </w:tcPr>
                <w:p w14:paraId="05345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60</w:t>
                  </w:r>
                </w:p>
              </w:tc>
              <w:tc>
                <w:tcPr>
                  <w:tcW w:w="903" w:type="pct"/>
                  <w:vMerge w:val="restart"/>
                  <w:noWrap w:val="0"/>
                  <w:vAlign w:val="center"/>
                </w:tcPr>
                <w:p w14:paraId="7D888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μg/m</w:t>
                  </w:r>
                  <w:r>
                    <w:rPr>
                      <w:rFonts w:hint="default" w:cs="Times New Roman"/>
                      <w:color w:val="auto"/>
                      <w:sz w:val="21"/>
                      <w:szCs w:val="21"/>
                      <w:vertAlign w:val="superscript"/>
                    </w:rPr>
                    <w:t>3</w:t>
                  </w:r>
                </w:p>
              </w:tc>
              <w:tc>
                <w:tcPr>
                  <w:tcW w:w="1155" w:type="pct"/>
                  <w:vMerge w:val="restart"/>
                  <w:noWrap w:val="0"/>
                  <w:vAlign w:val="center"/>
                </w:tcPr>
                <w:p w14:paraId="4872D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《环境空气质量标准》（GB3095-2012）及修改单中二级标准</w:t>
                  </w:r>
                </w:p>
              </w:tc>
            </w:tr>
            <w:tr w14:paraId="7EF28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57836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5D85A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24小时平均</w:t>
                  </w:r>
                </w:p>
              </w:tc>
              <w:tc>
                <w:tcPr>
                  <w:tcW w:w="921" w:type="pct"/>
                  <w:noWrap w:val="0"/>
                  <w:vAlign w:val="center"/>
                </w:tcPr>
                <w:p w14:paraId="0185CF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150</w:t>
                  </w:r>
                </w:p>
              </w:tc>
              <w:tc>
                <w:tcPr>
                  <w:tcW w:w="903" w:type="pct"/>
                  <w:vMerge w:val="continue"/>
                  <w:noWrap w:val="0"/>
                  <w:vAlign w:val="center"/>
                </w:tcPr>
                <w:p w14:paraId="123F7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13B21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62D9E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0A452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4B11C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1小时平均</w:t>
                  </w:r>
                </w:p>
              </w:tc>
              <w:tc>
                <w:tcPr>
                  <w:tcW w:w="921" w:type="pct"/>
                  <w:noWrap w:val="0"/>
                  <w:vAlign w:val="center"/>
                </w:tcPr>
                <w:p w14:paraId="295A3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500</w:t>
                  </w:r>
                </w:p>
              </w:tc>
              <w:tc>
                <w:tcPr>
                  <w:tcW w:w="903" w:type="pct"/>
                  <w:vMerge w:val="continue"/>
                  <w:noWrap w:val="0"/>
                  <w:vAlign w:val="center"/>
                </w:tcPr>
                <w:p w14:paraId="04D69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102AC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6DA36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restart"/>
                  <w:noWrap w:val="0"/>
                  <w:vAlign w:val="center"/>
                </w:tcPr>
                <w:p w14:paraId="35A9F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NO</w:t>
                  </w:r>
                  <w:r>
                    <w:rPr>
                      <w:rFonts w:hint="default" w:cs="Times New Roman"/>
                      <w:color w:val="auto"/>
                      <w:sz w:val="21"/>
                      <w:szCs w:val="21"/>
                      <w:vertAlign w:val="subscript"/>
                    </w:rPr>
                    <w:t>2</w:t>
                  </w:r>
                </w:p>
              </w:tc>
              <w:tc>
                <w:tcPr>
                  <w:tcW w:w="1179" w:type="pct"/>
                  <w:noWrap w:val="0"/>
                  <w:vAlign w:val="center"/>
                </w:tcPr>
                <w:p w14:paraId="3555B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年平均</w:t>
                  </w:r>
                </w:p>
              </w:tc>
              <w:tc>
                <w:tcPr>
                  <w:tcW w:w="921" w:type="pct"/>
                  <w:noWrap w:val="0"/>
                  <w:vAlign w:val="center"/>
                </w:tcPr>
                <w:p w14:paraId="11885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40</w:t>
                  </w:r>
                </w:p>
              </w:tc>
              <w:tc>
                <w:tcPr>
                  <w:tcW w:w="903" w:type="pct"/>
                  <w:vMerge w:val="restart"/>
                  <w:noWrap w:val="0"/>
                  <w:vAlign w:val="center"/>
                </w:tcPr>
                <w:p w14:paraId="02CCF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μg/m</w:t>
                  </w:r>
                  <w:r>
                    <w:rPr>
                      <w:rFonts w:hint="default" w:cs="Times New Roman"/>
                      <w:color w:val="auto"/>
                      <w:sz w:val="21"/>
                      <w:szCs w:val="21"/>
                      <w:vertAlign w:val="superscript"/>
                    </w:rPr>
                    <w:t>3</w:t>
                  </w:r>
                </w:p>
                <w:p w14:paraId="13D93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19953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432CC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6CBC8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7E0A2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24小时平均</w:t>
                  </w:r>
                </w:p>
              </w:tc>
              <w:tc>
                <w:tcPr>
                  <w:tcW w:w="921" w:type="pct"/>
                  <w:noWrap w:val="0"/>
                  <w:vAlign w:val="center"/>
                </w:tcPr>
                <w:p w14:paraId="49C15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80</w:t>
                  </w:r>
                </w:p>
              </w:tc>
              <w:tc>
                <w:tcPr>
                  <w:tcW w:w="903" w:type="pct"/>
                  <w:vMerge w:val="continue"/>
                  <w:noWrap w:val="0"/>
                  <w:vAlign w:val="center"/>
                </w:tcPr>
                <w:p w14:paraId="47BAC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79D8E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7164C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6182E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1EEB8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1小时平均</w:t>
                  </w:r>
                </w:p>
              </w:tc>
              <w:tc>
                <w:tcPr>
                  <w:tcW w:w="921" w:type="pct"/>
                  <w:noWrap w:val="0"/>
                  <w:vAlign w:val="center"/>
                </w:tcPr>
                <w:p w14:paraId="0FCCF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200</w:t>
                  </w:r>
                </w:p>
              </w:tc>
              <w:tc>
                <w:tcPr>
                  <w:tcW w:w="903" w:type="pct"/>
                  <w:vMerge w:val="continue"/>
                  <w:noWrap w:val="0"/>
                  <w:vAlign w:val="center"/>
                </w:tcPr>
                <w:p w14:paraId="121E2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536D9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149ED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restart"/>
                  <w:noWrap w:val="0"/>
                  <w:vAlign w:val="center"/>
                </w:tcPr>
                <w:p w14:paraId="398D5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CO</w:t>
                  </w:r>
                </w:p>
              </w:tc>
              <w:tc>
                <w:tcPr>
                  <w:tcW w:w="1179" w:type="pct"/>
                  <w:noWrap w:val="0"/>
                  <w:vAlign w:val="center"/>
                </w:tcPr>
                <w:p w14:paraId="427CC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24小时平均</w:t>
                  </w:r>
                </w:p>
              </w:tc>
              <w:tc>
                <w:tcPr>
                  <w:tcW w:w="921" w:type="pct"/>
                  <w:noWrap w:val="0"/>
                  <w:vAlign w:val="center"/>
                </w:tcPr>
                <w:p w14:paraId="69DB0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4</w:t>
                  </w:r>
                </w:p>
              </w:tc>
              <w:tc>
                <w:tcPr>
                  <w:tcW w:w="903" w:type="pct"/>
                  <w:vMerge w:val="restart"/>
                  <w:noWrap w:val="0"/>
                  <w:vAlign w:val="center"/>
                </w:tcPr>
                <w:p w14:paraId="39AF1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mg/m</w:t>
                  </w:r>
                  <w:r>
                    <w:rPr>
                      <w:rFonts w:hint="default" w:cs="Times New Roman"/>
                      <w:color w:val="auto"/>
                      <w:sz w:val="21"/>
                      <w:szCs w:val="21"/>
                      <w:vertAlign w:val="superscript"/>
                    </w:rPr>
                    <w:t>3</w:t>
                  </w:r>
                </w:p>
              </w:tc>
              <w:tc>
                <w:tcPr>
                  <w:tcW w:w="1155" w:type="pct"/>
                  <w:vMerge w:val="continue"/>
                  <w:noWrap w:val="0"/>
                  <w:vAlign w:val="center"/>
                </w:tcPr>
                <w:p w14:paraId="7DCB8C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75C5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0B976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5DFF1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1小时平均</w:t>
                  </w:r>
                </w:p>
              </w:tc>
              <w:tc>
                <w:tcPr>
                  <w:tcW w:w="921" w:type="pct"/>
                  <w:noWrap w:val="0"/>
                  <w:vAlign w:val="center"/>
                </w:tcPr>
                <w:p w14:paraId="05C615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SA"/>
                    </w:rPr>
                  </w:pPr>
                  <w:r>
                    <w:rPr>
                      <w:rFonts w:hint="default" w:cs="Times New Roman"/>
                      <w:color w:val="auto"/>
                      <w:sz w:val="21"/>
                      <w:szCs w:val="21"/>
                    </w:rPr>
                    <w:t>10</w:t>
                  </w:r>
                </w:p>
              </w:tc>
              <w:tc>
                <w:tcPr>
                  <w:tcW w:w="903" w:type="pct"/>
                  <w:vMerge w:val="continue"/>
                  <w:noWrap w:val="0"/>
                  <w:vAlign w:val="center"/>
                </w:tcPr>
                <w:p w14:paraId="3B3FD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29E62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146A4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restart"/>
                  <w:noWrap w:val="0"/>
                  <w:vAlign w:val="center"/>
                </w:tcPr>
                <w:p w14:paraId="77F9D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O</w:t>
                  </w:r>
                  <w:r>
                    <w:rPr>
                      <w:rFonts w:hint="eastAsia" w:cs="Times New Roman"/>
                      <w:color w:val="auto"/>
                      <w:sz w:val="21"/>
                      <w:szCs w:val="21"/>
                      <w:vertAlign w:val="subscript"/>
                      <w:lang w:val="en-US" w:eastAsia="zh-CN"/>
                    </w:rPr>
                    <w:t>3</w:t>
                  </w:r>
                </w:p>
              </w:tc>
              <w:tc>
                <w:tcPr>
                  <w:tcW w:w="1179" w:type="pct"/>
                  <w:noWrap w:val="0"/>
                  <w:vAlign w:val="center"/>
                </w:tcPr>
                <w:p w14:paraId="7A502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日最大8小时平均</w:t>
                  </w:r>
                </w:p>
              </w:tc>
              <w:tc>
                <w:tcPr>
                  <w:tcW w:w="921" w:type="pct"/>
                  <w:noWrap w:val="0"/>
                  <w:vAlign w:val="center"/>
                </w:tcPr>
                <w:p w14:paraId="0F0D9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160</w:t>
                  </w:r>
                </w:p>
              </w:tc>
              <w:tc>
                <w:tcPr>
                  <w:tcW w:w="903" w:type="pct"/>
                  <w:vMerge w:val="restart"/>
                  <w:noWrap w:val="0"/>
                  <w:vAlign w:val="center"/>
                </w:tcPr>
                <w:p w14:paraId="3BA40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μg/m</w:t>
                  </w:r>
                  <w:r>
                    <w:rPr>
                      <w:rFonts w:hint="default" w:cs="Times New Roman"/>
                      <w:color w:val="auto"/>
                      <w:sz w:val="21"/>
                      <w:szCs w:val="21"/>
                      <w:vertAlign w:val="superscript"/>
                    </w:rPr>
                    <w:t>3</w:t>
                  </w:r>
                </w:p>
              </w:tc>
              <w:tc>
                <w:tcPr>
                  <w:tcW w:w="1155" w:type="pct"/>
                  <w:vMerge w:val="continue"/>
                  <w:noWrap w:val="0"/>
                  <w:vAlign w:val="center"/>
                </w:tcPr>
                <w:p w14:paraId="5F50B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1BAAA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78055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2C0CE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1小时平均</w:t>
                  </w:r>
                </w:p>
              </w:tc>
              <w:tc>
                <w:tcPr>
                  <w:tcW w:w="921" w:type="pct"/>
                  <w:noWrap w:val="0"/>
                  <w:vAlign w:val="center"/>
                </w:tcPr>
                <w:p w14:paraId="68A71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200</w:t>
                  </w:r>
                </w:p>
              </w:tc>
              <w:tc>
                <w:tcPr>
                  <w:tcW w:w="903" w:type="pct"/>
                  <w:vMerge w:val="continue"/>
                  <w:noWrap w:val="0"/>
                  <w:vAlign w:val="center"/>
                </w:tcPr>
                <w:p w14:paraId="4563F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587FE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167F6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restart"/>
                  <w:noWrap w:val="0"/>
                  <w:vAlign w:val="center"/>
                </w:tcPr>
                <w:p w14:paraId="10415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PM</w:t>
                  </w:r>
                  <w:r>
                    <w:rPr>
                      <w:rFonts w:hint="default" w:cs="Times New Roman"/>
                      <w:color w:val="auto"/>
                      <w:sz w:val="21"/>
                      <w:szCs w:val="21"/>
                      <w:vertAlign w:val="subscript"/>
                    </w:rPr>
                    <w:t>10</w:t>
                  </w:r>
                </w:p>
              </w:tc>
              <w:tc>
                <w:tcPr>
                  <w:tcW w:w="1179" w:type="pct"/>
                  <w:noWrap w:val="0"/>
                  <w:vAlign w:val="center"/>
                </w:tcPr>
                <w:p w14:paraId="04E9E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年平均</w:t>
                  </w:r>
                </w:p>
              </w:tc>
              <w:tc>
                <w:tcPr>
                  <w:tcW w:w="921" w:type="pct"/>
                  <w:noWrap w:val="0"/>
                  <w:vAlign w:val="center"/>
                </w:tcPr>
                <w:p w14:paraId="19095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70</w:t>
                  </w:r>
                </w:p>
              </w:tc>
              <w:tc>
                <w:tcPr>
                  <w:tcW w:w="903" w:type="pct"/>
                  <w:vMerge w:val="restart"/>
                  <w:noWrap w:val="0"/>
                  <w:vAlign w:val="center"/>
                </w:tcPr>
                <w:p w14:paraId="3B2A6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μg/m</w:t>
                  </w:r>
                  <w:r>
                    <w:rPr>
                      <w:rFonts w:hint="default" w:cs="Times New Roman"/>
                      <w:color w:val="auto"/>
                      <w:sz w:val="21"/>
                      <w:szCs w:val="21"/>
                      <w:vertAlign w:val="superscript"/>
                    </w:rPr>
                    <w:t>3</w:t>
                  </w:r>
                </w:p>
              </w:tc>
              <w:tc>
                <w:tcPr>
                  <w:tcW w:w="1155" w:type="pct"/>
                  <w:vMerge w:val="continue"/>
                  <w:noWrap w:val="0"/>
                  <w:vAlign w:val="center"/>
                </w:tcPr>
                <w:p w14:paraId="7D7E6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46F7A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5D742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63EA3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24小时平均</w:t>
                  </w:r>
                </w:p>
              </w:tc>
              <w:tc>
                <w:tcPr>
                  <w:tcW w:w="921" w:type="pct"/>
                  <w:noWrap w:val="0"/>
                  <w:vAlign w:val="center"/>
                </w:tcPr>
                <w:p w14:paraId="0C4CD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150</w:t>
                  </w:r>
                </w:p>
              </w:tc>
              <w:tc>
                <w:tcPr>
                  <w:tcW w:w="903" w:type="pct"/>
                  <w:vMerge w:val="continue"/>
                  <w:noWrap w:val="0"/>
                  <w:vAlign w:val="center"/>
                </w:tcPr>
                <w:p w14:paraId="76EA3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7C571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20C96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restart"/>
                  <w:noWrap w:val="0"/>
                  <w:vAlign w:val="center"/>
                </w:tcPr>
                <w:p w14:paraId="262C4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PM</w:t>
                  </w:r>
                  <w:r>
                    <w:rPr>
                      <w:rFonts w:hint="default" w:cs="Times New Roman"/>
                      <w:color w:val="auto"/>
                      <w:sz w:val="21"/>
                      <w:szCs w:val="21"/>
                      <w:vertAlign w:val="subscript"/>
                    </w:rPr>
                    <w:t>2.5</w:t>
                  </w:r>
                </w:p>
              </w:tc>
              <w:tc>
                <w:tcPr>
                  <w:tcW w:w="1179" w:type="pct"/>
                  <w:noWrap w:val="0"/>
                  <w:vAlign w:val="center"/>
                </w:tcPr>
                <w:p w14:paraId="0E166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年平均</w:t>
                  </w:r>
                </w:p>
              </w:tc>
              <w:tc>
                <w:tcPr>
                  <w:tcW w:w="921" w:type="pct"/>
                  <w:noWrap w:val="0"/>
                  <w:vAlign w:val="center"/>
                </w:tcPr>
                <w:p w14:paraId="4B77A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35</w:t>
                  </w:r>
                </w:p>
              </w:tc>
              <w:tc>
                <w:tcPr>
                  <w:tcW w:w="903" w:type="pct"/>
                  <w:vMerge w:val="restart"/>
                  <w:noWrap w:val="0"/>
                  <w:vAlign w:val="center"/>
                </w:tcPr>
                <w:p w14:paraId="32AA0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μg/m</w:t>
                  </w:r>
                  <w:r>
                    <w:rPr>
                      <w:rFonts w:hint="default" w:cs="Times New Roman"/>
                      <w:color w:val="auto"/>
                      <w:sz w:val="21"/>
                      <w:szCs w:val="21"/>
                      <w:vertAlign w:val="superscript"/>
                    </w:rPr>
                    <w:t>3</w:t>
                  </w:r>
                </w:p>
              </w:tc>
              <w:tc>
                <w:tcPr>
                  <w:tcW w:w="1155" w:type="pct"/>
                  <w:vMerge w:val="continue"/>
                  <w:noWrap w:val="0"/>
                  <w:vAlign w:val="center"/>
                </w:tcPr>
                <w:p w14:paraId="7A1C0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r w14:paraId="6F7F7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 w:type="pct"/>
                  <w:vMerge w:val="continue"/>
                  <w:noWrap w:val="0"/>
                  <w:vAlign w:val="center"/>
                </w:tcPr>
                <w:p w14:paraId="60EE2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79" w:type="pct"/>
                  <w:noWrap w:val="0"/>
                  <w:vAlign w:val="center"/>
                </w:tcPr>
                <w:p w14:paraId="2DF79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24小时平均</w:t>
                  </w:r>
                </w:p>
              </w:tc>
              <w:tc>
                <w:tcPr>
                  <w:tcW w:w="921" w:type="pct"/>
                  <w:noWrap w:val="0"/>
                  <w:vAlign w:val="center"/>
                </w:tcPr>
                <w:p w14:paraId="41F02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r>
                    <w:rPr>
                      <w:rFonts w:hint="default" w:cs="Times New Roman"/>
                      <w:color w:val="auto"/>
                      <w:sz w:val="21"/>
                      <w:szCs w:val="21"/>
                    </w:rPr>
                    <w:t>75</w:t>
                  </w:r>
                </w:p>
              </w:tc>
              <w:tc>
                <w:tcPr>
                  <w:tcW w:w="903" w:type="pct"/>
                  <w:vMerge w:val="continue"/>
                  <w:noWrap w:val="0"/>
                  <w:vAlign w:val="center"/>
                </w:tcPr>
                <w:p w14:paraId="5D0B3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c>
                <w:tcPr>
                  <w:tcW w:w="1155" w:type="pct"/>
                  <w:vMerge w:val="continue"/>
                  <w:noWrap w:val="0"/>
                  <w:vAlign w:val="center"/>
                </w:tcPr>
                <w:p w14:paraId="0F6C8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z w:val="21"/>
                      <w:szCs w:val="21"/>
                    </w:rPr>
                  </w:pPr>
                </w:p>
              </w:tc>
            </w:tr>
          </w:tbl>
          <w:p w14:paraId="385F2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（2）环境质量现状</w:t>
            </w:r>
          </w:p>
          <w:p w14:paraId="70F3F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w:t>
            </w:r>
            <w:r>
              <w:rPr>
                <w:rFonts w:hint="eastAsia" w:cs="Times New Roman"/>
                <w:color w:val="000000" w:themeColor="text1"/>
                <w:sz w:val="24"/>
                <w:highlight w:val="none"/>
                <w:lang w:eastAsia="zh-CN"/>
                <w14:textFill>
                  <w14:solidFill>
                    <w14:schemeClr w14:val="tx1"/>
                  </w14:solidFill>
                </w14:textFill>
              </w:rPr>
              <w:t>次</w:t>
            </w:r>
            <w:r>
              <w:rPr>
                <w:rFonts w:hint="default" w:ascii="Times New Roman" w:hAnsi="Times New Roman" w:cs="Times New Roman"/>
                <w:color w:val="000000" w:themeColor="text1"/>
                <w:sz w:val="24"/>
                <w:highlight w:val="none"/>
                <w14:textFill>
                  <w14:solidFill>
                    <w14:schemeClr w14:val="tx1"/>
                  </w14:solidFill>
                </w14:textFill>
              </w:rPr>
              <w:t>评价</w:t>
            </w:r>
            <w:r>
              <w:rPr>
                <w:rFonts w:hint="eastAsia" w:cs="Times New Roman"/>
                <w:color w:val="000000" w:themeColor="text1"/>
                <w:sz w:val="24"/>
                <w:highlight w:val="none"/>
                <w:lang w:eastAsia="zh-CN"/>
                <w14:textFill>
                  <w14:solidFill>
                    <w14:schemeClr w14:val="tx1"/>
                  </w14:solidFill>
                </w14:textFill>
              </w:rPr>
              <w:t>统计了</w:t>
            </w:r>
            <w:r>
              <w:rPr>
                <w:rFonts w:hint="default" w:ascii="Times New Roman" w:hAnsi="Times New Roman" w:cs="Times New Roman"/>
                <w:color w:val="000000" w:themeColor="text1"/>
                <w:sz w:val="24"/>
                <w:highlight w:val="none"/>
                <w14:textFill>
                  <w14:solidFill>
                    <w14:schemeClr w14:val="tx1"/>
                  </w14:solidFill>
                </w14:textFill>
              </w:rPr>
              <w:t>福州市闽侯县人民政府网</w:t>
            </w:r>
            <w:r>
              <w:rPr>
                <w:rFonts w:hint="eastAsia" w:cs="Times New Roman"/>
                <w:color w:val="000000" w:themeColor="text1"/>
                <w:sz w:val="24"/>
                <w:highlight w:val="none"/>
                <w:lang w:eastAsia="zh-CN"/>
                <w14:textFill>
                  <w14:solidFill>
                    <w14:schemeClr w14:val="tx1"/>
                  </w14:solidFill>
                </w14:textFill>
              </w:rPr>
              <w:t>站</w:t>
            </w:r>
            <w:r>
              <w:rPr>
                <w:rFonts w:hint="default" w:ascii="Times New Roman" w:hAnsi="Times New Roman" w:cs="Times New Roman"/>
                <w:color w:val="000000" w:themeColor="text1"/>
                <w:sz w:val="24"/>
                <w:highlight w:val="none"/>
                <w14:textFill>
                  <w14:solidFill>
                    <w14:schemeClr w14:val="tx1"/>
                  </w14:solidFill>
                </w14:textFill>
              </w:rPr>
              <w:t>发布的闽侯县202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年1月</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年1</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月的空气质量</w:t>
            </w:r>
            <w:r>
              <w:rPr>
                <w:rFonts w:hint="eastAsia" w:cs="Times New Roman"/>
                <w:color w:val="000000" w:themeColor="text1"/>
                <w:sz w:val="24"/>
                <w:highlight w:val="none"/>
                <w:lang w:eastAsia="zh-CN"/>
                <w14:textFill>
                  <w14:solidFill>
                    <w14:schemeClr w14:val="tx1"/>
                  </w14:solidFill>
                </w14:textFill>
              </w:rPr>
              <w:t>月报，</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年全年闽侯县县城环境空气质量保持良好，达到规定的相应功能区标准。县城空气质量SO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、NO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、PM</w:t>
            </w:r>
            <w:r>
              <w:rPr>
                <w:rFonts w:hint="default" w:ascii="Times New Roman" w:hAnsi="Times New Roman" w:cs="Times New Roman"/>
                <w:color w:val="000000" w:themeColor="text1"/>
                <w:sz w:val="24"/>
                <w:highlight w:val="none"/>
                <w:vertAlign w:val="subscript"/>
                <w14:textFill>
                  <w14:solidFill>
                    <w14:schemeClr w14:val="tx1"/>
                  </w14:solidFill>
                </w14:textFill>
              </w:rPr>
              <w:t>10</w:t>
            </w:r>
            <w:r>
              <w:rPr>
                <w:rFonts w:hint="default" w:ascii="Times New Roman" w:hAnsi="Times New Roman" w:cs="Times New Roman"/>
                <w:color w:val="000000" w:themeColor="text1"/>
                <w:sz w:val="24"/>
                <w:highlight w:val="none"/>
                <w14:textFill>
                  <w14:solidFill>
                    <w14:schemeClr w14:val="tx1"/>
                  </w14:solidFill>
                </w14:textFill>
              </w:rPr>
              <w:t>、CO、O</w:t>
            </w:r>
            <w:r>
              <w:rPr>
                <w:rFonts w:hint="default" w:ascii="Times New Roman" w:hAnsi="Times New Roman" w:cs="Times New Roman"/>
                <w:color w:val="000000" w:themeColor="text1"/>
                <w:sz w:val="24"/>
                <w:highlight w:val="none"/>
                <w:vertAlign w:val="sub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、PM</w:t>
            </w:r>
            <w:r>
              <w:rPr>
                <w:rFonts w:hint="default" w:ascii="Times New Roman" w:hAnsi="Times New Roman" w:cs="Times New Roman"/>
                <w:color w:val="000000" w:themeColor="text1"/>
                <w:sz w:val="24"/>
                <w:highlight w:val="none"/>
                <w:vertAlign w:val="subscript"/>
                <w14:textFill>
                  <w14:solidFill>
                    <w14:schemeClr w14:val="tx1"/>
                  </w14:solidFill>
                </w14:textFill>
              </w:rPr>
              <w:t>2.5</w:t>
            </w:r>
            <w:r>
              <w:rPr>
                <w:rFonts w:hint="default" w:ascii="Times New Roman" w:hAnsi="Times New Roman" w:cs="Times New Roman"/>
                <w:color w:val="000000" w:themeColor="text1"/>
                <w:sz w:val="24"/>
                <w:highlight w:val="none"/>
                <w14:textFill>
                  <w14:solidFill>
                    <w14:schemeClr w14:val="tx1"/>
                  </w14:solidFill>
                </w14:textFill>
              </w:rPr>
              <w:t>等6项污染物浓度指标的24小时均值（其中O</w:t>
            </w:r>
            <w:r>
              <w:rPr>
                <w:rFonts w:hint="default" w:ascii="Times New Roman" w:hAnsi="Times New Roman" w:cs="Times New Roman"/>
                <w:color w:val="000000" w:themeColor="text1"/>
                <w:sz w:val="24"/>
                <w:highlight w:val="none"/>
                <w:vertAlign w:val="sub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为日最大8小时平均）达到国家环境空气质量标准（GB 3095-2012）一级水平</w:t>
            </w:r>
            <w:r>
              <w:rPr>
                <w:rFonts w:hint="eastAsia" w:cs="Times New Roman"/>
                <w:color w:val="000000" w:themeColor="text1"/>
                <w:sz w:val="24"/>
                <w:highlight w:val="none"/>
                <w:lang w:eastAsia="zh-CN"/>
                <w14:textFill>
                  <w14:solidFill>
                    <w14:schemeClr w14:val="tx1"/>
                  </w14:solidFill>
                </w14:textFill>
              </w:rPr>
              <w:t>。闽侯县</w:t>
            </w:r>
            <w:r>
              <w:rPr>
                <w:rFonts w:hint="eastAsia" w:cs="Times New Roman"/>
                <w:color w:val="000000" w:themeColor="text1"/>
                <w:sz w:val="24"/>
                <w:highlight w:val="none"/>
                <w:lang w:val="en-US" w:eastAsia="zh-CN"/>
                <w14:textFill>
                  <w14:solidFill>
                    <w14:schemeClr w14:val="tx1"/>
                  </w14:solidFill>
                </w14:textFill>
              </w:rPr>
              <w:t>2024年1月—12月环境空气质量公示截图见附图8。</w:t>
            </w:r>
          </w:p>
          <w:p w14:paraId="74DAC4DD">
            <w:pPr>
              <w:pStyle w:val="4"/>
              <w:keepNext w:val="0"/>
              <w:keepLines w:val="0"/>
              <w:suppressLineNumbers w:val="0"/>
              <w:bidi w:val="0"/>
              <w:ind w:left="0" w:right="0"/>
              <w:rPr>
                <w:rFonts w:hint="eastAsia" w:ascii="Times New Roman" w:hAnsi="Times New Roman" w:eastAsia="宋体" w:cs="宋体"/>
                <w:color w:val="auto"/>
              </w:rPr>
            </w:pPr>
            <w:r>
              <w:rPr>
                <w:rFonts w:hint="eastAsia" w:ascii="Times New Roman" w:hAnsi="Times New Roman" w:eastAsia="宋体" w:cs="宋体"/>
                <w:color w:val="auto"/>
              </w:rPr>
              <w:t>声环境</w:t>
            </w:r>
          </w:p>
          <w:p w14:paraId="2C839B69">
            <w:pPr>
              <w:keepNext w:val="0"/>
              <w:keepLines w:val="0"/>
              <w:suppressLineNumbers w:val="0"/>
              <w:spacing w:before="0" w:beforeAutospacing="0" w:after="0" w:afterAutospacing="0" w:line="360" w:lineRule="auto"/>
              <w:ind w:left="0" w:right="0" w:firstLine="480" w:firstLineChars="200"/>
              <w:rPr>
                <w:rFonts w:hint="default" w:cs="Times New Roman"/>
                <w:color w:val="auto"/>
                <w:kern w:val="0"/>
                <w:sz w:val="24"/>
              </w:rPr>
            </w:pPr>
            <w:r>
              <w:rPr>
                <w:rFonts w:hint="eastAsia" w:cs="Times New Roman"/>
                <w:color w:val="auto"/>
                <w:kern w:val="0"/>
                <w:sz w:val="24"/>
              </w:rPr>
              <w:t>（1）环境功能区划及环境质量标准</w:t>
            </w:r>
          </w:p>
          <w:p w14:paraId="49767738">
            <w:pPr>
              <w:keepNext w:val="0"/>
              <w:keepLines w:val="0"/>
              <w:suppressLineNumbers w:val="0"/>
              <w:spacing w:before="0" w:beforeAutospacing="0" w:after="0" w:afterAutospacing="0" w:line="360" w:lineRule="auto"/>
              <w:ind w:left="0" w:right="0" w:firstLine="480" w:firstLineChars="200"/>
              <w:rPr>
                <w:rFonts w:hint="default" w:cs="Times New Roman"/>
                <w:color w:val="auto"/>
                <w:kern w:val="0"/>
                <w:sz w:val="24"/>
              </w:rPr>
            </w:pPr>
            <w:r>
              <w:rPr>
                <w:rFonts w:hint="eastAsia" w:cs="Times New Roman"/>
                <w:color w:val="auto"/>
                <w:kern w:val="0"/>
                <w:sz w:val="24"/>
                <w:lang w:val="en-US" w:eastAsia="zh-CN"/>
              </w:rPr>
              <w:t>根据福州市声环境功能区划图（2021年），</w:t>
            </w:r>
            <w:r>
              <w:rPr>
                <w:rFonts w:hint="eastAsia" w:cs="Times New Roman"/>
                <w:color w:val="auto"/>
                <w:kern w:val="0"/>
                <w:sz w:val="24"/>
              </w:rPr>
              <w:t>所在区域声环境功能区划</w:t>
            </w:r>
            <w:r>
              <w:rPr>
                <w:rFonts w:hint="eastAsia" w:cs="Times New Roman"/>
                <w:color w:val="auto"/>
                <w:kern w:val="0"/>
                <w:sz w:val="24"/>
                <w:lang w:eastAsia="zh-CN"/>
              </w:rPr>
              <w:t>为</w:t>
            </w:r>
            <w:r>
              <w:rPr>
                <w:rFonts w:hint="eastAsia" w:cs="Times New Roman"/>
                <w:color w:val="auto"/>
                <w:kern w:val="0"/>
                <w:sz w:val="24"/>
                <w:lang w:val="en-US" w:eastAsia="zh-CN"/>
              </w:rPr>
              <w:t>2类区，该区域</w:t>
            </w:r>
            <w:r>
              <w:rPr>
                <w:rFonts w:hint="eastAsia" w:cs="Times New Roman"/>
                <w:color w:val="auto"/>
                <w:kern w:val="0"/>
                <w:sz w:val="24"/>
              </w:rPr>
              <w:t>声环境质量执行《声环境质量标准》（GB3096-2008）中</w:t>
            </w:r>
            <w:r>
              <w:rPr>
                <w:rFonts w:hint="eastAsia" w:cs="Times New Roman"/>
                <w:color w:val="auto"/>
                <w:kern w:val="0"/>
                <w:sz w:val="24"/>
                <w:lang w:val="en-US" w:eastAsia="zh-CN"/>
              </w:rPr>
              <w:t>2</w:t>
            </w:r>
            <w:r>
              <w:rPr>
                <w:rFonts w:hint="eastAsia" w:cs="Times New Roman"/>
                <w:color w:val="auto"/>
                <w:kern w:val="0"/>
                <w:sz w:val="24"/>
              </w:rPr>
              <w:t>类标准；详见表</w:t>
            </w:r>
            <w:r>
              <w:rPr>
                <w:rFonts w:hint="eastAsia" w:cs="Times New Roman"/>
                <w:color w:val="auto"/>
                <w:kern w:val="0"/>
                <w:sz w:val="24"/>
                <w:lang w:val="en-US" w:eastAsia="zh-CN"/>
              </w:rPr>
              <w:t>3.1-3</w:t>
            </w:r>
            <w:r>
              <w:rPr>
                <w:rFonts w:hint="eastAsia" w:cs="Times New Roman"/>
                <w:color w:val="auto"/>
                <w:kern w:val="0"/>
                <w:sz w:val="24"/>
              </w:rPr>
              <w:t>。</w:t>
            </w:r>
          </w:p>
          <w:p w14:paraId="453F314A">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声环境质量标准</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26"/>
              <w:gridCol w:w="5150"/>
              <w:gridCol w:w="1317"/>
              <w:gridCol w:w="1322"/>
            </w:tblGrid>
            <w:tr w14:paraId="0E9C56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80" w:type="pct"/>
                  <w:vMerge w:val="restart"/>
                  <w:noWrap w:val="0"/>
                  <w:vAlign w:val="center"/>
                </w:tcPr>
                <w:p w14:paraId="3AFC2C7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类别</w:t>
                  </w:r>
                </w:p>
              </w:tc>
              <w:tc>
                <w:tcPr>
                  <w:tcW w:w="2988" w:type="pct"/>
                  <w:vMerge w:val="restart"/>
                  <w:noWrap w:val="0"/>
                  <w:vAlign w:val="center"/>
                </w:tcPr>
                <w:p w14:paraId="431E77A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适用区域</w:t>
                  </w:r>
                </w:p>
              </w:tc>
              <w:tc>
                <w:tcPr>
                  <w:tcW w:w="1531" w:type="pct"/>
                  <w:gridSpan w:val="2"/>
                  <w:noWrap w:val="0"/>
                  <w:vAlign w:val="center"/>
                </w:tcPr>
                <w:p w14:paraId="1B301554">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标准值</w:t>
                  </w:r>
                  <w:r>
                    <w:rPr>
                      <w:rFonts w:hint="eastAsia" w:cs="Times New Roman"/>
                      <w:color w:val="auto"/>
                    </w:rPr>
                    <w:t>/dB（A）</w:t>
                  </w:r>
                </w:p>
              </w:tc>
            </w:tr>
            <w:tr w14:paraId="77CE55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80" w:type="pct"/>
                  <w:vMerge w:val="continue"/>
                  <w:noWrap w:val="0"/>
                  <w:vAlign w:val="center"/>
                </w:tcPr>
                <w:p w14:paraId="1163E504">
                  <w:pPr>
                    <w:pStyle w:val="33"/>
                    <w:keepNext w:val="0"/>
                    <w:keepLines w:val="0"/>
                    <w:suppressLineNumbers w:val="0"/>
                    <w:bidi w:val="0"/>
                    <w:spacing w:before="0" w:beforeAutospacing="0" w:after="0" w:afterAutospacing="0"/>
                    <w:ind w:left="0" w:right="0"/>
                    <w:rPr>
                      <w:rFonts w:hint="default" w:cs="Times New Roman"/>
                      <w:color w:val="auto"/>
                    </w:rPr>
                  </w:pPr>
                </w:p>
              </w:tc>
              <w:tc>
                <w:tcPr>
                  <w:tcW w:w="2988" w:type="pct"/>
                  <w:vMerge w:val="continue"/>
                  <w:noWrap w:val="0"/>
                  <w:vAlign w:val="center"/>
                </w:tcPr>
                <w:p w14:paraId="1F1E217A">
                  <w:pPr>
                    <w:pStyle w:val="33"/>
                    <w:keepNext w:val="0"/>
                    <w:keepLines w:val="0"/>
                    <w:suppressLineNumbers w:val="0"/>
                    <w:bidi w:val="0"/>
                    <w:spacing w:before="0" w:beforeAutospacing="0" w:after="0" w:afterAutospacing="0"/>
                    <w:ind w:left="0" w:right="0"/>
                    <w:rPr>
                      <w:rFonts w:hint="default" w:cs="Times New Roman"/>
                      <w:color w:val="auto"/>
                    </w:rPr>
                  </w:pPr>
                </w:p>
              </w:tc>
              <w:tc>
                <w:tcPr>
                  <w:tcW w:w="764" w:type="pct"/>
                  <w:noWrap w:val="0"/>
                  <w:vAlign w:val="center"/>
                </w:tcPr>
                <w:p w14:paraId="5ED0E47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昼间</w:t>
                  </w:r>
                </w:p>
              </w:tc>
              <w:tc>
                <w:tcPr>
                  <w:tcW w:w="766" w:type="pct"/>
                  <w:noWrap w:val="0"/>
                  <w:vAlign w:val="center"/>
                </w:tcPr>
                <w:p w14:paraId="3332F7B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夜间</w:t>
                  </w:r>
                </w:p>
              </w:tc>
            </w:tr>
            <w:tr w14:paraId="1061F3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80" w:type="pct"/>
                  <w:noWrap w:val="0"/>
                  <w:vAlign w:val="center"/>
                </w:tcPr>
                <w:p w14:paraId="469A3DF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2</w:t>
                  </w:r>
                  <w:r>
                    <w:rPr>
                      <w:rFonts w:hint="default" w:cs="Times New Roman"/>
                      <w:color w:val="auto"/>
                    </w:rPr>
                    <w:t>类</w:t>
                  </w:r>
                </w:p>
              </w:tc>
              <w:tc>
                <w:tcPr>
                  <w:tcW w:w="2988" w:type="pct"/>
                  <w:noWrap w:val="0"/>
                  <w:vAlign w:val="center"/>
                </w:tcPr>
                <w:p w14:paraId="42DBCA9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指以商业金融、集市贸易为主要功能，或者居住、商业、工业混杂，需要维护住宅安静的区</w:t>
                  </w:r>
                </w:p>
              </w:tc>
              <w:tc>
                <w:tcPr>
                  <w:tcW w:w="764" w:type="pct"/>
                  <w:noWrap w:val="0"/>
                  <w:vAlign w:val="center"/>
                </w:tcPr>
                <w:p w14:paraId="709A14E1">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60</w:t>
                  </w:r>
                </w:p>
              </w:tc>
              <w:tc>
                <w:tcPr>
                  <w:tcW w:w="766" w:type="pct"/>
                  <w:noWrap w:val="0"/>
                  <w:vAlign w:val="center"/>
                </w:tcPr>
                <w:p w14:paraId="639D7438">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50</w:t>
                  </w:r>
                </w:p>
              </w:tc>
            </w:tr>
          </w:tbl>
          <w:p w14:paraId="7056A09A">
            <w:pPr>
              <w:keepNext w:val="0"/>
              <w:keepLines w:val="0"/>
              <w:suppressLineNumbers w:val="0"/>
              <w:bidi w:val="0"/>
              <w:spacing w:before="0" w:beforeAutospacing="0" w:after="0" w:afterAutospacing="0"/>
              <w:ind w:left="0" w:right="0"/>
              <w:rPr>
                <w:rFonts w:hint="default"/>
              </w:rPr>
            </w:pPr>
            <w:r>
              <w:rPr>
                <w:rFonts w:hint="eastAsia"/>
              </w:rPr>
              <w:t>（2）声环境质量现状</w:t>
            </w:r>
          </w:p>
          <w:p w14:paraId="10C82A5A">
            <w:pPr>
              <w:keepNext w:val="0"/>
              <w:keepLines w:val="0"/>
              <w:suppressLineNumbers w:val="0"/>
              <w:bidi w:val="0"/>
              <w:spacing w:before="0" w:beforeAutospacing="0" w:after="0" w:afterAutospacing="0"/>
              <w:ind w:left="0" w:right="0"/>
              <w:rPr>
                <w:rFonts w:hint="default"/>
              </w:rPr>
            </w:pPr>
            <w:r>
              <w:rPr>
                <w:rFonts w:hint="default"/>
              </w:rPr>
              <w:t>为了了解评价区的</w:t>
            </w:r>
            <w:r>
              <w:rPr>
                <w:rFonts w:hint="eastAsia"/>
                <w:lang w:eastAsia="zh-CN"/>
              </w:rPr>
              <w:t>声环境质量</w:t>
            </w:r>
            <w:r>
              <w:rPr>
                <w:rFonts w:hint="default"/>
              </w:rPr>
              <w:t>现状</w:t>
            </w:r>
            <w:r>
              <w:rPr>
                <w:rFonts w:hint="eastAsia"/>
                <w:lang w:eastAsia="zh-CN"/>
              </w:rPr>
              <w:t>，建设单位委托福建华远检测有限公司于</w:t>
            </w:r>
            <w:r>
              <w:rPr>
                <w:rFonts w:hint="eastAsia"/>
                <w:lang w:val="en-US" w:eastAsia="zh-CN"/>
              </w:rPr>
              <w:t>2025年12月16日</w:t>
            </w:r>
            <w:r>
              <w:rPr>
                <w:rFonts w:hint="default"/>
                <w:lang w:eastAsia="zh-CN"/>
              </w:rPr>
              <w:t>对该项目所在区域的</w:t>
            </w:r>
            <w:r>
              <w:rPr>
                <w:rFonts w:hint="eastAsia"/>
                <w:lang w:eastAsia="zh-CN"/>
              </w:rPr>
              <w:t>声</w:t>
            </w:r>
            <w:r>
              <w:rPr>
                <w:rFonts w:hint="default"/>
                <w:lang w:eastAsia="zh-CN"/>
              </w:rPr>
              <w:t>环境质量现状监测数据进行评价</w:t>
            </w:r>
            <w:r>
              <w:rPr>
                <w:rFonts w:hint="default"/>
              </w:rPr>
              <w:t>；</w:t>
            </w:r>
            <w:r>
              <w:rPr>
                <w:rFonts w:hint="eastAsia"/>
                <w:lang w:eastAsia="zh-CN"/>
              </w:rPr>
              <w:t>声环境质量现状</w:t>
            </w:r>
            <w:r>
              <w:rPr>
                <w:rFonts w:hint="default"/>
              </w:rPr>
              <w:t>监测点位</w:t>
            </w:r>
            <w:r>
              <w:rPr>
                <w:rFonts w:hint="eastAsia"/>
                <w:lang w:eastAsia="zh-CN"/>
              </w:rPr>
              <w:t>见图</w:t>
            </w:r>
            <w:r>
              <w:rPr>
                <w:rFonts w:hint="eastAsia"/>
                <w:lang w:val="en-US" w:eastAsia="zh-CN"/>
              </w:rPr>
              <w:t>3.1-2</w:t>
            </w:r>
            <w:r>
              <w:rPr>
                <w:rFonts w:hint="default"/>
              </w:rPr>
              <w:t>，声环境现状监测</w:t>
            </w:r>
            <w:r>
              <w:rPr>
                <w:rFonts w:hint="default"/>
                <w:lang w:eastAsia="zh-CN"/>
              </w:rPr>
              <w:t>评价结果</w:t>
            </w:r>
            <w:r>
              <w:rPr>
                <w:rFonts w:hint="eastAsia"/>
                <w:lang w:eastAsia="zh-CN"/>
              </w:rPr>
              <w:t>见</w:t>
            </w:r>
            <w:r>
              <w:rPr>
                <w:rFonts w:hint="default"/>
              </w:rPr>
              <w:t>表</w:t>
            </w:r>
            <w:r>
              <w:rPr>
                <w:rFonts w:hint="eastAsia"/>
                <w:lang w:val="en-US" w:eastAsia="zh-CN"/>
              </w:rPr>
              <w:t>3.1-4</w:t>
            </w:r>
            <w:r>
              <w:rPr>
                <w:rFonts w:hint="default"/>
              </w:rPr>
              <w:t>。</w:t>
            </w:r>
          </w:p>
          <w:p w14:paraId="19549DE9">
            <w:pPr>
              <w:pStyle w:val="36"/>
              <w:keepNext w:val="0"/>
              <w:keepLines w:val="0"/>
              <w:suppressLineNumbers w:val="0"/>
              <w:bidi w:val="0"/>
              <w:spacing w:beforeAutospacing="0" w:after="0" w:afterAutospacing="0"/>
              <w:ind w:left="0" w:right="0"/>
              <w:rPr>
                <w:rFonts w:hint="default"/>
              </w:rPr>
            </w:pPr>
            <w:r>
              <w:rPr>
                <w:rFonts w:hint="default"/>
              </w:rPr>
              <w:t>声环境质量现状监测及评价结果一览表  单位：dB(A)</w:t>
            </w:r>
          </w:p>
          <w:tbl>
            <w:tblPr>
              <w:tblStyle w:val="23"/>
              <w:tblW w:w="49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172"/>
              <w:gridCol w:w="2869"/>
              <w:gridCol w:w="2611"/>
              <w:gridCol w:w="1260"/>
              <w:gridCol w:w="611"/>
            </w:tblGrid>
            <w:tr w14:paraId="59B9D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87" w:type="pct"/>
                  <w:vMerge w:val="restart"/>
                  <w:tcBorders>
                    <w:left w:val="nil"/>
                  </w:tcBorders>
                  <w:noWrap w:val="0"/>
                  <w:vAlign w:val="center"/>
                </w:tcPr>
                <w:p w14:paraId="0B86AC79">
                  <w:pPr>
                    <w:pStyle w:val="33"/>
                    <w:keepNext w:val="0"/>
                    <w:keepLines w:val="0"/>
                    <w:suppressLineNumbers w:val="0"/>
                    <w:bidi w:val="0"/>
                    <w:spacing w:before="0" w:beforeAutospacing="0" w:after="0" w:afterAutospacing="0"/>
                    <w:ind w:left="0" w:right="0"/>
                    <w:rPr>
                      <w:rFonts w:hint="default"/>
                    </w:rPr>
                  </w:pPr>
                  <w:r>
                    <w:rPr>
                      <w:rFonts w:hint="default"/>
                    </w:rPr>
                    <w:t>检测日期</w:t>
                  </w:r>
                </w:p>
              </w:tc>
              <w:tc>
                <w:tcPr>
                  <w:tcW w:w="1682" w:type="pct"/>
                  <w:vMerge w:val="restart"/>
                  <w:noWrap w:val="0"/>
                  <w:vAlign w:val="center"/>
                </w:tcPr>
                <w:p w14:paraId="2C93FDC3">
                  <w:pPr>
                    <w:pStyle w:val="33"/>
                    <w:keepNext w:val="0"/>
                    <w:keepLines w:val="0"/>
                    <w:suppressLineNumbers w:val="0"/>
                    <w:bidi w:val="0"/>
                    <w:spacing w:before="0" w:beforeAutospacing="0" w:after="0" w:afterAutospacing="0"/>
                    <w:ind w:left="0" w:right="0"/>
                    <w:rPr>
                      <w:rFonts w:hint="default"/>
                    </w:rPr>
                  </w:pPr>
                  <w:r>
                    <w:rPr>
                      <w:rFonts w:hint="default"/>
                    </w:rPr>
                    <w:t>检测点位</w:t>
                  </w:r>
                </w:p>
              </w:tc>
              <w:tc>
                <w:tcPr>
                  <w:tcW w:w="1531" w:type="pct"/>
                  <w:noWrap w:val="0"/>
                  <w:vAlign w:val="center"/>
                </w:tcPr>
                <w:p w14:paraId="16B929EA">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Leq检测结果</w:t>
                  </w:r>
                  <w:r>
                    <w:rPr>
                      <w:rFonts w:hint="eastAsia"/>
                      <w:lang w:val="en-US" w:eastAsia="zh-CN"/>
                    </w:rPr>
                    <w:t>，</w:t>
                  </w:r>
                  <w:r>
                    <w:rPr>
                      <w:rFonts w:hint="default"/>
                      <w:lang w:val="en-US" w:eastAsia="zh-CN"/>
                    </w:rPr>
                    <w:t>dB</w:t>
                  </w:r>
                  <w:r>
                    <w:rPr>
                      <w:rFonts w:hint="eastAsia"/>
                      <w:lang w:val="en-US" w:eastAsia="zh-CN"/>
                    </w:rPr>
                    <w:t>（</w:t>
                  </w:r>
                  <w:r>
                    <w:rPr>
                      <w:rFonts w:hint="default"/>
                      <w:lang w:val="en-US" w:eastAsia="zh-CN"/>
                    </w:rPr>
                    <w:t>A</w:t>
                  </w:r>
                  <w:r>
                    <w:rPr>
                      <w:rFonts w:hint="eastAsia"/>
                      <w:lang w:val="en-US" w:eastAsia="zh-CN"/>
                    </w:rPr>
                    <w:t>）</w:t>
                  </w:r>
                </w:p>
              </w:tc>
              <w:tc>
                <w:tcPr>
                  <w:tcW w:w="739" w:type="pct"/>
                  <w:vMerge w:val="restart"/>
                  <w:tcBorders>
                    <w:right w:val="single" w:color="auto" w:sz="4" w:space="0"/>
                  </w:tcBorders>
                  <w:noWrap w:val="0"/>
                  <w:vAlign w:val="center"/>
                </w:tcPr>
                <w:p w14:paraId="70003A06">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标准限值（dB（A））</w:t>
                  </w:r>
                </w:p>
              </w:tc>
              <w:tc>
                <w:tcPr>
                  <w:tcW w:w="358" w:type="pct"/>
                  <w:vMerge w:val="restart"/>
                  <w:tcBorders>
                    <w:left w:val="single" w:color="auto" w:sz="4" w:space="0"/>
                    <w:right w:val="nil"/>
                  </w:tcBorders>
                  <w:noWrap w:val="0"/>
                  <w:vAlign w:val="center"/>
                </w:tcPr>
                <w:p w14:paraId="559D6059">
                  <w:pPr>
                    <w:pStyle w:val="33"/>
                    <w:keepNext w:val="0"/>
                    <w:keepLines w:val="0"/>
                    <w:suppressLineNumbers w:val="0"/>
                    <w:bidi w:val="0"/>
                    <w:spacing w:before="0" w:beforeAutospacing="0" w:after="0" w:afterAutospacing="0"/>
                    <w:ind w:left="0" w:right="0"/>
                    <w:rPr>
                      <w:rFonts w:hint="default"/>
                      <w:lang w:eastAsia="zh-CN"/>
                    </w:rPr>
                  </w:pPr>
                  <w:r>
                    <w:rPr>
                      <w:rFonts w:hint="default"/>
                      <w:lang w:eastAsia="zh-CN"/>
                    </w:rPr>
                    <w:t>是否达标</w:t>
                  </w:r>
                </w:p>
              </w:tc>
            </w:tr>
            <w:tr w14:paraId="5686B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87" w:type="pct"/>
                  <w:vMerge w:val="continue"/>
                  <w:tcBorders>
                    <w:left w:val="nil"/>
                  </w:tcBorders>
                  <w:noWrap w:val="0"/>
                  <w:vAlign w:val="center"/>
                </w:tcPr>
                <w:p w14:paraId="28FCC883">
                  <w:pPr>
                    <w:pStyle w:val="33"/>
                    <w:keepNext w:val="0"/>
                    <w:keepLines w:val="0"/>
                    <w:suppressLineNumbers w:val="0"/>
                    <w:bidi w:val="0"/>
                    <w:spacing w:before="0" w:beforeAutospacing="0" w:after="0" w:afterAutospacing="0"/>
                    <w:ind w:left="0" w:right="0"/>
                    <w:rPr>
                      <w:rFonts w:hint="default"/>
                    </w:rPr>
                  </w:pPr>
                </w:p>
              </w:tc>
              <w:tc>
                <w:tcPr>
                  <w:tcW w:w="1682" w:type="pct"/>
                  <w:vMerge w:val="continue"/>
                  <w:noWrap w:val="0"/>
                  <w:vAlign w:val="center"/>
                </w:tcPr>
                <w:p w14:paraId="59D58C91">
                  <w:pPr>
                    <w:pStyle w:val="33"/>
                    <w:keepNext w:val="0"/>
                    <w:keepLines w:val="0"/>
                    <w:suppressLineNumbers w:val="0"/>
                    <w:bidi w:val="0"/>
                    <w:spacing w:before="0" w:beforeAutospacing="0" w:after="0" w:afterAutospacing="0"/>
                    <w:ind w:left="0" w:right="0"/>
                    <w:rPr>
                      <w:rFonts w:hint="default"/>
                    </w:rPr>
                  </w:pPr>
                </w:p>
              </w:tc>
              <w:tc>
                <w:tcPr>
                  <w:tcW w:w="1531" w:type="pct"/>
                  <w:noWrap w:val="0"/>
                  <w:vAlign w:val="center"/>
                </w:tcPr>
                <w:p w14:paraId="6FBFD477">
                  <w:pPr>
                    <w:pStyle w:val="33"/>
                    <w:keepNext w:val="0"/>
                    <w:keepLines w:val="0"/>
                    <w:suppressLineNumbers w:val="0"/>
                    <w:bidi w:val="0"/>
                    <w:spacing w:before="0" w:beforeAutospacing="0" w:after="0" w:afterAutospacing="0"/>
                    <w:ind w:left="0" w:right="0"/>
                    <w:rPr>
                      <w:rFonts w:hint="default"/>
                    </w:rPr>
                  </w:pPr>
                  <w:r>
                    <w:rPr>
                      <w:rFonts w:hint="default"/>
                      <w:lang w:eastAsia="zh-CN"/>
                    </w:rPr>
                    <w:t>昼间</w:t>
                  </w:r>
                </w:p>
              </w:tc>
              <w:tc>
                <w:tcPr>
                  <w:tcW w:w="739" w:type="pct"/>
                  <w:vMerge w:val="continue"/>
                  <w:tcBorders>
                    <w:right w:val="single" w:color="auto" w:sz="4" w:space="0"/>
                  </w:tcBorders>
                  <w:noWrap w:val="0"/>
                  <w:vAlign w:val="center"/>
                </w:tcPr>
                <w:p w14:paraId="73156C42">
                  <w:pPr>
                    <w:pStyle w:val="33"/>
                    <w:keepNext w:val="0"/>
                    <w:keepLines w:val="0"/>
                    <w:suppressLineNumbers w:val="0"/>
                    <w:bidi w:val="0"/>
                    <w:spacing w:before="0" w:beforeAutospacing="0" w:after="0" w:afterAutospacing="0"/>
                    <w:ind w:left="0" w:right="0"/>
                    <w:rPr>
                      <w:rFonts w:hint="default"/>
                      <w:lang w:val="en-US" w:eastAsia="zh-CN"/>
                    </w:rPr>
                  </w:pPr>
                </w:p>
              </w:tc>
              <w:tc>
                <w:tcPr>
                  <w:tcW w:w="358" w:type="pct"/>
                  <w:vMerge w:val="continue"/>
                  <w:tcBorders>
                    <w:left w:val="single" w:color="auto" w:sz="4" w:space="0"/>
                    <w:right w:val="nil"/>
                  </w:tcBorders>
                  <w:noWrap w:val="0"/>
                  <w:vAlign w:val="center"/>
                </w:tcPr>
                <w:p w14:paraId="6A59D84B">
                  <w:pPr>
                    <w:pStyle w:val="33"/>
                    <w:keepNext w:val="0"/>
                    <w:keepLines w:val="0"/>
                    <w:suppressLineNumbers w:val="0"/>
                    <w:bidi w:val="0"/>
                    <w:spacing w:before="0" w:beforeAutospacing="0" w:after="0" w:afterAutospacing="0"/>
                    <w:ind w:left="0" w:right="0"/>
                    <w:rPr>
                      <w:rFonts w:hint="default"/>
                      <w:lang w:eastAsia="zh-CN"/>
                    </w:rPr>
                  </w:pPr>
                </w:p>
              </w:tc>
            </w:tr>
            <w:tr w14:paraId="3ED87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87" w:type="pct"/>
                  <w:vMerge w:val="restart"/>
                  <w:tcBorders>
                    <w:left w:val="nil"/>
                  </w:tcBorders>
                  <w:noWrap w:val="0"/>
                  <w:vAlign w:val="center"/>
                </w:tcPr>
                <w:p w14:paraId="2158B2B7">
                  <w:pPr>
                    <w:pStyle w:val="33"/>
                    <w:keepNext w:val="0"/>
                    <w:keepLines w:val="0"/>
                    <w:suppressLineNumbers w:val="0"/>
                    <w:bidi w:val="0"/>
                    <w:spacing w:before="0" w:beforeAutospacing="0" w:after="0" w:afterAutospacing="0"/>
                    <w:ind w:left="0" w:right="0"/>
                    <w:rPr>
                      <w:rFonts w:hint="default"/>
                      <w:lang w:val="en-US" w:eastAsia="zh-CN"/>
                    </w:rPr>
                  </w:pPr>
                  <w:r>
                    <w:rPr>
                      <w:rFonts w:hint="default"/>
                      <w:lang w:eastAsia="zh-CN"/>
                    </w:rPr>
                    <w:t>202</w:t>
                  </w:r>
                  <w:r>
                    <w:rPr>
                      <w:rFonts w:hint="eastAsia"/>
                      <w:lang w:val="en-US" w:eastAsia="zh-CN"/>
                    </w:rPr>
                    <w:t>5</w:t>
                  </w:r>
                  <w:r>
                    <w:rPr>
                      <w:rFonts w:hint="default"/>
                      <w:lang w:val="en-US" w:eastAsia="zh-CN"/>
                    </w:rPr>
                    <w:t>年0</w:t>
                  </w:r>
                  <w:r>
                    <w:rPr>
                      <w:rFonts w:hint="eastAsia"/>
                      <w:lang w:val="en-US" w:eastAsia="zh-CN"/>
                    </w:rPr>
                    <w:t>9</w:t>
                  </w:r>
                  <w:r>
                    <w:rPr>
                      <w:rFonts w:hint="default"/>
                      <w:lang w:val="en-US" w:eastAsia="zh-CN"/>
                    </w:rPr>
                    <w:t>月2</w:t>
                  </w:r>
                  <w:r>
                    <w:rPr>
                      <w:rFonts w:hint="eastAsia"/>
                      <w:lang w:val="en-US" w:eastAsia="zh-CN"/>
                    </w:rPr>
                    <w:t>4</w:t>
                  </w:r>
                  <w:r>
                    <w:rPr>
                      <w:rFonts w:hint="default"/>
                      <w:lang w:val="en-US" w:eastAsia="zh-CN"/>
                    </w:rPr>
                    <w:t>日</w:t>
                  </w:r>
                </w:p>
              </w:tc>
              <w:tc>
                <w:tcPr>
                  <w:tcW w:w="1682" w:type="pct"/>
                  <w:noWrap w:val="0"/>
                  <w:vAlign w:val="center"/>
                </w:tcPr>
                <w:p w14:paraId="2CF0B90B">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东北侧</w:t>
                  </w:r>
                  <w:r>
                    <w:rPr>
                      <w:rFonts w:hint="default"/>
                      <w:lang w:val="en-US" w:eastAsia="zh-CN"/>
                    </w:rPr>
                    <w:t>厂界外</w:t>
                  </w:r>
                  <w:r>
                    <w:rPr>
                      <w:rFonts w:hint="eastAsia"/>
                      <w:lang w:val="en-US" w:eastAsia="zh-CN"/>
                    </w:rPr>
                    <w:t>1米</w:t>
                  </w:r>
                  <w:r>
                    <w:rPr>
                      <w:rFonts w:hint="default"/>
                      <w:lang w:val="en-US" w:eastAsia="zh-CN"/>
                    </w:rPr>
                    <w:t>处N1</w:t>
                  </w:r>
                </w:p>
              </w:tc>
              <w:tc>
                <w:tcPr>
                  <w:tcW w:w="1531" w:type="pct"/>
                  <w:noWrap w:val="0"/>
                  <w:vAlign w:val="center"/>
                </w:tcPr>
                <w:p w14:paraId="3CF9FEDB">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51.5</w:t>
                  </w:r>
                </w:p>
              </w:tc>
              <w:tc>
                <w:tcPr>
                  <w:tcW w:w="739" w:type="pct"/>
                  <w:vMerge w:val="restart"/>
                  <w:tcBorders>
                    <w:right w:val="single" w:color="auto" w:sz="4" w:space="0"/>
                  </w:tcBorders>
                  <w:noWrap w:val="0"/>
                  <w:vAlign w:val="center"/>
                </w:tcPr>
                <w:p w14:paraId="7E25D3AD">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昼间≤6</w:t>
                  </w:r>
                  <w:r>
                    <w:rPr>
                      <w:rFonts w:hint="eastAsia"/>
                      <w:lang w:val="en-US" w:eastAsia="zh-CN"/>
                    </w:rPr>
                    <w:t>0</w:t>
                  </w:r>
                </w:p>
              </w:tc>
              <w:tc>
                <w:tcPr>
                  <w:tcW w:w="358" w:type="pct"/>
                  <w:tcBorders>
                    <w:left w:val="single" w:color="auto" w:sz="4" w:space="0"/>
                    <w:bottom w:val="single" w:color="auto" w:sz="4" w:space="0"/>
                    <w:right w:val="nil"/>
                  </w:tcBorders>
                  <w:noWrap w:val="0"/>
                  <w:vAlign w:val="center"/>
                </w:tcPr>
                <w:p w14:paraId="4923A24D">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达标</w:t>
                  </w:r>
                </w:p>
              </w:tc>
            </w:tr>
            <w:tr w14:paraId="5FAFF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87" w:type="pct"/>
                  <w:vMerge w:val="continue"/>
                  <w:tcBorders>
                    <w:left w:val="nil"/>
                  </w:tcBorders>
                  <w:noWrap w:val="0"/>
                  <w:vAlign w:val="center"/>
                </w:tcPr>
                <w:p w14:paraId="281EF700">
                  <w:pPr>
                    <w:pStyle w:val="33"/>
                    <w:keepNext w:val="0"/>
                    <w:keepLines w:val="0"/>
                    <w:suppressLineNumbers w:val="0"/>
                    <w:bidi w:val="0"/>
                    <w:spacing w:before="0" w:beforeAutospacing="0" w:after="0" w:afterAutospacing="0"/>
                    <w:ind w:left="0" w:right="0"/>
                    <w:rPr>
                      <w:rFonts w:hint="default"/>
                    </w:rPr>
                  </w:pPr>
                </w:p>
              </w:tc>
              <w:tc>
                <w:tcPr>
                  <w:tcW w:w="1682" w:type="pct"/>
                  <w:noWrap w:val="0"/>
                  <w:vAlign w:val="center"/>
                </w:tcPr>
                <w:p w14:paraId="677AFC5A">
                  <w:pPr>
                    <w:pStyle w:val="33"/>
                    <w:keepNext w:val="0"/>
                    <w:keepLines w:val="0"/>
                    <w:suppressLineNumbers w:val="0"/>
                    <w:bidi w:val="0"/>
                    <w:spacing w:before="0" w:beforeAutospacing="0" w:after="0" w:afterAutospacing="0"/>
                    <w:ind w:left="0" w:right="0"/>
                    <w:rPr>
                      <w:rFonts w:hint="default"/>
                      <w:lang w:eastAsia="zh-CN"/>
                    </w:rPr>
                  </w:pPr>
                  <w:r>
                    <w:rPr>
                      <w:rFonts w:hint="eastAsia"/>
                      <w:lang w:val="en-US" w:eastAsia="zh-CN"/>
                    </w:rPr>
                    <w:t>东南侧</w:t>
                  </w:r>
                  <w:r>
                    <w:rPr>
                      <w:rFonts w:hint="default"/>
                      <w:lang w:val="en-US" w:eastAsia="zh-CN"/>
                    </w:rPr>
                    <w:t>厂界外</w:t>
                  </w:r>
                  <w:r>
                    <w:rPr>
                      <w:rFonts w:hint="eastAsia"/>
                      <w:lang w:val="en-US" w:eastAsia="zh-CN"/>
                    </w:rPr>
                    <w:t>1米</w:t>
                  </w:r>
                  <w:r>
                    <w:rPr>
                      <w:rFonts w:hint="default"/>
                      <w:lang w:val="en-US" w:eastAsia="zh-CN"/>
                    </w:rPr>
                    <w:t>处N2</w:t>
                  </w:r>
                </w:p>
              </w:tc>
              <w:tc>
                <w:tcPr>
                  <w:tcW w:w="1531" w:type="pct"/>
                  <w:noWrap w:val="0"/>
                  <w:vAlign w:val="center"/>
                </w:tcPr>
                <w:p w14:paraId="62056718">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51.6</w:t>
                  </w:r>
                </w:p>
              </w:tc>
              <w:tc>
                <w:tcPr>
                  <w:tcW w:w="739" w:type="pct"/>
                  <w:vMerge w:val="continue"/>
                  <w:tcBorders>
                    <w:right w:val="single" w:color="auto" w:sz="4" w:space="0"/>
                  </w:tcBorders>
                  <w:noWrap w:val="0"/>
                  <w:vAlign w:val="center"/>
                </w:tcPr>
                <w:p w14:paraId="12528A9B">
                  <w:pPr>
                    <w:pStyle w:val="33"/>
                    <w:keepNext w:val="0"/>
                    <w:keepLines w:val="0"/>
                    <w:suppressLineNumbers w:val="0"/>
                    <w:bidi w:val="0"/>
                    <w:spacing w:before="0" w:beforeAutospacing="0" w:after="0" w:afterAutospacing="0"/>
                    <w:ind w:left="0" w:right="0"/>
                    <w:rPr>
                      <w:rFonts w:hint="default"/>
                      <w:lang w:val="en-US" w:eastAsia="zh-CN"/>
                    </w:rPr>
                  </w:pPr>
                </w:p>
              </w:tc>
              <w:tc>
                <w:tcPr>
                  <w:tcW w:w="358" w:type="pct"/>
                  <w:tcBorders>
                    <w:top w:val="single" w:color="auto" w:sz="4" w:space="0"/>
                    <w:left w:val="single" w:color="auto" w:sz="4" w:space="0"/>
                    <w:right w:val="nil"/>
                  </w:tcBorders>
                  <w:noWrap w:val="0"/>
                  <w:vAlign w:val="center"/>
                </w:tcPr>
                <w:p w14:paraId="4F910A42">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达标</w:t>
                  </w:r>
                </w:p>
              </w:tc>
            </w:tr>
            <w:tr w14:paraId="16421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87" w:type="pct"/>
                  <w:vMerge w:val="continue"/>
                  <w:tcBorders>
                    <w:left w:val="nil"/>
                  </w:tcBorders>
                  <w:noWrap w:val="0"/>
                  <w:vAlign w:val="center"/>
                </w:tcPr>
                <w:p w14:paraId="3A9C5E5E">
                  <w:pPr>
                    <w:pStyle w:val="33"/>
                    <w:keepNext w:val="0"/>
                    <w:keepLines w:val="0"/>
                    <w:suppressLineNumbers w:val="0"/>
                    <w:bidi w:val="0"/>
                    <w:spacing w:before="0" w:beforeAutospacing="0" w:after="0" w:afterAutospacing="0"/>
                    <w:ind w:left="0" w:right="0"/>
                    <w:rPr>
                      <w:rFonts w:hint="default"/>
                    </w:rPr>
                  </w:pPr>
                </w:p>
              </w:tc>
              <w:tc>
                <w:tcPr>
                  <w:tcW w:w="1682" w:type="pct"/>
                  <w:noWrap w:val="0"/>
                  <w:vAlign w:val="center"/>
                </w:tcPr>
                <w:p w14:paraId="1A56C870">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西南侧</w:t>
                  </w:r>
                  <w:r>
                    <w:rPr>
                      <w:rFonts w:hint="default"/>
                      <w:lang w:val="en-US" w:eastAsia="zh-CN"/>
                    </w:rPr>
                    <w:t>厂界外</w:t>
                  </w:r>
                  <w:r>
                    <w:rPr>
                      <w:rFonts w:hint="eastAsia"/>
                      <w:lang w:val="en-US" w:eastAsia="zh-CN"/>
                    </w:rPr>
                    <w:t>1米</w:t>
                  </w:r>
                  <w:r>
                    <w:rPr>
                      <w:rFonts w:hint="default"/>
                      <w:lang w:val="en-US" w:eastAsia="zh-CN"/>
                    </w:rPr>
                    <w:t>处N3</w:t>
                  </w:r>
                </w:p>
              </w:tc>
              <w:tc>
                <w:tcPr>
                  <w:tcW w:w="1531" w:type="pct"/>
                  <w:noWrap w:val="0"/>
                  <w:vAlign w:val="center"/>
                </w:tcPr>
                <w:p w14:paraId="3F4CA154">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58.6</w:t>
                  </w:r>
                </w:p>
              </w:tc>
              <w:tc>
                <w:tcPr>
                  <w:tcW w:w="739" w:type="pct"/>
                  <w:vMerge w:val="continue"/>
                  <w:tcBorders>
                    <w:right w:val="single" w:color="auto" w:sz="4" w:space="0"/>
                  </w:tcBorders>
                  <w:noWrap w:val="0"/>
                  <w:vAlign w:val="center"/>
                </w:tcPr>
                <w:p w14:paraId="3CD69D50">
                  <w:pPr>
                    <w:pStyle w:val="33"/>
                    <w:keepNext w:val="0"/>
                    <w:keepLines w:val="0"/>
                    <w:suppressLineNumbers w:val="0"/>
                    <w:bidi w:val="0"/>
                    <w:spacing w:before="0" w:beforeAutospacing="0" w:after="0" w:afterAutospacing="0"/>
                    <w:ind w:left="0" w:right="0"/>
                    <w:rPr>
                      <w:rFonts w:hint="default"/>
                      <w:lang w:val="en-US" w:eastAsia="zh-CN"/>
                    </w:rPr>
                  </w:pPr>
                </w:p>
              </w:tc>
              <w:tc>
                <w:tcPr>
                  <w:tcW w:w="358" w:type="pct"/>
                  <w:tcBorders>
                    <w:left w:val="single" w:color="auto" w:sz="4" w:space="0"/>
                    <w:bottom w:val="single" w:color="auto" w:sz="4" w:space="0"/>
                    <w:right w:val="nil"/>
                  </w:tcBorders>
                  <w:noWrap w:val="0"/>
                  <w:vAlign w:val="center"/>
                </w:tcPr>
                <w:p w14:paraId="6AAF4F11">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达标</w:t>
                  </w:r>
                </w:p>
              </w:tc>
            </w:tr>
            <w:tr w14:paraId="741DE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87" w:type="pct"/>
                  <w:vMerge w:val="continue"/>
                  <w:tcBorders>
                    <w:left w:val="nil"/>
                  </w:tcBorders>
                  <w:noWrap w:val="0"/>
                  <w:vAlign w:val="center"/>
                </w:tcPr>
                <w:p w14:paraId="20A125E2">
                  <w:pPr>
                    <w:pStyle w:val="33"/>
                    <w:keepNext w:val="0"/>
                    <w:keepLines w:val="0"/>
                    <w:suppressLineNumbers w:val="0"/>
                    <w:bidi w:val="0"/>
                    <w:spacing w:before="0" w:beforeAutospacing="0" w:after="0" w:afterAutospacing="0"/>
                    <w:ind w:left="0" w:right="0"/>
                    <w:rPr>
                      <w:rFonts w:hint="default"/>
                    </w:rPr>
                  </w:pPr>
                </w:p>
              </w:tc>
              <w:tc>
                <w:tcPr>
                  <w:tcW w:w="1682" w:type="pct"/>
                  <w:noWrap w:val="0"/>
                  <w:vAlign w:val="center"/>
                </w:tcPr>
                <w:p w14:paraId="3CDA0A84">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西北侧厂界外1米处</w:t>
                  </w:r>
                  <w:r>
                    <w:rPr>
                      <w:rFonts w:hint="default"/>
                      <w:lang w:val="en-US" w:eastAsia="zh-CN"/>
                    </w:rPr>
                    <w:t>N4</w:t>
                  </w:r>
                </w:p>
              </w:tc>
              <w:tc>
                <w:tcPr>
                  <w:tcW w:w="1531" w:type="pct"/>
                  <w:tcBorders>
                    <w:bottom w:val="single" w:color="auto" w:sz="4" w:space="0"/>
                  </w:tcBorders>
                  <w:noWrap w:val="0"/>
                  <w:vAlign w:val="center"/>
                </w:tcPr>
                <w:p w14:paraId="3E906B3A">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53.0</w:t>
                  </w:r>
                </w:p>
              </w:tc>
              <w:tc>
                <w:tcPr>
                  <w:tcW w:w="739" w:type="pct"/>
                  <w:vMerge w:val="continue"/>
                  <w:tcBorders>
                    <w:bottom w:val="single" w:color="auto" w:sz="4" w:space="0"/>
                    <w:right w:val="single" w:color="auto" w:sz="4" w:space="0"/>
                  </w:tcBorders>
                  <w:noWrap w:val="0"/>
                  <w:vAlign w:val="center"/>
                </w:tcPr>
                <w:p w14:paraId="16D622E4">
                  <w:pPr>
                    <w:pStyle w:val="33"/>
                    <w:keepNext w:val="0"/>
                    <w:keepLines w:val="0"/>
                    <w:suppressLineNumbers w:val="0"/>
                    <w:bidi w:val="0"/>
                    <w:spacing w:before="0" w:beforeAutospacing="0" w:after="0" w:afterAutospacing="0"/>
                    <w:ind w:left="0" w:right="0"/>
                    <w:rPr>
                      <w:rFonts w:hint="default"/>
                      <w:lang w:val="en-US" w:eastAsia="zh-CN"/>
                    </w:rPr>
                  </w:pPr>
                </w:p>
              </w:tc>
              <w:tc>
                <w:tcPr>
                  <w:tcW w:w="358" w:type="pct"/>
                  <w:tcBorders>
                    <w:top w:val="single" w:color="auto" w:sz="4" w:space="0"/>
                    <w:left w:val="single" w:color="auto" w:sz="4" w:space="0"/>
                    <w:right w:val="nil"/>
                  </w:tcBorders>
                  <w:noWrap w:val="0"/>
                  <w:vAlign w:val="center"/>
                </w:tcPr>
                <w:p w14:paraId="08DDDBD0">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达标</w:t>
                  </w:r>
                </w:p>
              </w:tc>
            </w:tr>
            <w:tr w14:paraId="4C270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87" w:type="pct"/>
                  <w:vMerge w:val="continue"/>
                  <w:tcBorders>
                    <w:left w:val="nil"/>
                  </w:tcBorders>
                  <w:noWrap w:val="0"/>
                  <w:vAlign w:val="center"/>
                </w:tcPr>
                <w:p w14:paraId="0861FF12">
                  <w:pPr>
                    <w:pStyle w:val="33"/>
                    <w:keepNext w:val="0"/>
                    <w:keepLines w:val="0"/>
                    <w:suppressLineNumbers w:val="0"/>
                    <w:bidi w:val="0"/>
                    <w:spacing w:before="0" w:beforeAutospacing="0" w:after="0" w:afterAutospacing="0"/>
                    <w:ind w:left="0" w:right="0"/>
                    <w:rPr>
                      <w:rFonts w:hint="default"/>
                    </w:rPr>
                  </w:pPr>
                </w:p>
              </w:tc>
              <w:tc>
                <w:tcPr>
                  <w:tcW w:w="1682" w:type="pct"/>
                  <w:noWrap w:val="0"/>
                  <w:vAlign w:val="center"/>
                </w:tcPr>
                <w:p w14:paraId="0747A2CC">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东台村</w:t>
                  </w:r>
                </w:p>
              </w:tc>
              <w:tc>
                <w:tcPr>
                  <w:tcW w:w="1531" w:type="pct"/>
                  <w:tcBorders>
                    <w:top w:val="single" w:color="auto" w:sz="4" w:space="0"/>
                  </w:tcBorders>
                  <w:noWrap w:val="0"/>
                  <w:vAlign w:val="center"/>
                </w:tcPr>
                <w:p w14:paraId="43C33323">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51.4</w:t>
                  </w:r>
                </w:p>
              </w:tc>
              <w:tc>
                <w:tcPr>
                  <w:tcW w:w="739" w:type="pct"/>
                  <w:tcBorders>
                    <w:top w:val="single" w:color="auto" w:sz="4" w:space="0"/>
                    <w:right w:val="single" w:color="auto" w:sz="4" w:space="0"/>
                  </w:tcBorders>
                  <w:noWrap w:val="0"/>
                  <w:vAlign w:val="center"/>
                </w:tcPr>
                <w:p w14:paraId="76F0F568">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昼间≤6</w:t>
                  </w:r>
                  <w:r>
                    <w:rPr>
                      <w:rFonts w:hint="eastAsia"/>
                      <w:lang w:val="en-US" w:eastAsia="zh-CN"/>
                    </w:rPr>
                    <w:t>0</w:t>
                  </w:r>
                </w:p>
              </w:tc>
              <w:tc>
                <w:tcPr>
                  <w:tcW w:w="358" w:type="pct"/>
                  <w:tcBorders>
                    <w:left w:val="single" w:color="auto" w:sz="4" w:space="0"/>
                    <w:right w:val="nil"/>
                  </w:tcBorders>
                  <w:noWrap w:val="0"/>
                  <w:vAlign w:val="center"/>
                </w:tcPr>
                <w:p w14:paraId="07FB98AF">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达标</w:t>
                  </w:r>
                </w:p>
              </w:tc>
            </w:tr>
          </w:tbl>
          <w:p w14:paraId="07A17718">
            <w:pPr>
              <w:keepNext w:val="0"/>
              <w:keepLines w:val="0"/>
              <w:suppressLineNumbers w:val="0"/>
              <w:bidi w:val="0"/>
              <w:spacing w:before="0" w:beforeAutospacing="0" w:after="0" w:afterAutospacing="0"/>
              <w:ind w:left="0" w:right="0"/>
              <w:rPr>
                <w:rFonts w:hint="eastAsia"/>
                <w:lang w:eastAsia="zh-CN"/>
              </w:rPr>
            </w:pPr>
            <w:r>
              <w:rPr>
                <w:rFonts w:hint="eastAsia"/>
                <w:lang w:val="zh-CN" w:eastAsia="zh-CN"/>
              </w:rPr>
              <w:t>厂界和东台村处声环境质量现状均可满足《声环境质量标准》(GB3096-2008)中</w:t>
            </w:r>
            <w:r>
              <w:rPr>
                <w:rFonts w:hint="eastAsia"/>
                <w:lang w:val="en-US" w:eastAsia="zh-CN"/>
              </w:rPr>
              <w:t>2类</w:t>
            </w:r>
            <w:r>
              <w:rPr>
                <w:rFonts w:hint="eastAsia"/>
                <w:lang w:val="zh-CN" w:eastAsia="zh-CN"/>
              </w:rPr>
              <w:t>标准要求。</w:t>
            </w:r>
          </w:p>
          <w:p w14:paraId="1F24B7B2">
            <w:pPr>
              <w:pStyle w:val="4"/>
              <w:keepNext w:val="0"/>
              <w:keepLines w:val="0"/>
              <w:suppressLineNumbers w:val="0"/>
              <w:bidi w:val="0"/>
              <w:ind w:left="0" w:right="0"/>
              <w:rPr>
                <w:rFonts w:hint="eastAsia" w:ascii="Times New Roman" w:hAnsi="Times New Roman" w:eastAsia="宋体" w:cs="宋体"/>
                <w:color w:val="auto"/>
              </w:rPr>
            </w:pPr>
            <w:r>
              <w:rPr>
                <w:rFonts w:hint="eastAsia" w:ascii="Times New Roman" w:hAnsi="Times New Roman" w:eastAsia="宋体" w:cs="宋体"/>
                <w:color w:val="auto"/>
              </w:rPr>
              <w:t>生态环境</w:t>
            </w:r>
          </w:p>
          <w:p w14:paraId="56A54A9B">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s="Times New Roman"/>
                <w:color w:val="auto"/>
                <w:kern w:val="0"/>
                <w:sz w:val="24"/>
              </w:rPr>
              <w:t>本项目租赁</w:t>
            </w:r>
            <w:r>
              <w:rPr>
                <w:rFonts w:hint="eastAsia" w:cs="Times New Roman"/>
                <w:color w:val="auto"/>
                <w:kern w:val="0"/>
                <w:sz w:val="24"/>
                <w:lang w:eastAsia="zh-CN"/>
              </w:rPr>
              <w:t>福州胜金电器企业有限公司</w:t>
            </w:r>
            <w:r>
              <w:rPr>
                <w:rFonts w:hint="eastAsia" w:cs="Times New Roman"/>
                <w:color w:val="auto"/>
                <w:kern w:val="0"/>
                <w:sz w:val="24"/>
                <w:lang w:val="en-US" w:eastAsia="zh-CN"/>
              </w:rPr>
              <w:t>已建厂房</w:t>
            </w:r>
            <w:r>
              <w:rPr>
                <w:rFonts w:hint="eastAsia" w:cs="Times New Roman"/>
                <w:color w:val="auto"/>
                <w:kern w:val="0"/>
                <w:sz w:val="24"/>
              </w:rPr>
              <w:t>，项目</w:t>
            </w:r>
            <w:r>
              <w:rPr>
                <w:rFonts w:hint="eastAsia" w:cs="Times New Roman"/>
                <w:color w:val="auto"/>
                <w:kern w:val="0"/>
                <w:sz w:val="24"/>
                <w:lang w:eastAsia="zh-CN"/>
              </w:rPr>
              <w:t>东侧、南侧、西侧</w:t>
            </w:r>
            <w:r>
              <w:rPr>
                <w:rFonts w:hint="eastAsia" w:cs="Times New Roman"/>
                <w:color w:val="auto"/>
                <w:kern w:val="0"/>
                <w:sz w:val="24"/>
                <w:lang w:val="en-US" w:eastAsia="zh-CN"/>
              </w:rPr>
              <w:t>均为厂区道路及厂房</w:t>
            </w:r>
            <w:r>
              <w:rPr>
                <w:rFonts w:hint="eastAsia" w:cs="Times New Roman"/>
                <w:color w:val="auto"/>
                <w:kern w:val="0"/>
                <w:sz w:val="24"/>
              </w:rPr>
              <w:t>，</w:t>
            </w:r>
            <w:r>
              <w:rPr>
                <w:rFonts w:hint="eastAsia" w:cs="Times New Roman"/>
                <w:color w:val="auto"/>
                <w:kern w:val="0"/>
                <w:sz w:val="24"/>
                <w:lang w:eastAsia="zh-CN"/>
              </w:rPr>
              <w:t>北侧为东台村，</w:t>
            </w:r>
            <w:r>
              <w:rPr>
                <w:rFonts w:hint="eastAsia" w:cs="Times New Roman"/>
                <w:color w:val="auto"/>
                <w:kern w:val="0"/>
                <w:sz w:val="24"/>
              </w:rPr>
              <w:t>原生生态系统已不存在，主要为城镇生态系统、工业生态系统，受人类生产活动影响明显，区域内无国家、省级重点保护的濒危、稀有植物，未涉及自然保护区和风景名胜区，属于生态环境非敏感区。</w:t>
            </w:r>
            <w:r>
              <w:rPr>
                <w:rFonts w:hint="eastAsia" w:cs="Times New Roman"/>
                <w:color w:val="auto"/>
              </w:rPr>
              <w:t>根据《建设项目环境影响报告表编制技术指南（污染影响类）（试行）》，</w:t>
            </w:r>
            <w:r>
              <w:rPr>
                <w:rFonts w:hint="default" w:cs="Times New Roman"/>
                <w:color w:val="auto"/>
                <w:lang w:val="zh-CN"/>
              </w:rPr>
              <w:t>本环评</w:t>
            </w:r>
            <w:r>
              <w:rPr>
                <w:rFonts w:hint="eastAsia" w:cs="Times New Roman"/>
                <w:color w:val="auto"/>
                <w:lang w:val="zh-CN"/>
              </w:rPr>
              <w:t>不进行生态现状调查。</w:t>
            </w:r>
          </w:p>
          <w:p w14:paraId="18EDF5C0">
            <w:pPr>
              <w:pStyle w:val="4"/>
              <w:keepNext w:val="0"/>
              <w:keepLines w:val="0"/>
              <w:suppressLineNumbers w:val="0"/>
              <w:bidi w:val="0"/>
              <w:ind w:left="0" w:right="0"/>
              <w:rPr>
                <w:rFonts w:hint="default"/>
                <w:color w:val="auto"/>
              </w:rPr>
            </w:pPr>
            <w:r>
              <w:rPr>
                <w:rFonts w:hint="default"/>
                <w:color w:val="auto"/>
              </w:rPr>
              <w:t>地下水、土壤环境质量现状</w:t>
            </w:r>
          </w:p>
          <w:p w14:paraId="606C10D4">
            <w:pPr>
              <w:keepNext w:val="0"/>
              <w:keepLines w:val="0"/>
              <w:suppressLineNumbers w:val="0"/>
              <w:spacing w:before="0" w:beforeAutospacing="0" w:after="0" w:afterAutospacing="0"/>
              <w:ind w:left="0" w:right="0" w:firstLine="480"/>
              <w:rPr>
                <w:rFonts w:hint="eastAsia" w:cs="Times New Roman"/>
                <w:color w:val="auto"/>
              </w:rPr>
            </w:pPr>
            <w:r>
              <w:rPr>
                <w:rFonts w:hint="default" w:cs="Times New Roman"/>
                <w:color w:val="auto"/>
              </w:rPr>
              <w:t>根据《建设项目环境影响报告表编制技术指南</w:t>
            </w:r>
            <w:r>
              <w:rPr>
                <w:rFonts w:hint="eastAsia" w:cs="Times New Roman"/>
                <w:color w:val="auto"/>
              </w:rPr>
              <w:t>（</w:t>
            </w:r>
            <w:r>
              <w:rPr>
                <w:rFonts w:hint="default" w:cs="Times New Roman"/>
                <w:color w:val="auto"/>
              </w:rPr>
              <w:t>污染影响类</w:t>
            </w:r>
            <w:r>
              <w:rPr>
                <w:rFonts w:hint="eastAsia" w:cs="Times New Roman"/>
                <w:color w:val="auto"/>
              </w:rPr>
              <w:t>）（</w:t>
            </w:r>
            <w:r>
              <w:rPr>
                <w:rFonts w:hint="default" w:cs="Times New Roman"/>
                <w:color w:val="auto"/>
              </w:rPr>
              <w:t>试行</w:t>
            </w:r>
            <w:r>
              <w:rPr>
                <w:rFonts w:hint="eastAsia" w:cs="Times New Roman"/>
                <w:color w:val="auto"/>
              </w:rPr>
              <w:t>）</w:t>
            </w:r>
            <w:r>
              <w:rPr>
                <w:rFonts w:hint="default" w:cs="Times New Roman"/>
                <w:color w:val="auto"/>
              </w:rPr>
              <w:t>》</w:t>
            </w:r>
            <w:r>
              <w:rPr>
                <w:rFonts w:hint="eastAsia" w:cs="Times New Roman"/>
                <w:color w:val="auto"/>
              </w:rPr>
              <w:t>（</w:t>
            </w:r>
            <w:r>
              <w:rPr>
                <w:rFonts w:hint="default" w:cs="Times New Roman"/>
                <w:color w:val="auto"/>
              </w:rPr>
              <w:t>环办环评〔2020〕33号</w:t>
            </w:r>
            <w:r>
              <w:rPr>
                <w:rFonts w:hint="eastAsia" w:cs="Times New Roman"/>
                <w:color w:val="auto"/>
              </w:rPr>
              <w:t>）规定，“原则上不开展环境质量现状调查。建设项目存在土壤、地下水环境污染途径的，应结合污染源、保护目标分布情况开展现状调查以留作背景值。”</w:t>
            </w:r>
          </w:p>
          <w:p w14:paraId="4D1FEA71">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lang w:val="en-US" w:eastAsia="zh-CN"/>
              </w:rPr>
            </w:pPr>
            <w:r>
              <w:rPr>
                <w:rFonts w:hint="default" w:cs="Times New Roman"/>
                <w:color w:val="auto"/>
              </w:rPr>
              <w:t>项目</w:t>
            </w:r>
            <w:r>
              <w:rPr>
                <w:rFonts w:hint="eastAsia" w:cs="Times New Roman"/>
                <w:color w:val="auto"/>
                <w:kern w:val="0"/>
                <w:sz w:val="24"/>
              </w:rPr>
              <w:t>租赁</w:t>
            </w:r>
            <w:r>
              <w:rPr>
                <w:rFonts w:hint="eastAsia" w:cs="Times New Roman"/>
                <w:color w:val="auto"/>
                <w:kern w:val="0"/>
                <w:sz w:val="24"/>
                <w:lang w:eastAsia="zh-CN"/>
              </w:rPr>
              <w:t>福州胜金电器企业有限公司</w:t>
            </w:r>
            <w:r>
              <w:rPr>
                <w:rFonts w:hint="eastAsia" w:cs="Times New Roman"/>
                <w:color w:val="auto"/>
                <w:kern w:val="0"/>
                <w:sz w:val="24"/>
                <w:lang w:val="en-US" w:eastAsia="zh-CN"/>
              </w:rPr>
              <w:t>已建厂房</w:t>
            </w:r>
            <w:r>
              <w:rPr>
                <w:rFonts w:hint="eastAsia" w:cs="Times New Roman"/>
                <w:color w:val="auto"/>
                <w:kern w:val="0"/>
                <w:sz w:val="24"/>
              </w:rPr>
              <w:t>，项目</w:t>
            </w:r>
            <w:r>
              <w:rPr>
                <w:rFonts w:hint="eastAsia" w:cs="Times New Roman"/>
                <w:color w:val="auto"/>
                <w:kern w:val="0"/>
                <w:sz w:val="24"/>
                <w:lang w:eastAsia="zh-CN"/>
              </w:rPr>
              <w:t>东侧、南侧、西侧</w:t>
            </w:r>
            <w:r>
              <w:rPr>
                <w:rFonts w:hint="eastAsia" w:cs="Times New Roman"/>
                <w:color w:val="auto"/>
                <w:kern w:val="0"/>
                <w:sz w:val="24"/>
                <w:lang w:val="en-US" w:eastAsia="zh-CN"/>
              </w:rPr>
              <w:t>均为厂区道路及厂房</w:t>
            </w:r>
            <w:r>
              <w:rPr>
                <w:rFonts w:hint="eastAsia" w:cs="Times New Roman"/>
                <w:color w:val="auto"/>
                <w:kern w:val="0"/>
                <w:sz w:val="24"/>
              </w:rPr>
              <w:t>，</w:t>
            </w:r>
            <w:r>
              <w:rPr>
                <w:rFonts w:hint="eastAsia" w:cs="Times New Roman"/>
                <w:color w:val="auto"/>
                <w:kern w:val="0"/>
                <w:sz w:val="24"/>
                <w:lang w:eastAsia="zh-CN"/>
              </w:rPr>
              <w:t>北侧为东台村</w:t>
            </w:r>
            <w:r>
              <w:rPr>
                <w:rFonts w:hint="default" w:cs="Times New Roman"/>
                <w:color w:val="auto"/>
              </w:rPr>
              <w:t>；</w:t>
            </w:r>
            <w:r>
              <w:rPr>
                <w:rFonts w:hint="eastAsia" w:cs="Times New Roman"/>
                <w:color w:val="auto"/>
              </w:rPr>
              <w:t>项目周边地下水、土壤环境相对不敏感，采取有效的防渗措施后，项目对地下水、土壤环境影响很小，基本不存在土壤、地下水环境污染途径，因此，本评价不对项目地下水、土壤环境质量进行补充监测。</w:t>
            </w:r>
          </w:p>
        </w:tc>
      </w:tr>
      <w:tr w14:paraId="3A516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4" w:hRule="atLeast"/>
          <w:jc w:val="center"/>
        </w:trPr>
        <w:tc>
          <w:tcPr>
            <w:tcW w:w="512" w:type="dxa"/>
            <w:noWrap w:val="0"/>
            <w:vAlign w:val="center"/>
          </w:tcPr>
          <w:p w14:paraId="0B85A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环境</w:t>
            </w:r>
          </w:p>
          <w:p w14:paraId="59D05B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保护</w:t>
            </w:r>
          </w:p>
          <w:p w14:paraId="2BAEE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Cs w:val="21"/>
              </w:rPr>
            </w:pPr>
            <w:r>
              <w:rPr>
                <w:rFonts w:hint="eastAsia" w:ascii="宋体" w:hAnsi="宋体" w:cs="宋体"/>
                <w:color w:val="auto"/>
                <w:kern w:val="0"/>
                <w:sz w:val="24"/>
              </w:rPr>
              <w:t>目标</w:t>
            </w:r>
          </w:p>
        </w:tc>
        <w:tc>
          <w:tcPr>
            <w:tcW w:w="8777" w:type="dxa"/>
            <w:noWrap w:val="0"/>
            <w:vAlign w:val="top"/>
          </w:tcPr>
          <w:p w14:paraId="153685D3">
            <w:pPr>
              <w:pStyle w:val="3"/>
              <w:keepNext w:val="0"/>
              <w:keepLines w:val="0"/>
              <w:suppressLineNumbers w:val="0"/>
              <w:bidi w:val="0"/>
              <w:ind w:left="0" w:right="0"/>
              <w:rPr>
                <w:rFonts w:hint="default"/>
                <w:color w:val="auto"/>
              </w:rPr>
            </w:pPr>
            <w:r>
              <w:rPr>
                <w:rFonts w:hint="eastAsia"/>
                <w:color w:val="auto"/>
              </w:rPr>
              <w:t>环境保护目标</w:t>
            </w:r>
          </w:p>
          <w:p w14:paraId="4EDD0D65">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s="Times New Roman"/>
                <w:color w:val="auto"/>
                <w:kern w:val="0"/>
                <w:sz w:val="24"/>
              </w:rPr>
              <w:t>项目位于</w:t>
            </w:r>
            <w:r>
              <w:rPr>
                <w:rFonts w:hint="eastAsia" w:cs="Times New Roman"/>
                <w:color w:val="auto"/>
                <w:kern w:val="0"/>
                <w:sz w:val="24"/>
                <w:lang w:eastAsia="zh-CN"/>
              </w:rPr>
              <w:t>福建省福州市闽侯县青口镇东台村</w:t>
            </w:r>
            <w:r>
              <w:rPr>
                <w:rFonts w:hint="eastAsia" w:cs="Times New Roman"/>
                <w:color w:val="auto"/>
                <w:kern w:val="0"/>
                <w:sz w:val="24"/>
              </w:rPr>
              <w:t>，根据现场踏勘及查阅资料，项目厂界外500m范围内无自然保护区、风景名胜区、森林公园，无地下水集中式饮用水水源和热水、矿泉水、温泉等特殊地下水资源。根据工程性质和周围环境特征，项目主要环境保护目标详见表3</w:t>
            </w:r>
            <w:r>
              <w:rPr>
                <w:rFonts w:hint="eastAsia" w:cs="Times New Roman"/>
                <w:color w:val="auto"/>
                <w:kern w:val="0"/>
                <w:sz w:val="24"/>
                <w:lang w:val="en-US" w:eastAsia="zh-CN"/>
              </w:rPr>
              <w:t>.2-1</w:t>
            </w:r>
            <w:r>
              <w:rPr>
                <w:rFonts w:hint="eastAsia" w:cs="Times New Roman"/>
                <w:color w:val="auto"/>
                <w:kern w:val="0"/>
                <w:sz w:val="24"/>
              </w:rPr>
              <w:t>。</w:t>
            </w:r>
          </w:p>
          <w:p w14:paraId="7AA62181">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环境保护目标一览表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8"/>
              <w:gridCol w:w="1140"/>
              <w:gridCol w:w="718"/>
              <w:gridCol w:w="1142"/>
              <w:gridCol w:w="937"/>
              <w:gridCol w:w="1169"/>
              <w:gridCol w:w="2574"/>
            </w:tblGrid>
            <w:tr w14:paraId="48212D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noWrap w:val="0"/>
                  <w:vAlign w:val="center"/>
                </w:tcPr>
                <w:p w14:paraId="64F9BC0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w:t>
                  </w:r>
                </w:p>
                <w:p w14:paraId="50A71BD7">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要素</w:t>
                  </w:r>
                </w:p>
              </w:tc>
              <w:tc>
                <w:tcPr>
                  <w:tcW w:w="662" w:type="pct"/>
                  <w:noWrap w:val="0"/>
                  <w:vAlign w:val="center"/>
                </w:tcPr>
                <w:p w14:paraId="1259ECB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w:t>
                  </w:r>
                  <w:r>
                    <w:rPr>
                      <w:rFonts w:hint="eastAsia" w:cs="Times New Roman"/>
                      <w:color w:val="auto"/>
                    </w:rPr>
                    <w:t>保护</w:t>
                  </w:r>
                  <w:r>
                    <w:rPr>
                      <w:rFonts w:hint="default" w:cs="Times New Roman"/>
                      <w:color w:val="auto"/>
                    </w:rPr>
                    <w:t>目标</w:t>
                  </w:r>
                </w:p>
              </w:tc>
              <w:tc>
                <w:tcPr>
                  <w:tcW w:w="417" w:type="pct"/>
                  <w:noWrap w:val="0"/>
                  <w:vAlign w:val="center"/>
                </w:tcPr>
                <w:p w14:paraId="31AC00CC">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相对方位</w:t>
                  </w:r>
                </w:p>
              </w:tc>
              <w:tc>
                <w:tcPr>
                  <w:tcW w:w="663" w:type="pct"/>
                  <w:noWrap w:val="0"/>
                  <w:vAlign w:val="center"/>
                </w:tcPr>
                <w:p w14:paraId="2D3C2875">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与厂界最近距离</w:t>
                  </w:r>
                </w:p>
              </w:tc>
              <w:tc>
                <w:tcPr>
                  <w:tcW w:w="544" w:type="pct"/>
                  <w:noWrap w:val="0"/>
                  <w:vAlign w:val="center"/>
                </w:tcPr>
                <w:p w14:paraId="450D0923">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功能</w:t>
                  </w:r>
                </w:p>
              </w:tc>
              <w:tc>
                <w:tcPr>
                  <w:tcW w:w="679" w:type="pct"/>
                  <w:noWrap w:val="0"/>
                  <w:vAlign w:val="center"/>
                </w:tcPr>
                <w:p w14:paraId="7FC74EF7">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规模</w:t>
                  </w:r>
                </w:p>
              </w:tc>
              <w:tc>
                <w:tcPr>
                  <w:tcW w:w="1493" w:type="pct"/>
                  <w:noWrap w:val="0"/>
                  <w:vAlign w:val="center"/>
                </w:tcPr>
                <w:p w14:paraId="2EA8A233">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环境质量目标</w:t>
                  </w:r>
                </w:p>
              </w:tc>
            </w:tr>
            <w:tr w14:paraId="1E4DA6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vMerge w:val="restart"/>
                  <w:noWrap w:val="0"/>
                  <w:vAlign w:val="center"/>
                </w:tcPr>
                <w:p w14:paraId="0FA57FC9">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val="en-US" w:eastAsia="zh-CN"/>
                    </w:rPr>
                    <w:t>水环境</w:t>
                  </w:r>
                </w:p>
              </w:tc>
              <w:tc>
                <w:tcPr>
                  <w:tcW w:w="662" w:type="pct"/>
                  <w:noWrap w:val="0"/>
                  <w:vAlign w:val="center"/>
                </w:tcPr>
                <w:p w14:paraId="10FE34D1">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淘江</w:t>
                  </w:r>
                </w:p>
              </w:tc>
              <w:tc>
                <w:tcPr>
                  <w:tcW w:w="417" w:type="pct"/>
                  <w:noWrap w:val="0"/>
                  <w:vAlign w:val="center"/>
                </w:tcPr>
                <w:p w14:paraId="067D5565">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val="en-US" w:eastAsia="zh-CN"/>
                    </w:rPr>
                    <w:t>北侧</w:t>
                  </w:r>
                </w:p>
              </w:tc>
              <w:tc>
                <w:tcPr>
                  <w:tcW w:w="663" w:type="pct"/>
                  <w:noWrap w:val="0"/>
                  <w:vAlign w:val="center"/>
                </w:tcPr>
                <w:p w14:paraId="0D809958">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487</w:t>
                  </w:r>
                  <w:r>
                    <w:rPr>
                      <w:rFonts w:hint="eastAsia" w:cs="Times New Roman"/>
                      <w:color w:val="auto"/>
                    </w:rPr>
                    <w:t>m</w:t>
                  </w:r>
                </w:p>
              </w:tc>
              <w:tc>
                <w:tcPr>
                  <w:tcW w:w="544" w:type="pct"/>
                  <w:vMerge w:val="restart"/>
                  <w:noWrap w:val="0"/>
                  <w:vAlign w:val="center"/>
                </w:tcPr>
                <w:p w14:paraId="3E7E8576">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olor w:val="000000" w:themeColor="text1"/>
                      <w:lang w:eastAsia="zh-CN"/>
                      <w14:textFill>
                        <w14:solidFill>
                          <w14:schemeClr w14:val="tx1"/>
                        </w14:solidFill>
                      </w14:textFill>
                    </w:rPr>
                    <w:t>工业、</w:t>
                  </w:r>
                  <w:r>
                    <w:rPr>
                      <w:rFonts w:hint="default"/>
                      <w:color w:val="000000" w:themeColor="text1"/>
                      <w14:textFill>
                        <w14:solidFill>
                          <w14:schemeClr w14:val="tx1"/>
                        </w14:solidFill>
                      </w14:textFill>
                    </w:rPr>
                    <w:t>景观用水</w:t>
                  </w:r>
                </w:p>
              </w:tc>
              <w:tc>
                <w:tcPr>
                  <w:tcW w:w="679" w:type="pct"/>
                  <w:noWrap w:val="0"/>
                  <w:vAlign w:val="center"/>
                </w:tcPr>
                <w:p w14:paraId="601091B8">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河道宽约</w:t>
                  </w:r>
                  <w:r>
                    <w:rPr>
                      <w:rFonts w:hint="eastAsia" w:cs="Times New Roman"/>
                      <w:color w:val="auto"/>
                      <w:lang w:val="en-US" w:eastAsia="zh-CN"/>
                    </w:rPr>
                    <w:t>30m</w:t>
                  </w:r>
                </w:p>
              </w:tc>
              <w:tc>
                <w:tcPr>
                  <w:tcW w:w="1493" w:type="pct"/>
                  <w:vMerge w:val="restart"/>
                  <w:noWrap w:val="0"/>
                  <w:vAlign w:val="center"/>
                </w:tcPr>
                <w:p w14:paraId="5D64F640">
                  <w:pPr>
                    <w:pStyle w:val="33"/>
                    <w:keepNext w:val="0"/>
                    <w:keepLines w:val="0"/>
                    <w:suppressLineNumbers w:val="0"/>
                    <w:spacing w:before="0" w:beforeAutospacing="0" w:after="0" w:afterAutospacing="0"/>
                    <w:ind w:left="0" w:right="0" w:firstLine="0" w:firstLineChars="0"/>
                    <w:rPr>
                      <w:rFonts w:hint="default" w:cs="Times New Roman"/>
                      <w:color w:val="auto"/>
                    </w:rPr>
                  </w:pPr>
                  <w:r>
                    <w:rPr>
                      <w:rFonts w:hint="eastAsia" w:ascii="宋体" w:hAnsi="宋体" w:eastAsia="宋体" w:cs="宋体"/>
                      <w:color w:val="auto"/>
                    </w:rPr>
                    <w:t>Ⅲ</w:t>
                  </w:r>
                  <w:r>
                    <w:rPr>
                      <w:rFonts w:hint="eastAsia" w:cs="Times New Roman"/>
                      <w:color w:val="auto"/>
                    </w:rPr>
                    <w:t>类水环境功能区；执行地表水环境质量标准（GB3838-2002）</w:t>
                  </w:r>
                  <w:r>
                    <w:rPr>
                      <w:rFonts w:hint="eastAsia" w:ascii="宋体" w:hAnsi="宋体" w:eastAsia="宋体" w:cs="宋体"/>
                      <w:color w:val="auto"/>
                    </w:rPr>
                    <w:t>Ⅲ</w:t>
                  </w:r>
                  <w:r>
                    <w:rPr>
                      <w:rFonts w:hint="eastAsia" w:ascii="宋体" w:hAnsi="宋体" w:eastAsia="宋体" w:cs="宋体"/>
                      <w:color w:val="auto"/>
                      <w:lang w:eastAsia="zh-CN"/>
                    </w:rPr>
                    <w:t>类</w:t>
                  </w:r>
                  <w:r>
                    <w:rPr>
                      <w:rFonts w:hint="eastAsia" w:cs="Times New Roman"/>
                      <w:color w:val="auto"/>
                    </w:rPr>
                    <w:t>水质标准</w:t>
                  </w:r>
                </w:p>
              </w:tc>
            </w:tr>
            <w:tr w14:paraId="22107B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vMerge w:val="continue"/>
                  <w:noWrap w:val="0"/>
                  <w:vAlign w:val="center"/>
                </w:tcPr>
                <w:p w14:paraId="5475BF28">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p>
              </w:tc>
              <w:tc>
                <w:tcPr>
                  <w:tcW w:w="662" w:type="pct"/>
                  <w:noWrap w:val="0"/>
                  <w:vAlign w:val="center"/>
                </w:tcPr>
                <w:p w14:paraId="62B7A3DA">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淘江支流</w:t>
                  </w:r>
                </w:p>
              </w:tc>
              <w:tc>
                <w:tcPr>
                  <w:tcW w:w="417" w:type="pct"/>
                  <w:noWrap w:val="0"/>
                  <w:vAlign w:val="center"/>
                </w:tcPr>
                <w:p w14:paraId="59FFAF57">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南侧</w:t>
                  </w:r>
                </w:p>
              </w:tc>
              <w:tc>
                <w:tcPr>
                  <w:tcW w:w="663" w:type="pct"/>
                  <w:noWrap w:val="0"/>
                  <w:vAlign w:val="center"/>
                </w:tcPr>
                <w:p w14:paraId="4166E4A4">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100m</w:t>
                  </w:r>
                </w:p>
              </w:tc>
              <w:tc>
                <w:tcPr>
                  <w:tcW w:w="544" w:type="pct"/>
                  <w:vMerge w:val="continue"/>
                  <w:noWrap w:val="0"/>
                  <w:vAlign w:val="center"/>
                </w:tcPr>
                <w:p w14:paraId="146397D3">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679" w:type="pct"/>
                  <w:noWrap w:val="0"/>
                  <w:vAlign w:val="center"/>
                </w:tcPr>
                <w:p w14:paraId="15A43B19">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河道宽约</w:t>
                  </w:r>
                  <w:r>
                    <w:rPr>
                      <w:rFonts w:hint="eastAsia" w:cs="Times New Roman"/>
                      <w:color w:val="auto"/>
                      <w:lang w:val="en-US" w:eastAsia="zh-CN"/>
                    </w:rPr>
                    <w:t>15m</w:t>
                  </w:r>
                </w:p>
              </w:tc>
              <w:tc>
                <w:tcPr>
                  <w:tcW w:w="1493" w:type="pct"/>
                  <w:vMerge w:val="continue"/>
                  <w:noWrap w:val="0"/>
                  <w:vAlign w:val="center"/>
                </w:tcPr>
                <w:p w14:paraId="08186CA2">
                  <w:pPr>
                    <w:pStyle w:val="33"/>
                    <w:keepNext w:val="0"/>
                    <w:keepLines w:val="0"/>
                    <w:suppressLineNumbers w:val="0"/>
                    <w:spacing w:before="0" w:beforeAutospacing="0" w:after="0" w:afterAutospacing="0"/>
                    <w:ind w:left="0" w:right="0" w:firstLine="0" w:firstLineChars="0"/>
                    <w:rPr>
                      <w:rFonts w:hint="eastAsia" w:ascii="宋体" w:hAnsi="宋体" w:eastAsia="宋体" w:cs="宋体"/>
                      <w:color w:val="auto"/>
                    </w:rPr>
                  </w:pPr>
                </w:p>
              </w:tc>
            </w:tr>
            <w:tr w14:paraId="00CB1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9" w:type="pct"/>
                  <w:vMerge w:val="continue"/>
                  <w:noWrap w:val="0"/>
                  <w:vAlign w:val="center"/>
                </w:tcPr>
                <w:p w14:paraId="0453D7EF">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p>
              </w:tc>
              <w:tc>
                <w:tcPr>
                  <w:tcW w:w="662" w:type="pct"/>
                  <w:noWrap w:val="0"/>
                  <w:vAlign w:val="center"/>
                </w:tcPr>
                <w:p w14:paraId="195CDA34">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淘江支流</w:t>
                  </w:r>
                </w:p>
              </w:tc>
              <w:tc>
                <w:tcPr>
                  <w:tcW w:w="417" w:type="pct"/>
                  <w:noWrap w:val="0"/>
                  <w:vAlign w:val="center"/>
                </w:tcPr>
                <w:p w14:paraId="1CAB5553">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西侧</w:t>
                  </w:r>
                </w:p>
              </w:tc>
              <w:tc>
                <w:tcPr>
                  <w:tcW w:w="663" w:type="pct"/>
                  <w:noWrap w:val="0"/>
                  <w:vAlign w:val="center"/>
                </w:tcPr>
                <w:p w14:paraId="4E356FA4">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265m</w:t>
                  </w:r>
                </w:p>
              </w:tc>
              <w:tc>
                <w:tcPr>
                  <w:tcW w:w="544" w:type="pct"/>
                  <w:vMerge w:val="continue"/>
                  <w:noWrap w:val="0"/>
                  <w:vAlign w:val="center"/>
                </w:tcPr>
                <w:p w14:paraId="6C1A979B">
                  <w:pPr>
                    <w:pStyle w:val="33"/>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679" w:type="pct"/>
                  <w:noWrap w:val="0"/>
                  <w:vAlign w:val="center"/>
                </w:tcPr>
                <w:p w14:paraId="13A6E36F">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eastAsia="zh-CN"/>
                    </w:rPr>
                    <w:t>河道宽约</w:t>
                  </w:r>
                  <w:r>
                    <w:rPr>
                      <w:rFonts w:hint="eastAsia" w:cs="Times New Roman"/>
                      <w:color w:val="auto"/>
                      <w:lang w:val="en-US" w:eastAsia="zh-CN"/>
                    </w:rPr>
                    <w:t>10m</w:t>
                  </w:r>
                </w:p>
              </w:tc>
              <w:tc>
                <w:tcPr>
                  <w:tcW w:w="1493" w:type="pct"/>
                  <w:vMerge w:val="continue"/>
                  <w:noWrap w:val="0"/>
                  <w:vAlign w:val="center"/>
                </w:tcPr>
                <w:p w14:paraId="70494AEB">
                  <w:pPr>
                    <w:pStyle w:val="33"/>
                    <w:keepNext w:val="0"/>
                    <w:keepLines w:val="0"/>
                    <w:suppressLineNumbers w:val="0"/>
                    <w:spacing w:before="0" w:beforeAutospacing="0" w:after="0" w:afterAutospacing="0"/>
                    <w:ind w:left="0" w:right="0" w:firstLine="0" w:firstLineChars="0"/>
                    <w:rPr>
                      <w:rFonts w:hint="eastAsia" w:ascii="宋体" w:hAnsi="宋体" w:eastAsia="宋体" w:cs="宋体"/>
                      <w:color w:val="auto"/>
                    </w:rPr>
                  </w:pPr>
                </w:p>
              </w:tc>
            </w:tr>
            <w:tr w14:paraId="09379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noWrap w:val="0"/>
                  <w:vAlign w:val="center"/>
                </w:tcPr>
                <w:p w14:paraId="2700C2B4">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环境</w:t>
                  </w:r>
                </w:p>
                <w:p w14:paraId="42AA926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空气</w:t>
                  </w:r>
                </w:p>
              </w:tc>
              <w:tc>
                <w:tcPr>
                  <w:tcW w:w="662" w:type="pct"/>
                  <w:tcBorders>
                    <w:bottom w:val="single" w:color="auto" w:sz="4" w:space="0"/>
                  </w:tcBorders>
                  <w:noWrap w:val="0"/>
                  <w:vAlign w:val="center"/>
                </w:tcPr>
                <w:p w14:paraId="166621CA">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eastAsia="宋体" w:cs="Times New Roman"/>
                      <w:color w:val="auto"/>
                      <w:lang w:val="en-US" w:eastAsia="zh-CN"/>
                    </w:rPr>
                    <w:t>东台村</w:t>
                  </w:r>
                </w:p>
              </w:tc>
              <w:tc>
                <w:tcPr>
                  <w:tcW w:w="417" w:type="pct"/>
                  <w:tcBorders>
                    <w:bottom w:val="single" w:color="auto" w:sz="4" w:space="0"/>
                  </w:tcBorders>
                  <w:noWrap w:val="0"/>
                  <w:vAlign w:val="center"/>
                </w:tcPr>
                <w:p w14:paraId="4FA7B608">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val="en-US" w:eastAsia="zh-CN"/>
                    </w:rPr>
                    <w:t>北侧</w:t>
                  </w:r>
                </w:p>
              </w:tc>
              <w:tc>
                <w:tcPr>
                  <w:tcW w:w="663" w:type="pct"/>
                  <w:tcBorders>
                    <w:bottom w:val="single" w:color="auto" w:sz="4" w:space="0"/>
                  </w:tcBorders>
                  <w:noWrap w:val="0"/>
                  <w:vAlign w:val="center"/>
                </w:tcPr>
                <w:p w14:paraId="48736978">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val="en-US" w:eastAsia="zh-CN"/>
                    </w:rPr>
                    <w:t>40</w:t>
                  </w:r>
                  <w:r>
                    <w:rPr>
                      <w:rFonts w:hint="eastAsia" w:cs="Times New Roman"/>
                      <w:color w:val="auto"/>
                    </w:rPr>
                    <w:t>m</w:t>
                  </w:r>
                </w:p>
              </w:tc>
              <w:tc>
                <w:tcPr>
                  <w:tcW w:w="544" w:type="pct"/>
                  <w:tcBorders>
                    <w:bottom w:val="single" w:color="auto" w:sz="4" w:space="0"/>
                  </w:tcBorders>
                  <w:noWrap w:val="0"/>
                  <w:vAlign w:val="center"/>
                </w:tcPr>
                <w:p w14:paraId="2D6348BD">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eastAsia="宋体" w:cs="Times New Roman"/>
                      <w:color w:val="auto"/>
                      <w:lang w:val="en-US" w:eastAsia="zh-CN"/>
                    </w:rPr>
                    <w:t>村庄</w:t>
                  </w:r>
                </w:p>
              </w:tc>
              <w:tc>
                <w:tcPr>
                  <w:tcW w:w="679" w:type="pct"/>
                  <w:tcBorders>
                    <w:bottom w:val="single" w:color="auto" w:sz="4" w:space="0"/>
                  </w:tcBorders>
                  <w:noWrap w:val="0"/>
                  <w:vAlign w:val="center"/>
                </w:tcPr>
                <w:p w14:paraId="7DB2025D">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约500人</w:t>
                  </w:r>
                </w:p>
              </w:tc>
              <w:tc>
                <w:tcPr>
                  <w:tcW w:w="1493" w:type="pct"/>
                  <w:noWrap w:val="0"/>
                  <w:vAlign w:val="center"/>
                </w:tcPr>
                <w:p w14:paraId="4E9D65FE">
                  <w:pPr>
                    <w:pStyle w:val="33"/>
                    <w:keepNext w:val="0"/>
                    <w:keepLines w:val="0"/>
                    <w:suppressLineNumbers w:val="0"/>
                    <w:spacing w:before="0" w:beforeAutospacing="0" w:after="0" w:afterAutospacing="0"/>
                    <w:ind w:left="0" w:right="0" w:firstLine="0" w:firstLineChars="0"/>
                    <w:rPr>
                      <w:rFonts w:hint="default" w:cs="Times New Roman"/>
                      <w:color w:val="auto"/>
                    </w:rPr>
                  </w:pPr>
                  <w:r>
                    <w:rPr>
                      <w:rFonts w:hint="eastAsia" w:cs="Times New Roman"/>
                      <w:color w:val="auto"/>
                    </w:rPr>
                    <w:t>二类环境功能区；执行《环境空气质量标准》（GB3095-2012）及其2018年修改单二级标准</w:t>
                  </w:r>
                </w:p>
              </w:tc>
            </w:tr>
            <w:tr w14:paraId="74614A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539" w:type="pct"/>
                  <w:noWrap w:val="0"/>
                  <w:vAlign w:val="center"/>
                </w:tcPr>
                <w:p w14:paraId="3C32D978">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val="en-US" w:eastAsia="zh-CN"/>
                    </w:rPr>
                    <w:t>声环境</w:t>
                  </w:r>
                </w:p>
              </w:tc>
              <w:tc>
                <w:tcPr>
                  <w:tcW w:w="662" w:type="pct"/>
                  <w:tcBorders>
                    <w:bottom w:val="single" w:color="auto" w:sz="4" w:space="0"/>
                  </w:tcBorders>
                  <w:noWrap w:val="0"/>
                  <w:vAlign w:val="center"/>
                </w:tcPr>
                <w:p w14:paraId="5B2F3A4A">
                  <w:pPr>
                    <w:pStyle w:val="33"/>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lang w:val="en-US" w:eastAsia="zh-CN"/>
                    </w:rPr>
                  </w:pPr>
                  <w:r>
                    <w:rPr>
                      <w:rFonts w:hint="eastAsia" w:eastAsia="宋体" w:cs="Times New Roman"/>
                      <w:color w:val="auto"/>
                      <w:lang w:val="en-US" w:eastAsia="zh-CN"/>
                    </w:rPr>
                    <w:t>东台村</w:t>
                  </w:r>
                </w:p>
              </w:tc>
              <w:tc>
                <w:tcPr>
                  <w:tcW w:w="417" w:type="pct"/>
                  <w:tcBorders>
                    <w:bottom w:val="single" w:color="auto" w:sz="4" w:space="0"/>
                  </w:tcBorders>
                  <w:noWrap w:val="0"/>
                  <w:vAlign w:val="center"/>
                </w:tcPr>
                <w:p w14:paraId="1ADD7BAB">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北侧</w:t>
                  </w:r>
                </w:p>
              </w:tc>
              <w:tc>
                <w:tcPr>
                  <w:tcW w:w="663" w:type="pct"/>
                  <w:tcBorders>
                    <w:bottom w:val="single" w:color="auto" w:sz="4" w:space="0"/>
                  </w:tcBorders>
                  <w:noWrap w:val="0"/>
                  <w:vAlign w:val="center"/>
                </w:tcPr>
                <w:p w14:paraId="7D472D51">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40</w:t>
                  </w:r>
                  <w:r>
                    <w:rPr>
                      <w:rFonts w:hint="eastAsia" w:cs="Times New Roman"/>
                      <w:color w:val="auto"/>
                    </w:rPr>
                    <w:t>m</w:t>
                  </w:r>
                </w:p>
              </w:tc>
              <w:tc>
                <w:tcPr>
                  <w:tcW w:w="544" w:type="pct"/>
                  <w:tcBorders>
                    <w:bottom w:val="single" w:color="auto" w:sz="4" w:space="0"/>
                  </w:tcBorders>
                  <w:noWrap w:val="0"/>
                  <w:vAlign w:val="center"/>
                </w:tcPr>
                <w:p w14:paraId="26B43460">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eastAsia="宋体" w:cs="Times New Roman"/>
                      <w:color w:val="auto"/>
                      <w:lang w:val="en-US" w:eastAsia="zh-CN"/>
                    </w:rPr>
                    <w:t>村庄</w:t>
                  </w:r>
                </w:p>
              </w:tc>
              <w:tc>
                <w:tcPr>
                  <w:tcW w:w="679" w:type="pct"/>
                  <w:tcBorders>
                    <w:bottom w:val="single" w:color="auto" w:sz="4" w:space="0"/>
                  </w:tcBorders>
                  <w:noWrap w:val="0"/>
                  <w:vAlign w:val="center"/>
                </w:tcPr>
                <w:p w14:paraId="7417054E">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约500人</w:t>
                  </w:r>
                </w:p>
              </w:tc>
              <w:tc>
                <w:tcPr>
                  <w:tcW w:w="1493" w:type="pct"/>
                  <w:noWrap w:val="0"/>
                  <w:vAlign w:val="center"/>
                </w:tcPr>
                <w:p w14:paraId="0387C1CE">
                  <w:pPr>
                    <w:pStyle w:val="33"/>
                    <w:keepNext w:val="0"/>
                    <w:keepLines w:val="0"/>
                    <w:suppressLineNumbers w:val="0"/>
                    <w:spacing w:before="0" w:beforeAutospacing="0" w:after="0" w:afterAutospacing="0"/>
                    <w:ind w:left="0" w:right="0" w:firstLine="0" w:firstLineChars="0"/>
                    <w:rPr>
                      <w:rFonts w:hint="eastAsia" w:eastAsia="宋体" w:cs="Times New Roman"/>
                      <w:color w:val="auto"/>
                      <w:lang w:val="en-US" w:eastAsia="zh-CN"/>
                    </w:rPr>
                  </w:pPr>
                  <w:r>
                    <w:rPr>
                      <w:rFonts w:hint="eastAsia" w:cs="Times New Roman"/>
                      <w:color w:val="auto"/>
                      <w:lang w:val="en-US" w:eastAsia="zh-CN"/>
                    </w:rPr>
                    <w:t>2类声环境功能区；执行《声环境质量标准》（GB3096-2008）2类标准</w:t>
                  </w:r>
                </w:p>
              </w:tc>
            </w:tr>
            <w:tr w14:paraId="665186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pct"/>
                  <w:noWrap w:val="0"/>
                  <w:vAlign w:val="center"/>
                </w:tcPr>
                <w:p w14:paraId="30C1267C">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地下水</w:t>
                  </w:r>
                </w:p>
              </w:tc>
              <w:tc>
                <w:tcPr>
                  <w:tcW w:w="4460" w:type="pct"/>
                  <w:gridSpan w:val="6"/>
                  <w:noWrap w:val="0"/>
                  <w:vAlign w:val="center"/>
                </w:tcPr>
                <w:p w14:paraId="45C789BC">
                  <w:pPr>
                    <w:pStyle w:val="33"/>
                    <w:keepNext w:val="0"/>
                    <w:keepLines w:val="0"/>
                    <w:suppressLineNumbers w:val="0"/>
                    <w:bidi w:val="0"/>
                    <w:spacing w:before="0" w:beforeAutospacing="0" w:after="0" w:afterAutospacing="0"/>
                    <w:ind w:left="0" w:right="0"/>
                    <w:jc w:val="left"/>
                    <w:rPr>
                      <w:rFonts w:hint="eastAsia" w:cs="Times New Roman"/>
                      <w:color w:val="auto"/>
                    </w:rPr>
                  </w:pPr>
                  <w:r>
                    <w:rPr>
                      <w:rFonts w:hint="eastAsia" w:cs="Times New Roman"/>
                      <w:color w:val="auto"/>
                    </w:rPr>
                    <w:t>厂界外500米范围内无地下水集中式饮用水水源和热水、矿泉水、泉水等特殊地下水资源</w:t>
                  </w:r>
                </w:p>
              </w:tc>
            </w:tr>
            <w:tr w14:paraId="78048F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pct"/>
                  <w:noWrap w:val="0"/>
                  <w:vAlign w:val="center"/>
                </w:tcPr>
                <w:p w14:paraId="0C8AF7FC">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生态</w:t>
                  </w:r>
                </w:p>
                <w:p w14:paraId="26DE3C6F">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环境</w:t>
                  </w:r>
                </w:p>
              </w:tc>
              <w:tc>
                <w:tcPr>
                  <w:tcW w:w="4460" w:type="pct"/>
                  <w:gridSpan w:val="6"/>
                  <w:noWrap w:val="0"/>
                  <w:vAlign w:val="center"/>
                </w:tcPr>
                <w:p w14:paraId="7F7D2C38">
                  <w:pPr>
                    <w:pStyle w:val="33"/>
                    <w:keepNext w:val="0"/>
                    <w:keepLines w:val="0"/>
                    <w:suppressLineNumbers w:val="0"/>
                    <w:bidi w:val="0"/>
                    <w:spacing w:before="0" w:beforeAutospacing="0" w:after="0" w:afterAutospacing="0"/>
                    <w:ind w:left="0" w:right="0"/>
                    <w:jc w:val="left"/>
                    <w:rPr>
                      <w:rFonts w:hint="eastAsia" w:cs="Times New Roman"/>
                      <w:color w:val="auto"/>
                    </w:rPr>
                  </w:pPr>
                  <w:r>
                    <w:rPr>
                      <w:rFonts w:hint="eastAsia" w:cs="Times New Roman"/>
                      <w:color w:val="auto"/>
                    </w:rPr>
                    <w:t>项目用地范围内无</w:t>
                  </w:r>
                  <w:r>
                    <w:rPr>
                      <w:rFonts w:hint="default" w:cs="Times New Roman"/>
                      <w:color w:val="auto"/>
                    </w:rPr>
                    <w:t>生态环境保护目标</w:t>
                  </w:r>
                  <w:r>
                    <w:rPr>
                      <w:rFonts w:hint="eastAsia" w:cs="Times New Roman"/>
                      <w:color w:val="auto"/>
                    </w:rPr>
                    <w:t>，本环评不进行生态现状调查</w:t>
                  </w:r>
                </w:p>
              </w:tc>
            </w:tr>
          </w:tbl>
          <w:p w14:paraId="71A5CAFA">
            <w:pPr>
              <w:keepNext w:val="0"/>
              <w:keepLines w:val="0"/>
              <w:suppressLineNumbers w:val="0"/>
              <w:spacing w:before="0" w:beforeAutospacing="0" w:after="0" w:afterAutospacing="0" w:line="360" w:lineRule="auto"/>
              <w:ind w:left="0" w:leftChars="0" w:right="0" w:firstLine="0" w:firstLineChars="0"/>
              <w:jc w:val="left"/>
              <w:rPr>
                <w:rFonts w:hint="default" w:cs="Times New Roman"/>
                <w:color w:val="auto"/>
                <w:kern w:val="0"/>
                <w:szCs w:val="21"/>
              </w:rPr>
            </w:pPr>
          </w:p>
        </w:tc>
      </w:tr>
      <w:tr w14:paraId="398F2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tcMar>
              <w:left w:w="28" w:type="dxa"/>
              <w:right w:w="28" w:type="dxa"/>
            </w:tcMar>
            <w:vAlign w:val="center"/>
          </w:tcPr>
          <w:p w14:paraId="00128E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污染</w:t>
            </w:r>
          </w:p>
          <w:p w14:paraId="31DBC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物排</w:t>
            </w:r>
          </w:p>
          <w:p w14:paraId="55D0D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放控</w:t>
            </w:r>
          </w:p>
          <w:p w14:paraId="48AB38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制标</w:t>
            </w:r>
          </w:p>
          <w:p w14:paraId="7ED407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eastAsia" w:ascii="宋体" w:hAnsi="宋体" w:cs="宋体"/>
                <w:color w:val="auto"/>
                <w:kern w:val="0"/>
                <w:sz w:val="24"/>
              </w:rPr>
              <w:t>准</w:t>
            </w:r>
          </w:p>
        </w:tc>
        <w:tc>
          <w:tcPr>
            <w:tcW w:w="8777" w:type="dxa"/>
            <w:noWrap w:val="0"/>
            <w:vAlign w:val="top"/>
          </w:tcPr>
          <w:p w14:paraId="62F98F15">
            <w:pPr>
              <w:pStyle w:val="3"/>
              <w:keepNext w:val="0"/>
              <w:keepLines w:val="0"/>
              <w:suppressLineNumbers w:val="0"/>
              <w:bidi w:val="0"/>
              <w:ind w:left="0" w:right="0"/>
              <w:rPr>
                <w:rFonts w:hint="default"/>
                <w:color w:val="auto"/>
              </w:rPr>
            </w:pPr>
            <w:r>
              <w:rPr>
                <w:rFonts w:hint="eastAsia"/>
                <w:color w:val="auto"/>
              </w:rPr>
              <w:t>污染物排放标准</w:t>
            </w:r>
          </w:p>
          <w:p w14:paraId="6A81592C">
            <w:pPr>
              <w:pStyle w:val="4"/>
              <w:keepNext w:val="0"/>
              <w:keepLines w:val="0"/>
              <w:suppressLineNumbers w:val="0"/>
              <w:bidi w:val="0"/>
              <w:ind w:left="0" w:right="0"/>
              <w:rPr>
                <w:rFonts w:hint="eastAsia" w:ascii="Times New Roman" w:hAnsi="Times New Roman" w:eastAsia="宋体" w:cs="宋体"/>
                <w:color w:val="auto"/>
              </w:rPr>
            </w:pPr>
            <w:r>
              <w:rPr>
                <w:rFonts w:hint="eastAsia" w:ascii="Times New Roman" w:hAnsi="Times New Roman" w:eastAsia="宋体" w:cs="宋体"/>
                <w:color w:val="auto"/>
              </w:rPr>
              <w:t>废水</w:t>
            </w:r>
          </w:p>
          <w:p w14:paraId="0A159C85">
            <w:pPr>
              <w:pStyle w:val="44"/>
              <w:keepNext w:val="0"/>
              <w:keepLines w:val="0"/>
              <w:suppressLineNumbers w:val="0"/>
              <w:spacing w:before="0" w:beforeAutospacing="0" w:after="0" w:afterAutospacing="0"/>
              <w:ind w:left="0" w:right="0"/>
              <w:rPr>
                <w:rFonts w:hint="eastAsia"/>
                <w:color w:val="auto"/>
                <w:kern w:val="0"/>
                <w:sz w:val="24"/>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水污染物</w:t>
            </w:r>
            <w:r>
              <w:rPr>
                <w:rFonts w:hint="default" w:ascii="Times New Roman" w:hAnsi="Times New Roman" w:cs="Times New Roman"/>
                <w:color w:val="000000" w:themeColor="text1"/>
                <w:highlight w:val="none"/>
                <w14:textFill>
                  <w14:solidFill>
                    <w14:schemeClr w14:val="tx1"/>
                  </w14:solidFill>
                </w14:textFill>
              </w:rPr>
              <w:t>排放标准</w:t>
            </w:r>
          </w:p>
          <w:p w14:paraId="0164A9CA">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olor w:val="auto"/>
                <w:kern w:val="0"/>
                <w:sz w:val="24"/>
              </w:rPr>
              <w:t>项目运营期</w:t>
            </w:r>
            <w:r>
              <w:rPr>
                <w:rFonts w:hint="eastAsia"/>
                <w:color w:val="auto"/>
                <w:kern w:val="0"/>
                <w:sz w:val="24"/>
                <w:lang w:eastAsia="zh-CN"/>
              </w:rPr>
              <w:t>无生产废水</w:t>
            </w:r>
            <w:r>
              <w:rPr>
                <w:rFonts w:hint="eastAsia"/>
                <w:color w:val="auto"/>
                <w:kern w:val="0"/>
                <w:sz w:val="24"/>
              </w:rPr>
              <w:t>；</w:t>
            </w:r>
            <w:r>
              <w:rPr>
                <w:rFonts w:hint="eastAsia" w:cs="Times New Roman"/>
                <w:color w:val="auto"/>
                <w:kern w:val="0"/>
                <w:sz w:val="24"/>
              </w:rPr>
              <w:t>生活</w:t>
            </w:r>
            <w:r>
              <w:rPr>
                <w:rFonts w:hint="eastAsia" w:cs="Times New Roman"/>
                <w:color w:val="auto"/>
                <w:kern w:val="0"/>
                <w:sz w:val="24"/>
                <w:lang w:val="en-US" w:eastAsia="zh-CN"/>
              </w:rPr>
              <w:t>污水</w:t>
            </w:r>
            <w:r>
              <w:rPr>
                <w:rFonts w:hint="eastAsia" w:cs="Times New Roman"/>
                <w:color w:val="auto"/>
                <w:kern w:val="0"/>
                <w:sz w:val="24"/>
              </w:rPr>
              <w:t>经</w:t>
            </w:r>
            <w:r>
              <w:rPr>
                <w:rFonts w:hint="eastAsia" w:cs="Times New Roman"/>
                <w:color w:val="auto"/>
                <w:kern w:val="0"/>
                <w:sz w:val="24"/>
                <w:lang w:val="en-US" w:eastAsia="zh-CN"/>
              </w:rPr>
              <w:t>出租方已建</w:t>
            </w:r>
            <w:r>
              <w:rPr>
                <w:rFonts w:hint="eastAsia" w:cs="Times New Roman"/>
                <w:color w:val="auto"/>
                <w:kern w:val="0"/>
                <w:sz w:val="24"/>
              </w:rPr>
              <w:t>化粪池处理</w:t>
            </w:r>
            <w:r>
              <w:rPr>
                <w:rFonts w:hint="eastAsia" w:cs="Times New Roman"/>
                <w:color w:val="auto"/>
                <w:kern w:val="0"/>
                <w:sz w:val="24"/>
                <w:lang w:eastAsia="zh-CN"/>
              </w:rPr>
              <w:t>达到</w:t>
            </w:r>
            <w:r>
              <w:rPr>
                <w:rFonts w:hint="eastAsia" w:cs="Times New Roman"/>
                <w:color w:val="auto"/>
                <w:kern w:val="0"/>
                <w:sz w:val="24"/>
              </w:rPr>
              <w:t>《污水综合排放标准》（GB8978-1996）表4三级标准后</w:t>
            </w:r>
            <w:r>
              <w:rPr>
                <w:rFonts w:hint="eastAsia" w:cs="Times New Roman"/>
                <w:color w:val="auto"/>
                <w:kern w:val="0"/>
                <w:sz w:val="24"/>
                <w:lang w:eastAsia="zh-CN"/>
              </w:rPr>
              <w:t>经市政污水管排</w:t>
            </w:r>
            <w:r>
              <w:rPr>
                <w:rFonts w:hint="eastAsia" w:cs="Times New Roman"/>
                <w:color w:val="auto"/>
                <w:kern w:val="0"/>
                <w:sz w:val="24"/>
              </w:rPr>
              <w:t>至</w:t>
            </w:r>
            <w:r>
              <w:rPr>
                <w:rFonts w:hint="eastAsia" w:cs="Times New Roman"/>
                <w:color w:val="auto"/>
                <w:kern w:val="0"/>
                <w:sz w:val="24"/>
                <w:lang w:eastAsia="zh-CN"/>
              </w:rPr>
              <w:t>青口汽车工业开发区污水处理厂</w:t>
            </w:r>
            <w:r>
              <w:rPr>
                <w:rFonts w:hint="eastAsia" w:cs="Times New Roman"/>
                <w:color w:val="auto"/>
                <w:kern w:val="0"/>
                <w:sz w:val="24"/>
              </w:rPr>
              <w:t>进一步处理</w:t>
            </w:r>
            <w:r>
              <w:rPr>
                <w:rFonts w:hint="eastAsia" w:cs="Times New Roman"/>
                <w:color w:val="auto"/>
                <w:kern w:val="0"/>
                <w:sz w:val="24"/>
                <w:lang w:eastAsia="zh-CN"/>
              </w:rPr>
              <w:t>，项目运营期生活污水排放</w:t>
            </w:r>
            <w:r>
              <w:rPr>
                <w:rFonts w:hint="eastAsia" w:cs="Times New Roman"/>
                <w:color w:val="auto"/>
                <w:kern w:val="0"/>
                <w:sz w:val="24"/>
                <w:lang w:val="en-US" w:eastAsia="zh-CN"/>
              </w:rPr>
              <w:t>详见表3.3-1</w:t>
            </w:r>
            <w:r>
              <w:rPr>
                <w:rFonts w:hint="eastAsia" w:cs="Times New Roman"/>
                <w:color w:val="auto"/>
                <w:kern w:val="0"/>
                <w:sz w:val="24"/>
              </w:rPr>
              <w:t>。</w:t>
            </w:r>
          </w:p>
          <w:p w14:paraId="3D279233">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生活污水</w:t>
            </w:r>
            <w:r>
              <w:rPr>
                <w:rFonts w:hint="eastAsia" w:ascii="Times New Roman" w:hAnsi="Times New Roman" w:eastAsia="宋体" w:cs="Times New Roman"/>
                <w:color w:val="auto"/>
              </w:rPr>
              <w:t>排放标准</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874"/>
              <w:gridCol w:w="1031"/>
              <w:gridCol w:w="1174"/>
              <w:gridCol w:w="3797"/>
            </w:tblGrid>
            <w:tr w14:paraId="3EEC5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29" w:type="pct"/>
                  <w:noWrap w:val="0"/>
                  <w:vAlign w:val="center"/>
                </w:tcPr>
                <w:p w14:paraId="5160239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序号</w:t>
                  </w:r>
                </w:p>
              </w:tc>
              <w:tc>
                <w:tcPr>
                  <w:tcW w:w="1087" w:type="pct"/>
                  <w:noWrap w:val="0"/>
                  <w:vAlign w:val="center"/>
                </w:tcPr>
                <w:p w14:paraId="5439F14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污染物</w:t>
                  </w:r>
                </w:p>
              </w:tc>
              <w:tc>
                <w:tcPr>
                  <w:tcW w:w="598" w:type="pct"/>
                  <w:noWrap w:val="0"/>
                  <w:vAlign w:val="center"/>
                </w:tcPr>
                <w:p w14:paraId="73F3CA96">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单位</w:t>
                  </w:r>
                </w:p>
              </w:tc>
              <w:tc>
                <w:tcPr>
                  <w:tcW w:w="681" w:type="pct"/>
                  <w:noWrap w:val="0"/>
                  <w:vAlign w:val="center"/>
                </w:tcPr>
                <w:p w14:paraId="75917BDA">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rPr>
                    <w:t>标准</w:t>
                  </w:r>
                  <w:r>
                    <w:rPr>
                      <w:rFonts w:hint="eastAsia" w:cs="Times New Roman"/>
                      <w:color w:val="auto"/>
                      <w:lang w:eastAsia="zh-CN"/>
                    </w:rPr>
                    <w:t>限值</w:t>
                  </w:r>
                </w:p>
              </w:tc>
              <w:tc>
                <w:tcPr>
                  <w:tcW w:w="2202" w:type="pct"/>
                  <w:noWrap w:val="0"/>
                  <w:vAlign w:val="center"/>
                </w:tcPr>
                <w:p w14:paraId="4FF3F67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标准来源</w:t>
                  </w:r>
                </w:p>
              </w:tc>
            </w:tr>
            <w:tr w14:paraId="69ABA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40461E59">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1</w:t>
                  </w:r>
                </w:p>
              </w:tc>
              <w:tc>
                <w:tcPr>
                  <w:tcW w:w="1862" w:type="dxa"/>
                  <w:noWrap w:val="0"/>
                  <w:vAlign w:val="center"/>
                </w:tcPr>
                <w:p w14:paraId="5849A8EE">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rPr>
                    <w:t>pH</w:t>
                  </w:r>
                </w:p>
              </w:tc>
              <w:tc>
                <w:tcPr>
                  <w:tcW w:w="598" w:type="pct"/>
                  <w:noWrap w:val="0"/>
                  <w:vAlign w:val="center"/>
                </w:tcPr>
                <w:p w14:paraId="09DC7180">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无量纲</w:t>
                  </w:r>
                </w:p>
              </w:tc>
              <w:tc>
                <w:tcPr>
                  <w:tcW w:w="681" w:type="pct"/>
                  <w:noWrap w:val="0"/>
                  <w:vAlign w:val="center"/>
                </w:tcPr>
                <w:p w14:paraId="560445A7">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6~9</w:t>
                  </w:r>
                </w:p>
              </w:tc>
              <w:tc>
                <w:tcPr>
                  <w:tcW w:w="2202" w:type="pct"/>
                  <w:vMerge w:val="restart"/>
                  <w:noWrap w:val="0"/>
                  <w:vAlign w:val="center"/>
                </w:tcPr>
                <w:p w14:paraId="6C1C92FF">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《污水综合排放标准》（GB8978-1996）表4三级标准</w:t>
                  </w:r>
                </w:p>
              </w:tc>
            </w:tr>
            <w:tr w14:paraId="50219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1D4774E9">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2</w:t>
                  </w:r>
                </w:p>
              </w:tc>
              <w:tc>
                <w:tcPr>
                  <w:tcW w:w="1862" w:type="dxa"/>
                  <w:noWrap w:val="0"/>
                  <w:vAlign w:val="center"/>
                </w:tcPr>
                <w:p w14:paraId="2BF68979">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rPr>
                    <w:t>COD</w:t>
                  </w:r>
                </w:p>
              </w:tc>
              <w:tc>
                <w:tcPr>
                  <w:tcW w:w="598" w:type="pct"/>
                  <w:noWrap w:val="0"/>
                  <w:vAlign w:val="center"/>
                </w:tcPr>
                <w:p w14:paraId="43298EA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mg/L</w:t>
                  </w:r>
                </w:p>
              </w:tc>
              <w:tc>
                <w:tcPr>
                  <w:tcW w:w="681" w:type="pct"/>
                  <w:noWrap w:val="0"/>
                  <w:vAlign w:val="center"/>
                </w:tcPr>
                <w:p w14:paraId="334DB4F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400</w:t>
                  </w:r>
                </w:p>
              </w:tc>
              <w:tc>
                <w:tcPr>
                  <w:tcW w:w="2202" w:type="pct"/>
                  <w:vMerge w:val="continue"/>
                  <w:noWrap w:val="0"/>
                  <w:vAlign w:val="center"/>
                </w:tcPr>
                <w:p w14:paraId="3A7652E5">
                  <w:pPr>
                    <w:pStyle w:val="33"/>
                    <w:keepNext w:val="0"/>
                    <w:keepLines w:val="0"/>
                    <w:suppressLineNumbers w:val="0"/>
                    <w:bidi w:val="0"/>
                    <w:spacing w:before="0" w:beforeAutospacing="0" w:after="0" w:afterAutospacing="0"/>
                    <w:ind w:left="0" w:right="0"/>
                    <w:rPr>
                      <w:rFonts w:hint="eastAsia" w:cs="Times New Roman"/>
                      <w:color w:val="auto"/>
                    </w:rPr>
                  </w:pPr>
                </w:p>
              </w:tc>
            </w:tr>
            <w:tr w14:paraId="3BFBD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181D6991">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3</w:t>
                  </w:r>
                </w:p>
              </w:tc>
              <w:tc>
                <w:tcPr>
                  <w:tcW w:w="1862" w:type="dxa"/>
                  <w:noWrap w:val="0"/>
                  <w:vAlign w:val="center"/>
                </w:tcPr>
                <w:p w14:paraId="716FD8A9">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rPr>
                    <w:t>BOD</w:t>
                  </w:r>
                  <w:r>
                    <w:rPr>
                      <w:rFonts w:hint="default"/>
                      <w:vertAlign w:val="subscript"/>
                    </w:rPr>
                    <w:t>5</w:t>
                  </w:r>
                </w:p>
              </w:tc>
              <w:tc>
                <w:tcPr>
                  <w:tcW w:w="598" w:type="pct"/>
                  <w:noWrap w:val="0"/>
                  <w:vAlign w:val="center"/>
                </w:tcPr>
                <w:p w14:paraId="1635FB8C">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mg/L</w:t>
                  </w:r>
                </w:p>
              </w:tc>
              <w:tc>
                <w:tcPr>
                  <w:tcW w:w="681" w:type="pct"/>
                  <w:noWrap w:val="0"/>
                  <w:vAlign w:val="center"/>
                </w:tcPr>
                <w:p w14:paraId="0BC8C1A0">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300</w:t>
                  </w:r>
                </w:p>
              </w:tc>
              <w:tc>
                <w:tcPr>
                  <w:tcW w:w="2202" w:type="pct"/>
                  <w:vMerge w:val="continue"/>
                  <w:noWrap w:val="0"/>
                  <w:vAlign w:val="center"/>
                </w:tcPr>
                <w:p w14:paraId="3985121C">
                  <w:pPr>
                    <w:pStyle w:val="33"/>
                    <w:keepNext w:val="0"/>
                    <w:keepLines w:val="0"/>
                    <w:suppressLineNumbers w:val="0"/>
                    <w:bidi w:val="0"/>
                    <w:spacing w:before="0" w:beforeAutospacing="0" w:after="0" w:afterAutospacing="0"/>
                    <w:ind w:left="0" w:right="0"/>
                    <w:rPr>
                      <w:rFonts w:hint="eastAsia" w:cs="Times New Roman"/>
                      <w:color w:val="auto"/>
                    </w:rPr>
                  </w:pPr>
                </w:p>
              </w:tc>
            </w:tr>
            <w:tr w14:paraId="1D3AD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7658423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4</w:t>
                  </w:r>
                </w:p>
              </w:tc>
              <w:tc>
                <w:tcPr>
                  <w:tcW w:w="1862" w:type="dxa"/>
                  <w:noWrap w:val="0"/>
                  <w:vAlign w:val="center"/>
                </w:tcPr>
                <w:p w14:paraId="56712D38">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rPr>
                    <w:t>SS</w:t>
                  </w:r>
                </w:p>
              </w:tc>
              <w:tc>
                <w:tcPr>
                  <w:tcW w:w="598" w:type="pct"/>
                  <w:noWrap w:val="0"/>
                  <w:vAlign w:val="center"/>
                </w:tcPr>
                <w:p w14:paraId="735A33C7">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mg/L</w:t>
                  </w:r>
                </w:p>
              </w:tc>
              <w:tc>
                <w:tcPr>
                  <w:tcW w:w="681" w:type="pct"/>
                  <w:noWrap w:val="0"/>
                  <w:vAlign w:val="center"/>
                </w:tcPr>
                <w:p w14:paraId="4AC4D89F">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500</w:t>
                  </w:r>
                </w:p>
              </w:tc>
              <w:tc>
                <w:tcPr>
                  <w:tcW w:w="2202" w:type="pct"/>
                  <w:vMerge w:val="continue"/>
                  <w:noWrap w:val="0"/>
                  <w:vAlign w:val="center"/>
                </w:tcPr>
                <w:p w14:paraId="112FE3D4">
                  <w:pPr>
                    <w:pStyle w:val="33"/>
                    <w:keepNext w:val="0"/>
                    <w:keepLines w:val="0"/>
                    <w:suppressLineNumbers w:val="0"/>
                    <w:bidi w:val="0"/>
                    <w:spacing w:before="0" w:beforeAutospacing="0" w:after="0" w:afterAutospacing="0"/>
                    <w:ind w:left="0" w:right="0"/>
                    <w:rPr>
                      <w:rFonts w:hint="eastAsia" w:cs="Times New Roman"/>
                      <w:color w:val="auto"/>
                    </w:rPr>
                  </w:pPr>
                </w:p>
              </w:tc>
            </w:tr>
            <w:tr w14:paraId="1E2BF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noWrap w:val="0"/>
                  <w:vAlign w:val="center"/>
                </w:tcPr>
                <w:p w14:paraId="63A74AFB">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val="en-US" w:eastAsia="zh-CN"/>
                    </w:rPr>
                    <w:t>5</w:t>
                  </w:r>
                </w:p>
              </w:tc>
              <w:tc>
                <w:tcPr>
                  <w:tcW w:w="1862" w:type="dxa"/>
                  <w:noWrap w:val="0"/>
                  <w:vAlign w:val="center"/>
                </w:tcPr>
                <w:p w14:paraId="25DC4B8D">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rPr>
                    <w:t>NH</w:t>
                  </w:r>
                  <w:r>
                    <w:rPr>
                      <w:rFonts w:hint="default"/>
                      <w:vertAlign w:val="subscript"/>
                    </w:rPr>
                    <w:t>3</w:t>
                  </w:r>
                  <w:r>
                    <w:rPr>
                      <w:rFonts w:hint="default"/>
                    </w:rPr>
                    <w:t>-N</w:t>
                  </w:r>
                </w:p>
              </w:tc>
              <w:tc>
                <w:tcPr>
                  <w:tcW w:w="598" w:type="pct"/>
                  <w:noWrap w:val="0"/>
                  <w:vAlign w:val="center"/>
                </w:tcPr>
                <w:p w14:paraId="6FA77E6D">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mg/L</w:t>
                  </w:r>
                </w:p>
              </w:tc>
              <w:tc>
                <w:tcPr>
                  <w:tcW w:w="681" w:type="pct"/>
                  <w:noWrap w:val="0"/>
                  <w:vAlign w:val="center"/>
                </w:tcPr>
                <w:p w14:paraId="545E5A7B">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45</w:t>
                  </w:r>
                </w:p>
              </w:tc>
              <w:tc>
                <w:tcPr>
                  <w:tcW w:w="2202" w:type="pct"/>
                  <w:noWrap w:val="0"/>
                  <w:vAlign w:val="center"/>
                </w:tcPr>
                <w:p w14:paraId="3552A036">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《污水排入城镇下水道水质标准》（GB/T31962-2015）</w:t>
                  </w:r>
                  <w:r>
                    <w:rPr>
                      <w:rFonts w:hint="eastAsia" w:cs="Times New Roman"/>
                      <w:color w:val="auto"/>
                      <w:lang w:val="en-US" w:eastAsia="zh-CN"/>
                    </w:rPr>
                    <w:t>表1中</w:t>
                  </w:r>
                  <w:r>
                    <w:rPr>
                      <w:rFonts w:hint="eastAsia" w:cs="Times New Roman"/>
                      <w:color w:val="auto"/>
                    </w:rPr>
                    <w:t>B等级标准限值</w:t>
                  </w:r>
                </w:p>
              </w:tc>
            </w:tr>
          </w:tbl>
          <w:p w14:paraId="79FFCBCF">
            <w:pPr>
              <w:keepNext w:val="0"/>
              <w:keepLines w:val="0"/>
              <w:numPr>
                <w:ins w:id="0" w:author="fu qiang" w:date="2018-03-27T11:06:00Z"/>
              </w:numPr>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FFFFFF"/>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shd w:val="clear" w:color="auto" w:fill="FFFFFF"/>
                <w:lang w:val="en-US" w:eastAsia="zh-CN"/>
                <w14:textFill>
                  <w14:solidFill>
                    <w14:schemeClr w14:val="tx1"/>
                  </w14:solidFill>
                </w14:textFill>
              </w:rPr>
              <w:t>污水处理厂</w:t>
            </w:r>
            <w:r>
              <w:rPr>
                <w:rFonts w:hint="default" w:ascii="Times New Roman" w:hAnsi="Times New Roman" w:cs="Times New Roman"/>
                <w:color w:val="000000" w:themeColor="text1"/>
                <w:sz w:val="24"/>
                <w:szCs w:val="24"/>
                <w:highlight w:val="none"/>
                <w:shd w:val="clear" w:color="auto" w:fill="FFFFFF"/>
                <w14:textFill>
                  <w14:solidFill>
                    <w14:schemeClr w14:val="tx1"/>
                  </w14:solidFill>
                </w14:textFill>
              </w:rPr>
              <w:t>排放标准</w:t>
            </w:r>
          </w:p>
          <w:p w14:paraId="27C1A4C7">
            <w:pPr>
              <w:keepNext w:val="0"/>
              <w:keepLines w:val="0"/>
              <w:numPr>
                <w:ins w:id="1" w:author="User" w:date="2017-06-23T17:36:00Z"/>
              </w:numPr>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FFFFFF"/>
                <w14:textFill>
                  <w14:solidFill>
                    <w14:schemeClr w14:val="tx1"/>
                  </w14:solidFill>
                </w14:textFill>
              </w:rPr>
              <w:t>根据调查，</w:t>
            </w:r>
            <w:r>
              <w:rPr>
                <w:rFonts w:hint="eastAsia" w:cs="Times New Roman"/>
                <w:color w:val="000000" w:themeColor="text1"/>
                <w:sz w:val="24"/>
                <w:highlight w:val="none"/>
                <w:shd w:val="clear" w:color="auto" w:fill="FFFFFF"/>
                <w:lang w:eastAsia="zh-CN"/>
                <w14:textFill>
                  <w14:solidFill>
                    <w14:schemeClr w14:val="tx1"/>
                  </w14:solidFill>
                </w14:textFill>
              </w:rPr>
              <w:t>青口汽车工业开发区污水处理厂</w:t>
            </w:r>
            <w:r>
              <w:rPr>
                <w:rFonts w:hint="default" w:ascii="Times New Roman" w:hAnsi="Times New Roman" w:cs="Times New Roman"/>
                <w:color w:val="000000" w:themeColor="text1"/>
                <w:sz w:val="24"/>
                <w:szCs w:val="20"/>
                <w:highlight w:val="none"/>
                <w14:textFill>
                  <w14:solidFill>
                    <w14:schemeClr w14:val="tx1"/>
                  </w14:solidFill>
                </w14:textFill>
              </w:rPr>
              <w:t>尾水</w:t>
            </w:r>
            <w:r>
              <w:rPr>
                <w:rFonts w:hint="default" w:ascii="Times New Roman" w:hAnsi="Times New Roman" w:cs="Times New Roman"/>
                <w:color w:val="000000" w:themeColor="text1"/>
                <w:sz w:val="24"/>
                <w:szCs w:val="24"/>
                <w:highlight w:val="none"/>
                <w14:textFill>
                  <w14:solidFill>
                    <w14:schemeClr w14:val="tx1"/>
                  </w14:solidFill>
                </w14:textFill>
              </w:rPr>
              <w:t>排放执行《城镇污水处理厂污染物排放标准》(GB18918-2002)</w:t>
            </w:r>
            <w:r>
              <w:rPr>
                <w:rFonts w:hint="default" w:ascii="Times New Roman" w:hAnsi="Times New Roman" w:cs="Times New Roman"/>
                <w:color w:val="000000" w:themeColor="text1"/>
                <w:sz w:val="24"/>
                <w:szCs w:val="24"/>
                <w:highlight w:val="none"/>
                <w:lang w:eastAsia="zh-CN"/>
                <w14:textFill>
                  <w14:solidFill>
                    <w14:schemeClr w14:val="tx1"/>
                  </w14:solidFill>
                </w14:textFill>
              </w:rPr>
              <w:t>及其修改单</w:t>
            </w:r>
            <w:r>
              <w:rPr>
                <w:rFonts w:hint="default" w:ascii="Times New Roman" w:hAnsi="Times New Roman" w:cs="Times New Roman"/>
                <w:color w:val="000000" w:themeColor="text1"/>
                <w:sz w:val="24"/>
                <w:szCs w:val="24"/>
                <w:highlight w:val="none"/>
                <w14:textFill>
                  <w14:solidFill>
                    <w14:schemeClr w14:val="tx1"/>
                  </w14:solidFill>
                </w14:textFill>
              </w:rPr>
              <w:t>表1的一级</w:t>
            </w: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14:textFill>
                  <w14:solidFill>
                    <w14:schemeClr w14:val="tx1"/>
                  </w14:solidFill>
                </w14:textFill>
              </w:rPr>
              <w:t>标准，详见表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3-2</w:t>
            </w:r>
            <w:r>
              <w:rPr>
                <w:rFonts w:hint="default" w:ascii="Times New Roman" w:hAnsi="Times New Roman" w:cs="Times New Roman"/>
                <w:color w:val="000000" w:themeColor="text1"/>
                <w:sz w:val="24"/>
                <w:szCs w:val="24"/>
                <w:highlight w:val="none"/>
                <w14:textFill>
                  <w14:solidFill>
                    <w14:schemeClr w14:val="tx1"/>
                  </w14:solidFill>
                </w14:textFill>
              </w:rPr>
              <w:t>。</w:t>
            </w:r>
          </w:p>
          <w:p w14:paraId="0B475926">
            <w:pPr>
              <w:pStyle w:val="36"/>
              <w:keepNext w:val="0"/>
              <w:keepLines w:val="0"/>
              <w:suppressLineNumbers w:val="0"/>
              <w:bidi w:val="0"/>
              <w:spacing w:beforeAutospacing="0" w:after="0" w:afterAutospacing="0"/>
              <w:ind w:left="0" w:right="0"/>
              <w:rPr>
                <w:rFonts w:hint="default"/>
              </w:rPr>
            </w:pPr>
            <w:r>
              <w:rPr>
                <w:rFonts w:hint="default"/>
              </w:rPr>
              <w:t>污水处理厂</w:t>
            </w:r>
            <w:r>
              <w:rPr>
                <w:rFonts w:hint="default"/>
                <w:lang w:eastAsia="zh-CN"/>
              </w:rPr>
              <w:t>尾水</w:t>
            </w:r>
            <w:r>
              <w:rPr>
                <w:rFonts w:hint="default"/>
              </w:rPr>
              <w:t xml:space="preserve">排放标准一览表  </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275"/>
              <w:gridCol w:w="1484"/>
              <w:gridCol w:w="1898"/>
              <w:gridCol w:w="3076"/>
            </w:tblGrid>
            <w:tr w14:paraId="3DCB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60A48982">
                  <w:pPr>
                    <w:pStyle w:val="33"/>
                    <w:keepNext w:val="0"/>
                    <w:keepLines w:val="0"/>
                    <w:suppressLineNumbers w:val="0"/>
                    <w:bidi w:val="0"/>
                    <w:spacing w:before="0" w:beforeAutospacing="0" w:after="0" w:afterAutospacing="0"/>
                    <w:ind w:left="0" w:right="0"/>
                    <w:rPr>
                      <w:rFonts w:hint="default"/>
                    </w:rPr>
                  </w:pPr>
                  <w:r>
                    <w:rPr>
                      <w:rFonts w:hint="default"/>
                    </w:rPr>
                    <w:t>序号</w:t>
                  </w:r>
                </w:p>
              </w:tc>
              <w:tc>
                <w:tcPr>
                  <w:tcW w:w="740" w:type="pct"/>
                  <w:noWrap w:val="0"/>
                  <w:vAlign w:val="center"/>
                </w:tcPr>
                <w:p w14:paraId="7B182C6D">
                  <w:pPr>
                    <w:pStyle w:val="33"/>
                    <w:keepNext w:val="0"/>
                    <w:keepLines w:val="0"/>
                    <w:suppressLineNumbers w:val="0"/>
                    <w:bidi w:val="0"/>
                    <w:spacing w:before="0" w:beforeAutospacing="0" w:after="0" w:afterAutospacing="0"/>
                    <w:ind w:left="0" w:right="0"/>
                    <w:rPr>
                      <w:rFonts w:hint="default"/>
                    </w:rPr>
                  </w:pPr>
                  <w:r>
                    <w:rPr>
                      <w:rFonts w:hint="default"/>
                    </w:rPr>
                    <w:t>污染物名称</w:t>
                  </w:r>
                </w:p>
              </w:tc>
              <w:tc>
                <w:tcPr>
                  <w:tcW w:w="861" w:type="pct"/>
                  <w:noWrap w:val="0"/>
                  <w:vAlign w:val="center"/>
                </w:tcPr>
                <w:p w14:paraId="3E8937D4">
                  <w:pPr>
                    <w:pStyle w:val="33"/>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单位</w:t>
                  </w:r>
                </w:p>
              </w:tc>
              <w:tc>
                <w:tcPr>
                  <w:tcW w:w="1101" w:type="pct"/>
                  <w:noWrap w:val="0"/>
                  <w:vAlign w:val="center"/>
                </w:tcPr>
                <w:p w14:paraId="5530BE21">
                  <w:pPr>
                    <w:pStyle w:val="33"/>
                    <w:keepNext w:val="0"/>
                    <w:keepLines w:val="0"/>
                    <w:suppressLineNumbers w:val="0"/>
                    <w:bidi w:val="0"/>
                    <w:spacing w:before="0" w:beforeAutospacing="0" w:after="0" w:afterAutospacing="0"/>
                    <w:ind w:left="0" w:right="0"/>
                    <w:rPr>
                      <w:rFonts w:hint="default"/>
                    </w:rPr>
                  </w:pPr>
                  <w:r>
                    <w:rPr>
                      <w:rFonts w:hint="eastAsia" w:cs="Times New Roman"/>
                      <w:color w:val="auto"/>
                    </w:rPr>
                    <w:t>标准</w:t>
                  </w:r>
                  <w:r>
                    <w:rPr>
                      <w:rFonts w:hint="eastAsia" w:cs="Times New Roman"/>
                      <w:color w:val="auto"/>
                      <w:lang w:eastAsia="zh-CN"/>
                    </w:rPr>
                    <w:t>限值</w:t>
                  </w:r>
                </w:p>
              </w:tc>
              <w:tc>
                <w:tcPr>
                  <w:tcW w:w="1784" w:type="pct"/>
                  <w:noWrap w:val="0"/>
                  <w:vAlign w:val="center"/>
                </w:tcPr>
                <w:p w14:paraId="12B904A0">
                  <w:pPr>
                    <w:pStyle w:val="33"/>
                    <w:keepNext w:val="0"/>
                    <w:keepLines w:val="0"/>
                    <w:suppressLineNumbers w:val="0"/>
                    <w:bidi w:val="0"/>
                    <w:spacing w:before="0" w:beforeAutospacing="0" w:after="0" w:afterAutospacing="0"/>
                    <w:ind w:left="0" w:right="0"/>
                    <w:rPr>
                      <w:rFonts w:hint="default"/>
                    </w:rPr>
                  </w:pPr>
                  <w:r>
                    <w:rPr>
                      <w:rFonts w:hint="default"/>
                    </w:rPr>
                    <w:t>标准来源</w:t>
                  </w:r>
                </w:p>
              </w:tc>
            </w:tr>
            <w:tr w14:paraId="58A3C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791CF61E">
                  <w:pPr>
                    <w:pStyle w:val="33"/>
                    <w:keepNext w:val="0"/>
                    <w:keepLines w:val="0"/>
                    <w:suppressLineNumbers w:val="0"/>
                    <w:bidi w:val="0"/>
                    <w:spacing w:before="0" w:beforeAutospacing="0" w:after="0" w:afterAutospacing="0"/>
                    <w:ind w:left="0" w:right="0"/>
                    <w:rPr>
                      <w:rFonts w:hint="default"/>
                    </w:rPr>
                  </w:pPr>
                  <w:r>
                    <w:rPr>
                      <w:rFonts w:hint="default"/>
                    </w:rPr>
                    <w:t>1</w:t>
                  </w:r>
                </w:p>
              </w:tc>
              <w:tc>
                <w:tcPr>
                  <w:tcW w:w="740" w:type="pct"/>
                  <w:noWrap w:val="0"/>
                  <w:vAlign w:val="center"/>
                </w:tcPr>
                <w:p w14:paraId="1CCF33A3">
                  <w:pPr>
                    <w:pStyle w:val="33"/>
                    <w:keepNext w:val="0"/>
                    <w:keepLines w:val="0"/>
                    <w:suppressLineNumbers w:val="0"/>
                    <w:bidi w:val="0"/>
                    <w:spacing w:before="0" w:beforeAutospacing="0" w:after="0" w:afterAutospacing="0"/>
                    <w:ind w:left="0" w:right="0"/>
                    <w:rPr>
                      <w:rFonts w:hint="default"/>
                    </w:rPr>
                  </w:pPr>
                  <w:r>
                    <w:rPr>
                      <w:rFonts w:hint="default"/>
                    </w:rPr>
                    <w:t>pH</w:t>
                  </w:r>
                </w:p>
              </w:tc>
              <w:tc>
                <w:tcPr>
                  <w:tcW w:w="861" w:type="pct"/>
                  <w:noWrap w:val="0"/>
                  <w:vAlign w:val="center"/>
                </w:tcPr>
                <w:p w14:paraId="5BCC04DE">
                  <w:pPr>
                    <w:pStyle w:val="33"/>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s="Times New Roman"/>
                      <w:color w:val="auto"/>
                    </w:rPr>
                    <w:t>无量纲</w:t>
                  </w:r>
                </w:p>
              </w:tc>
              <w:tc>
                <w:tcPr>
                  <w:tcW w:w="1101" w:type="pct"/>
                  <w:noWrap w:val="0"/>
                  <w:vAlign w:val="center"/>
                </w:tcPr>
                <w:p w14:paraId="0896D1CC">
                  <w:pPr>
                    <w:pStyle w:val="33"/>
                    <w:keepNext w:val="0"/>
                    <w:keepLines w:val="0"/>
                    <w:suppressLineNumbers w:val="0"/>
                    <w:bidi w:val="0"/>
                    <w:spacing w:before="0" w:beforeAutospacing="0" w:after="0" w:afterAutospacing="0"/>
                    <w:ind w:left="0" w:right="0"/>
                    <w:rPr>
                      <w:rFonts w:hint="default"/>
                    </w:rPr>
                  </w:pPr>
                  <w:r>
                    <w:rPr>
                      <w:rFonts w:hint="default"/>
                    </w:rPr>
                    <w:t>6</w:t>
                  </w:r>
                  <w:r>
                    <w:rPr>
                      <w:rFonts w:hint="eastAsia"/>
                      <w:lang w:eastAsia="zh-CN"/>
                    </w:rPr>
                    <w:t>~</w:t>
                  </w:r>
                  <w:r>
                    <w:rPr>
                      <w:rFonts w:hint="default"/>
                    </w:rPr>
                    <w:t>9</w:t>
                  </w:r>
                </w:p>
              </w:tc>
              <w:tc>
                <w:tcPr>
                  <w:tcW w:w="1784" w:type="pct"/>
                  <w:vMerge w:val="restart"/>
                  <w:noWrap w:val="0"/>
                  <w:vAlign w:val="center"/>
                </w:tcPr>
                <w:p w14:paraId="0285F122">
                  <w:pPr>
                    <w:pStyle w:val="33"/>
                    <w:keepNext w:val="0"/>
                    <w:keepLines w:val="0"/>
                    <w:suppressLineNumbers w:val="0"/>
                    <w:bidi w:val="0"/>
                    <w:spacing w:before="0" w:beforeAutospacing="0" w:after="0" w:afterAutospacing="0"/>
                    <w:ind w:left="0" w:right="0"/>
                    <w:rPr>
                      <w:rFonts w:hint="default"/>
                    </w:rPr>
                  </w:pPr>
                  <w:r>
                    <w:rPr>
                      <w:rFonts w:hint="default"/>
                    </w:rPr>
                    <w:t>《城镇污水处理厂污染物排放标准》(GB18918-2002)</w:t>
                  </w:r>
                  <w:r>
                    <w:rPr>
                      <w:rFonts w:hint="default"/>
                      <w:lang w:eastAsia="zh-CN"/>
                    </w:rPr>
                    <w:t>及其修改单</w:t>
                  </w:r>
                  <w:r>
                    <w:rPr>
                      <w:rFonts w:hint="default"/>
                    </w:rPr>
                    <w:t>表1</w:t>
                  </w:r>
                  <w:r>
                    <w:rPr>
                      <w:rFonts w:hint="eastAsia"/>
                      <w:lang w:eastAsia="zh-CN"/>
                    </w:rPr>
                    <w:t>中</w:t>
                  </w:r>
                  <w:r>
                    <w:rPr>
                      <w:rFonts w:hint="default"/>
                      <w:lang w:eastAsia="zh-CN"/>
                    </w:rPr>
                    <w:t>一级</w:t>
                  </w:r>
                  <w:r>
                    <w:rPr>
                      <w:rFonts w:hint="eastAsia"/>
                      <w:lang w:val="en-US" w:eastAsia="zh-CN"/>
                    </w:rPr>
                    <w:t>A</w:t>
                  </w:r>
                  <w:r>
                    <w:rPr>
                      <w:rFonts w:hint="default"/>
                      <w:lang w:eastAsia="zh-CN"/>
                    </w:rPr>
                    <w:t>标准</w:t>
                  </w:r>
                </w:p>
              </w:tc>
            </w:tr>
            <w:tr w14:paraId="13AD5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341043CF">
                  <w:pPr>
                    <w:pStyle w:val="33"/>
                    <w:keepNext w:val="0"/>
                    <w:keepLines w:val="0"/>
                    <w:suppressLineNumbers w:val="0"/>
                    <w:bidi w:val="0"/>
                    <w:spacing w:before="0" w:beforeAutospacing="0" w:after="0" w:afterAutospacing="0"/>
                    <w:ind w:left="0" w:right="0"/>
                    <w:rPr>
                      <w:rFonts w:hint="default"/>
                    </w:rPr>
                  </w:pPr>
                  <w:r>
                    <w:rPr>
                      <w:rFonts w:hint="default"/>
                    </w:rPr>
                    <w:t>2</w:t>
                  </w:r>
                </w:p>
              </w:tc>
              <w:tc>
                <w:tcPr>
                  <w:tcW w:w="740" w:type="pct"/>
                  <w:noWrap w:val="0"/>
                  <w:vAlign w:val="center"/>
                </w:tcPr>
                <w:p w14:paraId="2D84DC21">
                  <w:pPr>
                    <w:pStyle w:val="33"/>
                    <w:keepNext w:val="0"/>
                    <w:keepLines w:val="0"/>
                    <w:suppressLineNumbers w:val="0"/>
                    <w:bidi w:val="0"/>
                    <w:spacing w:before="0" w:beforeAutospacing="0" w:after="0" w:afterAutospacing="0"/>
                    <w:ind w:left="0" w:right="0"/>
                    <w:rPr>
                      <w:rFonts w:hint="default"/>
                    </w:rPr>
                  </w:pPr>
                  <w:r>
                    <w:rPr>
                      <w:rFonts w:hint="default"/>
                    </w:rPr>
                    <w:t>COD</w:t>
                  </w:r>
                </w:p>
              </w:tc>
              <w:tc>
                <w:tcPr>
                  <w:tcW w:w="861" w:type="pct"/>
                  <w:noWrap w:val="0"/>
                  <w:vAlign w:val="center"/>
                </w:tcPr>
                <w:p w14:paraId="3E9105F1">
                  <w:pPr>
                    <w:pStyle w:val="33"/>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s="Times New Roman"/>
                      <w:color w:val="auto"/>
                    </w:rPr>
                    <w:t>mg/L</w:t>
                  </w:r>
                </w:p>
              </w:tc>
              <w:tc>
                <w:tcPr>
                  <w:tcW w:w="1101" w:type="pct"/>
                  <w:noWrap w:val="0"/>
                  <w:vAlign w:val="center"/>
                </w:tcPr>
                <w:p w14:paraId="5D94915E">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5</w:t>
                  </w:r>
                  <w:r>
                    <w:rPr>
                      <w:rFonts w:hint="default"/>
                    </w:rPr>
                    <w:t>0</w:t>
                  </w:r>
                </w:p>
              </w:tc>
              <w:tc>
                <w:tcPr>
                  <w:tcW w:w="1784" w:type="pct"/>
                  <w:vMerge w:val="continue"/>
                  <w:noWrap w:val="0"/>
                  <w:vAlign w:val="center"/>
                </w:tcPr>
                <w:p w14:paraId="1567D283">
                  <w:pPr>
                    <w:pStyle w:val="33"/>
                    <w:keepNext w:val="0"/>
                    <w:keepLines w:val="0"/>
                    <w:suppressLineNumbers w:val="0"/>
                    <w:bidi w:val="0"/>
                    <w:spacing w:before="0" w:beforeAutospacing="0" w:after="0" w:afterAutospacing="0"/>
                    <w:ind w:left="0" w:right="0"/>
                    <w:rPr>
                      <w:rFonts w:hint="default"/>
                    </w:rPr>
                  </w:pPr>
                </w:p>
              </w:tc>
            </w:tr>
            <w:tr w14:paraId="4D1A6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461D20BE">
                  <w:pPr>
                    <w:pStyle w:val="33"/>
                    <w:keepNext w:val="0"/>
                    <w:keepLines w:val="0"/>
                    <w:suppressLineNumbers w:val="0"/>
                    <w:bidi w:val="0"/>
                    <w:spacing w:before="0" w:beforeAutospacing="0" w:after="0" w:afterAutospacing="0"/>
                    <w:ind w:left="0" w:right="0"/>
                    <w:rPr>
                      <w:rFonts w:hint="default"/>
                    </w:rPr>
                  </w:pPr>
                  <w:r>
                    <w:rPr>
                      <w:rFonts w:hint="default"/>
                    </w:rPr>
                    <w:t>3</w:t>
                  </w:r>
                </w:p>
              </w:tc>
              <w:tc>
                <w:tcPr>
                  <w:tcW w:w="740" w:type="pct"/>
                  <w:noWrap w:val="0"/>
                  <w:vAlign w:val="center"/>
                </w:tcPr>
                <w:p w14:paraId="1E779B6F">
                  <w:pPr>
                    <w:pStyle w:val="33"/>
                    <w:keepNext w:val="0"/>
                    <w:keepLines w:val="0"/>
                    <w:suppressLineNumbers w:val="0"/>
                    <w:bidi w:val="0"/>
                    <w:spacing w:before="0" w:beforeAutospacing="0" w:after="0" w:afterAutospacing="0"/>
                    <w:ind w:left="0" w:right="0"/>
                    <w:rPr>
                      <w:rFonts w:hint="default"/>
                    </w:rPr>
                  </w:pPr>
                  <w:r>
                    <w:rPr>
                      <w:rFonts w:hint="default"/>
                    </w:rPr>
                    <w:t>BOD</w:t>
                  </w:r>
                  <w:r>
                    <w:rPr>
                      <w:rFonts w:hint="default"/>
                      <w:vertAlign w:val="subscript"/>
                    </w:rPr>
                    <w:t>5</w:t>
                  </w:r>
                </w:p>
              </w:tc>
              <w:tc>
                <w:tcPr>
                  <w:tcW w:w="861" w:type="pct"/>
                  <w:noWrap w:val="0"/>
                  <w:vAlign w:val="center"/>
                </w:tcPr>
                <w:p w14:paraId="6468AFD5">
                  <w:pPr>
                    <w:pStyle w:val="33"/>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s="Times New Roman"/>
                      <w:color w:val="auto"/>
                    </w:rPr>
                    <w:t>mg/L</w:t>
                  </w:r>
                </w:p>
              </w:tc>
              <w:tc>
                <w:tcPr>
                  <w:tcW w:w="1101" w:type="pct"/>
                  <w:noWrap w:val="0"/>
                  <w:vAlign w:val="center"/>
                </w:tcPr>
                <w:p w14:paraId="4E0F8F28">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10</w:t>
                  </w:r>
                </w:p>
              </w:tc>
              <w:tc>
                <w:tcPr>
                  <w:tcW w:w="1784" w:type="pct"/>
                  <w:vMerge w:val="continue"/>
                  <w:noWrap w:val="0"/>
                  <w:vAlign w:val="center"/>
                </w:tcPr>
                <w:p w14:paraId="27D2C275">
                  <w:pPr>
                    <w:pStyle w:val="33"/>
                    <w:keepNext w:val="0"/>
                    <w:keepLines w:val="0"/>
                    <w:suppressLineNumbers w:val="0"/>
                    <w:bidi w:val="0"/>
                    <w:spacing w:before="0" w:beforeAutospacing="0" w:after="0" w:afterAutospacing="0"/>
                    <w:ind w:left="0" w:right="0"/>
                    <w:rPr>
                      <w:rFonts w:hint="default"/>
                    </w:rPr>
                  </w:pPr>
                </w:p>
              </w:tc>
            </w:tr>
            <w:tr w14:paraId="6BD58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12" w:type="pct"/>
                  <w:noWrap w:val="0"/>
                  <w:vAlign w:val="center"/>
                </w:tcPr>
                <w:p w14:paraId="7135A891">
                  <w:pPr>
                    <w:pStyle w:val="33"/>
                    <w:keepNext w:val="0"/>
                    <w:keepLines w:val="0"/>
                    <w:suppressLineNumbers w:val="0"/>
                    <w:bidi w:val="0"/>
                    <w:spacing w:before="0" w:beforeAutospacing="0" w:after="0" w:afterAutospacing="0"/>
                    <w:ind w:left="0" w:right="0"/>
                    <w:rPr>
                      <w:rFonts w:hint="default"/>
                    </w:rPr>
                  </w:pPr>
                  <w:r>
                    <w:rPr>
                      <w:rFonts w:hint="default"/>
                    </w:rPr>
                    <w:t>4</w:t>
                  </w:r>
                </w:p>
              </w:tc>
              <w:tc>
                <w:tcPr>
                  <w:tcW w:w="740" w:type="pct"/>
                  <w:noWrap w:val="0"/>
                  <w:vAlign w:val="center"/>
                </w:tcPr>
                <w:p w14:paraId="4D552D34">
                  <w:pPr>
                    <w:pStyle w:val="33"/>
                    <w:keepNext w:val="0"/>
                    <w:keepLines w:val="0"/>
                    <w:suppressLineNumbers w:val="0"/>
                    <w:bidi w:val="0"/>
                    <w:spacing w:before="0" w:beforeAutospacing="0" w:after="0" w:afterAutospacing="0"/>
                    <w:ind w:left="0" w:right="0"/>
                    <w:rPr>
                      <w:rFonts w:hint="default"/>
                    </w:rPr>
                  </w:pPr>
                  <w:r>
                    <w:rPr>
                      <w:rFonts w:hint="default"/>
                    </w:rPr>
                    <w:t>SS</w:t>
                  </w:r>
                </w:p>
              </w:tc>
              <w:tc>
                <w:tcPr>
                  <w:tcW w:w="861" w:type="pct"/>
                  <w:noWrap w:val="0"/>
                  <w:vAlign w:val="center"/>
                </w:tcPr>
                <w:p w14:paraId="7C6CD4BA">
                  <w:pPr>
                    <w:pStyle w:val="33"/>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s="Times New Roman"/>
                      <w:color w:val="auto"/>
                    </w:rPr>
                    <w:t>mg/L</w:t>
                  </w:r>
                </w:p>
              </w:tc>
              <w:tc>
                <w:tcPr>
                  <w:tcW w:w="1101" w:type="pct"/>
                  <w:noWrap w:val="0"/>
                  <w:vAlign w:val="center"/>
                </w:tcPr>
                <w:p w14:paraId="383FF025">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10</w:t>
                  </w:r>
                </w:p>
              </w:tc>
              <w:tc>
                <w:tcPr>
                  <w:tcW w:w="1784" w:type="pct"/>
                  <w:vMerge w:val="continue"/>
                  <w:noWrap w:val="0"/>
                  <w:vAlign w:val="center"/>
                </w:tcPr>
                <w:p w14:paraId="6FA38853">
                  <w:pPr>
                    <w:pStyle w:val="33"/>
                    <w:keepNext w:val="0"/>
                    <w:keepLines w:val="0"/>
                    <w:suppressLineNumbers w:val="0"/>
                    <w:bidi w:val="0"/>
                    <w:spacing w:before="0" w:beforeAutospacing="0" w:after="0" w:afterAutospacing="0"/>
                    <w:ind w:left="0" w:right="0"/>
                    <w:rPr>
                      <w:rFonts w:hint="default"/>
                    </w:rPr>
                  </w:pPr>
                </w:p>
              </w:tc>
            </w:tr>
            <w:tr w14:paraId="11C37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noWrap w:val="0"/>
                  <w:vAlign w:val="center"/>
                </w:tcPr>
                <w:p w14:paraId="1EE2AF87">
                  <w:pPr>
                    <w:pStyle w:val="33"/>
                    <w:keepNext w:val="0"/>
                    <w:keepLines w:val="0"/>
                    <w:suppressLineNumbers w:val="0"/>
                    <w:bidi w:val="0"/>
                    <w:spacing w:before="0" w:beforeAutospacing="0" w:after="0" w:afterAutospacing="0"/>
                    <w:ind w:left="0" w:right="0"/>
                    <w:rPr>
                      <w:rFonts w:hint="default"/>
                    </w:rPr>
                  </w:pPr>
                  <w:r>
                    <w:rPr>
                      <w:rFonts w:hint="default"/>
                    </w:rPr>
                    <w:t>5</w:t>
                  </w:r>
                </w:p>
              </w:tc>
              <w:tc>
                <w:tcPr>
                  <w:tcW w:w="740" w:type="pct"/>
                  <w:noWrap w:val="0"/>
                  <w:vAlign w:val="center"/>
                </w:tcPr>
                <w:p w14:paraId="7666C33B">
                  <w:pPr>
                    <w:pStyle w:val="33"/>
                    <w:keepNext w:val="0"/>
                    <w:keepLines w:val="0"/>
                    <w:suppressLineNumbers w:val="0"/>
                    <w:bidi w:val="0"/>
                    <w:spacing w:before="0" w:beforeAutospacing="0" w:after="0" w:afterAutospacing="0"/>
                    <w:ind w:left="0" w:right="0"/>
                    <w:rPr>
                      <w:rFonts w:hint="default"/>
                    </w:rPr>
                  </w:pPr>
                  <w:r>
                    <w:rPr>
                      <w:rFonts w:hint="default"/>
                    </w:rPr>
                    <w:t>NH</w:t>
                  </w:r>
                  <w:r>
                    <w:rPr>
                      <w:rFonts w:hint="default"/>
                      <w:vertAlign w:val="subscript"/>
                    </w:rPr>
                    <w:t>3</w:t>
                  </w:r>
                  <w:r>
                    <w:rPr>
                      <w:rFonts w:hint="default"/>
                    </w:rPr>
                    <w:t>-N</w:t>
                  </w:r>
                </w:p>
              </w:tc>
              <w:tc>
                <w:tcPr>
                  <w:tcW w:w="861" w:type="pct"/>
                  <w:noWrap w:val="0"/>
                  <w:vAlign w:val="center"/>
                </w:tcPr>
                <w:p w14:paraId="1192E7F5">
                  <w:pPr>
                    <w:pStyle w:val="33"/>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s="Times New Roman"/>
                      <w:color w:val="auto"/>
                    </w:rPr>
                    <w:t>mg/L</w:t>
                  </w:r>
                </w:p>
              </w:tc>
              <w:tc>
                <w:tcPr>
                  <w:tcW w:w="1101" w:type="pct"/>
                  <w:noWrap w:val="0"/>
                  <w:vAlign w:val="center"/>
                </w:tcPr>
                <w:p w14:paraId="56D07B8C">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5</w:t>
                  </w:r>
                </w:p>
              </w:tc>
              <w:tc>
                <w:tcPr>
                  <w:tcW w:w="1784" w:type="pct"/>
                  <w:vMerge w:val="continue"/>
                  <w:noWrap w:val="0"/>
                  <w:vAlign w:val="center"/>
                </w:tcPr>
                <w:p w14:paraId="1ADC6CDD">
                  <w:pPr>
                    <w:pStyle w:val="33"/>
                    <w:keepNext w:val="0"/>
                    <w:keepLines w:val="0"/>
                    <w:suppressLineNumbers w:val="0"/>
                    <w:bidi w:val="0"/>
                    <w:spacing w:before="0" w:beforeAutospacing="0" w:after="0" w:afterAutospacing="0"/>
                    <w:ind w:left="0" w:right="0"/>
                    <w:rPr>
                      <w:rFonts w:hint="default"/>
                    </w:rPr>
                  </w:pPr>
                </w:p>
              </w:tc>
            </w:tr>
          </w:tbl>
          <w:p w14:paraId="6933677D">
            <w:pPr>
              <w:pStyle w:val="4"/>
              <w:keepNext w:val="0"/>
              <w:keepLines w:val="0"/>
              <w:suppressLineNumbers w:val="0"/>
              <w:bidi w:val="0"/>
              <w:ind w:left="0" w:right="0"/>
              <w:rPr>
                <w:rFonts w:hint="eastAsia" w:ascii="Times New Roman" w:hAnsi="Times New Roman" w:eastAsia="宋体" w:cs="宋体"/>
                <w:color w:val="auto"/>
              </w:rPr>
            </w:pPr>
            <w:r>
              <w:rPr>
                <w:rFonts w:hint="eastAsia" w:ascii="Times New Roman" w:hAnsi="Times New Roman" w:eastAsia="宋体" w:cs="宋体"/>
                <w:color w:val="auto"/>
              </w:rPr>
              <w:t>废气</w:t>
            </w:r>
          </w:p>
          <w:p w14:paraId="6F4789A1">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left="0" w:right="0" w:firstLine="480" w:firstLineChars="200"/>
              <w:textAlignment w:val="bottom"/>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pPr>
            <w:r>
              <w:rPr>
                <w:rFonts w:hint="eastAsia" w:cs="宋体"/>
                <w:color w:val="auto"/>
                <w:lang w:eastAsia="zh-CN"/>
              </w:rPr>
              <w:t>项目运营期生产工艺为外购半成品物料进行装配，在线烘烤工序原料受热会有少量挥发性有机物（以非甲烷总烃计）产生，以无组织形式排放。项目无组织排放的非甲烷总烃执行《工业企业挥发性有机物排放标准》</w:t>
            </w:r>
            <w:r>
              <w:rPr>
                <w:rFonts w:hint="eastAsia" w:cs="宋体"/>
                <w:color w:val="auto"/>
                <w:lang w:val="en-US" w:eastAsia="zh-CN"/>
              </w:rPr>
              <w:t>(</w:t>
            </w:r>
            <w:r>
              <w:rPr>
                <w:rFonts w:hint="eastAsia" w:cs="宋体"/>
                <w:color w:val="auto"/>
                <w:lang w:eastAsia="zh-CN"/>
              </w:rPr>
              <w:t>DB35</w:t>
            </w:r>
            <w:r>
              <w:rPr>
                <w:rFonts w:hint="eastAsia" w:cs="宋体"/>
                <w:color w:val="auto"/>
                <w:lang w:val="en-US" w:eastAsia="zh-CN"/>
              </w:rPr>
              <w:t>/</w:t>
            </w:r>
            <w:r>
              <w:rPr>
                <w:rFonts w:hint="eastAsia" w:cs="宋体"/>
                <w:color w:val="auto"/>
                <w:lang w:eastAsia="zh-CN"/>
              </w:rPr>
              <w:t>1782-2018</w:t>
            </w:r>
            <w:r>
              <w:rPr>
                <w:rFonts w:hint="eastAsia" w:cs="宋体"/>
                <w:color w:val="auto"/>
                <w:lang w:val="en-US" w:eastAsia="zh-CN"/>
              </w:rPr>
              <w:t>)表2厂区内监控点浓度限值和</w:t>
            </w:r>
            <w:r>
              <w:rPr>
                <w:rFonts w:hint="eastAsia" w:cs="宋体"/>
                <w:color w:val="auto"/>
                <w:lang w:eastAsia="zh-CN"/>
              </w:rPr>
              <w:t>表</w:t>
            </w:r>
            <w:r>
              <w:rPr>
                <w:rFonts w:hint="eastAsia" w:cs="宋体"/>
                <w:color w:val="auto"/>
                <w:lang w:val="en-US" w:eastAsia="zh-CN"/>
              </w:rPr>
              <w:t>3企业边界监控点浓度限值，以及</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《挥发性有机物无组织排放控制标准》(GB 37822-2019)中附录A表A.1标准限值，具体详见表3.7-</w:t>
            </w:r>
            <w:r>
              <w:rPr>
                <w:rFonts w:hint="eastAsia" w:cs="Times New Roman"/>
                <w:color w:val="000000" w:themeColor="text1"/>
                <w:sz w:val="24"/>
                <w:szCs w:val="24"/>
                <w:highlight w:val="none"/>
                <w:shd w:val="clear" w:color="auto" w:fill="FFFFFF"/>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w:t>
            </w:r>
          </w:p>
          <w:p w14:paraId="261639AF">
            <w:pPr>
              <w:pStyle w:val="36"/>
              <w:keepNext w:val="0"/>
              <w:keepLines w:val="0"/>
              <w:suppressLineNumbers w:val="0"/>
              <w:bidi w:val="0"/>
              <w:spacing w:beforeAutospacing="0" w:after="0" w:afterAutospacing="0"/>
              <w:ind w:left="0" w:right="0"/>
              <w:rPr>
                <w:rFonts w:hint="default"/>
                <w:lang w:val="en-US" w:eastAsia="zh-CN"/>
              </w:rPr>
            </w:pPr>
            <w:r>
              <w:rPr>
                <w:rFonts w:hint="default"/>
                <w:lang w:val="en-US" w:eastAsia="zh-CN"/>
              </w:rPr>
              <w:t>无组织</w:t>
            </w:r>
            <w:r>
              <w:rPr>
                <w:rFonts w:hint="eastAsia"/>
                <w:lang w:val="en-US" w:eastAsia="zh-CN"/>
              </w:rPr>
              <w:t xml:space="preserve">废气排放标准 </w:t>
            </w:r>
            <w:r>
              <w:rPr>
                <w:rFonts w:hint="default"/>
                <w:lang w:val="en-US" w:eastAsia="zh-CN"/>
              </w:rPr>
              <w:t>单位：mg/m</w:t>
            </w:r>
            <w:r>
              <w:rPr>
                <w:rFonts w:hint="default"/>
                <w:vertAlign w:val="superscript"/>
                <w:lang w:val="en-US" w:eastAsia="zh-CN"/>
              </w:rPr>
              <w:t>3</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20"/>
              <w:gridCol w:w="1360"/>
              <w:gridCol w:w="1567"/>
              <w:gridCol w:w="1336"/>
              <w:gridCol w:w="2932"/>
            </w:tblGrid>
            <w:tr w14:paraId="6827C0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24" w:type="pct"/>
                  <w:vMerge w:val="restart"/>
                  <w:tcBorders>
                    <w:tl2br w:val="nil"/>
                    <w:tr2bl w:val="nil"/>
                  </w:tcBorders>
                  <w:noWrap w:val="0"/>
                  <w:tcMar>
                    <w:top w:w="15" w:type="dxa"/>
                    <w:left w:w="15" w:type="dxa"/>
                    <w:right w:w="15" w:type="dxa"/>
                  </w:tcMar>
                  <w:vAlign w:val="center"/>
                </w:tcPr>
                <w:p w14:paraId="554F1652">
                  <w:pPr>
                    <w:pStyle w:val="33"/>
                    <w:keepNext w:val="0"/>
                    <w:keepLines w:val="0"/>
                    <w:suppressLineNumbers w:val="0"/>
                    <w:bidi w:val="0"/>
                    <w:spacing w:before="0" w:beforeAutospacing="0" w:after="0" w:afterAutospacing="0"/>
                    <w:ind w:left="0" w:right="0"/>
                    <w:rPr>
                      <w:rFonts w:hint="default"/>
                    </w:rPr>
                  </w:pPr>
                  <w:r>
                    <w:rPr>
                      <w:rFonts w:hint="default"/>
                      <w:lang w:val="en-US" w:eastAsia="zh-CN"/>
                    </w:rPr>
                    <w:t>污染物项目</w:t>
                  </w:r>
                </w:p>
              </w:tc>
              <w:tc>
                <w:tcPr>
                  <w:tcW w:w="1698" w:type="pct"/>
                  <w:gridSpan w:val="2"/>
                  <w:tcBorders>
                    <w:tl2br w:val="nil"/>
                    <w:tr2bl w:val="nil"/>
                  </w:tcBorders>
                  <w:noWrap w:val="0"/>
                  <w:tcMar>
                    <w:top w:w="15" w:type="dxa"/>
                    <w:left w:w="15" w:type="dxa"/>
                    <w:right w:w="15" w:type="dxa"/>
                  </w:tcMar>
                  <w:vAlign w:val="center"/>
                </w:tcPr>
                <w:p w14:paraId="5D18CE26">
                  <w:pPr>
                    <w:pStyle w:val="33"/>
                    <w:keepNext w:val="0"/>
                    <w:keepLines w:val="0"/>
                    <w:suppressLineNumbers w:val="0"/>
                    <w:bidi w:val="0"/>
                    <w:spacing w:before="0" w:beforeAutospacing="0" w:after="0" w:afterAutospacing="0"/>
                    <w:ind w:left="0" w:right="0"/>
                    <w:rPr>
                      <w:rFonts w:hint="default"/>
                    </w:rPr>
                  </w:pPr>
                  <w:r>
                    <w:rPr>
                      <w:rFonts w:hint="default"/>
                      <w:lang w:val="en-US" w:eastAsia="zh-CN"/>
                    </w:rPr>
                    <w:t>厂区内监控点浓度限值</w:t>
                  </w:r>
                </w:p>
              </w:tc>
              <w:tc>
                <w:tcPr>
                  <w:tcW w:w="775" w:type="pct"/>
                  <w:vMerge w:val="restart"/>
                  <w:tcBorders>
                    <w:tl2br w:val="nil"/>
                    <w:tr2bl w:val="nil"/>
                  </w:tcBorders>
                  <w:noWrap w:val="0"/>
                  <w:tcMar>
                    <w:top w:w="15" w:type="dxa"/>
                    <w:left w:w="15" w:type="dxa"/>
                    <w:right w:w="15" w:type="dxa"/>
                  </w:tcMar>
                  <w:vAlign w:val="center"/>
                </w:tcPr>
                <w:p w14:paraId="5C6E1018">
                  <w:pPr>
                    <w:pStyle w:val="33"/>
                    <w:keepNext w:val="0"/>
                    <w:keepLines w:val="0"/>
                    <w:suppressLineNumbers w:val="0"/>
                    <w:bidi w:val="0"/>
                    <w:spacing w:before="0" w:beforeAutospacing="0" w:after="0" w:afterAutospacing="0"/>
                    <w:ind w:left="0" w:right="0"/>
                    <w:rPr>
                      <w:rFonts w:hint="default"/>
                    </w:rPr>
                  </w:pPr>
                  <w:r>
                    <w:rPr>
                      <w:rFonts w:hint="default"/>
                      <w:lang w:val="en-US" w:eastAsia="zh-CN"/>
                    </w:rPr>
                    <w:t>企业边界监控点浓度限值</w:t>
                  </w:r>
                </w:p>
              </w:tc>
              <w:tc>
                <w:tcPr>
                  <w:tcW w:w="1701" w:type="pct"/>
                  <w:vMerge w:val="restart"/>
                  <w:tcBorders>
                    <w:tl2br w:val="nil"/>
                    <w:tr2bl w:val="nil"/>
                  </w:tcBorders>
                  <w:noWrap w:val="0"/>
                  <w:tcMar>
                    <w:top w:w="15" w:type="dxa"/>
                    <w:left w:w="15" w:type="dxa"/>
                    <w:right w:w="15" w:type="dxa"/>
                  </w:tcMar>
                  <w:vAlign w:val="center"/>
                </w:tcPr>
                <w:p w14:paraId="0F0E562D">
                  <w:pPr>
                    <w:pStyle w:val="33"/>
                    <w:keepNext w:val="0"/>
                    <w:keepLines w:val="0"/>
                    <w:suppressLineNumbers w:val="0"/>
                    <w:bidi w:val="0"/>
                    <w:spacing w:before="0" w:beforeAutospacing="0" w:after="0" w:afterAutospacing="0"/>
                    <w:ind w:left="0" w:right="0"/>
                    <w:rPr>
                      <w:rFonts w:hint="default"/>
                    </w:rPr>
                  </w:pPr>
                  <w:r>
                    <w:rPr>
                      <w:rFonts w:hint="default"/>
                      <w:lang w:val="en-US" w:eastAsia="zh-CN"/>
                    </w:rPr>
                    <w:t>执行标准</w:t>
                  </w:r>
                </w:p>
              </w:tc>
            </w:tr>
            <w:tr w14:paraId="3BDD4C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824" w:type="pct"/>
                  <w:vMerge w:val="continue"/>
                  <w:tcBorders>
                    <w:tl2br w:val="nil"/>
                    <w:tr2bl w:val="nil"/>
                  </w:tcBorders>
                  <w:noWrap w:val="0"/>
                  <w:tcMar>
                    <w:top w:w="15" w:type="dxa"/>
                    <w:left w:w="15" w:type="dxa"/>
                    <w:right w:w="15" w:type="dxa"/>
                  </w:tcMar>
                  <w:vAlign w:val="center"/>
                </w:tcPr>
                <w:p w14:paraId="418BD46C">
                  <w:pPr>
                    <w:pStyle w:val="33"/>
                    <w:keepNext w:val="0"/>
                    <w:keepLines w:val="0"/>
                    <w:suppressLineNumbers w:val="0"/>
                    <w:bidi w:val="0"/>
                    <w:spacing w:before="0" w:beforeAutospacing="0" w:after="0" w:afterAutospacing="0"/>
                    <w:ind w:left="0" w:right="0"/>
                    <w:rPr>
                      <w:rFonts w:hint="default"/>
                    </w:rPr>
                  </w:pPr>
                </w:p>
              </w:tc>
              <w:tc>
                <w:tcPr>
                  <w:tcW w:w="789" w:type="pct"/>
                  <w:tcBorders>
                    <w:tl2br w:val="nil"/>
                    <w:tr2bl w:val="nil"/>
                  </w:tcBorders>
                  <w:noWrap w:val="0"/>
                  <w:tcMar>
                    <w:top w:w="15" w:type="dxa"/>
                    <w:left w:w="15" w:type="dxa"/>
                    <w:right w:w="15" w:type="dxa"/>
                  </w:tcMar>
                  <w:vAlign w:val="center"/>
                </w:tcPr>
                <w:p w14:paraId="665DD1DE">
                  <w:pPr>
                    <w:pStyle w:val="33"/>
                    <w:keepNext w:val="0"/>
                    <w:keepLines w:val="0"/>
                    <w:suppressLineNumbers w:val="0"/>
                    <w:bidi w:val="0"/>
                    <w:spacing w:before="0" w:beforeAutospacing="0" w:after="0" w:afterAutospacing="0"/>
                    <w:ind w:left="0" w:right="0"/>
                    <w:rPr>
                      <w:rFonts w:hint="default"/>
                    </w:rPr>
                  </w:pPr>
                  <w:r>
                    <w:rPr>
                      <w:rFonts w:hint="default"/>
                      <w:lang w:val="en-US" w:eastAsia="zh-CN"/>
                    </w:rPr>
                    <w:t>1h平均浓度值</w:t>
                  </w:r>
                </w:p>
              </w:tc>
              <w:tc>
                <w:tcPr>
                  <w:tcW w:w="909" w:type="pct"/>
                  <w:tcBorders>
                    <w:tl2br w:val="nil"/>
                    <w:tr2bl w:val="nil"/>
                  </w:tcBorders>
                  <w:noWrap w:val="0"/>
                  <w:tcMar>
                    <w:top w:w="15" w:type="dxa"/>
                    <w:left w:w="15" w:type="dxa"/>
                    <w:right w:w="15" w:type="dxa"/>
                  </w:tcMar>
                  <w:vAlign w:val="center"/>
                </w:tcPr>
                <w:p w14:paraId="1074BF30">
                  <w:pPr>
                    <w:pStyle w:val="33"/>
                    <w:keepNext w:val="0"/>
                    <w:keepLines w:val="0"/>
                    <w:suppressLineNumbers w:val="0"/>
                    <w:bidi w:val="0"/>
                    <w:spacing w:before="0" w:beforeAutospacing="0" w:after="0" w:afterAutospacing="0"/>
                    <w:ind w:left="0" w:right="0"/>
                    <w:rPr>
                      <w:rFonts w:hint="default"/>
                    </w:rPr>
                  </w:pPr>
                  <w:r>
                    <w:rPr>
                      <w:rFonts w:hint="default"/>
                      <w:lang w:val="en-US" w:eastAsia="zh-CN"/>
                    </w:rPr>
                    <w:t>监控点处任意一次浓度值</w:t>
                  </w:r>
                </w:p>
              </w:tc>
              <w:tc>
                <w:tcPr>
                  <w:tcW w:w="775" w:type="pct"/>
                  <w:vMerge w:val="continue"/>
                  <w:tcBorders>
                    <w:tl2br w:val="nil"/>
                    <w:tr2bl w:val="nil"/>
                  </w:tcBorders>
                  <w:noWrap w:val="0"/>
                  <w:tcMar>
                    <w:top w:w="15" w:type="dxa"/>
                    <w:left w:w="15" w:type="dxa"/>
                    <w:right w:w="15" w:type="dxa"/>
                  </w:tcMar>
                  <w:vAlign w:val="center"/>
                </w:tcPr>
                <w:p w14:paraId="039A8467">
                  <w:pPr>
                    <w:pStyle w:val="33"/>
                    <w:keepNext w:val="0"/>
                    <w:keepLines w:val="0"/>
                    <w:suppressLineNumbers w:val="0"/>
                    <w:bidi w:val="0"/>
                    <w:spacing w:before="0" w:beforeAutospacing="0" w:after="0" w:afterAutospacing="0"/>
                    <w:ind w:left="0" w:right="0"/>
                    <w:rPr>
                      <w:rFonts w:hint="default"/>
                    </w:rPr>
                  </w:pPr>
                </w:p>
              </w:tc>
              <w:tc>
                <w:tcPr>
                  <w:tcW w:w="1701" w:type="pct"/>
                  <w:vMerge w:val="continue"/>
                  <w:tcBorders>
                    <w:tl2br w:val="nil"/>
                    <w:tr2bl w:val="nil"/>
                  </w:tcBorders>
                  <w:noWrap w:val="0"/>
                  <w:tcMar>
                    <w:top w:w="15" w:type="dxa"/>
                    <w:left w:w="15" w:type="dxa"/>
                    <w:right w:w="15" w:type="dxa"/>
                  </w:tcMar>
                  <w:vAlign w:val="center"/>
                </w:tcPr>
                <w:p w14:paraId="2E4CD2E0">
                  <w:pPr>
                    <w:pStyle w:val="33"/>
                    <w:keepNext w:val="0"/>
                    <w:keepLines w:val="0"/>
                    <w:suppressLineNumbers w:val="0"/>
                    <w:bidi w:val="0"/>
                    <w:spacing w:before="0" w:beforeAutospacing="0" w:after="0" w:afterAutospacing="0"/>
                    <w:ind w:left="0" w:right="0"/>
                    <w:rPr>
                      <w:rFonts w:hint="default"/>
                    </w:rPr>
                  </w:pPr>
                </w:p>
              </w:tc>
            </w:tr>
            <w:tr w14:paraId="56907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24" w:type="pct"/>
                  <w:tcBorders>
                    <w:tl2br w:val="nil"/>
                    <w:tr2bl w:val="nil"/>
                  </w:tcBorders>
                  <w:noWrap w:val="0"/>
                  <w:tcMar>
                    <w:top w:w="15" w:type="dxa"/>
                    <w:left w:w="15" w:type="dxa"/>
                    <w:right w:w="15" w:type="dxa"/>
                  </w:tcMar>
                  <w:vAlign w:val="center"/>
                </w:tcPr>
                <w:p w14:paraId="3AED6CAD">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非甲烷总烃</w:t>
                  </w:r>
                </w:p>
              </w:tc>
              <w:tc>
                <w:tcPr>
                  <w:tcW w:w="789" w:type="pct"/>
                  <w:tcBorders>
                    <w:tl2br w:val="nil"/>
                    <w:tr2bl w:val="nil"/>
                  </w:tcBorders>
                  <w:noWrap w:val="0"/>
                  <w:tcMar>
                    <w:top w:w="15" w:type="dxa"/>
                    <w:left w:w="15" w:type="dxa"/>
                    <w:right w:w="15" w:type="dxa"/>
                  </w:tcMar>
                  <w:vAlign w:val="center"/>
                </w:tcPr>
                <w:p w14:paraId="3332676F">
                  <w:pPr>
                    <w:pStyle w:val="33"/>
                    <w:keepNext w:val="0"/>
                    <w:keepLines w:val="0"/>
                    <w:suppressLineNumbers w:val="0"/>
                    <w:bidi w:val="0"/>
                    <w:spacing w:before="0" w:beforeAutospacing="0" w:after="0" w:afterAutospacing="0"/>
                    <w:ind w:left="0" w:right="0"/>
                    <w:rPr>
                      <w:rFonts w:hint="default"/>
                    </w:rPr>
                  </w:pPr>
                  <w:r>
                    <w:rPr>
                      <w:rFonts w:hint="default"/>
                      <w:lang w:val="en-US" w:eastAsia="zh-CN"/>
                    </w:rPr>
                    <w:t>8.0</w:t>
                  </w:r>
                </w:p>
              </w:tc>
              <w:tc>
                <w:tcPr>
                  <w:tcW w:w="909" w:type="pct"/>
                  <w:tcBorders>
                    <w:tl2br w:val="nil"/>
                    <w:tr2bl w:val="nil"/>
                  </w:tcBorders>
                  <w:noWrap w:val="0"/>
                  <w:tcMar>
                    <w:top w:w="15" w:type="dxa"/>
                    <w:left w:w="15" w:type="dxa"/>
                    <w:right w:w="15" w:type="dxa"/>
                  </w:tcMar>
                  <w:vAlign w:val="center"/>
                </w:tcPr>
                <w:p w14:paraId="26ECDB51">
                  <w:pPr>
                    <w:pStyle w:val="33"/>
                    <w:keepNext w:val="0"/>
                    <w:keepLines w:val="0"/>
                    <w:suppressLineNumbers w:val="0"/>
                    <w:bidi w:val="0"/>
                    <w:spacing w:before="0" w:beforeAutospacing="0" w:after="0" w:afterAutospacing="0"/>
                    <w:ind w:left="0" w:right="0"/>
                    <w:rPr>
                      <w:rFonts w:hint="default"/>
                    </w:rPr>
                  </w:pPr>
                  <w:r>
                    <w:rPr>
                      <w:rFonts w:hint="default"/>
                      <w:lang w:val="en-US" w:eastAsia="zh-CN"/>
                    </w:rPr>
                    <w:t>30.0</w:t>
                  </w:r>
                </w:p>
              </w:tc>
              <w:tc>
                <w:tcPr>
                  <w:tcW w:w="775" w:type="pct"/>
                  <w:tcBorders>
                    <w:tl2br w:val="nil"/>
                    <w:tr2bl w:val="nil"/>
                  </w:tcBorders>
                  <w:noWrap w:val="0"/>
                  <w:tcMar>
                    <w:top w:w="15" w:type="dxa"/>
                    <w:left w:w="15" w:type="dxa"/>
                    <w:right w:w="15" w:type="dxa"/>
                  </w:tcMar>
                  <w:vAlign w:val="center"/>
                </w:tcPr>
                <w:p w14:paraId="7E4B872C">
                  <w:pPr>
                    <w:pStyle w:val="33"/>
                    <w:keepNext w:val="0"/>
                    <w:keepLines w:val="0"/>
                    <w:suppressLineNumbers w:val="0"/>
                    <w:bidi w:val="0"/>
                    <w:spacing w:before="0" w:beforeAutospacing="0" w:after="0" w:afterAutospacing="0"/>
                    <w:ind w:left="0" w:right="0"/>
                    <w:rPr>
                      <w:rFonts w:hint="default"/>
                    </w:rPr>
                  </w:pPr>
                  <w:r>
                    <w:rPr>
                      <w:rFonts w:hint="default"/>
                      <w:lang w:val="en-US" w:eastAsia="zh-CN"/>
                    </w:rPr>
                    <w:t>2.0</w:t>
                  </w:r>
                </w:p>
              </w:tc>
              <w:tc>
                <w:tcPr>
                  <w:tcW w:w="1701" w:type="pct"/>
                  <w:tcBorders>
                    <w:tl2br w:val="nil"/>
                    <w:tr2bl w:val="nil"/>
                  </w:tcBorders>
                  <w:noWrap w:val="0"/>
                  <w:tcMar>
                    <w:top w:w="15" w:type="dxa"/>
                    <w:left w:w="15" w:type="dxa"/>
                    <w:right w:w="15" w:type="dxa"/>
                  </w:tcMar>
                  <w:vAlign w:val="center"/>
                </w:tcPr>
                <w:p w14:paraId="5E40BC41">
                  <w:pPr>
                    <w:pStyle w:val="33"/>
                    <w:keepNext w:val="0"/>
                    <w:keepLines w:val="0"/>
                    <w:suppressLineNumbers w:val="0"/>
                    <w:bidi w:val="0"/>
                    <w:spacing w:before="0" w:beforeAutospacing="0" w:after="0" w:afterAutospacing="0"/>
                    <w:ind w:left="0" w:right="0"/>
                    <w:rPr>
                      <w:rFonts w:hint="default"/>
                    </w:rPr>
                  </w:pPr>
                  <w:r>
                    <w:rPr>
                      <w:rFonts w:hint="default"/>
                      <w:lang w:val="en-US" w:eastAsia="zh-CN"/>
                    </w:rPr>
                    <w:t>厂区内监控点任意一次浓度值执行GB 37822-2019，其余执行DB35/178</w:t>
                  </w:r>
                  <w:r>
                    <w:rPr>
                      <w:rFonts w:hint="eastAsia"/>
                      <w:lang w:val="en-US" w:eastAsia="zh-CN"/>
                    </w:rPr>
                    <w:t>2</w:t>
                  </w:r>
                  <w:r>
                    <w:rPr>
                      <w:rFonts w:hint="default"/>
                      <w:lang w:val="en-US" w:eastAsia="zh-CN"/>
                    </w:rPr>
                    <w:t>-2018</w:t>
                  </w:r>
                </w:p>
              </w:tc>
            </w:tr>
          </w:tbl>
          <w:p w14:paraId="0F6314E0">
            <w:pPr>
              <w:pStyle w:val="4"/>
              <w:keepNext w:val="0"/>
              <w:keepLines w:val="0"/>
              <w:suppressLineNumbers w:val="0"/>
              <w:bidi w:val="0"/>
              <w:ind w:left="0" w:right="0"/>
              <w:rPr>
                <w:rFonts w:hint="eastAsia" w:ascii="Times New Roman" w:hAnsi="Times New Roman" w:eastAsia="宋体" w:cs="宋体"/>
                <w:color w:val="auto"/>
              </w:rPr>
            </w:pPr>
            <w:r>
              <w:rPr>
                <w:rFonts w:hint="eastAsia" w:ascii="Times New Roman" w:hAnsi="Times New Roman" w:eastAsia="宋体" w:cs="宋体"/>
                <w:color w:val="auto"/>
              </w:rPr>
              <w:t>噪声</w:t>
            </w:r>
          </w:p>
          <w:p w14:paraId="5CFDA9E6">
            <w:pPr>
              <w:keepNext w:val="0"/>
              <w:keepLines w:val="0"/>
              <w:suppressLineNumbers w:val="0"/>
              <w:spacing w:before="0" w:beforeAutospacing="0" w:after="0" w:afterAutospacing="0" w:line="360" w:lineRule="auto"/>
              <w:ind w:left="0" w:right="0" w:firstLine="480" w:firstLineChars="200"/>
              <w:rPr>
                <w:rFonts w:hint="eastAsia" w:cs="Times New Roman"/>
                <w:color w:val="FF0000"/>
                <w:kern w:val="0"/>
                <w:sz w:val="24"/>
              </w:rPr>
            </w:pPr>
            <w:r>
              <w:rPr>
                <w:rFonts w:hint="eastAsia" w:cs="Times New Roman"/>
                <w:color w:val="FF0000"/>
                <w:kern w:val="0"/>
                <w:sz w:val="24"/>
              </w:rPr>
              <w:t>项目</w:t>
            </w:r>
            <w:r>
              <w:rPr>
                <w:rFonts w:hint="eastAsia" w:cs="Times New Roman"/>
                <w:color w:val="FF0000"/>
                <w:kern w:val="0"/>
                <w:sz w:val="24"/>
                <w:lang w:val="en-US" w:eastAsia="zh-CN"/>
              </w:rPr>
              <w:t>运营期</w:t>
            </w:r>
            <w:r>
              <w:rPr>
                <w:rFonts w:hint="eastAsia" w:cs="Times New Roman"/>
                <w:color w:val="FF0000"/>
                <w:kern w:val="0"/>
                <w:sz w:val="24"/>
              </w:rPr>
              <w:t>噪声排放执行《工业企业厂界环境噪声排放标准》（GB12348-2008）</w:t>
            </w:r>
            <w:r>
              <w:rPr>
                <w:rFonts w:hint="eastAsia" w:cs="Times New Roman"/>
                <w:color w:val="FF0000"/>
                <w:kern w:val="0"/>
                <w:sz w:val="24"/>
                <w:lang w:val="en-US" w:eastAsia="zh-CN"/>
              </w:rPr>
              <w:t>表1</w:t>
            </w:r>
            <w:r>
              <w:rPr>
                <w:rFonts w:hint="eastAsia" w:cs="Times New Roman"/>
                <w:color w:val="FF0000"/>
                <w:kern w:val="0"/>
                <w:sz w:val="24"/>
              </w:rPr>
              <w:t>中</w:t>
            </w:r>
            <w:r>
              <w:rPr>
                <w:rFonts w:hint="eastAsia" w:cs="Times New Roman"/>
                <w:color w:val="FF0000"/>
                <w:kern w:val="0"/>
                <w:sz w:val="24"/>
                <w:lang w:val="en-US" w:eastAsia="zh-CN"/>
              </w:rPr>
              <w:t>2</w:t>
            </w:r>
            <w:r>
              <w:rPr>
                <w:rFonts w:hint="eastAsia" w:cs="Times New Roman"/>
                <w:color w:val="FF0000"/>
                <w:kern w:val="0"/>
                <w:sz w:val="24"/>
              </w:rPr>
              <w:t>类标准，详见表</w:t>
            </w:r>
            <w:r>
              <w:rPr>
                <w:rFonts w:hint="eastAsia" w:cs="Times New Roman"/>
                <w:color w:val="FF0000"/>
                <w:kern w:val="0"/>
                <w:sz w:val="24"/>
                <w:lang w:val="en-US" w:eastAsia="zh-CN"/>
              </w:rPr>
              <w:t>3.3-4</w:t>
            </w:r>
            <w:r>
              <w:rPr>
                <w:rFonts w:hint="eastAsia" w:cs="Times New Roman"/>
                <w:color w:val="FF0000"/>
                <w:kern w:val="0"/>
                <w:sz w:val="24"/>
              </w:rPr>
              <w:t>。</w:t>
            </w:r>
          </w:p>
          <w:p w14:paraId="09062067">
            <w:pPr>
              <w:keepNext w:val="0"/>
              <w:keepLines w:val="0"/>
              <w:suppressLineNumbers w:val="0"/>
              <w:spacing w:before="0" w:beforeAutospacing="0" w:after="0" w:afterAutospacing="0" w:line="360" w:lineRule="auto"/>
              <w:ind w:left="0" w:right="0" w:firstLine="480" w:firstLineChars="200"/>
              <w:rPr>
                <w:rFonts w:hint="eastAsia" w:cs="Times New Roman"/>
                <w:color w:val="FF0000"/>
                <w:kern w:val="0"/>
                <w:sz w:val="24"/>
              </w:rPr>
            </w:pPr>
          </w:p>
          <w:p w14:paraId="233BB397">
            <w:pPr>
              <w:keepNext w:val="0"/>
              <w:keepLines w:val="0"/>
              <w:suppressLineNumbers w:val="0"/>
              <w:spacing w:before="0" w:beforeAutospacing="0" w:after="0" w:afterAutospacing="0" w:line="360" w:lineRule="auto"/>
              <w:ind w:left="0" w:right="0" w:firstLine="480" w:firstLineChars="200"/>
              <w:rPr>
                <w:rFonts w:hint="eastAsia" w:cs="Times New Roman"/>
                <w:color w:val="FF0000"/>
                <w:kern w:val="0"/>
                <w:sz w:val="24"/>
              </w:rPr>
            </w:pPr>
          </w:p>
          <w:p w14:paraId="578A7668">
            <w:pPr>
              <w:keepNext w:val="0"/>
              <w:keepLines w:val="0"/>
              <w:suppressLineNumbers w:val="0"/>
              <w:spacing w:before="0" w:beforeAutospacing="0" w:after="0" w:afterAutospacing="0" w:line="360" w:lineRule="auto"/>
              <w:ind w:left="0" w:right="0" w:firstLine="480" w:firstLineChars="200"/>
              <w:rPr>
                <w:rFonts w:hint="eastAsia" w:cs="Times New Roman"/>
                <w:color w:val="FF0000"/>
                <w:kern w:val="0"/>
                <w:sz w:val="24"/>
              </w:rPr>
            </w:pPr>
          </w:p>
          <w:p w14:paraId="1995A305">
            <w:pPr>
              <w:pStyle w:val="36"/>
              <w:keepNext w:val="0"/>
              <w:keepLines w:val="0"/>
              <w:suppressLineNumbers w:val="0"/>
              <w:bidi w:val="0"/>
              <w:spacing w:before="0" w:beforeAutospacing="0" w:after="0" w:afterAutospacing="0"/>
              <w:ind w:left="0" w:right="0"/>
              <w:rPr>
                <w:rFonts w:hint="eastAsia" w:ascii="Times New Roman" w:hAnsi="Times New Roman" w:eastAsia="宋体" w:cs="Times New Roman"/>
                <w:color w:val="FF0000"/>
              </w:rPr>
            </w:pPr>
            <w:r>
              <w:rPr>
                <w:rFonts w:hint="eastAsia" w:ascii="Times New Roman" w:hAnsi="Times New Roman" w:eastAsia="宋体" w:cs="Times New Roman"/>
                <w:color w:val="FF0000"/>
              </w:rPr>
              <w:t>工业企业厂界环境噪声排放标准</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2387"/>
              <w:gridCol w:w="1553"/>
            </w:tblGrid>
            <w:tr w14:paraId="74644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713" w:type="pct"/>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576D4387">
                  <w:pPr>
                    <w:pStyle w:val="33"/>
                    <w:keepNext w:val="0"/>
                    <w:keepLines w:val="0"/>
                    <w:suppressLineNumbers w:val="0"/>
                    <w:bidi w:val="0"/>
                    <w:spacing w:before="0" w:beforeAutospacing="0" w:after="0" w:afterAutospacing="0"/>
                    <w:ind w:left="0" w:right="0"/>
                    <w:rPr>
                      <w:rFonts w:hint="default" w:cs="Times New Roman"/>
                      <w:color w:val="FF0000"/>
                    </w:rPr>
                  </w:pPr>
                </w:p>
                <w:p w14:paraId="541F7F8B">
                  <w:pPr>
                    <w:pStyle w:val="33"/>
                    <w:keepNext w:val="0"/>
                    <w:keepLines w:val="0"/>
                    <w:suppressLineNumbers w:val="0"/>
                    <w:bidi w:val="0"/>
                    <w:spacing w:before="0" w:beforeAutospacing="0" w:after="0" w:afterAutospacing="0"/>
                    <w:ind w:left="0" w:right="0"/>
                    <w:rPr>
                      <w:rFonts w:hint="default" w:cs="Times New Roman"/>
                      <w:color w:val="FF0000"/>
                    </w:rPr>
                  </w:pPr>
                </w:p>
                <w:p w14:paraId="6B0D3E9F">
                  <w:pPr>
                    <w:pStyle w:val="33"/>
                    <w:keepNext w:val="0"/>
                    <w:keepLines w:val="0"/>
                    <w:suppressLineNumbers w:val="0"/>
                    <w:bidi w:val="0"/>
                    <w:spacing w:before="0" w:beforeAutospacing="0" w:after="0" w:afterAutospacing="0"/>
                    <w:ind w:left="0" w:right="0"/>
                    <mc:AlternateContent>
                      <mc:Choice Requires="wpsCustomData">
                        <wpsCustomData:diagonalParaType/>
                      </mc:Choice>
                    </mc:AlternateContent>
                    <w:rPr>
                      <w:rFonts w:hint="default" w:cs="Times New Roman"/>
                      <w:color w:val="FF0000"/>
                    </w:rPr>
                  </w:pPr>
                  <w:r>
                    <w:rPr>
                      <w:rFonts w:hint="default" w:cs="Times New Roman"/>
                      <w:color w:val="FF0000"/>
                    </w:rPr>
                    <w:t>厂界外声环境功能区类别</w:t>
                  </w:r>
                </w:p>
                <w:p w14:paraId="14CA5046">
                  <w:pPr>
                    <w:pStyle w:val="33"/>
                    <w:keepNext w:val="0"/>
                    <w:keepLines w:val="0"/>
                    <w:suppressLineNumbers w:val="0"/>
                    <w:bidi w:val="0"/>
                    <w:spacing w:before="0" w:beforeAutospacing="0" w:after="0" w:afterAutospacing="0"/>
                    <w:ind w:left="0" w:right="0"/>
                    <w:jc w:val="right"/>
                    <w:rPr>
                      <w:rFonts w:hint="default" w:cs="Times New Roman"/>
                      <w:color w:val="FF0000"/>
                    </w:rPr>
                  </w:pPr>
                  <w:r>
                    <w:rPr>
                      <w:rFonts w:hint="default" w:cs="Times New Roman"/>
                      <w:color w:val="FF0000"/>
                    </w:rPr>
                    <w:t>时段</w:t>
                  </w:r>
                </w:p>
              </w:tc>
              <w:tc>
                <w:tcPr>
                  <w:tcW w:w="1385" w:type="pct"/>
                  <w:noWrap w:val="0"/>
                  <w:vAlign w:val="center"/>
                </w:tcPr>
                <w:p w14:paraId="54F7256C">
                  <w:pPr>
                    <w:pStyle w:val="33"/>
                    <w:keepNext w:val="0"/>
                    <w:keepLines w:val="0"/>
                    <w:suppressLineNumbers w:val="0"/>
                    <w:bidi w:val="0"/>
                    <w:spacing w:before="0" w:beforeAutospacing="0" w:after="0" w:afterAutospacing="0"/>
                    <w:ind w:left="0" w:right="0"/>
                    <w:rPr>
                      <w:rFonts w:hint="eastAsia" w:cs="Times New Roman"/>
                      <w:color w:val="FF0000"/>
                    </w:rPr>
                  </w:pPr>
                  <w:r>
                    <w:rPr>
                      <w:rFonts w:hint="default" w:cs="Times New Roman"/>
                      <w:color w:val="FF0000"/>
                    </w:rPr>
                    <w:t>昼间</w:t>
                  </w:r>
                  <w:r>
                    <w:rPr>
                      <w:rFonts w:hint="eastAsia" w:cs="Times New Roman"/>
                      <w:color w:val="FF0000"/>
                    </w:rPr>
                    <w:t>/dB（A）</w:t>
                  </w:r>
                </w:p>
              </w:tc>
              <w:tc>
                <w:tcPr>
                  <w:tcW w:w="901" w:type="pct"/>
                  <w:noWrap w:val="0"/>
                  <w:vAlign w:val="center"/>
                </w:tcPr>
                <w:p w14:paraId="35EEA181">
                  <w:pPr>
                    <w:pStyle w:val="33"/>
                    <w:keepNext w:val="0"/>
                    <w:keepLines w:val="0"/>
                    <w:suppressLineNumbers w:val="0"/>
                    <w:bidi w:val="0"/>
                    <w:spacing w:before="0" w:beforeAutospacing="0" w:after="0" w:afterAutospacing="0"/>
                    <w:ind w:left="0" w:right="0"/>
                    <w:rPr>
                      <w:rFonts w:hint="eastAsia" w:cs="Times New Roman"/>
                      <w:color w:val="FF0000"/>
                    </w:rPr>
                  </w:pPr>
                  <w:r>
                    <w:rPr>
                      <w:rFonts w:hint="default" w:cs="Times New Roman"/>
                      <w:color w:val="FF0000"/>
                    </w:rPr>
                    <w:t>夜间</w:t>
                  </w:r>
                  <w:r>
                    <w:rPr>
                      <w:rFonts w:hint="eastAsia" w:cs="Times New Roman"/>
                      <w:color w:val="FF0000"/>
                    </w:rPr>
                    <w:t>/dB（A）</w:t>
                  </w:r>
                </w:p>
              </w:tc>
            </w:tr>
            <w:tr w14:paraId="02663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3" w:type="pct"/>
                  <w:noWrap w:val="0"/>
                  <w:vAlign w:val="center"/>
                </w:tcPr>
                <w:p w14:paraId="0F90A7C2">
                  <w:pPr>
                    <w:pStyle w:val="33"/>
                    <w:keepNext w:val="0"/>
                    <w:keepLines w:val="0"/>
                    <w:suppressLineNumbers w:val="0"/>
                    <w:bidi w:val="0"/>
                    <w:spacing w:before="0" w:beforeAutospacing="0" w:after="0" w:afterAutospacing="0"/>
                    <w:ind w:left="0" w:right="0"/>
                    <w:rPr>
                      <w:rFonts w:hint="eastAsia" w:cs="Times New Roman"/>
                      <w:color w:val="FF0000"/>
                      <w:lang w:val="en-US" w:eastAsia="zh-CN"/>
                    </w:rPr>
                  </w:pPr>
                  <w:r>
                    <w:rPr>
                      <w:rFonts w:hint="eastAsia" w:cs="Times New Roman"/>
                      <w:color w:val="FF0000"/>
                      <w:lang w:val="en-US" w:eastAsia="zh-CN"/>
                    </w:rPr>
                    <w:t>2类</w:t>
                  </w:r>
                </w:p>
              </w:tc>
              <w:tc>
                <w:tcPr>
                  <w:tcW w:w="1385" w:type="pct"/>
                  <w:noWrap w:val="0"/>
                  <w:vAlign w:val="center"/>
                </w:tcPr>
                <w:p w14:paraId="680008AE">
                  <w:pPr>
                    <w:pStyle w:val="33"/>
                    <w:keepNext w:val="0"/>
                    <w:keepLines w:val="0"/>
                    <w:suppressLineNumbers w:val="0"/>
                    <w:bidi w:val="0"/>
                    <w:spacing w:before="0" w:beforeAutospacing="0" w:after="0" w:afterAutospacing="0"/>
                    <w:ind w:left="0" w:right="0"/>
                    <w:rPr>
                      <w:rFonts w:hint="eastAsia" w:eastAsia="宋体" w:cs="Times New Roman"/>
                      <w:color w:val="FF0000"/>
                      <w:lang w:val="en-US" w:eastAsia="zh-CN"/>
                    </w:rPr>
                  </w:pPr>
                  <w:r>
                    <w:rPr>
                      <w:rFonts w:hint="eastAsia" w:cs="Times New Roman"/>
                      <w:color w:val="FF0000"/>
                    </w:rPr>
                    <w:t>6</w:t>
                  </w:r>
                  <w:r>
                    <w:rPr>
                      <w:rFonts w:hint="eastAsia" w:cs="Times New Roman"/>
                      <w:color w:val="FF0000"/>
                      <w:lang w:val="en-US" w:eastAsia="zh-CN"/>
                    </w:rPr>
                    <w:t>0</w:t>
                  </w:r>
                </w:p>
              </w:tc>
              <w:tc>
                <w:tcPr>
                  <w:tcW w:w="901" w:type="pct"/>
                  <w:noWrap w:val="0"/>
                  <w:vAlign w:val="center"/>
                </w:tcPr>
                <w:p w14:paraId="6168878E">
                  <w:pPr>
                    <w:pStyle w:val="33"/>
                    <w:keepNext w:val="0"/>
                    <w:keepLines w:val="0"/>
                    <w:suppressLineNumbers w:val="0"/>
                    <w:bidi w:val="0"/>
                    <w:spacing w:before="0" w:beforeAutospacing="0" w:after="0" w:afterAutospacing="0"/>
                    <w:ind w:left="0" w:right="0"/>
                    <w:rPr>
                      <w:rFonts w:hint="eastAsia" w:eastAsia="宋体" w:cs="Times New Roman"/>
                      <w:color w:val="FF0000"/>
                      <w:lang w:val="en-US" w:eastAsia="zh-CN"/>
                    </w:rPr>
                  </w:pPr>
                  <w:r>
                    <w:rPr>
                      <w:rFonts w:hint="eastAsia" w:cs="Times New Roman"/>
                      <w:color w:val="FF0000"/>
                    </w:rPr>
                    <w:t>5</w:t>
                  </w:r>
                  <w:r>
                    <w:rPr>
                      <w:rFonts w:hint="eastAsia" w:cs="Times New Roman"/>
                      <w:color w:val="FF0000"/>
                      <w:lang w:val="en-US" w:eastAsia="zh-CN"/>
                    </w:rPr>
                    <w:t>0</w:t>
                  </w:r>
                </w:p>
              </w:tc>
            </w:tr>
          </w:tbl>
          <w:p w14:paraId="0EC92E76">
            <w:pPr>
              <w:pStyle w:val="4"/>
              <w:keepNext w:val="0"/>
              <w:keepLines w:val="0"/>
              <w:suppressLineNumbers w:val="0"/>
              <w:bidi w:val="0"/>
              <w:ind w:left="0" w:right="0"/>
              <w:rPr>
                <w:rFonts w:hint="eastAsia" w:ascii="Times New Roman" w:hAnsi="Times New Roman" w:eastAsia="宋体" w:cs="宋体"/>
                <w:color w:val="auto"/>
              </w:rPr>
            </w:pPr>
            <w:r>
              <w:rPr>
                <w:rFonts w:hint="eastAsia" w:ascii="Times New Roman" w:hAnsi="Times New Roman" w:eastAsia="宋体" w:cs="宋体"/>
                <w:color w:val="auto"/>
              </w:rPr>
              <w:t>固体废物</w:t>
            </w:r>
          </w:p>
          <w:p w14:paraId="2044F06B">
            <w:pPr>
              <w:keepNext w:val="0"/>
              <w:keepLines w:val="0"/>
              <w:suppressLineNumbers w:val="0"/>
              <w:bidi w:val="0"/>
              <w:spacing w:before="0" w:beforeAutospacing="0" w:after="0" w:afterAutospacing="0"/>
              <w:ind w:left="0" w:right="0"/>
              <w:rPr>
                <w:rFonts w:hint="eastAsia"/>
              </w:rPr>
            </w:pPr>
            <w:r>
              <w:rPr>
                <w:rFonts w:hint="eastAsia"/>
              </w:rPr>
              <w:t>（1）一般工业固体废物</w:t>
            </w:r>
          </w:p>
          <w:p w14:paraId="47FF44A1">
            <w:pPr>
              <w:keepNext w:val="0"/>
              <w:keepLines w:val="0"/>
              <w:suppressLineNumbers w:val="0"/>
              <w:bidi w:val="0"/>
              <w:spacing w:before="0" w:beforeAutospacing="0" w:after="0" w:afterAutospacing="0"/>
              <w:ind w:left="0" w:right="0"/>
              <w:rPr>
                <w:rFonts w:hint="eastAsia"/>
              </w:rPr>
            </w:pPr>
            <w:r>
              <w:rPr>
                <w:rFonts w:hint="eastAsia"/>
              </w:rPr>
              <w:t>一般工业固体废物贮存标准执行《一般工业固体废物贮存和填埋污染控制标准》（GB18599-2020）中的相关规定。</w:t>
            </w:r>
          </w:p>
          <w:p w14:paraId="54875A68">
            <w:pPr>
              <w:keepNext w:val="0"/>
              <w:keepLines w:val="0"/>
              <w:suppressLineNumbers w:val="0"/>
              <w:bidi w:val="0"/>
              <w:spacing w:before="0" w:beforeAutospacing="0" w:after="0" w:afterAutospacing="0"/>
              <w:ind w:left="0" w:right="0"/>
              <w:rPr>
                <w:rFonts w:hint="eastAsia"/>
              </w:rPr>
            </w:pPr>
            <w:r>
              <w:rPr>
                <w:rFonts w:hint="eastAsia"/>
              </w:rPr>
              <w:t>（2）生活垃圾</w:t>
            </w:r>
          </w:p>
          <w:p w14:paraId="6A3AD1D2">
            <w:pPr>
              <w:keepNext w:val="0"/>
              <w:keepLines w:val="0"/>
              <w:suppressLineNumbers w:val="0"/>
              <w:bidi w:val="0"/>
              <w:spacing w:before="0" w:beforeAutospacing="0" w:after="0" w:afterAutospacing="0"/>
              <w:ind w:left="0" w:right="0"/>
              <w:rPr>
                <w:rFonts w:hint="eastAsia"/>
              </w:rPr>
            </w:pPr>
            <w:r>
              <w:rPr>
                <w:rFonts w:hint="eastAsia"/>
              </w:rPr>
              <w:t>生活垃圾处置执行《中华人民共和国固体废物污染环境防治法》（2020年4月29日修正）的“第四章生活垃圾”规定。</w:t>
            </w:r>
          </w:p>
          <w:p w14:paraId="477AB567">
            <w:pPr>
              <w:keepNext w:val="0"/>
              <w:keepLines w:val="0"/>
              <w:suppressLineNumbers w:val="0"/>
              <w:bidi w:val="0"/>
              <w:spacing w:before="0" w:beforeAutospacing="0" w:after="0" w:afterAutospacing="0"/>
              <w:ind w:left="0" w:right="0"/>
              <w:rPr>
                <w:rFonts w:hint="eastAsia"/>
              </w:rPr>
            </w:pPr>
            <w:r>
              <w:rPr>
                <w:rFonts w:hint="eastAsia"/>
              </w:rPr>
              <w:t>（3）危险废物</w:t>
            </w:r>
          </w:p>
          <w:p w14:paraId="7EB5889A">
            <w:pPr>
              <w:keepNext w:val="0"/>
              <w:keepLines w:val="0"/>
              <w:suppressLineNumbers w:val="0"/>
              <w:bidi w:val="0"/>
              <w:spacing w:before="0" w:beforeAutospacing="0" w:after="0" w:afterAutospacing="0"/>
              <w:ind w:left="0" w:right="0"/>
              <w:rPr>
                <w:rFonts w:hint="eastAsia" w:cs="Times New Roman"/>
                <w:color w:val="auto"/>
                <w:kern w:val="0"/>
                <w:szCs w:val="21"/>
              </w:rPr>
            </w:pPr>
            <w:r>
              <w:rPr>
                <w:rFonts w:hint="eastAsia"/>
              </w:rPr>
              <w:t>危险废物的识别执行《国家危险废物名录（2025年版）》，危险废物贮存执行《危险废物贮存污染控制标准》（GB18597—2023），</w:t>
            </w:r>
            <w:r>
              <w:rPr>
                <w:rFonts w:hint="default"/>
              </w:rPr>
              <w:t>危险废物识别标志</w:t>
            </w:r>
            <w:r>
              <w:rPr>
                <w:rFonts w:hint="eastAsia"/>
                <w:lang w:val="en-US" w:eastAsia="zh-CN"/>
              </w:rPr>
              <w:t>执行</w:t>
            </w:r>
            <w:r>
              <w:rPr>
                <w:rFonts w:hint="default"/>
              </w:rPr>
              <w:t>《危险废物识别标志设置技术规范》（HJ1276-2022）</w:t>
            </w:r>
            <w:r>
              <w:rPr>
                <w:rFonts w:hint="eastAsia"/>
                <w:lang w:eastAsia="zh-CN"/>
              </w:rPr>
              <w:t>，</w:t>
            </w:r>
            <w:r>
              <w:rPr>
                <w:rFonts w:hint="default"/>
              </w:rPr>
              <w:t>危险废物</w:t>
            </w:r>
            <w:r>
              <w:rPr>
                <w:rFonts w:hint="eastAsia"/>
              </w:rPr>
              <w:t>转运执行</w:t>
            </w:r>
            <w:r>
              <w:rPr>
                <w:rFonts w:hint="eastAsia"/>
                <w:lang w:eastAsia="zh-CN"/>
              </w:rPr>
              <w:t>《</w:t>
            </w:r>
            <w:r>
              <w:rPr>
                <w:rFonts w:hint="eastAsia"/>
              </w:rPr>
              <w:t>危险废物转移管理办法</w:t>
            </w:r>
            <w:r>
              <w:rPr>
                <w:rFonts w:hint="eastAsia"/>
                <w:lang w:eastAsia="zh-CN"/>
              </w:rPr>
              <w:t>》（生态环境部公安部交通运输部令第23号）。</w:t>
            </w:r>
          </w:p>
        </w:tc>
      </w:tr>
      <w:tr w14:paraId="7D932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5" w:hRule="atLeast"/>
          <w:jc w:val="center"/>
        </w:trPr>
        <w:tc>
          <w:tcPr>
            <w:tcW w:w="512" w:type="dxa"/>
            <w:noWrap w:val="0"/>
            <w:vAlign w:val="center"/>
          </w:tcPr>
          <w:p w14:paraId="45779E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color w:val="auto"/>
                <w:kern w:val="0"/>
                <w:sz w:val="24"/>
              </w:rPr>
            </w:pPr>
            <w:r>
              <w:rPr>
                <w:rFonts w:hint="eastAsia" w:ascii="宋体" w:hAnsi="宋体" w:cs="宋体"/>
                <w:color w:val="auto"/>
                <w:kern w:val="0"/>
                <w:sz w:val="24"/>
              </w:rPr>
              <w:t>总量控制</w:t>
            </w:r>
          </w:p>
          <w:p w14:paraId="1238F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eastAsia" w:ascii="宋体" w:hAnsi="宋体" w:cs="宋体"/>
                <w:color w:val="auto"/>
                <w:kern w:val="0"/>
                <w:sz w:val="24"/>
              </w:rPr>
              <w:t>指标</w:t>
            </w:r>
          </w:p>
        </w:tc>
        <w:tc>
          <w:tcPr>
            <w:tcW w:w="8777" w:type="dxa"/>
            <w:noWrap w:val="0"/>
            <w:vAlign w:val="top"/>
          </w:tcPr>
          <w:p w14:paraId="0573644B">
            <w:pPr>
              <w:pStyle w:val="3"/>
              <w:keepNext w:val="0"/>
              <w:keepLines w:val="0"/>
              <w:suppressLineNumbers w:val="0"/>
              <w:bidi w:val="0"/>
              <w:ind w:left="0" w:right="0"/>
              <w:rPr>
                <w:rFonts w:hint="default"/>
                <w:color w:val="auto"/>
              </w:rPr>
            </w:pPr>
            <w:r>
              <w:rPr>
                <w:rFonts w:hint="eastAsia"/>
                <w:color w:val="auto"/>
              </w:rPr>
              <w:t>总量控制指标</w:t>
            </w:r>
          </w:p>
          <w:p w14:paraId="7C216DB0">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s="Times New Roman"/>
                <w:color w:val="auto"/>
                <w:kern w:val="0"/>
                <w:sz w:val="24"/>
              </w:rPr>
              <w:t>根据《福建省环保厅关于进一步加快推进排污权有偿使用和交易工作的意见》（闽环发〔2015〕6号）中的相关规定“对水污染物，仅核定工业废水部分”。根据《福建省人民政府关于全面实施排污权有偿使用和交易工作的意见》（闽政〔2016〕54号），自2017年1月1日起，将排污权有偿使用和交易的实施对象扩大为全省范围内工业排污单位，工业集中区集中供热和废气、废水集中治理单位。城镇污水集中治理单位削减的污染物纳入可交易范围。实施排污权有偿使用和交易的污染物为国家对我省实施总量控制的主要污染物，现阶段包括化学需氧量、氨氮、二氧化硫、氮氧化物。</w:t>
            </w:r>
          </w:p>
          <w:p w14:paraId="3BA43344">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s="Times New Roman"/>
                <w:color w:val="auto"/>
                <w:kern w:val="0"/>
                <w:sz w:val="24"/>
              </w:rPr>
              <w:t>根据本项目的排污特点，确定项目污染物总量控制因子确定为：化学需氧量、氨氮。</w:t>
            </w:r>
          </w:p>
          <w:p w14:paraId="50E18BC6">
            <w:pPr>
              <w:keepNext w:val="0"/>
              <w:keepLines w:val="0"/>
              <w:suppressLineNumbers w:val="0"/>
              <w:spacing w:before="0" w:beforeAutospacing="0" w:after="0" w:afterAutospacing="0" w:line="360" w:lineRule="auto"/>
              <w:ind w:left="0" w:right="0" w:firstLine="482" w:firstLineChars="200"/>
              <w:rPr>
                <w:rFonts w:hint="eastAsia" w:cs="Times New Roman"/>
                <w:b/>
                <w:bCs/>
                <w:color w:val="auto"/>
                <w:kern w:val="0"/>
                <w:sz w:val="24"/>
              </w:rPr>
            </w:pPr>
            <w:r>
              <w:rPr>
                <w:rFonts w:hint="eastAsia" w:cs="Times New Roman"/>
                <w:b/>
                <w:bCs/>
                <w:color w:val="auto"/>
                <w:kern w:val="0"/>
                <w:sz w:val="24"/>
              </w:rPr>
              <w:t>（1）废水</w:t>
            </w:r>
          </w:p>
          <w:p w14:paraId="180C61B8">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s="Times New Roman"/>
                <w:color w:val="auto"/>
                <w:kern w:val="0"/>
                <w:sz w:val="24"/>
              </w:rPr>
              <w:t>项目</w:t>
            </w:r>
            <w:r>
              <w:rPr>
                <w:rFonts w:hint="eastAsia" w:cs="Times New Roman"/>
                <w:color w:val="auto"/>
                <w:kern w:val="0"/>
                <w:sz w:val="24"/>
                <w:lang w:val="en-US" w:eastAsia="zh-CN"/>
              </w:rPr>
              <w:t>无生产废水</w:t>
            </w:r>
            <w:r>
              <w:rPr>
                <w:rFonts w:hint="eastAsia" w:cs="Times New Roman"/>
                <w:color w:val="auto"/>
                <w:kern w:val="0"/>
                <w:sz w:val="24"/>
              </w:rPr>
              <w:t>。</w:t>
            </w:r>
          </w:p>
          <w:p w14:paraId="259FBC24">
            <w:pPr>
              <w:keepNext w:val="0"/>
              <w:keepLines w:val="0"/>
              <w:suppressLineNumbers w:val="0"/>
              <w:spacing w:before="0" w:beforeAutospacing="0" w:after="0" w:afterAutospacing="0" w:line="360" w:lineRule="auto"/>
              <w:ind w:left="0" w:right="0" w:firstLine="480" w:firstLineChars="200"/>
              <w:rPr>
                <w:rFonts w:hint="eastAsia" w:cs="Times New Roman"/>
                <w:color w:val="auto"/>
                <w:kern w:val="0"/>
                <w:sz w:val="24"/>
              </w:rPr>
            </w:pPr>
            <w:r>
              <w:rPr>
                <w:rFonts w:hint="eastAsia" w:cs="Times New Roman"/>
                <w:color w:val="auto"/>
                <w:kern w:val="0"/>
                <w:sz w:val="24"/>
              </w:rPr>
              <w:t>项目生活污水经化粪池处理</w:t>
            </w:r>
            <w:r>
              <w:rPr>
                <w:rFonts w:hint="eastAsia" w:cs="Times New Roman"/>
                <w:color w:val="auto"/>
                <w:kern w:val="0"/>
                <w:sz w:val="24"/>
                <w:lang w:eastAsia="zh-CN"/>
              </w:rPr>
              <w:t>达到</w:t>
            </w:r>
            <w:r>
              <w:rPr>
                <w:rFonts w:hint="eastAsia" w:cs="Times New Roman"/>
                <w:color w:val="auto"/>
                <w:kern w:val="0"/>
                <w:sz w:val="24"/>
              </w:rPr>
              <w:t>《污水综合排放标准》（GB8978-1996）表4三级标准后，</w:t>
            </w:r>
            <w:r>
              <w:rPr>
                <w:rFonts w:hint="eastAsia" w:cs="Times New Roman"/>
                <w:color w:val="auto"/>
                <w:kern w:val="0"/>
                <w:sz w:val="24"/>
                <w:lang w:eastAsia="zh-CN"/>
              </w:rPr>
              <w:t>经市政污水管网排放至青口汽车工业开发区污水处理厂</w:t>
            </w:r>
            <w:r>
              <w:rPr>
                <w:rFonts w:hint="eastAsia" w:cs="Times New Roman"/>
                <w:color w:val="auto"/>
                <w:kern w:val="0"/>
                <w:sz w:val="24"/>
              </w:rPr>
              <w:t>进一步处理。</w:t>
            </w:r>
            <w:r>
              <w:rPr>
                <w:rFonts w:hint="eastAsia"/>
                <w:color w:val="000000" w:themeColor="text1"/>
                <w14:textFill>
                  <w14:solidFill>
                    <w14:schemeClr w14:val="tx1"/>
                  </w14:solidFill>
                </w14:textFill>
              </w:rPr>
              <w:t>本项目生活污水总量由</w:t>
            </w:r>
            <w:r>
              <w:rPr>
                <w:rFonts w:hint="eastAsia" w:cs="Times New Roman"/>
                <w:color w:val="auto"/>
                <w:kern w:val="0"/>
                <w:sz w:val="24"/>
                <w:lang w:eastAsia="zh-CN"/>
              </w:rPr>
              <w:t>青口汽车工业开发区污水处理厂</w:t>
            </w:r>
            <w:r>
              <w:rPr>
                <w:rFonts w:hint="eastAsia"/>
                <w:color w:val="000000" w:themeColor="text1"/>
                <w14:textFill>
                  <w14:solidFill>
                    <w14:schemeClr w14:val="tx1"/>
                  </w14:solidFill>
                </w14:textFill>
              </w:rPr>
              <w:t>统一控制。</w:t>
            </w:r>
            <w:r>
              <w:rPr>
                <w:rFonts w:hint="eastAsia" w:cs="Times New Roman"/>
                <w:color w:val="auto"/>
                <w:kern w:val="0"/>
                <w:sz w:val="24"/>
              </w:rPr>
              <w:t>因此，本项目无需申请废水总量控制指标。</w:t>
            </w:r>
          </w:p>
          <w:p w14:paraId="00FF23F7">
            <w:pPr>
              <w:keepNext w:val="0"/>
              <w:keepLines w:val="0"/>
              <w:suppressLineNumbers w:val="0"/>
              <w:spacing w:before="0" w:beforeAutospacing="0" w:after="0" w:afterAutospacing="0" w:line="360" w:lineRule="auto"/>
              <w:ind w:left="0" w:right="0" w:firstLine="482" w:firstLineChars="200"/>
              <w:rPr>
                <w:rFonts w:hint="default" w:cs="Times New Roman"/>
                <w:b/>
                <w:bCs/>
                <w:color w:val="auto"/>
                <w:kern w:val="0"/>
                <w:sz w:val="24"/>
              </w:rPr>
            </w:pPr>
            <w:r>
              <w:rPr>
                <w:rFonts w:hint="eastAsia" w:cs="Times New Roman"/>
                <w:b/>
                <w:bCs/>
                <w:color w:val="auto"/>
                <w:kern w:val="0"/>
                <w:sz w:val="24"/>
              </w:rPr>
              <w:t>（2）废气</w:t>
            </w:r>
          </w:p>
          <w:p w14:paraId="159A7237">
            <w:pPr>
              <w:keepNext w:val="0"/>
              <w:keepLines w:val="0"/>
              <w:suppressLineNumbers w:val="0"/>
              <w:bidi w:val="0"/>
              <w:spacing w:before="0" w:beforeAutospacing="0" w:after="0" w:afterAutospacing="0"/>
              <w:ind w:left="0" w:right="0"/>
              <w:rPr>
                <w:rFonts w:hint="default" w:eastAsia="宋体" w:cs="Times New Roman"/>
                <w:color w:val="auto"/>
                <w:kern w:val="0"/>
                <w:szCs w:val="21"/>
                <w:lang w:val="en-US" w:eastAsia="zh-CN"/>
              </w:rPr>
            </w:pPr>
            <w:r>
              <w:rPr>
                <w:rFonts w:hint="eastAsia"/>
              </w:rPr>
              <w:t>本项目</w:t>
            </w:r>
            <w:r>
              <w:rPr>
                <w:rFonts w:hint="eastAsia"/>
                <w:lang w:eastAsia="zh-CN"/>
              </w:rPr>
              <w:t>运营期挥发性有机物（以非甲烷总烃计）以无组织形式排放，且排放量极少，仅定性分析，</w:t>
            </w:r>
            <w:r>
              <w:rPr>
                <w:rFonts w:hint="eastAsia"/>
                <w:lang w:val="en-US" w:eastAsia="zh-CN"/>
              </w:rPr>
              <w:t>不涉及废气总量指标。</w:t>
            </w:r>
          </w:p>
        </w:tc>
      </w:tr>
    </w:tbl>
    <w:p w14:paraId="5D0AB3B1">
      <w:pPr>
        <w:pStyle w:val="2"/>
        <w:bidi w:val="0"/>
        <w:rPr>
          <w:rFonts w:ascii="黑体" w:hAnsi="黑体" w:eastAsia="黑体"/>
          <w:snapToGrid w:val="0"/>
          <w:color w:val="auto"/>
          <w:szCs w:val="30"/>
        </w:rPr>
      </w:pPr>
      <w:r>
        <w:rPr>
          <w:rFonts w:ascii="黑体" w:hAnsi="黑体" w:eastAsia="黑体"/>
          <w:snapToGrid w:val="0"/>
          <w:color w:val="auto"/>
          <w:szCs w:val="36"/>
        </w:rPr>
        <w:br w:type="page"/>
      </w:r>
      <w:bookmarkStart w:id="6" w:name="_Toc24574"/>
      <w:r>
        <w:rPr>
          <w:rFonts w:hint="eastAsia"/>
          <w:color w:val="auto"/>
        </w:rPr>
        <w:t>主要环境影响和保护措施</w:t>
      </w:r>
      <w:bookmarkEnd w:id="6"/>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876"/>
      </w:tblGrid>
      <w:tr w14:paraId="62B3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noWrap w:val="0"/>
            <w:vAlign w:val="center"/>
          </w:tcPr>
          <w:p w14:paraId="756C8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auto"/>
                <w:kern w:val="2"/>
                <w:szCs w:val="24"/>
              </w:rPr>
            </w:pPr>
            <w:r>
              <w:rPr>
                <w:rFonts w:hint="eastAsia" w:cs="宋体"/>
                <w:color w:val="auto"/>
                <w:kern w:val="2"/>
                <w:szCs w:val="24"/>
              </w:rPr>
              <w:t>施工</w:t>
            </w:r>
          </w:p>
          <w:p w14:paraId="7F06BA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auto"/>
                <w:kern w:val="2"/>
                <w:szCs w:val="24"/>
              </w:rPr>
            </w:pPr>
            <w:r>
              <w:rPr>
                <w:rFonts w:hint="eastAsia" w:cs="宋体"/>
                <w:color w:val="auto"/>
                <w:kern w:val="2"/>
                <w:szCs w:val="24"/>
              </w:rPr>
              <w:t>期环</w:t>
            </w:r>
          </w:p>
          <w:p w14:paraId="765D3A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auto"/>
                <w:kern w:val="2"/>
                <w:szCs w:val="24"/>
              </w:rPr>
            </w:pPr>
            <w:r>
              <w:rPr>
                <w:rFonts w:hint="eastAsia" w:cs="宋体"/>
                <w:color w:val="auto"/>
                <w:kern w:val="2"/>
                <w:szCs w:val="24"/>
              </w:rPr>
              <w:t>境保</w:t>
            </w:r>
          </w:p>
          <w:p w14:paraId="1A48AD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auto"/>
                <w:kern w:val="2"/>
                <w:szCs w:val="24"/>
              </w:rPr>
            </w:pPr>
            <w:r>
              <w:rPr>
                <w:rFonts w:hint="eastAsia" w:cs="宋体"/>
                <w:color w:val="auto"/>
                <w:kern w:val="2"/>
                <w:szCs w:val="24"/>
              </w:rPr>
              <w:t>护措</w:t>
            </w:r>
          </w:p>
          <w:p w14:paraId="41E0D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Times New Roman"/>
                <w:color w:val="auto"/>
                <w:vertAlign w:val="baseline"/>
              </w:rPr>
            </w:pPr>
            <w:r>
              <w:rPr>
                <w:rFonts w:hint="eastAsia" w:cs="宋体"/>
                <w:color w:val="auto"/>
                <w:kern w:val="2"/>
                <w:szCs w:val="24"/>
              </w:rPr>
              <w:t>施</w:t>
            </w:r>
          </w:p>
        </w:tc>
        <w:tc>
          <w:tcPr>
            <w:tcW w:w="8876" w:type="dxa"/>
            <w:noWrap w:val="0"/>
            <w:vAlign w:val="center"/>
          </w:tcPr>
          <w:p w14:paraId="333F743B">
            <w:pPr>
              <w:keepNext w:val="0"/>
              <w:keepLines w:val="0"/>
              <w:widowControl/>
              <w:suppressLineNumbers w:val="0"/>
              <w:spacing w:before="0" w:beforeAutospacing="0" w:after="0" w:afterAutospacing="0"/>
              <w:ind w:left="0" w:right="0"/>
              <w:jc w:val="left"/>
              <w:rPr>
                <w:rFonts w:hint="eastAsia" w:cs="Times New Roman"/>
                <w:color w:val="auto"/>
                <w:vertAlign w:val="baseline"/>
              </w:rPr>
            </w:pPr>
            <w:r>
              <w:rPr>
                <w:rFonts w:hint="eastAsia" w:ascii="宋体" w:hAnsi="宋体" w:eastAsia="宋体" w:cs="宋体"/>
                <w:color w:val="auto"/>
                <w:kern w:val="0"/>
                <w:sz w:val="24"/>
                <w:szCs w:val="24"/>
                <w:lang w:val="en-US" w:eastAsia="zh-CN" w:bidi="ar"/>
              </w:rPr>
              <w:t>本项目</w:t>
            </w:r>
            <w:r>
              <w:rPr>
                <w:rFonts w:hint="eastAsia" w:ascii="宋体" w:hAnsi="宋体" w:cs="宋体"/>
                <w:color w:val="auto"/>
                <w:kern w:val="0"/>
                <w:sz w:val="24"/>
                <w:szCs w:val="24"/>
                <w:lang w:val="en-US" w:eastAsia="zh-CN" w:bidi="ar"/>
              </w:rPr>
              <w:t>位于福州市闽侯县青口镇东台村，租赁</w:t>
            </w:r>
            <w:r>
              <w:rPr>
                <w:rFonts w:hint="eastAsia" w:ascii="宋体" w:hAnsi="宋体" w:cs="宋体"/>
                <w:color w:val="auto"/>
                <w:kern w:val="0"/>
                <w:sz w:val="24"/>
                <w:szCs w:val="24"/>
                <w:highlight w:val="none"/>
                <w:lang w:val="en-US" w:eastAsia="zh-CN" w:bidi="ar"/>
              </w:rPr>
              <w:t>福州胜金电器企业有限公司厂区</w:t>
            </w:r>
            <w:r>
              <w:rPr>
                <w:rFonts w:hint="eastAsia" w:ascii="宋体" w:hAnsi="宋体" w:cs="宋体"/>
                <w:color w:val="auto"/>
                <w:kern w:val="0"/>
                <w:sz w:val="24"/>
                <w:szCs w:val="24"/>
                <w:lang w:val="en-US" w:eastAsia="zh-CN" w:bidi="ar"/>
              </w:rPr>
              <w:t>内已建设厂房</w:t>
            </w:r>
            <w:r>
              <w:rPr>
                <w:rFonts w:hint="eastAsia" w:ascii="宋体" w:hAnsi="宋体" w:eastAsia="宋体" w:cs="宋体"/>
                <w:color w:val="auto"/>
                <w:kern w:val="0"/>
                <w:sz w:val="24"/>
                <w:szCs w:val="24"/>
                <w:lang w:val="en-US" w:eastAsia="zh-CN" w:bidi="ar"/>
              </w:rPr>
              <w:t>，根据现场勘查，项目</w:t>
            </w:r>
            <w:r>
              <w:rPr>
                <w:rFonts w:hint="eastAsia" w:ascii="宋体" w:hAnsi="宋体" w:cs="宋体"/>
                <w:color w:val="auto"/>
                <w:kern w:val="0"/>
                <w:sz w:val="24"/>
                <w:szCs w:val="24"/>
                <w:lang w:val="en-US" w:eastAsia="zh-CN" w:bidi="ar"/>
              </w:rPr>
              <w:t>租赁</w:t>
            </w:r>
            <w:r>
              <w:rPr>
                <w:rFonts w:hint="eastAsia" w:ascii="宋体" w:hAnsi="宋体" w:eastAsia="宋体" w:cs="宋体"/>
                <w:color w:val="auto"/>
                <w:kern w:val="0"/>
                <w:sz w:val="24"/>
                <w:szCs w:val="24"/>
                <w:lang w:val="en-US" w:eastAsia="zh-CN" w:bidi="ar"/>
              </w:rPr>
              <w:t>厂房主体结构已经建成，因此不存在厂房等主体工程施工期环境影响。项目施工期主要为设备安装、调试阶段产生的环境问题，本项目设备安装、调试简单，且时间较短，因此，随着设备安装、调试完毕后，项目施工期也将结束，施工期环境影响也随着消失，不会对周边环境噪声影响。</w:t>
            </w:r>
          </w:p>
        </w:tc>
      </w:tr>
      <w:tr w14:paraId="36BE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noWrap w:val="0"/>
            <w:vAlign w:val="center"/>
          </w:tcPr>
          <w:p w14:paraId="6CF52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运营</w:t>
            </w:r>
          </w:p>
          <w:p w14:paraId="06BFD6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期环</w:t>
            </w:r>
          </w:p>
          <w:p w14:paraId="3F5C3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境影</w:t>
            </w:r>
          </w:p>
          <w:p w14:paraId="4AD45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响和</w:t>
            </w:r>
          </w:p>
          <w:p w14:paraId="5E101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保护</w:t>
            </w:r>
          </w:p>
          <w:p w14:paraId="79C57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宋体"/>
                <w:color w:val="auto"/>
                <w:kern w:val="2"/>
                <w:szCs w:val="24"/>
              </w:rPr>
            </w:pPr>
            <w:r>
              <w:rPr>
                <w:rFonts w:hint="eastAsia" w:ascii="宋体" w:hAnsi="宋体" w:cs="宋体"/>
                <w:bCs/>
                <w:color w:val="auto"/>
                <w:sz w:val="24"/>
              </w:rPr>
              <w:t>措施</w:t>
            </w:r>
          </w:p>
        </w:tc>
        <w:tc>
          <w:tcPr>
            <w:tcW w:w="8876" w:type="dxa"/>
            <w:noWrap w:val="0"/>
            <w:vAlign w:val="center"/>
          </w:tcPr>
          <w:p w14:paraId="284F0A38">
            <w:pPr>
              <w:pStyle w:val="3"/>
              <w:keepNext w:val="0"/>
              <w:keepLines w:val="0"/>
              <w:suppressLineNumbers w:val="0"/>
              <w:ind w:left="0" w:right="0"/>
              <w:rPr>
                <w:rFonts w:hint="default"/>
                <w:color w:val="auto"/>
              </w:rPr>
            </w:pPr>
            <w:r>
              <w:rPr>
                <w:rFonts w:hint="default"/>
                <w:color w:val="auto"/>
              </w:rPr>
              <w:t>运营期水环境影响和保护措施</w:t>
            </w:r>
          </w:p>
          <w:p w14:paraId="776B3E57">
            <w:pPr>
              <w:pStyle w:val="4"/>
              <w:keepNext w:val="0"/>
              <w:keepLines w:val="0"/>
              <w:suppressLineNumbers w:val="0"/>
              <w:ind w:left="0" w:right="0"/>
              <w:rPr>
                <w:rFonts w:hint="eastAsia"/>
                <w:color w:val="auto"/>
              </w:rPr>
            </w:pPr>
            <w:r>
              <w:rPr>
                <w:rFonts w:hint="default"/>
                <w:color w:val="auto"/>
              </w:rPr>
              <w:t>污染源强</w:t>
            </w:r>
          </w:p>
          <w:p w14:paraId="634A05E9">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s="Times New Roman"/>
                <w:color w:val="auto"/>
              </w:rPr>
              <w:t>生产废水</w:t>
            </w:r>
          </w:p>
          <w:p w14:paraId="57B92B99">
            <w:pPr>
              <w:keepNext w:val="0"/>
              <w:keepLines w:val="0"/>
              <w:numPr>
                <w:ilvl w:val="0"/>
                <w:numId w:val="0"/>
              </w:numPr>
              <w:suppressLineNumbers w:val="0"/>
              <w:spacing w:before="0" w:beforeAutospacing="0" w:after="0" w:afterAutospacing="0" w:line="360" w:lineRule="auto"/>
              <w:ind w:left="480" w:leftChars="200" w:right="0"/>
              <w:jc w:val="left"/>
              <w:rPr>
                <w:rFonts w:hint="eastAsia" w:cs="Times New Roman"/>
                <w:bCs/>
                <w:color w:val="auto"/>
                <w:sz w:val="24"/>
              </w:rPr>
            </w:pPr>
            <w:r>
              <w:rPr>
                <w:rFonts w:hint="eastAsia" w:cs="Times New Roman"/>
                <w:bCs/>
                <w:color w:val="auto"/>
                <w:sz w:val="24"/>
              </w:rPr>
              <w:t>项目</w:t>
            </w:r>
            <w:r>
              <w:rPr>
                <w:rFonts w:hint="eastAsia" w:cs="Times New Roman"/>
                <w:bCs/>
                <w:color w:val="auto"/>
                <w:sz w:val="24"/>
                <w:lang w:eastAsia="zh-CN"/>
              </w:rPr>
              <w:t>无</w:t>
            </w:r>
            <w:r>
              <w:rPr>
                <w:rFonts w:hint="eastAsia" w:cs="Times New Roman"/>
                <w:bCs/>
                <w:color w:val="auto"/>
                <w:sz w:val="24"/>
              </w:rPr>
              <w:t>生产</w:t>
            </w:r>
            <w:r>
              <w:rPr>
                <w:rFonts w:hint="eastAsia" w:cs="Times New Roman"/>
                <w:bCs/>
                <w:color w:val="auto"/>
                <w:sz w:val="24"/>
                <w:lang w:val="en-US" w:eastAsia="zh-CN"/>
              </w:rPr>
              <w:t>废水。</w:t>
            </w:r>
          </w:p>
          <w:p w14:paraId="48629A1A">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（2）</w:t>
            </w:r>
            <w:r>
              <w:rPr>
                <w:rFonts w:hint="default" w:cs="Times New Roman"/>
                <w:color w:val="auto"/>
              </w:rPr>
              <w:t>生活污水</w:t>
            </w:r>
          </w:p>
          <w:p w14:paraId="049050A2">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本项目职工</w:t>
            </w:r>
            <w:r>
              <w:rPr>
                <w:rFonts w:hint="eastAsia" w:cs="Times New Roman"/>
                <w:color w:val="auto"/>
                <w:lang w:val="en-US" w:eastAsia="zh-CN"/>
              </w:rPr>
              <w:t>200</w:t>
            </w:r>
            <w:r>
              <w:rPr>
                <w:rFonts w:hint="default" w:cs="Times New Roman"/>
                <w:color w:val="auto"/>
              </w:rPr>
              <w:t>人，职工生活用水量约为</w:t>
            </w:r>
            <w:r>
              <w:rPr>
                <w:rFonts w:hint="eastAsia" w:cs="Times New Roman"/>
                <w:bCs/>
                <w:color w:val="auto"/>
                <w:sz w:val="24"/>
                <w:lang w:val="en-US" w:eastAsia="zh-CN"/>
              </w:rPr>
              <w:t>10</w:t>
            </w:r>
            <w:r>
              <w:rPr>
                <w:rFonts w:hint="eastAsia" w:cs="Times New Roman"/>
                <w:bCs/>
                <w:color w:val="auto"/>
                <w:sz w:val="24"/>
              </w:rPr>
              <w:t>t/d（</w:t>
            </w:r>
            <w:r>
              <w:rPr>
                <w:rFonts w:hint="eastAsia" w:cs="Times New Roman"/>
                <w:bCs/>
                <w:color w:val="auto"/>
                <w:sz w:val="24"/>
                <w:lang w:val="en-US" w:eastAsia="zh-CN"/>
              </w:rPr>
              <w:t>3</w:t>
            </w:r>
            <w:r>
              <w:rPr>
                <w:rFonts w:hint="eastAsia" w:cs="Times New Roman"/>
                <w:bCs/>
                <w:color w:val="auto"/>
                <w:sz w:val="24"/>
              </w:rPr>
              <w:t>00</w:t>
            </w:r>
            <w:r>
              <w:rPr>
                <w:rFonts w:hint="eastAsia" w:cs="Times New Roman"/>
                <w:bCs/>
                <w:color w:val="auto"/>
                <w:sz w:val="24"/>
                <w:lang w:val="en-US" w:eastAsia="zh-CN"/>
              </w:rPr>
              <w:t>0</w:t>
            </w:r>
            <w:r>
              <w:rPr>
                <w:rFonts w:hint="eastAsia" w:cs="Times New Roman"/>
                <w:bCs/>
                <w:color w:val="auto"/>
                <w:sz w:val="24"/>
              </w:rPr>
              <w:t>t/a）</w:t>
            </w:r>
            <w:r>
              <w:rPr>
                <w:rFonts w:hint="default" w:cs="Times New Roman"/>
                <w:color w:val="auto"/>
              </w:rPr>
              <w:t>，排污系数按</w:t>
            </w:r>
            <w:r>
              <w:rPr>
                <w:rFonts w:hint="eastAsia" w:cs="Times New Roman"/>
                <w:color w:val="auto"/>
                <w:lang w:val="en-US" w:eastAsia="zh-CN"/>
              </w:rPr>
              <w:t>90</w:t>
            </w:r>
            <w:r>
              <w:rPr>
                <w:rFonts w:hint="default" w:cs="Times New Roman"/>
                <w:color w:val="auto"/>
              </w:rPr>
              <w:t>%计，则生活污水排放量为</w:t>
            </w:r>
            <w:r>
              <w:rPr>
                <w:rFonts w:hint="eastAsia" w:cs="Times New Roman"/>
                <w:bCs/>
                <w:color w:val="auto"/>
                <w:sz w:val="24"/>
                <w:lang w:val="en-US" w:eastAsia="zh-CN"/>
              </w:rPr>
              <w:t>9</w:t>
            </w:r>
            <w:r>
              <w:rPr>
                <w:rFonts w:hint="eastAsia" w:cs="Times New Roman"/>
                <w:bCs/>
                <w:color w:val="auto"/>
                <w:sz w:val="24"/>
              </w:rPr>
              <w:t>t/d（</w:t>
            </w:r>
            <w:r>
              <w:rPr>
                <w:rFonts w:hint="eastAsia" w:cs="Times New Roman"/>
                <w:bCs/>
                <w:color w:val="auto"/>
                <w:sz w:val="24"/>
                <w:lang w:val="en-US" w:eastAsia="zh-CN"/>
              </w:rPr>
              <w:t>2700</w:t>
            </w:r>
            <w:r>
              <w:rPr>
                <w:rFonts w:hint="eastAsia" w:cs="Times New Roman"/>
                <w:bCs/>
                <w:color w:val="auto"/>
                <w:sz w:val="24"/>
              </w:rPr>
              <w:t>t/a）</w:t>
            </w:r>
            <w:r>
              <w:rPr>
                <w:rFonts w:hint="default" w:cs="Times New Roman"/>
                <w:color w:val="auto"/>
              </w:rPr>
              <w:t>。</w:t>
            </w:r>
          </w:p>
          <w:p w14:paraId="23491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auto"/>
                <w:sz w:val="24"/>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生活污水源强参考《排放源统计调查产排污核算方法和系数手册》中“生活污染源产排污系数手册”，</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不住厂职工产生的生活污水中各主要污染物浓度按CODcr：</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340</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mg/L，BOD</w:t>
            </w:r>
            <w:r>
              <w:rPr>
                <w:rFonts w:hint="default"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200mg/L，SS：220mg/L，NH</w:t>
            </w:r>
            <w:r>
              <w:rPr>
                <w:rFonts w:hint="default"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32.6</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mg/L</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。CODCr、BOD</w:t>
            </w:r>
            <w:r>
              <w:rPr>
                <w:rFonts w:hint="eastAsia"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2"/>
                <w:sz w:val="24"/>
                <w:szCs w:val="20"/>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-N</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的去除率参照《第二次全国污染源普查城镇生活污染源产排污系数手册》(试用版)表6-4中“四区二类区生活污水”经化粪池预处理后的推荐数据，去除效率分别为19.3%、12.7%、0%，SS参照原环境保护部发布的文件《村镇生活污染防治最佳可行技术指南(试行)》(HJ-BAT-9)中化粪池对SS的去除率为60%～70%，本评价按60%计算。</w:t>
            </w:r>
          </w:p>
          <w:p w14:paraId="54F6959C">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rPr>
            </w:pPr>
            <w:r>
              <w:rPr>
                <w:rFonts w:hint="default" w:cs="Times New Roman"/>
                <w:color w:val="auto"/>
                <w:sz w:val="24"/>
              </w:rPr>
              <w:t>项目生活污水</w:t>
            </w:r>
            <w:r>
              <w:rPr>
                <w:rFonts w:hint="eastAsia" w:cs="Times New Roman"/>
                <w:color w:val="auto"/>
                <w:sz w:val="24"/>
              </w:rPr>
              <w:t>经</w:t>
            </w:r>
            <w:r>
              <w:rPr>
                <w:rFonts w:hint="default" w:cs="Times New Roman"/>
                <w:color w:val="auto"/>
                <w:sz w:val="24"/>
              </w:rPr>
              <w:t>化粪池处理</w:t>
            </w:r>
            <w:r>
              <w:rPr>
                <w:rFonts w:hint="eastAsia" w:cs="Times New Roman"/>
                <w:color w:val="auto"/>
                <w:sz w:val="24"/>
                <w:lang w:eastAsia="zh-CN"/>
              </w:rPr>
              <w:t>达到</w:t>
            </w:r>
            <w:r>
              <w:rPr>
                <w:rFonts w:hint="default" w:cs="Times New Roman"/>
                <w:color w:val="auto"/>
                <w:sz w:val="24"/>
              </w:rPr>
              <w:t>《污水综合排放标准》</w:t>
            </w:r>
            <w:r>
              <w:rPr>
                <w:rFonts w:hint="eastAsia" w:cs="Times New Roman"/>
                <w:color w:val="auto"/>
                <w:sz w:val="24"/>
              </w:rPr>
              <w:t>（</w:t>
            </w:r>
            <w:r>
              <w:rPr>
                <w:rFonts w:hint="default" w:cs="Times New Roman"/>
                <w:color w:val="auto"/>
                <w:sz w:val="24"/>
              </w:rPr>
              <w:t>GB8978-1996</w:t>
            </w:r>
            <w:r>
              <w:rPr>
                <w:rFonts w:hint="eastAsia" w:cs="Times New Roman"/>
                <w:color w:val="auto"/>
                <w:sz w:val="24"/>
              </w:rPr>
              <w:t>）</w:t>
            </w:r>
            <w:r>
              <w:rPr>
                <w:rFonts w:hint="default" w:cs="Times New Roman"/>
                <w:color w:val="auto"/>
                <w:sz w:val="24"/>
              </w:rPr>
              <w:t>表4三级标准后，</w:t>
            </w:r>
            <w:r>
              <w:rPr>
                <w:rFonts w:hint="eastAsia" w:cs="Times New Roman"/>
                <w:color w:val="auto"/>
                <w:sz w:val="24"/>
                <w:lang w:eastAsia="zh-CN"/>
              </w:rPr>
              <w:t>经污水管网</w:t>
            </w:r>
            <w:r>
              <w:rPr>
                <w:rFonts w:hint="eastAsia" w:cs="Times New Roman"/>
                <w:color w:val="auto"/>
                <w:sz w:val="24"/>
              </w:rPr>
              <w:t>至</w:t>
            </w:r>
            <w:r>
              <w:rPr>
                <w:rFonts w:hint="eastAsia" w:cs="Times New Roman"/>
                <w:color w:val="auto"/>
                <w:sz w:val="24"/>
                <w:lang w:eastAsia="zh-CN"/>
              </w:rPr>
              <w:t>青口汽车工业开发区污水处理厂</w:t>
            </w:r>
            <w:r>
              <w:rPr>
                <w:rFonts w:hint="eastAsia" w:cs="Times New Roman"/>
                <w:color w:val="auto"/>
                <w:sz w:val="24"/>
              </w:rPr>
              <w:t>进一步处理</w:t>
            </w:r>
            <w:r>
              <w:rPr>
                <w:rFonts w:hint="default" w:cs="Times New Roman"/>
                <w:color w:val="auto"/>
                <w:sz w:val="24"/>
              </w:rPr>
              <w:t>。</w:t>
            </w:r>
          </w:p>
          <w:p w14:paraId="75E58535">
            <w:pPr>
              <w:keepNext w:val="0"/>
              <w:keepLines w:val="0"/>
              <w:suppressLineNumbers w:val="0"/>
              <w:spacing w:before="0" w:beforeAutospacing="0" w:after="0" w:afterAutospacing="0" w:line="360" w:lineRule="auto"/>
              <w:ind w:left="0" w:right="0" w:firstLine="480" w:firstLineChars="200"/>
              <w:rPr>
                <w:rFonts w:hint="eastAsia" w:cs="Times New Roman"/>
                <w:color w:val="auto"/>
                <w:szCs w:val="22"/>
                <w:lang w:eastAsia="zh-CN"/>
              </w:rPr>
            </w:pPr>
            <w:r>
              <w:rPr>
                <w:rFonts w:hint="eastAsia" w:cs="Times New Roman"/>
                <w:color w:val="auto"/>
                <w:szCs w:val="22"/>
              </w:rPr>
              <w:t>项目</w:t>
            </w:r>
            <w:r>
              <w:rPr>
                <w:rFonts w:hint="default" w:cs="Times New Roman"/>
                <w:color w:val="auto"/>
                <w:szCs w:val="22"/>
              </w:rPr>
              <w:t>污水产排情况详见表4.</w:t>
            </w:r>
            <w:r>
              <w:rPr>
                <w:rFonts w:hint="eastAsia" w:cs="Times New Roman"/>
                <w:color w:val="auto"/>
                <w:szCs w:val="22"/>
                <w:lang w:val="en-US" w:eastAsia="zh-CN"/>
              </w:rPr>
              <w:t>1</w:t>
            </w:r>
            <w:r>
              <w:rPr>
                <w:rFonts w:hint="default" w:cs="Times New Roman"/>
                <w:color w:val="auto"/>
                <w:szCs w:val="22"/>
              </w:rPr>
              <w:t>-1</w:t>
            </w:r>
            <w:r>
              <w:rPr>
                <w:rFonts w:hint="eastAsia" w:cs="Times New Roman"/>
                <w:color w:val="auto"/>
                <w:szCs w:val="22"/>
                <w:lang w:eastAsia="zh-CN"/>
              </w:rPr>
              <w:t>。</w:t>
            </w:r>
          </w:p>
          <w:p w14:paraId="0BDDE1E9">
            <w:pPr>
              <w:keepNext w:val="0"/>
              <w:keepLines w:val="0"/>
              <w:suppressLineNumbers w:val="0"/>
              <w:spacing w:before="0" w:beforeAutospacing="0" w:after="0" w:afterAutospacing="0" w:line="360" w:lineRule="auto"/>
              <w:ind w:left="0" w:leftChars="0" w:right="0" w:firstLine="0" w:firstLineChars="0"/>
              <w:rPr>
                <w:rFonts w:hint="eastAsia" w:cs="Times New Roman"/>
                <w:color w:val="auto"/>
                <w:szCs w:val="22"/>
                <w:lang w:eastAsia="zh-CN"/>
              </w:rPr>
            </w:pPr>
          </w:p>
        </w:tc>
      </w:tr>
    </w:tbl>
    <w:p w14:paraId="54EAC669">
      <w:pPr>
        <w:ind w:left="0" w:leftChars="0" w:firstLine="0" w:firstLineChars="0"/>
        <w:rPr>
          <w:rFonts w:hint="eastAsia"/>
          <w:color w:val="auto"/>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3654"/>
      </w:tblGrid>
      <w:tr w14:paraId="450C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7" w:hRule="atLeast"/>
        </w:trPr>
        <w:tc>
          <w:tcPr>
            <w:tcW w:w="196" w:type="pct"/>
            <w:noWrap w:val="0"/>
            <w:vAlign w:val="center"/>
          </w:tcPr>
          <w:p w14:paraId="2466B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运营</w:t>
            </w:r>
          </w:p>
          <w:p w14:paraId="1D2AB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期环</w:t>
            </w:r>
          </w:p>
          <w:p w14:paraId="754C6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境影</w:t>
            </w:r>
          </w:p>
          <w:p w14:paraId="70E75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响和</w:t>
            </w:r>
          </w:p>
          <w:p w14:paraId="0D2D5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保护</w:t>
            </w:r>
          </w:p>
          <w:p w14:paraId="2624C4A1">
            <w:pPr>
              <w:pStyle w:val="33"/>
              <w:keepNext w:val="0"/>
              <w:keepLines w:val="0"/>
              <w:suppressLineNumbers w:val="0"/>
              <w:bidi w:val="0"/>
              <w:spacing w:before="0" w:beforeAutospacing="0" w:after="0" w:afterAutospacing="0"/>
              <w:ind w:left="0" w:right="0"/>
              <w:jc w:val="center"/>
              <w:rPr>
                <w:rFonts w:hint="default" w:cs="Times New Roman"/>
                <w:color w:val="auto"/>
                <w:vertAlign w:val="baseline"/>
              </w:rPr>
            </w:pPr>
            <w:r>
              <w:rPr>
                <w:rFonts w:hint="eastAsia" w:ascii="宋体" w:hAnsi="宋体" w:cs="宋体"/>
                <w:bCs/>
                <w:color w:val="auto"/>
                <w:sz w:val="24"/>
              </w:rPr>
              <w:t>措施</w:t>
            </w:r>
          </w:p>
        </w:tc>
        <w:tc>
          <w:tcPr>
            <w:tcW w:w="4803" w:type="pct"/>
            <w:noWrap w:val="0"/>
            <w:vAlign w:val="top"/>
          </w:tcPr>
          <w:p w14:paraId="572789D4">
            <w:pPr>
              <w:pStyle w:val="36"/>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项目废水污染源源强核算结果一览表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718"/>
              <w:gridCol w:w="846"/>
              <w:gridCol w:w="1056"/>
              <w:gridCol w:w="895"/>
              <w:gridCol w:w="1267"/>
              <w:gridCol w:w="1272"/>
              <w:gridCol w:w="718"/>
              <w:gridCol w:w="710"/>
              <w:gridCol w:w="608"/>
              <w:gridCol w:w="896"/>
              <w:gridCol w:w="1066"/>
              <w:gridCol w:w="1004"/>
              <w:gridCol w:w="894"/>
              <w:gridCol w:w="427"/>
            </w:tblGrid>
            <w:tr w14:paraId="1571D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restart"/>
                  <w:noWrap/>
                  <w:vAlign w:val="center"/>
                </w:tcPr>
                <w:p w14:paraId="71947F6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产污环节</w:t>
                  </w:r>
                </w:p>
              </w:tc>
              <w:tc>
                <w:tcPr>
                  <w:tcW w:w="285" w:type="pct"/>
                  <w:vMerge w:val="restart"/>
                  <w:noWrap/>
                  <w:vAlign w:val="center"/>
                </w:tcPr>
                <w:p w14:paraId="3072858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类别</w:t>
                  </w:r>
                </w:p>
              </w:tc>
              <w:tc>
                <w:tcPr>
                  <w:tcW w:w="324" w:type="pct"/>
                  <w:vMerge w:val="restart"/>
                  <w:noWrap/>
                  <w:vAlign w:val="center"/>
                </w:tcPr>
                <w:p w14:paraId="5113AEAC">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污染物</w:t>
                  </w:r>
                </w:p>
              </w:tc>
              <w:tc>
                <w:tcPr>
                  <w:tcW w:w="299" w:type="pct"/>
                  <w:vMerge w:val="restart"/>
                  <w:noWrap/>
                  <w:vAlign w:val="center"/>
                </w:tcPr>
                <w:p w14:paraId="690A0FD1">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核算方法</w:t>
                  </w:r>
                </w:p>
              </w:tc>
              <w:tc>
                <w:tcPr>
                  <w:tcW w:w="1337" w:type="pct"/>
                  <w:gridSpan w:val="3"/>
                  <w:noWrap/>
                  <w:vAlign w:val="center"/>
                </w:tcPr>
                <w:p w14:paraId="1CC4DDE9">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污染物产生</w:t>
                  </w:r>
                </w:p>
              </w:tc>
              <w:tc>
                <w:tcPr>
                  <w:tcW w:w="1162" w:type="pct"/>
                  <w:gridSpan w:val="4"/>
                  <w:noWrap w:val="0"/>
                  <w:vAlign w:val="center"/>
                </w:tcPr>
                <w:p w14:paraId="7CE804DC">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治理措施</w:t>
                  </w:r>
                </w:p>
              </w:tc>
              <w:tc>
                <w:tcPr>
                  <w:tcW w:w="805" w:type="pct"/>
                  <w:gridSpan w:val="2"/>
                  <w:noWrap w:val="0"/>
                  <w:vAlign w:val="center"/>
                </w:tcPr>
                <w:p w14:paraId="359EB2B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污染物排放</w:t>
                  </w:r>
                </w:p>
              </w:tc>
              <w:tc>
                <w:tcPr>
                  <w:tcW w:w="339" w:type="pct"/>
                  <w:vMerge w:val="restart"/>
                  <w:noWrap w:val="0"/>
                  <w:vAlign w:val="center"/>
                </w:tcPr>
                <w:p w14:paraId="372007F9">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排放时间（h/a）</w:t>
                  </w:r>
                </w:p>
              </w:tc>
              <w:tc>
                <w:tcPr>
                  <w:tcW w:w="161" w:type="pct"/>
                  <w:vMerge w:val="restart"/>
                  <w:noWrap w:val="0"/>
                  <w:vAlign w:val="center"/>
                </w:tcPr>
                <w:p w14:paraId="5CD044E1">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排放方式</w:t>
                  </w:r>
                </w:p>
              </w:tc>
            </w:tr>
            <w:tr w14:paraId="46A8B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continue"/>
                  <w:noWrap w:val="0"/>
                  <w:vAlign w:val="center"/>
                </w:tcPr>
                <w:p w14:paraId="2BD9EECE">
                  <w:pPr>
                    <w:pStyle w:val="33"/>
                    <w:keepNext w:val="0"/>
                    <w:keepLines w:val="0"/>
                    <w:suppressLineNumbers w:val="0"/>
                    <w:bidi w:val="0"/>
                    <w:spacing w:before="0" w:beforeAutospacing="0" w:after="0" w:afterAutospacing="0"/>
                    <w:ind w:left="0" w:right="0"/>
                    <w:rPr>
                      <w:rFonts w:hint="default" w:cs="Times New Roman"/>
                      <w:color w:val="auto"/>
                    </w:rPr>
                  </w:pPr>
                </w:p>
              </w:tc>
              <w:tc>
                <w:tcPr>
                  <w:tcW w:w="285" w:type="pct"/>
                  <w:vMerge w:val="continue"/>
                  <w:noWrap w:val="0"/>
                  <w:vAlign w:val="center"/>
                </w:tcPr>
                <w:p w14:paraId="28B1A22E">
                  <w:pPr>
                    <w:pStyle w:val="33"/>
                    <w:keepNext w:val="0"/>
                    <w:keepLines w:val="0"/>
                    <w:suppressLineNumbers w:val="0"/>
                    <w:bidi w:val="0"/>
                    <w:spacing w:before="0" w:beforeAutospacing="0" w:after="0" w:afterAutospacing="0"/>
                    <w:ind w:left="0" w:right="0"/>
                    <w:rPr>
                      <w:rFonts w:hint="default" w:cs="Times New Roman"/>
                      <w:color w:val="auto"/>
                    </w:rPr>
                  </w:pPr>
                </w:p>
              </w:tc>
              <w:tc>
                <w:tcPr>
                  <w:tcW w:w="324" w:type="pct"/>
                  <w:vMerge w:val="continue"/>
                  <w:noWrap w:val="0"/>
                  <w:vAlign w:val="center"/>
                </w:tcPr>
                <w:p w14:paraId="1CCF1539">
                  <w:pPr>
                    <w:pStyle w:val="33"/>
                    <w:keepNext w:val="0"/>
                    <w:keepLines w:val="0"/>
                    <w:suppressLineNumbers w:val="0"/>
                    <w:bidi w:val="0"/>
                    <w:spacing w:before="0" w:beforeAutospacing="0" w:after="0" w:afterAutospacing="0"/>
                    <w:ind w:left="0" w:right="0"/>
                    <w:rPr>
                      <w:rFonts w:hint="default" w:cs="Times New Roman"/>
                      <w:color w:val="auto"/>
                    </w:rPr>
                  </w:pPr>
                </w:p>
              </w:tc>
              <w:tc>
                <w:tcPr>
                  <w:tcW w:w="299" w:type="pct"/>
                  <w:vMerge w:val="continue"/>
                  <w:noWrap w:val="0"/>
                  <w:vAlign w:val="center"/>
                </w:tcPr>
                <w:p w14:paraId="374E18F9">
                  <w:pPr>
                    <w:pStyle w:val="33"/>
                    <w:keepNext w:val="0"/>
                    <w:keepLines w:val="0"/>
                    <w:suppressLineNumbers w:val="0"/>
                    <w:bidi w:val="0"/>
                    <w:spacing w:before="0" w:beforeAutospacing="0" w:after="0" w:afterAutospacing="0"/>
                    <w:ind w:left="0" w:right="0"/>
                    <w:rPr>
                      <w:rFonts w:hint="default" w:cs="Times New Roman"/>
                      <w:color w:val="auto"/>
                    </w:rPr>
                  </w:pPr>
                </w:p>
              </w:tc>
              <w:tc>
                <w:tcPr>
                  <w:tcW w:w="357" w:type="pct"/>
                  <w:noWrap w:val="0"/>
                  <w:vAlign w:val="center"/>
                </w:tcPr>
                <w:p w14:paraId="27C6075C">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废水量（</w:t>
                  </w:r>
                  <w:r>
                    <w:rPr>
                      <w:rFonts w:hint="eastAsia" w:cs="Times New Roman"/>
                      <w:color w:val="auto"/>
                      <w:lang w:val="en-US" w:eastAsia="zh-CN"/>
                    </w:rPr>
                    <w:t>t</w:t>
                  </w:r>
                  <w:r>
                    <w:rPr>
                      <w:rFonts w:hint="eastAsia" w:cs="Times New Roman"/>
                      <w:color w:val="auto"/>
                    </w:rPr>
                    <w:t>/a）</w:t>
                  </w:r>
                </w:p>
              </w:tc>
              <w:tc>
                <w:tcPr>
                  <w:tcW w:w="489" w:type="pct"/>
                  <w:noWrap w:val="0"/>
                  <w:vAlign w:val="center"/>
                </w:tcPr>
                <w:p w14:paraId="7C73D561">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产生浓度（</w:t>
                  </w:r>
                  <w:r>
                    <w:rPr>
                      <w:rFonts w:hint="default" w:cs="Times New Roman"/>
                      <w:color w:val="auto"/>
                    </w:rPr>
                    <w:t>mg/L</w:t>
                  </w:r>
                  <w:r>
                    <w:rPr>
                      <w:rFonts w:hint="eastAsia" w:cs="Times New Roman"/>
                      <w:color w:val="auto"/>
                    </w:rPr>
                    <w:t>）</w:t>
                  </w:r>
                </w:p>
              </w:tc>
              <w:tc>
                <w:tcPr>
                  <w:tcW w:w="490" w:type="pct"/>
                  <w:noWrap w:val="0"/>
                  <w:vAlign w:val="center"/>
                </w:tcPr>
                <w:p w14:paraId="176324F0">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产生量（</w:t>
                  </w:r>
                  <w:r>
                    <w:rPr>
                      <w:rFonts w:hint="eastAsia" w:cs="Times New Roman"/>
                      <w:color w:val="auto"/>
                      <w:lang w:val="en-US" w:eastAsia="zh-CN"/>
                    </w:rPr>
                    <w:t>t</w:t>
                  </w:r>
                  <w:r>
                    <w:rPr>
                      <w:rFonts w:hint="eastAsia" w:cs="Times New Roman"/>
                      <w:color w:val="auto"/>
                    </w:rPr>
                    <w:t>/a）</w:t>
                  </w:r>
                </w:p>
              </w:tc>
              <w:tc>
                <w:tcPr>
                  <w:tcW w:w="285" w:type="pct"/>
                  <w:noWrap w:val="0"/>
                  <w:vAlign w:val="center"/>
                </w:tcPr>
                <w:p w14:paraId="2EA04BFC">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rPr>
                    <w:t>处理能力t/d</w:t>
                  </w:r>
                </w:p>
              </w:tc>
              <w:tc>
                <w:tcPr>
                  <w:tcW w:w="282" w:type="pct"/>
                  <w:noWrap w:val="0"/>
                  <w:vAlign w:val="center"/>
                </w:tcPr>
                <w:p w14:paraId="041E6BF1">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rPr>
                    <w:t>治理工艺</w:t>
                  </w:r>
                </w:p>
              </w:tc>
              <w:tc>
                <w:tcPr>
                  <w:tcW w:w="244" w:type="pct"/>
                  <w:noWrap w:val="0"/>
                  <w:vAlign w:val="center"/>
                </w:tcPr>
                <w:p w14:paraId="44ADC68C">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rPr>
                    <w:t>治理效率/%</w:t>
                  </w:r>
                </w:p>
              </w:tc>
              <w:tc>
                <w:tcPr>
                  <w:tcW w:w="350" w:type="pct"/>
                  <w:noWrap w:val="0"/>
                  <w:vAlign w:val="center"/>
                </w:tcPr>
                <w:p w14:paraId="176A0715">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rPr>
                    <w:t>是否为可行技术</w:t>
                  </w:r>
                </w:p>
              </w:tc>
              <w:tc>
                <w:tcPr>
                  <w:tcW w:w="414" w:type="pct"/>
                  <w:noWrap w:val="0"/>
                  <w:vAlign w:val="center"/>
                </w:tcPr>
                <w:p w14:paraId="6FEE3545">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排放浓度</w:t>
                  </w:r>
                </w:p>
                <w:p w14:paraId="51CBF6F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eastAsia="zh-CN"/>
                    </w:rPr>
                    <w:t>(</w:t>
                  </w:r>
                  <w:r>
                    <w:rPr>
                      <w:rFonts w:hint="default" w:cs="Times New Roman"/>
                      <w:color w:val="auto"/>
                    </w:rPr>
                    <w:t>mg/L</w:t>
                  </w:r>
                  <w:r>
                    <w:rPr>
                      <w:rFonts w:hint="eastAsia" w:cs="Times New Roman"/>
                      <w:color w:val="auto"/>
                      <w:lang w:eastAsia="zh-CN"/>
                    </w:rPr>
                    <w:t>)</w:t>
                  </w:r>
                </w:p>
              </w:tc>
              <w:tc>
                <w:tcPr>
                  <w:tcW w:w="391" w:type="pct"/>
                  <w:noWrap w:val="0"/>
                  <w:vAlign w:val="center"/>
                </w:tcPr>
                <w:p w14:paraId="40D5B3DC">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排放量（</w:t>
                  </w:r>
                  <w:r>
                    <w:rPr>
                      <w:rFonts w:hint="eastAsia" w:cs="Times New Roman"/>
                      <w:color w:val="auto"/>
                      <w:lang w:val="en-US" w:eastAsia="zh-CN"/>
                    </w:rPr>
                    <w:t>t</w:t>
                  </w:r>
                  <w:r>
                    <w:rPr>
                      <w:rFonts w:hint="eastAsia" w:cs="Times New Roman"/>
                      <w:color w:val="auto"/>
                    </w:rPr>
                    <w:t>/a）</w:t>
                  </w:r>
                </w:p>
              </w:tc>
              <w:tc>
                <w:tcPr>
                  <w:tcW w:w="339" w:type="pct"/>
                  <w:vMerge w:val="continue"/>
                  <w:noWrap w:val="0"/>
                  <w:vAlign w:val="center"/>
                </w:tcPr>
                <w:p w14:paraId="2651907F">
                  <w:pPr>
                    <w:pStyle w:val="33"/>
                    <w:keepNext w:val="0"/>
                    <w:keepLines w:val="0"/>
                    <w:suppressLineNumbers w:val="0"/>
                    <w:bidi w:val="0"/>
                    <w:spacing w:before="0" w:beforeAutospacing="0" w:after="0" w:afterAutospacing="0"/>
                    <w:ind w:left="0" w:right="0"/>
                    <w:rPr>
                      <w:rFonts w:hint="eastAsia" w:cs="Times New Roman"/>
                      <w:color w:val="auto"/>
                    </w:rPr>
                  </w:pPr>
                </w:p>
              </w:tc>
              <w:tc>
                <w:tcPr>
                  <w:tcW w:w="161" w:type="pct"/>
                  <w:vMerge w:val="continue"/>
                  <w:noWrap w:val="0"/>
                  <w:vAlign w:val="center"/>
                </w:tcPr>
                <w:p w14:paraId="07B1F421">
                  <w:pPr>
                    <w:pStyle w:val="33"/>
                    <w:keepNext w:val="0"/>
                    <w:keepLines w:val="0"/>
                    <w:suppressLineNumbers w:val="0"/>
                    <w:bidi w:val="0"/>
                    <w:spacing w:before="0" w:beforeAutospacing="0" w:after="0" w:afterAutospacing="0"/>
                    <w:ind w:left="0" w:right="0"/>
                    <w:rPr>
                      <w:rFonts w:hint="eastAsia" w:cs="Times New Roman"/>
                      <w:color w:val="auto"/>
                    </w:rPr>
                  </w:pPr>
                </w:p>
              </w:tc>
            </w:tr>
            <w:tr w14:paraId="75947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restart"/>
                  <w:noWrap w:val="0"/>
                  <w:vAlign w:val="center"/>
                </w:tcPr>
                <w:p w14:paraId="36BDFBC8">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员工</w:t>
                  </w:r>
                  <w:r>
                    <w:rPr>
                      <w:rFonts w:hint="eastAsia" w:cs="Times New Roman"/>
                      <w:color w:val="auto"/>
                    </w:rPr>
                    <w:t>生活</w:t>
                  </w:r>
                </w:p>
              </w:tc>
              <w:tc>
                <w:tcPr>
                  <w:tcW w:w="285" w:type="pct"/>
                  <w:vMerge w:val="restart"/>
                  <w:noWrap w:val="0"/>
                  <w:vAlign w:val="center"/>
                </w:tcPr>
                <w:p w14:paraId="7937BC68">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rPr>
                    <w:t>生活污水</w:t>
                  </w:r>
                </w:p>
              </w:tc>
              <w:tc>
                <w:tcPr>
                  <w:tcW w:w="324" w:type="pct"/>
                  <w:noWrap w:val="0"/>
                  <w:vAlign w:val="center"/>
                </w:tcPr>
                <w:p w14:paraId="148EB367">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pH</w:t>
                  </w:r>
                </w:p>
              </w:tc>
              <w:tc>
                <w:tcPr>
                  <w:tcW w:w="299" w:type="pct"/>
                  <w:vMerge w:val="restart"/>
                  <w:noWrap w:val="0"/>
                  <w:vAlign w:val="center"/>
                </w:tcPr>
                <w:p w14:paraId="64FACAE6">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产污系数法</w:t>
                  </w:r>
                </w:p>
              </w:tc>
              <w:tc>
                <w:tcPr>
                  <w:tcW w:w="357" w:type="pct"/>
                  <w:vMerge w:val="restart"/>
                  <w:noWrap w:val="0"/>
                  <w:vAlign w:val="center"/>
                </w:tcPr>
                <w:p w14:paraId="388D2D12">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2700</w:t>
                  </w:r>
                </w:p>
              </w:tc>
              <w:tc>
                <w:tcPr>
                  <w:tcW w:w="489" w:type="pct"/>
                  <w:noWrap w:val="0"/>
                  <w:vAlign w:val="center"/>
                </w:tcPr>
                <w:p w14:paraId="73A9884B">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6-9</w:t>
                  </w:r>
                </w:p>
              </w:tc>
              <w:tc>
                <w:tcPr>
                  <w:tcW w:w="490" w:type="pct"/>
                  <w:noWrap w:val="0"/>
                  <w:vAlign w:val="center"/>
                </w:tcPr>
                <w:p w14:paraId="48D4B869">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285" w:type="pct"/>
                  <w:vMerge w:val="restart"/>
                  <w:noWrap w:val="0"/>
                  <w:vAlign w:val="center"/>
                </w:tcPr>
                <w:p w14:paraId="5EEBC842">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w:t>
                  </w:r>
                </w:p>
              </w:tc>
              <w:tc>
                <w:tcPr>
                  <w:tcW w:w="282" w:type="pct"/>
                  <w:vMerge w:val="restart"/>
                  <w:noWrap w:val="0"/>
                  <w:vAlign w:val="center"/>
                </w:tcPr>
                <w:p w14:paraId="7470064F">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化粪池</w:t>
                  </w:r>
                </w:p>
              </w:tc>
              <w:tc>
                <w:tcPr>
                  <w:tcW w:w="244" w:type="pct"/>
                  <w:noWrap w:val="0"/>
                  <w:vAlign w:val="center"/>
                </w:tcPr>
                <w:p w14:paraId="608FFB74">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350" w:type="pct"/>
                  <w:vMerge w:val="restart"/>
                  <w:noWrap w:val="0"/>
                  <w:vAlign w:val="center"/>
                </w:tcPr>
                <w:p w14:paraId="2853B702">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是</w:t>
                  </w:r>
                </w:p>
              </w:tc>
              <w:tc>
                <w:tcPr>
                  <w:tcW w:w="414" w:type="pct"/>
                  <w:noWrap w:val="0"/>
                  <w:vAlign w:val="center"/>
                </w:tcPr>
                <w:p w14:paraId="3AF4F5C9">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391" w:type="pct"/>
                  <w:noWrap w:val="0"/>
                  <w:vAlign w:val="center"/>
                </w:tcPr>
                <w:p w14:paraId="68B3BCD3">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339" w:type="pct"/>
                  <w:vMerge w:val="restart"/>
                  <w:noWrap w:val="0"/>
                  <w:vAlign w:val="center"/>
                </w:tcPr>
                <w:p w14:paraId="23DC6A15">
                  <w:pPr>
                    <w:pStyle w:val="33"/>
                    <w:keepNext w:val="0"/>
                    <w:keepLines w:val="0"/>
                    <w:suppressLineNumbers w:val="0"/>
                    <w:bidi w:val="0"/>
                    <w:spacing w:before="0" w:beforeAutospacing="0" w:after="0" w:afterAutospacing="0"/>
                    <w:ind w:left="0" w:right="0"/>
                    <w:rPr>
                      <w:rFonts w:hint="default" w:cs="Times New Roman"/>
                      <w:color w:val="auto"/>
                      <w:lang w:val="en-US"/>
                    </w:rPr>
                  </w:pPr>
                  <w:r>
                    <w:rPr>
                      <w:rFonts w:hint="eastAsia" w:cs="Times New Roman"/>
                      <w:color w:val="auto"/>
                      <w:lang w:val="en-US" w:eastAsia="zh-CN"/>
                    </w:rPr>
                    <w:t>4800</w:t>
                  </w:r>
                </w:p>
              </w:tc>
              <w:tc>
                <w:tcPr>
                  <w:tcW w:w="161" w:type="pct"/>
                  <w:vMerge w:val="restart"/>
                  <w:noWrap w:val="0"/>
                  <w:vAlign w:val="center"/>
                </w:tcPr>
                <w:p w14:paraId="1A8FC957">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val="en-US" w:eastAsia="zh-CN"/>
                    </w:rPr>
                    <w:t>间接排放</w:t>
                  </w:r>
                </w:p>
              </w:tc>
            </w:tr>
            <w:tr w14:paraId="084D2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continue"/>
                  <w:noWrap w:val="0"/>
                  <w:vAlign w:val="center"/>
                </w:tcPr>
                <w:p w14:paraId="097699EB">
                  <w:pPr>
                    <w:pStyle w:val="33"/>
                    <w:keepNext w:val="0"/>
                    <w:keepLines w:val="0"/>
                    <w:suppressLineNumbers w:val="0"/>
                    <w:bidi w:val="0"/>
                    <w:spacing w:before="0" w:beforeAutospacing="0" w:after="0" w:afterAutospacing="0"/>
                    <w:ind w:left="0" w:right="0"/>
                    <w:rPr>
                      <w:rFonts w:hint="default" w:cs="Times New Roman"/>
                      <w:color w:val="auto"/>
                      <w:lang w:val="en-US" w:eastAsia="zh-CN"/>
                    </w:rPr>
                  </w:pPr>
                </w:p>
              </w:tc>
              <w:tc>
                <w:tcPr>
                  <w:tcW w:w="285" w:type="pct"/>
                  <w:vMerge w:val="continue"/>
                  <w:noWrap w:val="0"/>
                  <w:vAlign w:val="center"/>
                </w:tcPr>
                <w:p w14:paraId="1795198D">
                  <w:pPr>
                    <w:pStyle w:val="33"/>
                    <w:keepNext w:val="0"/>
                    <w:keepLines w:val="0"/>
                    <w:suppressLineNumbers w:val="0"/>
                    <w:bidi w:val="0"/>
                    <w:spacing w:before="0" w:beforeAutospacing="0" w:after="0" w:afterAutospacing="0"/>
                    <w:ind w:left="0" w:right="0"/>
                    <w:rPr>
                      <w:rFonts w:hint="default" w:cs="Times New Roman"/>
                      <w:color w:val="auto"/>
                      <w:lang w:val="en-US" w:eastAsia="zh-CN"/>
                    </w:rPr>
                  </w:pPr>
                </w:p>
              </w:tc>
              <w:tc>
                <w:tcPr>
                  <w:tcW w:w="324" w:type="pct"/>
                  <w:noWrap w:val="0"/>
                  <w:vAlign w:val="center"/>
                </w:tcPr>
                <w:p w14:paraId="38B4867A">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rPr>
                    <w:t>COD</w:t>
                  </w:r>
                </w:p>
              </w:tc>
              <w:tc>
                <w:tcPr>
                  <w:tcW w:w="299" w:type="pct"/>
                  <w:vMerge w:val="continue"/>
                  <w:noWrap w:val="0"/>
                  <w:vAlign w:val="center"/>
                </w:tcPr>
                <w:p w14:paraId="48603E75">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p>
              </w:tc>
              <w:tc>
                <w:tcPr>
                  <w:tcW w:w="357" w:type="pct"/>
                  <w:vMerge w:val="continue"/>
                  <w:noWrap w:val="0"/>
                  <w:vAlign w:val="center"/>
                </w:tcPr>
                <w:p w14:paraId="5A8BE3A9">
                  <w:pPr>
                    <w:pStyle w:val="33"/>
                    <w:keepNext w:val="0"/>
                    <w:keepLines w:val="0"/>
                    <w:suppressLineNumbers w:val="0"/>
                    <w:bidi w:val="0"/>
                    <w:spacing w:before="0" w:beforeAutospacing="0" w:after="0" w:afterAutospacing="0"/>
                    <w:ind w:left="0" w:right="0"/>
                    <w:rPr>
                      <w:rFonts w:hint="default" w:cs="Times New Roman"/>
                      <w:color w:val="auto"/>
                      <w:lang w:val="en-US" w:eastAsia="zh-CN"/>
                    </w:rPr>
                  </w:pPr>
                </w:p>
              </w:tc>
              <w:tc>
                <w:tcPr>
                  <w:tcW w:w="489" w:type="pct"/>
                  <w:noWrap w:val="0"/>
                  <w:vAlign w:val="center"/>
                </w:tcPr>
                <w:p w14:paraId="18AAA572">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340</w:t>
                  </w:r>
                </w:p>
              </w:tc>
              <w:tc>
                <w:tcPr>
                  <w:tcW w:w="490" w:type="pct"/>
                  <w:noWrap w:val="0"/>
                  <w:vAlign w:val="center"/>
                </w:tcPr>
                <w:p w14:paraId="0513A259">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 xml:space="preserve">0.918 </w:t>
                  </w:r>
                </w:p>
              </w:tc>
              <w:tc>
                <w:tcPr>
                  <w:tcW w:w="285" w:type="pct"/>
                  <w:vMerge w:val="continue"/>
                  <w:noWrap w:val="0"/>
                  <w:vAlign w:val="center"/>
                </w:tcPr>
                <w:p w14:paraId="568444F7">
                  <w:pPr>
                    <w:pStyle w:val="33"/>
                    <w:keepNext w:val="0"/>
                    <w:keepLines w:val="0"/>
                    <w:suppressLineNumbers w:val="0"/>
                    <w:bidi w:val="0"/>
                    <w:spacing w:before="0" w:beforeAutospacing="0" w:after="0" w:afterAutospacing="0"/>
                    <w:ind w:left="0" w:right="0"/>
                    <w:rPr>
                      <w:rFonts w:hint="default"/>
                      <w:lang w:val="en-US" w:eastAsia="zh-CN"/>
                    </w:rPr>
                  </w:pPr>
                </w:p>
              </w:tc>
              <w:tc>
                <w:tcPr>
                  <w:tcW w:w="282" w:type="pct"/>
                  <w:vMerge w:val="continue"/>
                  <w:noWrap w:val="0"/>
                  <w:vAlign w:val="center"/>
                </w:tcPr>
                <w:p w14:paraId="58DA110B">
                  <w:pPr>
                    <w:pStyle w:val="33"/>
                    <w:keepNext w:val="0"/>
                    <w:keepLines w:val="0"/>
                    <w:suppressLineNumbers w:val="0"/>
                    <w:bidi w:val="0"/>
                    <w:spacing w:before="0" w:beforeAutospacing="0" w:after="0" w:afterAutospacing="0"/>
                    <w:ind w:left="0" w:right="0"/>
                    <w:rPr>
                      <w:rFonts w:hint="default"/>
                      <w:lang w:val="en-US" w:eastAsia="zh-CN"/>
                    </w:rPr>
                  </w:pPr>
                </w:p>
              </w:tc>
              <w:tc>
                <w:tcPr>
                  <w:tcW w:w="244" w:type="pct"/>
                  <w:noWrap w:val="0"/>
                  <w:vAlign w:val="center"/>
                </w:tcPr>
                <w:p w14:paraId="7F674AE4">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19.3</w:t>
                  </w:r>
                </w:p>
              </w:tc>
              <w:tc>
                <w:tcPr>
                  <w:tcW w:w="350" w:type="pct"/>
                  <w:vMerge w:val="continue"/>
                  <w:noWrap w:val="0"/>
                  <w:vAlign w:val="center"/>
                </w:tcPr>
                <w:p w14:paraId="2390490A">
                  <w:pPr>
                    <w:pStyle w:val="33"/>
                    <w:keepNext w:val="0"/>
                    <w:keepLines w:val="0"/>
                    <w:suppressLineNumbers w:val="0"/>
                    <w:bidi w:val="0"/>
                    <w:spacing w:before="0" w:beforeAutospacing="0" w:after="0" w:afterAutospacing="0"/>
                    <w:ind w:left="0" w:right="0"/>
                    <w:rPr>
                      <w:rFonts w:hint="eastAsia"/>
                      <w:lang w:val="en-US" w:eastAsia="zh-CN"/>
                    </w:rPr>
                  </w:pPr>
                </w:p>
              </w:tc>
              <w:tc>
                <w:tcPr>
                  <w:tcW w:w="414" w:type="pct"/>
                  <w:noWrap w:val="0"/>
                  <w:vAlign w:val="center"/>
                </w:tcPr>
                <w:p w14:paraId="19D692B4">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274.38</w:t>
                  </w:r>
                </w:p>
              </w:tc>
              <w:tc>
                <w:tcPr>
                  <w:tcW w:w="391" w:type="pct"/>
                  <w:noWrap w:val="0"/>
                  <w:vAlign w:val="center"/>
                </w:tcPr>
                <w:p w14:paraId="41251891">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0.741</w:t>
                  </w:r>
                </w:p>
              </w:tc>
              <w:tc>
                <w:tcPr>
                  <w:tcW w:w="339" w:type="pct"/>
                  <w:vMerge w:val="continue"/>
                  <w:noWrap w:val="0"/>
                  <w:vAlign w:val="center"/>
                </w:tcPr>
                <w:p w14:paraId="6C1853DF">
                  <w:pPr>
                    <w:pStyle w:val="33"/>
                    <w:keepNext w:val="0"/>
                    <w:keepLines w:val="0"/>
                    <w:suppressLineNumbers w:val="0"/>
                    <w:bidi w:val="0"/>
                    <w:spacing w:before="0" w:beforeAutospacing="0" w:after="0" w:afterAutospacing="0"/>
                    <w:ind w:left="0" w:right="0"/>
                    <w:rPr>
                      <w:rFonts w:hint="default" w:cs="Times New Roman"/>
                      <w:color w:val="auto"/>
                      <w:lang w:val="en-US"/>
                    </w:rPr>
                  </w:pPr>
                </w:p>
              </w:tc>
              <w:tc>
                <w:tcPr>
                  <w:tcW w:w="161" w:type="pct"/>
                  <w:vMerge w:val="continue"/>
                  <w:noWrap w:val="0"/>
                  <w:vAlign w:val="center"/>
                </w:tcPr>
                <w:p w14:paraId="04A0218B">
                  <w:pPr>
                    <w:pStyle w:val="33"/>
                    <w:keepNext w:val="0"/>
                    <w:keepLines w:val="0"/>
                    <w:suppressLineNumbers w:val="0"/>
                    <w:bidi w:val="0"/>
                    <w:spacing w:before="0" w:beforeAutospacing="0" w:after="0" w:afterAutospacing="0"/>
                    <w:ind w:left="0" w:right="0"/>
                    <w:rPr>
                      <w:rFonts w:hint="eastAsia" w:cs="Times New Roman"/>
                      <w:color w:val="auto"/>
                    </w:rPr>
                  </w:pPr>
                </w:p>
              </w:tc>
            </w:tr>
            <w:tr w14:paraId="07903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continue"/>
                  <w:noWrap w:val="0"/>
                  <w:vAlign w:val="center"/>
                </w:tcPr>
                <w:p w14:paraId="19EE17EA">
                  <w:pPr>
                    <w:pStyle w:val="33"/>
                    <w:keepNext w:val="0"/>
                    <w:keepLines w:val="0"/>
                    <w:suppressLineNumbers w:val="0"/>
                    <w:bidi w:val="0"/>
                    <w:spacing w:before="0" w:beforeAutospacing="0" w:after="0" w:afterAutospacing="0"/>
                    <w:ind w:left="0" w:right="0"/>
                    <w:rPr>
                      <w:rFonts w:hint="default" w:cs="Times New Roman"/>
                      <w:color w:val="auto"/>
                    </w:rPr>
                  </w:pPr>
                </w:p>
              </w:tc>
              <w:tc>
                <w:tcPr>
                  <w:tcW w:w="285" w:type="pct"/>
                  <w:vMerge w:val="continue"/>
                  <w:noWrap w:val="0"/>
                  <w:vAlign w:val="center"/>
                </w:tcPr>
                <w:p w14:paraId="04F40A32">
                  <w:pPr>
                    <w:pStyle w:val="33"/>
                    <w:keepNext w:val="0"/>
                    <w:keepLines w:val="0"/>
                    <w:suppressLineNumbers w:val="0"/>
                    <w:bidi w:val="0"/>
                    <w:spacing w:before="0" w:beforeAutospacing="0" w:after="0" w:afterAutospacing="0"/>
                    <w:ind w:left="0" w:right="0"/>
                    <w:rPr>
                      <w:rFonts w:hint="default" w:cs="Times New Roman"/>
                      <w:color w:val="auto"/>
                    </w:rPr>
                  </w:pPr>
                </w:p>
              </w:tc>
              <w:tc>
                <w:tcPr>
                  <w:tcW w:w="324" w:type="pct"/>
                  <w:noWrap w:val="0"/>
                  <w:vAlign w:val="center"/>
                </w:tcPr>
                <w:p w14:paraId="24F5D607">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BOD</w:t>
                  </w:r>
                  <w:r>
                    <w:rPr>
                      <w:rFonts w:hint="eastAsia" w:cs="Times New Roman"/>
                      <w:color w:val="auto"/>
                      <w:vertAlign w:val="subscript"/>
                    </w:rPr>
                    <w:t>5</w:t>
                  </w:r>
                </w:p>
              </w:tc>
              <w:tc>
                <w:tcPr>
                  <w:tcW w:w="299" w:type="pct"/>
                  <w:vMerge w:val="continue"/>
                  <w:noWrap w:val="0"/>
                  <w:vAlign w:val="center"/>
                </w:tcPr>
                <w:p w14:paraId="48D309C8">
                  <w:pPr>
                    <w:pStyle w:val="33"/>
                    <w:keepNext w:val="0"/>
                    <w:keepLines w:val="0"/>
                    <w:suppressLineNumbers w:val="0"/>
                    <w:bidi w:val="0"/>
                    <w:spacing w:before="0" w:beforeAutospacing="0" w:after="0" w:afterAutospacing="0"/>
                    <w:ind w:left="0" w:right="0"/>
                    <w:rPr>
                      <w:rFonts w:hint="default" w:cs="Times New Roman"/>
                      <w:color w:val="auto"/>
                    </w:rPr>
                  </w:pPr>
                </w:p>
              </w:tc>
              <w:tc>
                <w:tcPr>
                  <w:tcW w:w="357" w:type="pct"/>
                  <w:vMerge w:val="continue"/>
                  <w:noWrap w:val="0"/>
                  <w:vAlign w:val="center"/>
                </w:tcPr>
                <w:p w14:paraId="5B520794">
                  <w:pPr>
                    <w:pStyle w:val="33"/>
                    <w:keepNext w:val="0"/>
                    <w:keepLines w:val="0"/>
                    <w:suppressLineNumbers w:val="0"/>
                    <w:bidi w:val="0"/>
                    <w:spacing w:before="0" w:beforeAutospacing="0" w:after="0" w:afterAutospacing="0"/>
                    <w:ind w:left="0" w:right="0"/>
                    <w:rPr>
                      <w:rFonts w:hint="eastAsia" w:cs="Times New Roman"/>
                      <w:color w:val="auto"/>
                    </w:rPr>
                  </w:pPr>
                </w:p>
              </w:tc>
              <w:tc>
                <w:tcPr>
                  <w:tcW w:w="489" w:type="pct"/>
                  <w:noWrap w:val="0"/>
                  <w:vAlign w:val="center"/>
                </w:tcPr>
                <w:p w14:paraId="53284F62">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490" w:type="pct"/>
                  <w:noWrap w:val="0"/>
                  <w:vAlign w:val="center"/>
                </w:tcPr>
                <w:p w14:paraId="675F7D9A">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 xml:space="preserve">0.540 </w:t>
                  </w:r>
                </w:p>
              </w:tc>
              <w:tc>
                <w:tcPr>
                  <w:tcW w:w="285" w:type="pct"/>
                  <w:vMerge w:val="continue"/>
                  <w:noWrap w:val="0"/>
                  <w:vAlign w:val="center"/>
                </w:tcPr>
                <w:p w14:paraId="558AF524">
                  <w:pPr>
                    <w:pStyle w:val="33"/>
                    <w:keepNext w:val="0"/>
                    <w:keepLines w:val="0"/>
                    <w:suppressLineNumbers w:val="0"/>
                    <w:bidi w:val="0"/>
                    <w:spacing w:before="0" w:beforeAutospacing="0" w:after="0" w:afterAutospacing="0"/>
                    <w:ind w:left="0" w:right="0"/>
                    <w:rPr>
                      <w:rFonts w:hint="eastAsia"/>
                      <w:lang w:val="en-US" w:eastAsia="zh-CN"/>
                    </w:rPr>
                  </w:pPr>
                </w:p>
              </w:tc>
              <w:tc>
                <w:tcPr>
                  <w:tcW w:w="282" w:type="pct"/>
                  <w:vMerge w:val="continue"/>
                  <w:noWrap w:val="0"/>
                  <w:vAlign w:val="center"/>
                </w:tcPr>
                <w:p w14:paraId="4F59E2F6">
                  <w:pPr>
                    <w:pStyle w:val="33"/>
                    <w:keepNext w:val="0"/>
                    <w:keepLines w:val="0"/>
                    <w:suppressLineNumbers w:val="0"/>
                    <w:bidi w:val="0"/>
                    <w:spacing w:before="0" w:beforeAutospacing="0" w:after="0" w:afterAutospacing="0"/>
                    <w:ind w:left="0" w:right="0"/>
                    <w:rPr>
                      <w:rFonts w:hint="eastAsia"/>
                      <w:lang w:val="en-US" w:eastAsia="zh-CN"/>
                    </w:rPr>
                  </w:pPr>
                </w:p>
              </w:tc>
              <w:tc>
                <w:tcPr>
                  <w:tcW w:w="244" w:type="pct"/>
                  <w:noWrap w:val="0"/>
                  <w:vAlign w:val="center"/>
                </w:tcPr>
                <w:p w14:paraId="23C6B7E6">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12.7</w:t>
                  </w:r>
                </w:p>
              </w:tc>
              <w:tc>
                <w:tcPr>
                  <w:tcW w:w="350" w:type="pct"/>
                  <w:vMerge w:val="continue"/>
                  <w:noWrap w:val="0"/>
                  <w:vAlign w:val="center"/>
                </w:tcPr>
                <w:p w14:paraId="63EB7D9D">
                  <w:pPr>
                    <w:pStyle w:val="33"/>
                    <w:keepNext w:val="0"/>
                    <w:keepLines w:val="0"/>
                    <w:suppressLineNumbers w:val="0"/>
                    <w:bidi w:val="0"/>
                    <w:spacing w:before="0" w:beforeAutospacing="0" w:after="0" w:afterAutospacing="0"/>
                    <w:ind w:left="0" w:right="0"/>
                    <w:rPr>
                      <w:rFonts w:hint="eastAsia"/>
                      <w:lang w:val="en-US" w:eastAsia="zh-CN"/>
                    </w:rPr>
                  </w:pPr>
                </w:p>
              </w:tc>
              <w:tc>
                <w:tcPr>
                  <w:tcW w:w="414" w:type="pct"/>
                  <w:noWrap w:val="0"/>
                  <w:vAlign w:val="center"/>
                </w:tcPr>
                <w:p w14:paraId="37C84542">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174.6</w:t>
                  </w:r>
                </w:p>
              </w:tc>
              <w:tc>
                <w:tcPr>
                  <w:tcW w:w="391" w:type="pct"/>
                  <w:noWrap w:val="0"/>
                  <w:vAlign w:val="center"/>
                </w:tcPr>
                <w:p w14:paraId="1FF1AE77">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0.471</w:t>
                  </w:r>
                </w:p>
              </w:tc>
              <w:tc>
                <w:tcPr>
                  <w:tcW w:w="339" w:type="pct"/>
                  <w:vMerge w:val="continue"/>
                  <w:noWrap w:val="0"/>
                  <w:vAlign w:val="center"/>
                </w:tcPr>
                <w:p w14:paraId="63A2CA3E">
                  <w:pPr>
                    <w:pStyle w:val="33"/>
                    <w:keepNext w:val="0"/>
                    <w:keepLines w:val="0"/>
                    <w:suppressLineNumbers w:val="0"/>
                    <w:bidi w:val="0"/>
                    <w:spacing w:before="0" w:beforeAutospacing="0" w:after="0" w:afterAutospacing="0"/>
                    <w:ind w:left="0" w:right="0"/>
                    <w:rPr>
                      <w:rFonts w:hint="eastAsia" w:cs="Times New Roman"/>
                      <w:color w:val="auto"/>
                    </w:rPr>
                  </w:pPr>
                </w:p>
              </w:tc>
              <w:tc>
                <w:tcPr>
                  <w:tcW w:w="161" w:type="pct"/>
                  <w:vMerge w:val="continue"/>
                  <w:noWrap w:val="0"/>
                  <w:vAlign w:val="center"/>
                </w:tcPr>
                <w:p w14:paraId="7064EC44">
                  <w:pPr>
                    <w:pStyle w:val="33"/>
                    <w:keepNext w:val="0"/>
                    <w:keepLines w:val="0"/>
                    <w:suppressLineNumbers w:val="0"/>
                    <w:bidi w:val="0"/>
                    <w:spacing w:before="0" w:beforeAutospacing="0" w:after="0" w:afterAutospacing="0"/>
                    <w:ind w:left="0" w:right="0"/>
                    <w:rPr>
                      <w:rFonts w:hint="eastAsia" w:cs="Times New Roman"/>
                      <w:color w:val="auto"/>
                    </w:rPr>
                  </w:pPr>
                </w:p>
              </w:tc>
            </w:tr>
            <w:tr w14:paraId="30C13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continue"/>
                  <w:noWrap w:val="0"/>
                  <w:vAlign w:val="center"/>
                </w:tcPr>
                <w:p w14:paraId="436C7D20">
                  <w:pPr>
                    <w:pStyle w:val="33"/>
                    <w:keepNext w:val="0"/>
                    <w:keepLines w:val="0"/>
                    <w:suppressLineNumbers w:val="0"/>
                    <w:bidi w:val="0"/>
                    <w:spacing w:before="0" w:beforeAutospacing="0" w:after="0" w:afterAutospacing="0"/>
                    <w:ind w:left="0" w:right="0"/>
                    <w:rPr>
                      <w:rFonts w:hint="default" w:cs="Times New Roman"/>
                      <w:color w:val="auto"/>
                    </w:rPr>
                  </w:pPr>
                </w:p>
              </w:tc>
              <w:tc>
                <w:tcPr>
                  <w:tcW w:w="285" w:type="pct"/>
                  <w:vMerge w:val="continue"/>
                  <w:noWrap w:val="0"/>
                  <w:vAlign w:val="center"/>
                </w:tcPr>
                <w:p w14:paraId="27557BAA">
                  <w:pPr>
                    <w:pStyle w:val="33"/>
                    <w:keepNext w:val="0"/>
                    <w:keepLines w:val="0"/>
                    <w:suppressLineNumbers w:val="0"/>
                    <w:bidi w:val="0"/>
                    <w:spacing w:before="0" w:beforeAutospacing="0" w:after="0" w:afterAutospacing="0"/>
                    <w:ind w:left="0" w:right="0"/>
                    <w:rPr>
                      <w:rFonts w:hint="default" w:cs="Times New Roman"/>
                      <w:color w:val="auto"/>
                    </w:rPr>
                  </w:pPr>
                </w:p>
              </w:tc>
              <w:tc>
                <w:tcPr>
                  <w:tcW w:w="324" w:type="pct"/>
                  <w:noWrap w:val="0"/>
                  <w:vAlign w:val="center"/>
                </w:tcPr>
                <w:p w14:paraId="1B0FEB11">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SS</w:t>
                  </w:r>
                </w:p>
              </w:tc>
              <w:tc>
                <w:tcPr>
                  <w:tcW w:w="299" w:type="pct"/>
                  <w:vMerge w:val="continue"/>
                  <w:noWrap w:val="0"/>
                  <w:vAlign w:val="center"/>
                </w:tcPr>
                <w:p w14:paraId="5423A183">
                  <w:pPr>
                    <w:pStyle w:val="33"/>
                    <w:keepNext w:val="0"/>
                    <w:keepLines w:val="0"/>
                    <w:suppressLineNumbers w:val="0"/>
                    <w:bidi w:val="0"/>
                    <w:spacing w:before="0" w:beforeAutospacing="0" w:after="0" w:afterAutospacing="0"/>
                    <w:ind w:left="0" w:right="0"/>
                    <w:rPr>
                      <w:rFonts w:hint="default" w:cs="Times New Roman"/>
                      <w:color w:val="auto"/>
                    </w:rPr>
                  </w:pPr>
                </w:p>
              </w:tc>
              <w:tc>
                <w:tcPr>
                  <w:tcW w:w="357" w:type="pct"/>
                  <w:vMerge w:val="continue"/>
                  <w:noWrap w:val="0"/>
                  <w:vAlign w:val="center"/>
                </w:tcPr>
                <w:p w14:paraId="2319487E">
                  <w:pPr>
                    <w:pStyle w:val="33"/>
                    <w:keepNext w:val="0"/>
                    <w:keepLines w:val="0"/>
                    <w:suppressLineNumbers w:val="0"/>
                    <w:bidi w:val="0"/>
                    <w:spacing w:before="0" w:beforeAutospacing="0" w:after="0" w:afterAutospacing="0"/>
                    <w:ind w:left="0" w:right="0"/>
                    <w:rPr>
                      <w:rFonts w:hint="eastAsia" w:cs="Times New Roman"/>
                      <w:color w:val="auto"/>
                    </w:rPr>
                  </w:pPr>
                </w:p>
              </w:tc>
              <w:tc>
                <w:tcPr>
                  <w:tcW w:w="489" w:type="pct"/>
                  <w:noWrap w:val="0"/>
                  <w:vAlign w:val="center"/>
                </w:tcPr>
                <w:p w14:paraId="0DB6A9C6">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220</w:t>
                  </w:r>
                </w:p>
              </w:tc>
              <w:tc>
                <w:tcPr>
                  <w:tcW w:w="490" w:type="pct"/>
                  <w:noWrap w:val="0"/>
                  <w:vAlign w:val="center"/>
                </w:tcPr>
                <w:p w14:paraId="1BFDBB6C">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 xml:space="preserve">0.594 </w:t>
                  </w:r>
                </w:p>
              </w:tc>
              <w:tc>
                <w:tcPr>
                  <w:tcW w:w="285" w:type="pct"/>
                  <w:vMerge w:val="continue"/>
                  <w:noWrap w:val="0"/>
                  <w:vAlign w:val="center"/>
                </w:tcPr>
                <w:p w14:paraId="25F88EC0">
                  <w:pPr>
                    <w:pStyle w:val="33"/>
                    <w:keepNext w:val="0"/>
                    <w:keepLines w:val="0"/>
                    <w:suppressLineNumbers w:val="0"/>
                    <w:bidi w:val="0"/>
                    <w:spacing w:before="0" w:beforeAutospacing="0" w:after="0" w:afterAutospacing="0"/>
                    <w:ind w:left="0" w:right="0"/>
                    <w:rPr>
                      <w:rFonts w:hint="eastAsia"/>
                      <w:lang w:val="en-US" w:eastAsia="zh-CN"/>
                    </w:rPr>
                  </w:pPr>
                </w:p>
              </w:tc>
              <w:tc>
                <w:tcPr>
                  <w:tcW w:w="282" w:type="pct"/>
                  <w:vMerge w:val="continue"/>
                  <w:noWrap w:val="0"/>
                  <w:vAlign w:val="center"/>
                </w:tcPr>
                <w:p w14:paraId="23E37B83">
                  <w:pPr>
                    <w:pStyle w:val="33"/>
                    <w:keepNext w:val="0"/>
                    <w:keepLines w:val="0"/>
                    <w:suppressLineNumbers w:val="0"/>
                    <w:bidi w:val="0"/>
                    <w:spacing w:before="0" w:beforeAutospacing="0" w:after="0" w:afterAutospacing="0"/>
                    <w:ind w:left="0" w:right="0"/>
                    <w:rPr>
                      <w:rFonts w:hint="eastAsia"/>
                      <w:lang w:val="en-US" w:eastAsia="zh-CN"/>
                    </w:rPr>
                  </w:pPr>
                </w:p>
              </w:tc>
              <w:tc>
                <w:tcPr>
                  <w:tcW w:w="244" w:type="pct"/>
                  <w:noWrap w:val="0"/>
                  <w:vAlign w:val="center"/>
                </w:tcPr>
                <w:p w14:paraId="687C727C">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60</w:t>
                  </w:r>
                </w:p>
              </w:tc>
              <w:tc>
                <w:tcPr>
                  <w:tcW w:w="350" w:type="pct"/>
                  <w:vMerge w:val="continue"/>
                  <w:noWrap w:val="0"/>
                  <w:vAlign w:val="center"/>
                </w:tcPr>
                <w:p w14:paraId="20D8F5FF">
                  <w:pPr>
                    <w:pStyle w:val="33"/>
                    <w:keepNext w:val="0"/>
                    <w:keepLines w:val="0"/>
                    <w:suppressLineNumbers w:val="0"/>
                    <w:bidi w:val="0"/>
                    <w:spacing w:before="0" w:beforeAutospacing="0" w:after="0" w:afterAutospacing="0"/>
                    <w:ind w:left="0" w:right="0"/>
                    <w:rPr>
                      <w:rFonts w:hint="eastAsia"/>
                      <w:lang w:val="en-US" w:eastAsia="zh-CN"/>
                    </w:rPr>
                  </w:pPr>
                </w:p>
              </w:tc>
              <w:tc>
                <w:tcPr>
                  <w:tcW w:w="414" w:type="pct"/>
                  <w:noWrap w:val="0"/>
                  <w:vAlign w:val="center"/>
                </w:tcPr>
                <w:p w14:paraId="1ECB37C3">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88</w:t>
                  </w:r>
                </w:p>
              </w:tc>
              <w:tc>
                <w:tcPr>
                  <w:tcW w:w="391" w:type="pct"/>
                  <w:noWrap w:val="0"/>
                  <w:vAlign w:val="center"/>
                </w:tcPr>
                <w:p w14:paraId="6DFF4307">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0.238</w:t>
                  </w:r>
                </w:p>
              </w:tc>
              <w:tc>
                <w:tcPr>
                  <w:tcW w:w="339" w:type="pct"/>
                  <w:vMerge w:val="continue"/>
                  <w:noWrap w:val="0"/>
                  <w:vAlign w:val="center"/>
                </w:tcPr>
                <w:p w14:paraId="278D44DB">
                  <w:pPr>
                    <w:pStyle w:val="33"/>
                    <w:keepNext w:val="0"/>
                    <w:keepLines w:val="0"/>
                    <w:suppressLineNumbers w:val="0"/>
                    <w:bidi w:val="0"/>
                    <w:spacing w:before="0" w:beforeAutospacing="0" w:after="0" w:afterAutospacing="0"/>
                    <w:ind w:left="0" w:right="0"/>
                    <w:rPr>
                      <w:rFonts w:hint="eastAsia" w:cs="Times New Roman"/>
                      <w:color w:val="auto"/>
                    </w:rPr>
                  </w:pPr>
                </w:p>
              </w:tc>
              <w:tc>
                <w:tcPr>
                  <w:tcW w:w="161" w:type="pct"/>
                  <w:vMerge w:val="continue"/>
                  <w:noWrap w:val="0"/>
                  <w:vAlign w:val="center"/>
                </w:tcPr>
                <w:p w14:paraId="5269E9B4">
                  <w:pPr>
                    <w:pStyle w:val="33"/>
                    <w:keepNext w:val="0"/>
                    <w:keepLines w:val="0"/>
                    <w:suppressLineNumbers w:val="0"/>
                    <w:bidi w:val="0"/>
                    <w:spacing w:before="0" w:beforeAutospacing="0" w:after="0" w:afterAutospacing="0"/>
                    <w:ind w:left="0" w:right="0"/>
                    <w:rPr>
                      <w:rFonts w:hint="eastAsia" w:cs="Times New Roman"/>
                      <w:color w:val="auto"/>
                    </w:rPr>
                  </w:pPr>
                </w:p>
              </w:tc>
            </w:tr>
            <w:tr w14:paraId="479E9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vMerge w:val="continue"/>
                  <w:noWrap w:val="0"/>
                  <w:vAlign w:val="center"/>
                </w:tcPr>
                <w:p w14:paraId="3D0A2217">
                  <w:pPr>
                    <w:pStyle w:val="33"/>
                    <w:keepNext w:val="0"/>
                    <w:keepLines w:val="0"/>
                    <w:suppressLineNumbers w:val="0"/>
                    <w:bidi w:val="0"/>
                    <w:spacing w:before="0" w:beforeAutospacing="0" w:after="0" w:afterAutospacing="0"/>
                    <w:ind w:left="0" w:right="0"/>
                    <w:rPr>
                      <w:rFonts w:hint="default" w:cs="Times New Roman"/>
                      <w:color w:val="auto"/>
                    </w:rPr>
                  </w:pPr>
                </w:p>
              </w:tc>
              <w:tc>
                <w:tcPr>
                  <w:tcW w:w="285" w:type="pct"/>
                  <w:vMerge w:val="continue"/>
                  <w:noWrap w:val="0"/>
                  <w:vAlign w:val="center"/>
                </w:tcPr>
                <w:p w14:paraId="0BC35D20">
                  <w:pPr>
                    <w:pStyle w:val="33"/>
                    <w:keepNext w:val="0"/>
                    <w:keepLines w:val="0"/>
                    <w:suppressLineNumbers w:val="0"/>
                    <w:bidi w:val="0"/>
                    <w:spacing w:before="0" w:beforeAutospacing="0" w:after="0" w:afterAutospacing="0"/>
                    <w:ind w:left="0" w:right="0"/>
                    <w:rPr>
                      <w:rFonts w:hint="default" w:cs="Times New Roman"/>
                      <w:color w:val="auto"/>
                    </w:rPr>
                  </w:pPr>
                </w:p>
              </w:tc>
              <w:tc>
                <w:tcPr>
                  <w:tcW w:w="324" w:type="pct"/>
                  <w:noWrap w:val="0"/>
                  <w:vAlign w:val="center"/>
                </w:tcPr>
                <w:p w14:paraId="0B383E68">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NH</w:t>
                  </w:r>
                  <w:r>
                    <w:rPr>
                      <w:rFonts w:hint="eastAsia" w:cs="Times New Roman"/>
                      <w:color w:val="auto"/>
                      <w:vertAlign w:val="subscript"/>
                      <w:lang w:val="en-US" w:eastAsia="zh-CN"/>
                    </w:rPr>
                    <w:t>3</w:t>
                  </w:r>
                  <w:r>
                    <w:rPr>
                      <w:rFonts w:hint="eastAsia" w:cs="Times New Roman"/>
                      <w:color w:val="auto"/>
                      <w:lang w:val="en-US" w:eastAsia="zh-CN"/>
                    </w:rPr>
                    <w:t>-N</w:t>
                  </w:r>
                </w:p>
              </w:tc>
              <w:tc>
                <w:tcPr>
                  <w:tcW w:w="299" w:type="pct"/>
                  <w:vMerge w:val="continue"/>
                  <w:noWrap w:val="0"/>
                  <w:vAlign w:val="center"/>
                </w:tcPr>
                <w:p w14:paraId="610FB76E">
                  <w:pPr>
                    <w:pStyle w:val="33"/>
                    <w:keepNext w:val="0"/>
                    <w:keepLines w:val="0"/>
                    <w:suppressLineNumbers w:val="0"/>
                    <w:bidi w:val="0"/>
                    <w:spacing w:before="0" w:beforeAutospacing="0" w:after="0" w:afterAutospacing="0"/>
                    <w:ind w:left="0" w:right="0"/>
                    <w:rPr>
                      <w:rFonts w:hint="default" w:cs="Times New Roman"/>
                      <w:color w:val="auto"/>
                    </w:rPr>
                  </w:pPr>
                </w:p>
              </w:tc>
              <w:tc>
                <w:tcPr>
                  <w:tcW w:w="357" w:type="pct"/>
                  <w:vMerge w:val="continue"/>
                  <w:noWrap w:val="0"/>
                  <w:vAlign w:val="center"/>
                </w:tcPr>
                <w:p w14:paraId="54377D09">
                  <w:pPr>
                    <w:pStyle w:val="33"/>
                    <w:keepNext w:val="0"/>
                    <w:keepLines w:val="0"/>
                    <w:suppressLineNumbers w:val="0"/>
                    <w:bidi w:val="0"/>
                    <w:spacing w:before="0" w:beforeAutospacing="0" w:after="0" w:afterAutospacing="0"/>
                    <w:ind w:left="0" w:right="0"/>
                    <w:rPr>
                      <w:rFonts w:hint="eastAsia" w:cs="Times New Roman"/>
                      <w:color w:val="auto"/>
                    </w:rPr>
                  </w:pPr>
                </w:p>
              </w:tc>
              <w:tc>
                <w:tcPr>
                  <w:tcW w:w="489" w:type="pct"/>
                  <w:noWrap w:val="0"/>
                  <w:vAlign w:val="center"/>
                </w:tcPr>
                <w:p w14:paraId="08FC1238">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32.6</w:t>
                  </w:r>
                </w:p>
              </w:tc>
              <w:tc>
                <w:tcPr>
                  <w:tcW w:w="490" w:type="pct"/>
                  <w:noWrap w:val="0"/>
                  <w:vAlign w:val="center"/>
                </w:tcPr>
                <w:p w14:paraId="718A6BD6">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 xml:space="preserve">0.014 </w:t>
                  </w:r>
                </w:p>
              </w:tc>
              <w:tc>
                <w:tcPr>
                  <w:tcW w:w="285" w:type="pct"/>
                  <w:vMerge w:val="continue"/>
                  <w:noWrap w:val="0"/>
                  <w:vAlign w:val="center"/>
                </w:tcPr>
                <w:p w14:paraId="2F73E2D2">
                  <w:pPr>
                    <w:pStyle w:val="33"/>
                    <w:keepNext w:val="0"/>
                    <w:keepLines w:val="0"/>
                    <w:suppressLineNumbers w:val="0"/>
                    <w:bidi w:val="0"/>
                    <w:spacing w:before="0" w:beforeAutospacing="0" w:after="0" w:afterAutospacing="0"/>
                    <w:ind w:left="0" w:right="0"/>
                    <w:rPr>
                      <w:rFonts w:hint="eastAsia"/>
                      <w:lang w:val="en-US" w:eastAsia="zh-CN"/>
                    </w:rPr>
                  </w:pPr>
                </w:p>
              </w:tc>
              <w:tc>
                <w:tcPr>
                  <w:tcW w:w="282" w:type="pct"/>
                  <w:vMerge w:val="continue"/>
                  <w:noWrap w:val="0"/>
                  <w:vAlign w:val="center"/>
                </w:tcPr>
                <w:p w14:paraId="4F91C08F">
                  <w:pPr>
                    <w:pStyle w:val="33"/>
                    <w:keepNext w:val="0"/>
                    <w:keepLines w:val="0"/>
                    <w:suppressLineNumbers w:val="0"/>
                    <w:bidi w:val="0"/>
                    <w:spacing w:before="0" w:beforeAutospacing="0" w:after="0" w:afterAutospacing="0"/>
                    <w:ind w:left="0" w:right="0"/>
                    <w:rPr>
                      <w:rFonts w:hint="eastAsia"/>
                      <w:lang w:val="en-US" w:eastAsia="zh-CN"/>
                    </w:rPr>
                  </w:pPr>
                </w:p>
              </w:tc>
              <w:tc>
                <w:tcPr>
                  <w:tcW w:w="244" w:type="pct"/>
                  <w:noWrap w:val="0"/>
                  <w:vAlign w:val="center"/>
                </w:tcPr>
                <w:p w14:paraId="16116E3F">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350" w:type="pct"/>
                  <w:vMerge w:val="continue"/>
                  <w:noWrap w:val="0"/>
                  <w:vAlign w:val="center"/>
                </w:tcPr>
                <w:p w14:paraId="4FE0741E">
                  <w:pPr>
                    <w:pStyle w:val="33"/>
                    <w:keepNext w:val="0"/>
                    <w:keepLines w:val="0"/>
                    <w:suppressLineNumbers w:val="0"/>
                    <w:bidi w:val="0"/>
                    <w:spacing w:before="0" w:beforeAutospacing="0" w:after="0" w:afterAutospacing="0"/>
                    <w:ind w:left="0" w:right="0"/>
                    <w:rPr>
                      <w:rFonts w:hint="eastAsia"/>
                      <w:lang w:val="en-US" w:eastAsia="zh-CN"/>
                    </w:rPr>
                  </w:pPr>
                </w:p>
              </w:tc>
              <w:tc>
                <w:tcPr>
                  <w:tcW w:w="414" w:type="pct"/>
                  <w:noWrap w:val="0"/>
                  <w:vAlign w:val="center"/>
                </w:tcPr>
                <w:p w14:paraId="2210E794">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32.6</w:t>
                  </w:r>
                </w:p>
              </w:tc>
              <w:tc>
                <w:tcPr>
                  <w:tcW w:w="391" w:type="pct"/>
                  <w:noWrap w:val="0"/>
                  <w:vAlign w:val="center"/>
                </w:tcPr>
                <w:p w14:paraId="28DE40B6">
                  <w:pPr>
                    <w:pStyle w:val="33"/>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0.088</w:t>
                  </w:r>
                </w:p>
              </w:tc>
              <w:tc>
                <w:tcPr>
                  <w:tcW w:w="339" w:type="pct"/>
                  <w:vMerge w:val="continue"/>
                  <w:noWrap w:val="0"/>
                  <w:vAlign w:val="center"/>
                </w:tcPr>
                <w:p w14:paraId="18D3C9ED">
                  <w:pPr>
                    <w:pStyle w:val="33"/>
                    <w:keepNext w:val="0"/>
                    <w:keepLines w:val="0"/>
                    <w:suppressLineNumbers w:val="0"/>
                    <w:bidi w:val="0"/>
                    <w:spacing w:before="0" w:beforeAutospacing="0" w:after="0" w:afterAutospacing="0"/>
                    <w:ind w:left="0" w:right="0"/>
                    <w:rPr>
                      <w:rFonts w:hint="eastAsia" w:cs="Times New Roman"/>
                      <w:color w:val="auto"/>
                    </w:rPr>
                  </w:pPr>
                </w:p>
              </w:tc>
              <w:tc>
                <w:tcPr>
                  <w:tcW w:w="161" w:type="pct"/>
                  <w:vMerge w:val="continue"/>
                  <w:noWrap w:val="0"/>
                  <w:vAlign w:val="center"/>
                </w:tcPr>
                <w:p w14:paraId="79DFA8A3">
                  <w:pPr>
                    <w:pStyle w:val="33"/>
                    <w:keepNext w:val="0"/>
                    <w:keepLines w:val="0"/>
                    <w:suppressLineNumbers w:val="0"/>
                    <w:bidi w:val="0"/>
                    <w:spacing w:before="0" w:beforeAutospacing="0" w:after="0" w:afterAutospacing="0"/>
                    <w:ind w:left="0" w:right="0"/>
                    <w:rPr>
                      <w:rFonts w:hint="eastAsia" w:cs="Times New Roman"/>
                      <w:color w:val="auto"/>
                    </w:rPr>
                  </w:pPr>
                </w:p>
              </w:tc>
            </w:tr>
          </w:tbl>
          <w:p w14:paraId="7734C206">
            <w:pPr>
              <w:pStyle w:val="36"/>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废水类别、污染物及污染治理措施信息表</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1695"/>
              <w:gridCol w:w="1427"/>
              <w:gridCol w:w="1068"/>
              <w:gridCol w:w="1337"/>
              <w:gridCol w:w="1386"/>
              <w:gridCol w:w="1855"/>
              <w:gridCol w:w="1108"/>
              <w:gridCol w:w="1372"/>
              <w:gridCol w:w="1081"/>
            </w:tblGrid>
            <w:tr w14:paraId="712A3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82" w:type="dxa"/>
                  <w:vMerge w:val="restart"/>
                  <w:noWrap w:val="0"/>
                  <w:vAlign w:val="center"/>
                </w:tcPr>
                <w:p w14:paraId="245822A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废水类别</w:t>
                  </w:r>
                </w:p>
              </w:tc>
              <w:tc>
                <w:tcPr>
                  <w:tcW w:w="1661" w:type="dxa"/>
                  <w:vMerge w:val="restart"/>
                  <w:noWrap w:val="0"/>
                  <w:vAlign w:val="center"/>
                </w:tcPr>
                <w:p w14:paraId="6A312957">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污染物种类</w:t>
                  </w:r>
                </w:p>
              </w:tc>
              <w:tc>
                <w:tcPr>
                  <w:tcW w:w="3754" w:type="dxa"/>
                  <w:gridSpan w:val="3"/>
                  <w:noWrap w:val="0"/>
                  <w:vAlign w:val="center"/>
                </w:tcPr>
                <w:p w14:paraId="18C51B0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污染治理措施</w:t>
                  </w:r>
                </w:p>
              </w:tc>
              <w:tc>
                <w:tcPr>
                  <w:tcW w:w="1358" w:type="dxa"/>
                  <w:vMerge w:val="restart"/>
                  <w:noWrap w:val="0"/>
                  <w:vAlign w:val="center"/>
                </w:tcPr>
                <w:p w14:paraId="4C5DD545">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排放去向</w:t>
                  </w:r>
                </w:p>
              </w:tc>
              <w:tc>
                <w:tcPr>
                  <w:tcW w:w="1818" w:type="dxa"/>
                  <w:vMerge w:val="restart"/>
                  <w:noWrap w:val="0"/>
                  <w:vAlign w:val="center"/>
                </w:tcPr>
                <w:p w14:paraId="461763F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排放形式</w:t>
                  </w:r>
                </w:p>
              </w:tc>
              <w:tc>
                <w:tcPr>
                  <w:tcW w:w="1086" w:type="dxa"/>
                  <w:vMerge w:val="restart"/>
                  <w:noWrap w:val="0"/>
                  <w:vAlign w:val="center"/>
                </w:tcPr>
                <w:p w14:paraId="69A92C68">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排放口编号</w:t>
                  </w:r>
                </w:p>
              </w:tc>
              <w:tc>
                <w:tcPr>
                  <w:tcW w:w="1344" w:type="dxa"/>
                  <w:vMerge w:val="restart"/>
                  <w:noWrap w:val="0"/>
                  <w:vAlign w:val="center"/>
                </w:tcPr>
                <w:p w14:paraId="3D12CC1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排放口名称</w:t>
                  </w:r>
                </w:p>
              </w:tc>
              <w:tc>
                <w:tcPr>
                  <w:tcW w:w="1059" w:type="dxa"/>
                  <w:vMerge w:val="restart"/>
                  <w:noWrap w:val="0"/>
                  <w:vAlign w:val="center"/>
                </w:tcPr>
                <w:p w14:paraId="7485058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排放口类型</w:t>
                  </w:r>
                </w:p>
              </w:tc>
            </w:tr>
            <w:tr w14:paraId="4DD0BB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82" w:type="dxa"/>
                  <w:vMerge w:val="continue"/>
                  <w:noWrap w:val="0"/>
                  <w:vAlign w:val="center"/>
                </w:tcPr>
                <w:p w14:paraId="152344ED">
                  <w:pPr>
                    <w:pStyle w:val="33"/>
                    <w:keepNext w:val="0"/>
                    <w:keepLines w:val="0"/>
                    <w:suppressLineNumbers w:val="0"/>
                    <w:bidi w:val="0"/>
                    <w:spacing w:before="0" w:beforeAutospacing="0" w:after="0" w:afterAutospacing="0"/>
                    <w:ind w:left="0" w:right="0"/>
                    <w:rPr>
                      <w:rFonts w:hint="default" w:cs="Times New Roman"/>
                      <w:color w:val="auto"/>
                    </w:rPr>
                  </w:pPr>
                </w:p>
              </w:tc>
              <w:tc>
                <w:tcPr>
                  <w:tcW w:w="1661" w:type="dxa"/>
                  <w:vMerge w:val="continue"/>
                  <w:noWrap w:val="0"/>
                  <w:vAlign w:val="center"/>
                </w:tcPr>
                <w:p w14:paraId="708A609C">
                  <w:pPr>
                    <w:pStyle w:val="33"/>
                    <w:keepNext w:val="0"/>
                    <w:keepLines w:val="0"/>
                    <w:suppressLineNumbers w:val="0"/>
                    <w:bidi w:val="0"/>
                    <w:spacing w:before="0" w:beforeAutospacing="0" w:after="0" w:afterAutospacing="0"/>
                    <w:ind w:left="0" w:right="0"/>
                    <w:rPr>
                      <w:rFonts w:hint="default" w:cs="Times New Roman"/>
                      <w:color w:val="auto"/>
                    </w:rPr>
                  </w:pPr>
                </w:p>
              </w:tc>
              <w:tc>
                <w:tcPr>
                  <w:tcW w:w="1398" w:type="dxa"/>
                  <w:noWrap w:val="0"/>
                  <w:vAlign w:val="center"/>
                </w:tcPr>
                <w:p w14:paraId="6EDFEF77">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污染治理设施编号</w:t>
                  </w:r>
                </w:p>
              </w:tc>
              <w:tc>
                <w:tcPr>
                  <w:tcW w:w="1046" w:type="dxa"/>
                  <w:noWrap w:val="0"/>
                  <w:vAlign w:val="center"/>
                </w:tcPr>
                <w:p w14:paraId="7EC3F6F9">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污染治理设施名称</w:t>
                  </w:r>
                </w:p>
              </w:tc>
              <w:tc>
                <w:tcPr>
                  <w:tcW w:w="1310" w:type="dxa"/>
                  <w:noWrap w:val="0"/>
                  <w:vAlign w:val="center"/>
                </w:tcPr>
                <w:p w14:paraId="74F36AC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是否为可行技术</w:t>
                  </w:r>
                </w:p>
              </w:tc>
              <w:tc>
                <w:tcPr>
                  <w:tcW w:w="1358" w:type="dxa"/>
                  <w:vMerge w:val="continue"/>
                  <w:noWrap w:val="0"/>
                  <w:vAlign w:val="center"/>
                </w:tcPr>
                <w:p w14:paraId="29C38662">
                  <w:pPr>
                    <w:pStyle w:val="33"/>
                    <w:keepNext w:val="0"/>
                    <w:keepLines w:val="0"/>
                    <w:suppressLineNumbers w:val="0"/>
                    <w:bidi w:val="0"/>
                    <w:spacing w:before="0" w:beforeAutospacing="0" w:after="0" w:afterAutospacing="0"/>
                    <w:ind w:left="0" w:right="0"/>
                    <w:rPr>
                      <w:rFonts w:hint="default" w:cs="Times New Roman"/>
                      <w:color w:val="auto"/>
                    </w:rPr>
                  </w:pPr>
                </w:p>
              </w:tc>
              <w:tc>
                <w:tcPr>
                  <w:tcW w:w="1818" w:type="dxa"/>
                  <w:vMerge w:val="continue"/>
                  <w:noWrap w:val="0"/>
                  <w:vAlign w:val="center"/>
                </w:tcPr>
                <w:p w14:paraId="49D6E920">
                  <w:pPr>
                    <w:pStyle w:val="33"/>
                    <w:keepNext w:val="0"/>
                    <w:keepLines w:val="0"/>
                    <w:suppressLineNumbers w:val="0"/>
                    <w:bidi w:val="0"/>
                    <w:spacing w:before="0" w:beforeAutospacing="0" w:after="0" w:afterAutospacing="0"/>
                    <w:ind w:left="0" w:right="0"/>
                    <w:rPr>
                      <w:rFonts w:hint="default" w:cs="Times New Roman"/>
                      <w:color w:val="auto"/>
                    </w:rPr>
                  </w:pPr>
                </w:p>
              </w:tc>
              <w:tc>
                <w:tcPr>
                  <w:tcW w:w="1086" w:type="dxa"/>
                  <w:vMerge w:val="continue"/>
                  <w:noWrap w:val="0"/>
                  <w:vAlign w:val="center"/>
                </w:tcPr>
                <w:p w14:paraId="0EAA53C8">
                  <w:pPr>
                    <w:pStyle w:val="33"/>
                    <w:keepNext w:val="0"/>
                    <w:keepLines w:val="0"/>
                    <w:suppressLineNumbers w:val="0"/>
                    <w:bidi w:val="0"/>
                    <w:spacing w:before="0" w:beforeAutospacing="0" w:after="0" w:afterAutospacing="0"/>
                    <w:ind w:left="0" w:right="0"/>
                    <w:rPr>
                      <w:rFonts w:hint="default" w:cs="Times New Roman"/>
                      <w:color w:val="auto"/>
                    </w:rPr>
                  </w:pPr>
                </w:p>
              </w:tc>
              <w:tc>
                <w:tcPr>
                  <w:tcW w:w="1344" w:type="dxa"/>
                  <w:vMerge w:val="continue"/>
                  <w:noWrap w:val="0"/>
                  <w:vAlign w:val="center"/>
                </w:tcPr>
                <w:p w14:paraId="3CE0E17D">
                  <w:pPr>
                    <w:pStyle w:val="33"/>
                    <w:keepNext w:val="0"/>
                    <w:keepLines w:val="0"/>
                    <w:suppressLineNumbers w:val="0"/>
                    <w:bidi w:val="0"/>
                    <w:spacing w:before="0" w:beforeAutospacing="0" w:after="0" w:afterAutospacing="0"/>
                    <w:ind w:left="0" w:right="0"/>
                    <w:rPr>
                      <w:rFonts w:hint="default" w:cs="Times New Roman"/>
                      <w:color w:val="auto"/>
                    </w:rPr>
                  </w:pPr>
                </w:p>
              </w:tc>
              <w:tc>
                <w:tcPr>
                  <w:tcW w:w="1059" w:type="dxa"/>
                  <w:vMerge w:val="continue"/>
                  <w:noWrap w:val="0"/>
                  <w:vAlign w:val="center"/>
                </w:tcPr>
                <w:p w14:paraId="29F55BF7">
                  <w:pPr>
                    <w:pStyle w:val="33"/>
                    <w:keepNext w:val="0"/>
                    <w:keepLines w:val="0"/>
                    <w:suppressLineNumbers w:val="0"/>
                    <w:bidi w:val="0"/>
                    <w:spacing w:before="0" w:beforeAutospacing="0" w:after="0" w:afterAutospacing="0"/>
                    <w:ind w:left="0" w:right="0"/>
                    <w:rPr>
                      <w:rFonts w:hint="default" w:cs="Times New Roman"/>
                      <w:color w:val="auto"/>
                    </w:rPr>
                  </w:pPr>
                </w:p>
              </w:tc>
            </w:tr>
            <w:tr w14:paraId="7468E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82" w:type="dxa"/>
                  <w:noWrap w:val="0"/>
                  <w:vAlign w:val="center"/>
                </w:tcPr>
                <w:p w14:paraId="1D4A5642">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生活污水</w:t>
                  </w:r>
                </w:p>
              </w:tc>
              <w:tc>
                <w:tcPr>
                  <w:tcW w:w="1661" w:type="dxa"/>
                  <w:noWrap w:val="0"/>
                  <w:vAlign w:val="center"/>
                </w:tcPr>
                <w:p w14:paraId="2E0DE8A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pH、COD、</w:t>
                  </w:r>
                  <w:r>
                    <w:rPr>
                      <w:rFonts w:hint="eastAsia" w:cs="Times New Roman"/>
                      <w:color w:val="auto"/>
                    </w:rPr>
                    <w:t>BOD</w:t>
                  </w:r>
                  <w:r>
                    <w:rPr>
                      <w:rFonts w:hint="eastAsia" w:cs="Times New Roman"/>
                      <w:color w:val="auto"/>
                      <w:vertAlign w:val="subscript"/>
                    </w:rPr>
                    <w:t>5</w:t>
                  </w:r>
                  <w:r>
                    <w:rPr>
                      <w:rFonts w:hint="default" w:cs="Times New Roman"/>
                      <w:color w:val="auto"/>
                    </w:rPr>
                    <w:t>、SS、</w:t>
                  </w:r>
                  <w:r>
                    <w:rPr>
                      <w:rFonts w:hint="eastAsia" w:cs="Times New Roman"/>
                      <w:color w:val="auto"/>
                    </w:rPr>
                    <w:t>氨氮</w:t>
                  </w:r>
                </w:p>
              </w:tc>
              <w:tc>
                <w:tcPr>
                  <w:tcW w:w="1398" w:type="dxa"/>
                  <w:noWrap w:val="0"/>
                  <w:vAlign w:val="center"/>
                </w:tcPr>
                <w:p w14:paraId="7344D5A3">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TW001</w:t>
                  </w:r>
                </w:p>
              </w:tc>
              <w:tc>
                <w:tcPr>
                  <w:tcW w:w="1046" w:type="dxa"/>
                  <w:noWrap w:val="0"/>
                  <w:vAlign w:val="center"/>
                </w:tcPr>
                <w:p w14:paraId="7E7A453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化粪池</w:t>
                  </w:r>
                </w:p>
              </w:tc>
              <w:tc>
                <w:tcPr>
                  <w:tcW w:w="1310" w:type="dxa"/>
                  <w:noWrap w:val="0"/>
                  <w:vAlign w:val="center"/>
                </w:tcPr>
                <w:p w14:paraId="6BA5BD6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是</w:t>
                  </w:r>
                </w:p>
              </w:tc>
              <w:tc>
                <w:tcPr>
                  <w:tcW w:w="1358" w:type="dxa"/>
                  <w:noWrap w:val="0"/>
                  <w:vAlign w:val="center"/>
                </w:tcPr>
                <w:p w14:paraId="54D883AA">
                  <w:pPr>
                    <w:pStyle w:val="33"/>
                    <w:keepNext w:val="0"/>
                    <w:keepLines w:val="0"/>
                    <w:suppressLineNumbers w:val="0"/>
                    <w:bidi w:val="0"/>
                    <w:spacing w:before="0" w:beforeAutospacing="0" w:after="0" w:afterAutospacing="0"/>
                    <w:ind w:left="0" w:right="0"/>
                    <w:rPr>
                      <w:rFonts w:hint="eastAsia" w:eastAsia="宋体" w:cs="Times New Roman"/>
                      <w:color w:val="auto"/>
                      <w:lang w:val="en-US" w:eastAsia="zh-CN"/>
                    </w:rPr>
                  </w:pPr>
                  <w:r>
                    <w:rPr>
                      <w:rFonts w:hint="eastAsia" w:cs="Times New Roman"/>
                      <w:color w:val="auto"/>
                      <w:lang w:eastAsia="zh-CN"/>
                    </w:rPr>
                    <w:t>青口汽车工业开发区污水处理厂</w:t>
                  </w:r>
                </w:p>
              </w:tc>
              <w:tc>
                <w:tcPr>
                  <w:tcW w:w="1818" w:type="dxa"/>
                  <w:noWrap w:val="0"/>
                  <w:vAlign w:val="center"/>
                </w:tcPr>
                <w:p w14:paraId="37192FF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间断排放，排放期间流量不稳定，但</w:t>
                  </w:r>
                  <w:r>
                    <w:rPr>
                      <w:rFonts w:hint="eastAsia" w:cs="Times New Roman"/>
                      <w:color w:val="auto"/>
                      <w:lang w:val="en-US" w:eastAsia="zh-CN"/>
                    </w:rPr>
                    <w:t>无</w:t>
                  </w:r>
                  <w:r>
                    <w:rPr>
                      <w:rFonts w:hint="default" w:cs="Times New Roman"/>
                      <w:color w:val="auto"/>
                    </w:rPr>
                    <w:t>周期性规律</w:t>
                  </w:r>
                </w:p>
              </w:tc>
              <w:tc>
                <w:tcPr>
                  <w:tcW w:w="1086" w:type="dxa"/>
                  <w:noWrap w:val="0"/>
                  <w:vAlign w:val="center"/>
                </w:tcPr>
                <w:p w14:paraId="0835EE81">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cs="Times New Roman"/>
                      <w:color w:val="auto"/>
                      <w:lang w:val="en-US" w:eastAsia="zh-CN"/>
                    </w:rPr>
                    <w:t>/</w:t>
                  </w:r>
                </w:p>
              </w:tc>
              <w:tc>
                <w:tcPr>
                  <w:tcW w:w="1344" w:type="dxa"/>
                  <w:noWrap w:val="0"/>
                  <w:vAlign w:val="center"/>
                </w:tcPr>
                <w:p w14:paraId="478493A9">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cs="Times New Roman"/>
                      <w:color w:val="auto"/>
                      <w:lang w:val="en-US" w:eastAsia="zh-CN"/>
                    </w:rPr>
                    <w:t>/</w:t>
                  </w:r>
                </w:p>
              </w:tc>
              <w:tc>
                <w:tcPr>
                  <w:tcW w:w="1059" w:type="dxa"/>
                  <w:noWrap w:val="0"/>
                  <w:vAlign w:val="center"/>
                </w:tcPr>
                <w:p w14:paraId="69E32D3A">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cs="Times New Roman"/>
                      <w:color w:val="auto"/>
                      <w:lang w:val="en-US" w:eastAsia="zh-CN"/>
                    </w:rPr>
                    <w:t>/</w:t>
                  </w:r>
                </w:p>
              </w:tc>
            </w:tr>
          </w:tbl>
          <w:p w14:paraId="5D4844FB">
            <w:pPr>
              <w:pStyle w:val="36"/>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废水间接排放口基本情况表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241"/>
              <w:gridCol w:w="1160"/>
              <w:gridCol w:w="2400"/>
              <w:gridCol w:w="1797"/>
              <w:gridCol w:w="2023"/>
              <w:gridCol w:w="1478"/>
              <w:gridCol w:w="2739"/>
            </w:tblGrid>
            <w:tr w14:paraId="7BF09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dxa"/>
                  <w:vMerge w:val="restart"/>
                  <w:noWrap w:val="0"/>
                  <w:vAlign w:val="center"/>
                </w:tcPr>
                <w:p w14:paraId="41D52DE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序号</w:t>
                  </w:r>
                </w:p>
              </w:tc>
              <w:tc>
                <w:tcPr>
                  <w:tcW w:w="1241" w:type="dxa"/>
                  <w:vMerge w:val="restart"/>
                  <w:noWrap w:val="0"/>
                  <w:vAlign w:val="center"/>
                </w:tcPr>
                <w:p w14:paraId="61AB9FF7">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排放口编号</w:t>
                  </w:r>
                </w:p>
              </w:tc>
              <w:tc>
                <w:tcPr>
                  <w:tcW w:w="1160" w:type="dxa"/>
                  <w:vMerge w:val="restart"/>
                  <w:noWrap w:val="0"/>
                  <w:vAlign w:val="center"/>
                </w:tcPr>
                <w:p w14:paraId="05BB036E">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排放名称</w:t>
                  </w:r>
                </w:p>
              </w:tc>
              <w:tc>
                <w:tcPr>
                  <w:tcW w:w="2400" w:type="dxa"/>
                  <w:vMerge w:val="restart"/>
                  <w:noWrap w:val="0"/>
                  <w:vAlign w:val="center"/>
                </w:tcPr>
                <w:p w14:paraId="0ABFAD11">
                  <w:pPr>
                    <w:pStyle w:val="33"/>
                    <w:keepNext w:val="0"/>
                    <w:keepLines w:val="0"/>
                    <w:suppressLineNumbers w:val="0"/>
                    <w:bidi w:val="0"/>
                    <w:spacing w:before="0" w:beforeAutospacing="0" w:after="0" w:afterAutospacing="0"/>
                    <w:ind w:left="0" w:right="0"/>
                    <w:rPr>
                      <w:rFonts w:hint="default"/>
                    </w:rPr>
                  </w:pPr>
                  <w:r>
                    <w:rPr>
                      <w:rFonts w:hint="default"/>
                    </w:rPr>
                    <w:t>排放口</w:t>
                  </w:r>
                </w:p>
                <w:p w14:paraId="7C6D62B7">
                  <w:pPr>
                    <w:pStyle w:val="33"/>
                    <w:keepNext w:val="0"/>
                    <w:keepLines w:val="0"/>
                    <w:suppressLineNumbers w:val="0"/>
                    <w:bidi w:val="0"/>
                    <w:spacing w:before="0" w:beforeAutospacing="0" w:after="0" w:afterAutospacing="0"/>
                    <w:ind w:left="0" w:right="0"/>
                    <w:rPr>
                      <w:rFonts w:hint="default"/>
                    </w:rPr>
                  </w:pPr>
                  <w:r>
                    <w:rPr>
                      <w:rFonts w:hint="default"/>
                    </w:rPr>
                    <w:t>地理坐标</w:t>
                  </w:r>
                </w:p>
              </w:tc>
              <w:tc>
                <w:tcPr>
                  <w:tcW w:w="1797" w:type="dxa"/>
                  <w:vMerge w:val="restart"/>
                  <w:noWrap w:val="0"/>
                  <w:vAlign w:val="center"/>
                </w:tcPr>
                <w:p w14:paraId="4D8B68F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排放去向</w:t>
                  </w:r>
                </w:p>
              </w:tc>
              <w:tc>
                <w:tcPr>
                  <w:tcW w:w="2023" w:type="dxa"/>
                  <w:vMerge w:val="restart"/>
                  <w:noWrap w:val="0"/>
                  <w:vAlign w:val="center"/>
                </w:tcPr>
                <w:p w14:paraId="6995C564">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排放规律</w:t>
                  </w:r>
                </w:p>
              </w:tc>
              <w:tc>
                <w:tcPr>
                  <w:tcW w:w="4217" w:type="dxa"/>
                  <w:gridSpan w:val="2"/>
                  <w:noWrap w:val="0"/>
                  <w:vAlign w:val="center"/>
                </w:tcPr>
                <w:p w14:paraId="7FE9C58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受纳污水处理厂信息</w:t>
                  </w:r>
                </w:p>
              </w:tc>
            </w:tr>
            <w:tr w14:paraId="61B95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dxa"/>
                  <w:vMerge w:val="continue"/>
                  <w:noWrap w:val="0"/>
                  <w:vAlign w:val="center"/>
                </w:tcPr>
                <w:p w14:paraId="553DD9C5">
                  <w:pPr>
                    <w:pStyle w:val="33"/>
                    <w:keepNext w:val="0"/>
                    <w:keepLines w:val="0"/>
                    <w:suppressLineNumbers w:val="0"/>
                    <w:bidi w:val="0"/>
                    <w:spacing w:before="0" w:beforeAutospacing="0" w:after="0" w:afterAutospacing="0"/>
                    <w:ind w:left="0" w:right="0"/>
                    <w:rPr>
                      <w:rFonts w:hint="default" w:cs="Times New Roman"/>
                      <w:color w:val="auto"/>
                    </w:rPr>
                  </w:pPr>
                </w:p>
              </w:tc>
              <w:tc>
                <w:tcPr>
                  <w:tcW w:w="1241" w:type="dxa"/>
                  <w:vMerge w:val="continue"/>
                  <w:noWrap w:val="0"/>
                  <w:vAlign w:val="center"/>
                </w:tcPr>
                <w:p w14:paraId="18AF0A97">
                  <w:pPr>
                    <w:pStyle w:val="33"/>
                    <w:keepNext w:val="0"/>
                    <w:keepLines w:val="0"/>
                    <w:suppressLineNumbers w:val="0"/>
                    <w:bidi w:val="0"/>
                    <w:spacing w:before="0" w:beforeAutospacing="0" w:after="0" w:afterAutospacing="0"/>
                    <w:ind w:left="0" w:right="0"/>
                    <w:rPr>
                      <w:rFonts w:hint="default" w:cs="Times New Roman"/>
                      <w:color w:val="auto"/>
                    </w:rPr>
                  </w:pPr>
                </w:p>
              </w:tc>
              <w:tc>
                <w:tcPr>
                  <w:tcW w:w="1160" w:type="dxa"/>
                  <w:vMerge w:val="continue"/>
                  <w:noWrap w:val="0"/>
                  <w:vAlign w:val="center"/>
                </w:tcPr>
                <w:p w14:paraId="0ED03716">
                  <w:pPr>
                    <w:pStyle w:val="33"/>
                    <w:keepNext w:val="0"/>
                    <w:keepLines w:val="0"/>
                    <w:suppressLineNumbers w:val="0"/>
                    <w:bidi w:val="0"/>
                    <w:spacing w:before="0" w:beforeAutospacing="0" w:after="0" w:afterAutospacing="0"/>
                    <w:ind w:left="0" w:right="0"/>
                    <w:rPr>
                      <w:rFonts w:hint="default" w:cs="Times New Roman"/>
                      <w:color w:val="auto"/>
                    </w:rPr>
                  </w:pPr>
                </w:p>
              </w:tc>
              <w:tc>
                <w:tcPr>
                  <w:tcW w:w="2400" w:type="dxa"/>
                  <w:vMerge w:val="continue"/>
                  <w:noWrap w:val="0"/>
                  <w:vAlign w:val="center"/>
                </w:tcPr>
                <w:p w14:paraId="2DB995D2">
                  <w:pPr>
                    <w:pStyle w:val="33"/>
                    <w:keepNext w:val="0"/>
                    <w:keepLines w:val="0"/>
                    <w:suppressLineNumbers w:val="0"/>
                    <w:bidi w:val="0"/>
                    <w:spacing w:before="0" w:beforeAutospacing="0" w:after="0" w:afterAutospacing="0"/>
                    <w:ind w:left="0" w:right="0"/>
                    <w:rPr>
                      <w:rFonts w:hint="default"/>
                    </w:rPr>
                  </w:pPr>
                </w:p>
              </w:tc>
              <w:tc>
                <w:tcPr>
                  <w:tcW w:w="1797" w:type="dxa"/>
                  <w:vMerge w:val="continue"/>
                  <w:noWrap w:val="0"/>
                  <w:vAlign w:val="center"/>
                </w:tcPr>
                <w:p w14:paraId="6B53DB3B">
                  <w:pPr>
                    <w:pStyle w:val="33"/>
                    <w:keepNext w:val="0"/>
                    <w:keepLines w:val="0"/>
                    <w:suppressLineNumbers w:val="0"/>
                    <w:bidi w:val="0"/>
                    <w:spacing w:before="0" w:beforeAutospacing="0" w:after="0" w:afterAutospacing="0"/>
                    <w:ind w:left="0" w:right="0"/>
                    <w:rPr>
                      <w:rFonts w:hint="default" w:cs="Times New Roman"/>
                      <w:color w:val="auto"/>
                    </w:rPr>
                  </w:pPr>
                </w:p>
              </w:tc>
              <w:tc>
                <w:tcPr>
                  <w:tcW w:w="2023" w:type="dxa"/>
                  <w:vMerge w:val="continue"/>
                  <w:noWrap w:val="0"/>
                  <w:vAlign w:val="center"/>
                </w:tcPr>
                <w:p w14:paraId="6923FE8E">
                  <w:pPr>
                    <w:pStyle w:val="33"/>
                    <w:keepNext w:val="0"/>
                    <w:keepLines w:val="0"/>
                    <w:suppressLineNumbers w:val="0"/>
                    <w:bidi w:val="0"/>
                    <w:spacing w:before="0" w:beforeAutospacing="0" w:after="0" w:afterAutospacing="0"/>
                    <w:ind w:left="0" w:right="0"/>
                    <w:rPr>
                      <w:rFonts w:hint="default" w:cs="Times New Roman"/>
                      <w:color w:val="auto"/>
                    </w:rPr>
                  </w:pPr>
                </w:p>
              </w:tc>
              <w:tc>
                <w:tcPr>
                  <w:tcW w:w="1478" w:type="dxa"/>
                  <w:noWrap w:val="0"/>
                  <w:vAlign w:val="center"/>
                </w:tcPr>
                <w:p w14:paraId="0D98DF9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名称</w:t>
                  </w:r>
                </w:p>
              </w:tc>
              <w:tc>
                <w:tcPr>
                  <w:tcW w:w="2739" w:type="dxa"/>
                  <w:noWrap w:val="0"/>
                  <w:vAlign w:val="center"/>
                </w:tcPr>
                <w:p w14:paraId="075B986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排放标准</w:t>
                  </w:r>
                </w:p>
              </w:tc>
            </w:tr>
            <w:tr w14:paraId="24D44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 w:type="dxa"/>
                  <w:noWrap w:val="0"/>
                  <w:vAlign w:val="center"/>
                </w:tcPr>
                <w:p w14:paraId="472D80B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1</w:t>
                  </w:r>
                </w:p>
              </w:tc>
              <w:tc>
                <w:tcPr>
                  <w:tcW w:w="1241" w:type="dxa"/>
                  <w:noWrap w:val="0"/>
                  <w:vAlign w:val="center"/>
                </w:tcPr>
                <w:p w14:paraId="0DC56F39">
                  <w:pPr>
                    <w:pStyle w:val="33"/>
                    <w:keepNext w:val="0"/>
                    <w:keepLines w:val="0"/>
                    <w:suppressLineNumbers w:val="0"/>
                    <w:bidi w:val="0"/>
                    <w:spacing w:before="0" w:beforeAutospacing="0" w:after="0" w:afterAutospacing="0"/>
                    <w:ind w:left="0" w:right="0"/>
                    <w:rPr>
                      <w:rFonts w:hint="default" w:cs="Times New Roman"/>
                      <w:color w:val="auto"/>
                      <w:lang w:val="en-US"/>
                    </w:rPr>
                  </w:pPr>
                  <w:r>
                    <w:rPr>
                      <w:rFonts w:hint="eastAsia" w:cs="Times New Roman"/>
                      <w:color w:val="auto"/>
                      <w:lang w:val="en-US" w:eastAsia="zh-CN"/>
                    </w:rPr>
                    <w:t>DW001</w:t>
                  </w:r>
                </w:p>
              </w:tc>
              <w:tc>
                <w:tcPr>
                  <w:tcW w:w="1160" w:type="dxa"/>
                  <w:noWrap w:val="0"/>
                  <w:vAlign w:val="center"/>
                </w:tcPr>
                <w:p w14:paraId="14DF5786">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厂区污水总排放口</w:t>
                  </w:r>
                </w:p>
              </w:tc>
              <w:tc>
                <w:tcPr>
                  <w:tcW w:w="2400" w:type="dxa"/>
                  <w:noWrap w:val="0"/>
                  <w:vAlign w:val="center"/>
                </w:tcPr>
                <w:p w14:paraId="34162C5D">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119°19′10.80″，</w:t>
                  </w:r>
                </w:p>
                <w:p w14:paraId="15A4911C">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25°51′2.31″</w:t>
                  </w:r>
                </w:p>
              </w:tc>
              <w:tc>
                <w:tcPr>
                  <w:tcW w:w="1797" w:type="dxa"/>
                  <w:noWrap w:val="0"/>
                  <w:vAlign w:val="center"/>
                </w:tcPr>
                <w:p w14:paraId="74850FE1">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青口汽车工业开发区污水处理厂</w:t>
                  </w:r>
                </w:p>
              </w:tc>
              <w:tc>
                <w:tcPr>
                  <w:tcW w:w="2023" w:type="dxa"/>
                  <w:noWrap w:val="0"/>
                  <w:vAlign w:val="center"/>
                </w:tcPr>
                <w:p w14:paraId="0B5961F6">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ascii="Arial" w:hAnsi="Arial" w:cs="Arial"/>
                      <w:i w:val="0"/>
                      <w:iCs w:val="0"/>
                      <w:caps w:val="0"/>
                      <w:color w:val="auto"/>
                      <w:spacing w:val="0"/>
                      <w:sz w:val="21"/>
                      <w:szCs w:val="21"/>
                      <w:shd w:val="clear" w:color="auto" w:fill="FFFFFF"/>
                      <w:lang w:val="en-US" w:eastAsia="zh-CN"/>
                    </w:rPr>
                    <w:t>间断</w:t>
                  </w:r>
                  <w:r>
                    <w:rPr>
                      <w:rFonts w:hint="default" w:ascii="Arial" w:hAnsi="Arial" w:eastAsia="宋体" w:cs="Arial"/>
                      <w:i w:val="0"/>
                      <w:iCs w:val="0"/>
                      <w:caps w:val="0"/>
                      <w:color w:val="auto"/>
                      <w:spacing w:val="0"/>
                      <w:sz w:val="21"/>
                      <w:szCs w:val="21"/>
                      <w:shd w:val="clear" w:color="auto" w:fill="FFFFFF"/>
                    </w:rPr>
                    <w:t>排放，流量不稳定且无规律，但不属于冲击型排放</w:t>
                  </w:r>
                </w:p>
              </w:tc>
              <w:tc>
                <w:tcPr>
                  <w:tcW w:w="1478" w:type="dxa"/>
                  <w:noWrap w:val="0"/>
                  <w:vAlign w:val="center"/>
                </w:tcPr>
                <w:p w14:paraId="0B7E3AB7">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青口汽车工业开发区污水处理厂</w:t>
                  </w:r>
                </w:p>
              </w:tc>
              <w:tc>
                <w:tcPr>
                  <w:tcW w:w="2739" w:type="dxa"/>
                  <w:noWrap w:val="0"/>
                  <w:vAlign w:val="center"/>
                </w:tcPr>
                <w:p w14:paraId="6F751A63">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《城镇污水处理厂污染物排放标准》（</w:t>
                  </w:r>
                  <w:r>
                    <w:rPr>
                      <w:rFonts w:hint="default" w:cs="Times New Roman"/>
                      <w:color w:val="auto"/>
                    </w:rPr>
                    <w:t>GB18918-2002</w:t>
                  </w:r>
                  <w:r>
                    <w:rPr>
                      <w:rFonts w:hint="eastAsia" w:cs="Times New Roman"/>
                      <w:color w:val="auto"/>
                    </w:rPr>
                    <w:t>）中一级</w:t>
                  </w:r>
                  <w:r>
                    <w:rPr>
                      <w:rFonts w:hint="eastAsia" w:cs="Times New Roman"/>
                      <w:color w:val="auto"/>
                      <w:lang w:val="en-US" w:eastAsia="zh-CN"/>
                    </w:rPr>
                    <w:t>A</w:t>
                  </w:r>
                  <w:r>
                    <w:rPr>
                      <w:rFonts w:hint="eastAsia" w:cs="Times New Roman"/>
                      <w:color w:val="auto"/>
                    </w:rPr>
                    <w:t>标准排放</w:t>
                  </w:r>
                </w:p>
              </w:tc>
            </w:tr>
          </w:tbl>
          <w:p w14:paraId="2A13E8A9">
            <w:pPr>
              <w:pStyle w:val="36"/>
              <w:keepNext w:val="0"/>
              <w:keepLines w:val="0"/>
              <w:numPr>
                <w:ilvl w:val="0"/>
                <w:numId w:val="0"/>
              </w:numPr>
              <w:suppressLineNumbers w:val="0"/>
              <w:bidi w:val="0"/>
              <w:spacing w:before="0" w:beforeAutospacing="0" w:after="0" w:afterAutospacing="0"/>
              <w:ind w:left="0" w:right="0"/>
              <w:jc w:val="both"/>
              <w:rPr>
                <w:rFonts w:hint="default" w:cs="Times New Roman"/>
                <w:color w:val="auto"/>
                <w:lang w:val="en-US" w:eastAsia="zh-CN"/>
              </w:rPr>
            </w:pPr>
          </w:p>
          <w:p w14:paraId="6E91F2F3">
            <w:pPr>
              <w:keepNext w:val="0"/>
              <w:keepLines w:val="0"/>
              <w:suppressLineNumbers w:val="0"/>
              <w:spacing w:before="0" w:beforeAutospacing="0" w:after="0" w:afterAutospacing="0"/>
              <w:ind w:left="0" w:right="0"/>
              <w:jc w:val="center"/>
              <w:rPr>
                <w:rFonts w:hint="default" w:cs="Times New Roman"/>
                <w:color w:val="auto"/>
                <w:lang w:val="en-US" w:eastAsia="zh-CN"/>
              </w:rPr>
            </w:pPr>
          </w:p>
          <w:p w14:paraId="36E7F0AD">
            <w:pPr>
              <w:pStyle w:val="36"/>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废水污染物排放执行标准情况表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791"/>
              <w:gridCol w:w="1931"/>
              <w:gridCol w:w="2174"/>
              <w:gridCol w:w="4607"/>
              <w:gridCol w:w="1731"/>
            </w:tblGrid>
            <w:tr w14:paraId="18893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4481B8E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序号</w:t>
                  </w:r>
                </w:p>
              </w:tc>
              <w:tc>
                <w:tcPr>
                  <w:tcW w:w="1755" w:type="dxa"/>
                  <w:noWrap w:val="0"/>
                  <w:vAlign w:val="center"/>
                </w:tcPr>
                <w:p w14:paraId="3991C829">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cs="Times New Roman"/>
                      <w:color w:val="auto"/>
                    </w:rPr>
                    <w:t>排放口编号</w:t>
                  </w:r>
                </w:p>
              </w:tc>
              <w:tc>
                <w:tcPr>
                  <w:tcW w:w="1892" w:type="dxa"/>
                  <w:noWrap w:val="0"/>
                  <w:vAlign w:val="center"/>
                </w:tcPr>
                <w:p w14:paraId="54D820BB">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cs="Times New Roman"/>
                      <w:color w:val="auto"/>
                    </w:rPr>
                    <w:t>排放名称</w:t>
                  </w:r>
                </w:p>
              </w:tc>
              <w:tc>
                <w:tcPr>
                  <w:tcW w:w="2130" w:type="dxa"/>
                  <w:noWrap w:val="0"/>
                  <w:vAlign w:val="center"/>
                </w:tcPr>
                <w:p w14:paraId="09379384">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污染物种类</w:t>
                  </w:r>
                </w:p>
              </w:tc>
              <w:tc>
                <w:tcPr>
                  <w:tcW w:w="6211" w:type="dxa"/>
                  <w:gridSpan w:val="2"/>
                  <w:noWrap w:val="0"/>
                  <w:vAlign w:val="center"/>
                </w:tcPr>
                <w:p w14:paraId="1C67574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国家或地方污染物排放标准</w:t>
                  </w:r>
                </w:p>
              </w:tc>
            </w:tr>
            <w:tr w14:paraId="747EA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050216F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1</w:t>
                  </w:r>
                </w:p>
              </w:tc>
              <w:tc>
                <w:tcPr>
                  <w:tcW w:w="1755" w:type="dxa"/>
                  <w:vMerge w:val="restart"/>
                  <w:noWrap w:val="0"/>
                  <w:vAlign w:val="center"/>
                </w:tcPr>
                <w:p w14:paraId="66BD6B74">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rPr>
                  </w:pPr>
                  <w:r>
                    <w:rPr>
                      <w:rFonts w:hint="eastAsia" w:cs="Times New Roman"/>
                      <w:color w:val="auto"/>
                      <w:lang w:val="en-US" w:eastAsia="zh-CN"/>
                    </w:rPr>
                    <w:t>DW001</w:t>
                  </w:r>
                </w:p>
              </w:tc>
              <w:tc>
                <w:tcPr>
                  <w:tcW w:w="1892" w:type="dxa"/>
                  <w:vMerge w:val="restart"/>
                  <w:noWrap w:val="0"/>
                  <w:vAlign w:val="center"/>
                </w:tcPr>
                <w:p w14:paraId="61FC82F2">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cs="Times New Roman"/>
                      <w:color w:val="auto"/>
                      <w:lang w:eastAsia="zh-CN"/>
                    </w:rPr>
                    <w:t>厂区污水总排放口</w:t>
                  </w:r>
                </w:p>
              </w:tc>
              <w:tc>
                <w:tcPr>
                  <w:tcW w:w="2130" w:type="dxa"/>
                  <w:noWrap w:val="0"/>
                  <w:vAlign w:val="center"/>
                </w:tcPr>
                <w:p w14:paraId="7D13A932">
                  <w:pPr>
                    <w:pStyle w:val="33"/>
                    <w:keepNext w:val="0"/>
                    <w:keepLines w:val="0"/>
                    <w:suppressLineNumbers w:val="0"/>
                    <w:bidi w:val="0"/>
                    <w:spacing w:before="0" w:beforeAutospacing="0" w:after="0" w:afterAutospacing="0"/>
                    <w:ind w:left="0" w:right="0"/>
                    <w:rPr>
                      <w:rFonts w:hint="default" w:cs="Times New Roman"/>
                      <w:color w:val="auto"/>
                      <w:lang w:val="zh-TW" w:eastAsia="zh-TW"/>
                    </w:rPr>
                  </w:pPr>
                  <w:r>
                    <w:rPr>
                      <w:rFonts w:hint="default" w:cs="Times New Roman"/>
                      <w:color w:val="auto"/>
                    </w:rPr>
                    <w:t>pH</w:t>
                  </w:r>
                </w:p>
              </w:tc>
              <w:tc>
                <w:tcPr>
                  <w:tcW w:w="4515" w:type="dxa"/>
                  <w:vMerge w:val="restart"/>
                  <w:noWrap w:val="0"/>
                  <w:vAlign w:val="center"/>
                </w:tcPr>
                <w:p w14:paraId="7C6AFF7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《污水综合排放标准》（GB8978-1996）表4中三级标准（氨氮参考GB/T31962-2015《污水排入城镇下水道水质标准》中B等级的最高允许值的排放要求）</w:t>
                  </w:r>
                </w:p>
              </w:tc>
              <w:tc>
                <w:tcPr>
                  <w:tcW w:w="1696" w:type="dxa"/>
                  <w:noWrap w:val="0"/>
                  <w:vAlign w:val="center"/>
                </w:tcPr>
                <w:p w14:paraId="735359F4">
                  <w:pPr>
                    <w:pStyle w:val="33"/>
                    <w:keepNext w:val="0"/>
                    <w:keepLines w:val="0"/>
                    <w:suppressLineNumbers w:val="0"/>
                    <w:bidi w:val="0"/>
                    <w:spacing w:before="0" w:beforeAutospacing="0" w:after="0" w:afterAutospacing="0"/>
                    <w:ind w:left="0" w:right="0"/>
                    <w:rPr>
                      <w:rFonts w:hint="default" w:cs="Times New Roman"/>
                      <w:color w:val="auto"/>
                      <w:lang w:val="zh-TW" w:eastAsia="zh-TW"/>
                    </w:rPr>
                  </w:pPr>
                  <w:r>
                    <w:rPr>
                      <w:rFonts w:hint="default" w:cs="Times New Roman"/>
                      <w:color w:val="auto"/>
                    </w:rPr>
                    <w:t>6~9（无量纲）</w:t>
                  </w:r>
                </w:p>
              </w:tc>
            </w:tr>
            <w:tr w14:paraId="41847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62934CC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2</w:t>
                  </w:r>
                </w:p>
              </w:tc>
              <w:tc>
                <w:tcPr>
                  <w:tcW w:w="1755" w:type="dxa"/>
                  <w:vMerge w:val="continue"/>
                  <w:noWrap w:val="0"/>
                  <w:vAlign w:val="center"/>
                </w:tcPr>
                <w:p w14:paraId="50360435">
                  <w:pPr>
                    <w:pStyle w:val="33"/>
                    <w:keepNext w:val="0"/>
                    <w:keepLines w:val="0"/>
                    <w:suppressLineNumbers w:val="0"/>
                    <w:bidi w:val="0"/>
                    <w:spacing w:before="0" w:beforeAutospacing="0" w:after="0" w:afterAutospacing="0"/>
                    <w:ind w:left="0" w:right="0"/>
                    <w:rPr>
                      <w:rFonts w:hint="default" w:cs="Times New Roman"/>
                      <w:color w:val="auto"/>
                    </w:rPr>
                  </w:pPr>
                </w:p>
              </w:tc>
              <w:tc>
                <w:tcPr>
                  <w:tcW w:w="1892" w:type="dxa"/>
                  <w:vMerge w:val="continue"/>
                  <w:noWrap w:val="0"/>
                  <w:vAlign w:val="center"/>
                </w:tcPr>
                <w:p w14:paraId="3EEF6439">
                  <w:pPr>
                    <w:pStyle w:val="33"/>
                    <w:keepNext w:val="0"/>
                    <w:keepLines w:val="0"/>
                    <w:suppressLineNumbers w:val="0"/>
                    <w:bidi w:val="0"/>
                    <w:spacing w:before="0" w:beforeAutospacing="0" w:after="0" w:afterAutospacing="0"/>
                    <w:ind w:left="0" w:right="0"/>
                    <w:rPr>
                      <w:rFonts w:hint="default" w:cs="Times New Roman"/>
                      <w:color w:val="auto"/>
                    </w:rPr>
                  </w:pPr>
                </w:p>
              </w:tc>
              <w:tc>
                <w:tcPr>
                  <w:tcW w:w="2130" w:type="dxa"/>
                  <w:noWrap w:val="0"/>
                  <w:vAlign w:val="center"/>
                </w:tcPr>
                <w:p w14:paraId="4E131A2D">
                  <w:pPr>
                    <w:pStyle w:val="33"/>
                    <w:keepNext w:val="0"/>
                    <w:keepLines w:val="0"/>
                    <w:suppressLineNumbers w:val="0"/>
                    <w:bidi w:val="0"/>
                    <w:spacing w:before="0" w:beforeAutospacing="0" w:after="0" w:afterAutospacing="0"/>
                    <w:ind w:left="0" w:right="0"/>
                    <w:rPr>
                      <w:rFonts w:hint="default" w:cs="Times New Roman"/>
                      <w:color w:val="auto"/>
                      <w:lang w:val="zh-TW" w:eastAsia="zh-TW"/>
                    </w:rPr>
                  </w:pPr>
                  <w:r>
                    <w:rPr>
                      <w:rFonts w:hint="default" w:cs="Times New Roman"/>
                      <w:color w:val="auto"/>
                    </w:rPr>
                    <w:t>COD</w:t>
                  </w:r>
                </w:p>
              </w:tc>
              <w:tc>
                <w:tcPr>
                  <w:tcW w:w="4515" w:type="dxa"/>
                  <w:vMerge w:val="continue"/>
                  <w:noWrap w:val="0"/>
                  <w:vAlign w:val="center"/>
                </w:tcPr>
                <w:p w14:paraId="2C7CC37E">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41994615">
                  <w:pPr>
                    <w:pStyle w:val="33"/>
                    <w:keepNext w:val="0"/>
                    <w:keepLines w:val="0"/>
                    <w:suppressLineNumbers w:val="0"/>
                    <w:bidi w:val="0"/>
                    <w:spacing w:before="0" w:beforeAutospacing="0" w:after="0" w:afterAutospacing="0"/>
                    <w:ind w:left="0" w:right="0"/>
                    <w:rPr>
                      <w:rFonts w:hint="eastAsia" w:cs="Times New Roman"/>
                      <w:color w:val="auto"/>
                      <w:lang w:val="zh-TW" w:eastAsia="zh-CN"/>
                    </w:rPr>
                  </w:pPr>
                  <w:r>
                    <w:rPr>
                      <w:rFonts w:hint="default" w:cs="Times New Roman"/>
                      <w:color w:val="auto"/>
                    </w:rPr>
                    <w:t>500mg/L</w:t>
                  </w:r>
                </w:p>
              </w:tc>
            </w:tr>
            <w:tr w14:paraId="12467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41613073">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3</w:t>
                  </w:r>
                </w:p>
              </w:tc>
              <w:tc>
                <w:tcPr>
                  <w:tcW w:w="1755" w:type="dxa"/>
                  <w:vMerge w:val="continue"/>
                  <w:noWrap w:val="0"/>
                  <w:vAlign w:val="center"/>
                </w:tcPr>
                <w:p w14:paraId="15B090AA">
                  <w:pPr>
                    <w:pStyle w:val="33"/>
                    <w:keepNext w:val="0"/>
                    <w:keepLines w:val="0"/>
                    <w:suppressLineNumbers w:val="0"/>
                    <w:bidi w:val="0"/>
                    <w:spacing w:before="0" w:beforeAutospacing="0" w:after="0" w:afterAutospacing="0"/>
                    <w:ind w:left="0" w:right="0"/>
                    <w:rPr>
                      <w:rFonts w:hint="default" w:cs="Times New Roman"/>
                      <w:color w:val="auto"/>
                    </w:rPr>
                  </w:pPr>
                </w:p>
              </w:tc>
              <w:tc>
                <w:tcPr>
                  <w:tcW w:w="1892" w:type="dxa"/>
                  <w:vMerge w:val="continue"/>
                  <w:noWrap w:val="0"/>
                  <w:vAlign w:val="center"/>
                </w:tcPr>
                <w:p w14:paraId="24E12673">
                  <w:pPr>
                    <w:pStyle w:val="33"/>
                    <w:keepNext w:val="0"/>
                    <w:keepLines w:val="0"/>
                    <w:suppressLineNumbers w:val="0"/>
                    <w:bidi w:val="0"/>
                    <w:spacing w:before="0" w:beforeAutospacing="0" w:after="0" w:afterAutospacing="0"/>
                    <w:ind w:left="0" w:right="0"/>
                    <w:rPr>
                      <w:rFonts w:hint="default" w:cs="Times New Roman"/>
                      <w:color w:val="auto"/>
                    </w:rPr>
                  </w:pPr>
                </w:p>
              </w:tc>
              <w:tc>
                <w:tcPr>
                  <w:tcW w:w="2130" w:type="dxa"/>
                  <w:noWrap w:val="0"/>
                  <w:vAlign w:val="center"/>
                </w:tcPr>
                <w:p w14:paraId="5D42D62A">
                  <w:pPr>
                    <w:pStyle w:val="33"/>
                    <w:keepNext w:val="0"/>
                    <w:keepLines w:val="0"/>
                    <w:suppressLineNumbers w:val="0"/>
                    <w:bidi w:val="0"/>
                    <w:spacing w:before="0" w:beforeAutospacing="0" w:after="0" w:afterAutospacing="0"/>
                    <w:ind w:left="0" w:right="0"/>
                    <w:rPr>
                      <w:rFonts w:hint="default" w:cs="Times New Roman"/>
                      <w:color w:val="auto"/>
                      <w:lang w:val="zh-TW" w:eastAsia="zh-TW"/>
                    </w:rPr>
                  </w:pPr>
                  <w:r>
                    <w:rPr>
                      <w:rFonts w:hint="default" w:cs="Times New Roman"/>
                      <w:color w:val="auto"/>
                    </w:rPr>
                    <w:t>BOD</w:t>
                  </w:r>
                  <w:r>
                    <w:rPr>
                      <w:rFonts w:hint="default" w:cs="Times New Roman"/>
                      <w:color w:val="auto"/>
                      <w:vertAlign w:val="subscript"/>
                    </w:rPr>
                    <w:t>5</w:t>
                  </w:r>
                </w:p>
              </w:tc>
              <w:tc>
                <w:tcPr>
                  <w:tcW w:w="4515" w:type="dxa"/>
                  <w:vMerge w:val="continue"/>
                  <w:noWrap w:val="0"/>
                  <w:vAlign w:val="center"/>
                </w:tcPr>
                <w:p w14:paraId="32333F0C">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4D1BA97F">
                  <w:pPr>
                    <w:pStyle w:val="33"/>
                    <w:keepNext w:val="0"/>
                    <w:keepLines w:val="0"/>
                    <w:suppressLineNumbers w:val="0"/>
                    <w:bidi w:val="0"/>
                    <w:spacing w:before="0" w:beforeAutospacing="0" w:after="0" w:afterAutospacing="0"/>
                    <w:ind w:left="0" w:right="0"/>
                    <w:rPr>
                      <w:rFonts w:hint="default" w:cs="Times New Roman"/>
                      <w:color w:val="auto"/>
                      <w:lang w:val="zh-TW" w:eastAsia="zh-TW"/>
                    </w:rPr>
                  </w:pPr>
                  <w:r>
                    <w:rPr>
                      <w:rFonts w:hint="default" w:cs="Times New Roman"/>
                      <w:color w:val="auto"/>
                    </w:rPr>
                    <w:t>3</w:t>
                  </w:r>
                  <w:r>
                    <w:rPr>
                      <w:rFonts w:hint="eastAsia" w:cs="Times New Roman"/>
                      <w:color w:val="auto"/>
                    </w:rPr>
                    <w:t>0</w:t>
                  </w:r>
                  <w:r>
                    <w:rPr>
                      <w:rFonts w:hint="default" w:cs="Times New Roman"/>
                      <w:color w:val="auto"/>
                    </w:rPr>
                    <w:t>0mg/L</w:t>
                  </w:r>
                </w:p>
              </w:tc>
            </w:tr>
            <w:tr w14:paraId="4E1B3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4C557BF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4</w:t>
                  </w:r>
                </w:p>
              </w:tc>
              <w:tc>
                <w:tcPr>
                  <w:tcW w:w="1755" w:type="dxa"/>
                  <w:vMerge w:val="continue"/>
                  <w:noWrap w:val="0"/>
                  <w:vAlign w:val="center"/>
                </w:tcPr>
                <w:p w14:paraId="51A857B0">
                  <w:pPr>
                    <w:pStyle w:val="33"/>
                    <w:keepNext w:val="0"/>
                    <w:keepLines w:val="0"/>
                    <w:suppressLineNumbers w:val="0"/>
                    <w:bidi w:val="0"/>
                    <w:spacing w:before="0" w:beforeAutospacing="0" w:after="0" w:afterAutospacing="0"/>
                    <w:ind w:left="0" w:right="0"/>
                    <w:rPr>
                      <w:rFonts w:hint="default" w:cs="Times New Roman"/>
                      <w:color w:val="auto"/>
                    </w:rPr>
                  </w:pPr>
                </w:p>
              </w:tc>
              <w:tc>
                <w:tcPr>
                  <w:tcW w:w="1892" w:type="dxa"/>
                  <w:vMerge w:val="continue"/>
                  <w:noWrap w:val="0"/>
                  <w:vAlign w:val="center"/>
                </w:tcPr>
                <w:p w14:paraId="7680AE34">
                  <w:pPr>
                    <w:pStyle w:val="33"/>
                    <w:keepNext w:val="0"/>
                    <w:keepLines w:val="0"/>
                    <w:suppressLineNumbers w:val="0"/>
                    <w:bidi w:val="0"/>
                    <w:spacing w:before="0" w:beforeAutospacing="0" w:after="0" w:afterAutospacing="0"/>
                    <w:ind w:left="0" w:right="0"/>
                    <w:rPr>
                      <w:rFonts w:hint="default" w:cs="Times New Roman"/>
                      <w:color w:val="auto"/>
                    </w:rPr>
                  </w:pPr>
                </w:p>
              </w:tc>
              <w:tc>
                <w:tcPr>
                  <w:tcW w:w="2130" w:type="dxa"/>
                  <w:noWrap w:val="0"/>
                  <w:vAlign w:val="center"/>
                </w:tcPr>
                <w:p w14:paraId="74D6E38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SS</w:t>
                  </w:r>
                </w:p>
              </w:tc>
              <w:tc>
                <w:tcPr>
                  <w:tcW w:w="4515" w:type="dxa"/>
                  <w:vMerge w:val="continue"/>
                  <w:noWrap w:val="0"/>
                  <w:vAlign w:val="center"/>
                </w:tcPr>
                <w:p w14:paraId="6ACE1CB8">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482BADD4">
                  <w:pPr>
                    <w:pStyle w:val="33"/>
                    <w:keepNext w:val="0"/>
                    <w:keepLines w:val="0"/>
                    <w:suppressLineNumbers w:val="0"/>
                    <w:bidi w:val="0"/>
                    <w:spacing w:before="0" w:beforeAutospacing="0" w:after="0" w:afterAutospacing="0"/>
                    <w:ind w:left="0" w:right="0"/>
                    <w:rPr>
                      <w:rFonts w:hint="default" w:cs="Times New Roman"/>
                      <w:color w:val="auto"/>
                      <w:lang w:val="zh-TW" w:eastAsia="zh-TW"/>
                    </w:rPr>
                  </w:pPr>
                  <w:r>
                    <w:rPr>
                      <w:rFonts w:hint="default" w:cs="Times New Roman"/>
                      <w:color w:val="auto"/>
                    </w:rPr>
                    <w:t>400mg/L</w:t>
                  </w:r>
                </w:p>
              </w:tc>
            </w:tr>
            <w:tr w14:paraId="01A2C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dxa"/>
                  <w:noWrap w:val="0"/>
                  <w:vAlign w:val="center"/>
                </w:tcPr>
                <w:p w14:paraId="2233F749">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5</w:t>
                  </w:r>
                </w:p>
              </w:tc>
              <w:tc>
                <w:tcPr>
                  <w:tcW w:w="1755" w:type="dxa"/>
                  <w:vMerge w:val="continue"/>
                  <w:noWrap w:val="0"/>
                  <w:vAlign w:val="center"/>
                </w:tcPr>
                <w:p w14:paraId="44496AB2">
                  <w:pPr>
                    <w:pStyle w:val="33"/>
                    <w:keepNext w:val="0"/>
                    <w:keepLines w:val="0"/>
                    <w:suppressLineNumbers w:val="0"/>
                    <w:bidi w:val="0"/>
                    <w:spacing w:before="0" w:beforeAutospacing="0" w:after="0" w:afterAutospacing="0"/>
                    <w:ind w:left="0" w:right="0"/>
                    <w:rPr>
                      <w:rFonts w:hint="default" w:cs="Times New Roman"/>
                      <w:color w:val="auto"/>
                    </w:rPr>
                  </w:pPr>
                </w:p>
              </w:tc>
              <w:tc>
                <w:tcPr>
                  <w:tcW w:w="1892" w:type="dxa"/>
                  <w:vMerge w:val="continue"/>
                  <w:noWrap w:val="0"/>
                  <w:vAlign w:val="center"/>
                </w:tcPr>
                <w:p w14:paraId="2484293A">
                  <w:pPr>
                    <w:pStyle w:val="33"/>
                    <w:keepNext w:val="0"/>
                    <w:keepLines w:val="0"/>
                    <w:suppressLineNumbers w:val="0"/>
                    <w:bidi w:val="0"/>
                    <w:spacing w:before="0" w:beforeAutospacing="0" w:after="0" w:afterAutospacing="0"/>
                    <w:ind w:left="0" w:right="0"/>
                    <w:rPr>
                      <w:rFonts w:hint="default" w:cs="Times New Roman"/>
                      <w:color w:val="auto"/>
                    </w:rPr>
                  </w:pPr>
                </w:p>
              </w:tc>
              <w:tc>
                <w:tcPr>
                  <w:tcW w:w="2130" w:type="dxa"/>
                  <w:noWrap w:val="0"/>
                  <w:vAlign w:val="center"/>
                </w:tcPr>
                <w:p w14:paraId="455B86A8">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rPr>
                    <w:t>氨氮</w:t>
                  </w:r>
                </w:p>
              </w:tc>
              <w:tc>
                <w:tcPr>
                  <w:tcW w:w="4515" w:type="dxa"/>
                  <w:vMerge w:val="continue"/>
                  <w:noWrap w:val="0"/>
                  <w:vAlign w:val="center"/>
                </w:tcPr>
                <w:p w14:paraId="7D5C79EF">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01787502">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45mg/L</w:t>
                  </w:r>
                </w:p>
              </w:tc>
            </w:tr>
          </w:tbl>
          <w:p w14:paraId="3C8151AE">
            <w:pPr>
              <w:pStyle w:val="33"/>
              <w:keepNext w:val="0"/>
              <w:keepLines w:val="0"/>
              <w:suppressLineNumbers w:val="0"/>
              <w:bidi w:val="0"/>
              <w:spacing w:before="0" w:beforeAutospacing="0" w:after="0" w:afterAutospacing="0"/>
              <w:ind w:left="0" w:right="0"/>
              <w:rPr>
                <w:rFonts w:hint="default" w:cs="Times New Roman"/>
                <w:color w:val="auto"/>
              </w:rPr>
            </w:pPr>
          </w:p>
          <w:p w14:paraId="7D432455">
            <w:pPr>
              <w:pStyle w:val="36"/>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lang w:val="en-US" w:eastAsia="zh-CN"/>
              </w:rPr>
              <w:t>雨水排放口基本情况表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64"/>
              <w:gridCol w:w="1371"/>
              <w:gridCol w:w="1420"/>
              <w:gridCol w:w="2183"/>
              <w:gridCol w:w="3366"/>
              <w:gridCol w:w="1199"/>
              <w:gridCol w:w="1361"/>
              <w:gridCol w:w="1769"/>
            </w:tblGrid>
            <w:tr w14:paraId="7287C6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c>
                <w:tcPr>
                  <w:tcW w:w="284" w:type="pct"/>
                  <w:tcBorders>
                    <w:tl2br w:val="nil"/>
                    <w:tr2bl w:val="nil"/>
                  </w:tcBorders>
                  <w:noWrap w:val="0"/>
                  <w:vAlign w:val="center"/>
                </w:tcPr>
                <w:p w14:paraId="14E2B143">
                  <w:pPr>
                    <w:pStyle w:val="33"/>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4"/>
                      <w:lang w:val="en-US" w:eastAsia="zh-CN" w:bidi="ar-SA"/>
                    </w:rPr>
                  </w:pPr>
                  <w:r>
                    <w:rPr>
                      <w:rFonts w:hint="default" w:cs="Times New Roman"/>
                      <w:color w:val="auto"/>
                      <w:lang w:val="en-US" w:eastAsia="zh-CN"/>
                    </w:rPr>
                    <w:t>序号</w:t>
                  </w:r>
                </w:p>
              </w:tc>
              <w:tc>
                <w:tcPr>
                  <w:tcW w:w="510" w:type="pct"/>
                  <w:tcBorders>
                    <w:tl2br w:val="nil"/>
                    <w:tr2bl w:val="nil"/>
                  </w:tcBorders>
                  <w:noWrap w:val="0"/>
                  <w:vAlign w:val="center"/>
                </w:tcPr>
                <w:p w14:paraId="1B482499">
                  <w:pPr>
                    <w:pStyle w:val="33"/>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4"/>
                      <w:lang w:val="en-US" w:eastAsia="zh-CN" w:bidi="ar-SA"/>
                    </w:rPr>
                  </w:pPr>
                  <w:r>
                    <w:rPr>
                      <w:rFonts w:hint="default" w:cs="Times New Roman"/>
                      <w:color w:val="auto"/>
                      <w:lang w:val="en-US" w:eastAsia="zh-CN"/>
                    </w:rPr>
                    <w:t>排放口编号</w:t>
                  </w:r>
                </w:p>
              </w:tc>
              <w:tc>
                <w:tcPr>
                  <w:tcW w:w="528" w:type="pct"/>
                  <w:tcBorders>
                    <w:tl2br w:val="nil"/>
                    <w:tr2bl w:val="nil"/>
                  </w:tcBorders>
                  <w:noWrap w:val="0"/>
                  <w:vAlign w:val="center"/>
                </w:tcPr>
                <w:p w14:paraId="610A993E">
                  <w:pPr>
                    <w:pStyle w:val="33"/>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4"/>
                      <w:lang w:val="en-US" w:eastAsia="zh-CN" w:bidi="ar-SA"/>
                    </w:rPr>
                  </w:pPr>
                  <w:r>
                    <w:rPr>
                      <w:rFonts w:hint="default" w:cs="Times New Roman"/>
                      <w:color w:val="auto"/>
                      <w:lang w:val="en-US" w:eastAsia="zh-CN"/>
                    </w:rPr>
                    <w:t>排放口名称</w:t>
                  </w:r>
                </w:p>
              </w:tc>
              <w:tc>
                <w:tcPr>
                  <w:tcW w:w="812" w:type="pct"/>
                  <w:tcBorders>
                    <w:tl2br w:val="nil"/>
                    <w:tr2bl w:val="nil"/>
                  </w:tcBorders>
                  <w:noWrap w:val="0"/>
                  <w:vAlign w:val="center"/>
                </w:tcPr>
                <w:p w14:paraId="5FB0C48C">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r>
                    <w:rPr>
                      <w:rFonts w:hint="default" w:cs="Times New Roman"/>
                      <w:color w:val="auto"/>
                      <w:lang w:val="en-US" w:eastAsia="zh-CN"/>
                    </w:rPr>
                    <w:t>排放去向</w:t>
                  </w:r>
                </w:p>
              </w:tc>
              <w:tc>
                <w:tcPr>
                  <w:tcW w:w="1252" w:type="pct"/>
                  <w:tcBorders>
                    <w:tl2br w:val="nil"/>
                    <w:tr2bl w:val="nil"/>
                  </w:tcBorders>
                  <w:noWrap w:val="0"/>
                  <w:vAlign w:val="center"/>
                </w:tcPr>
                <w:p w14:paraId="29E792B9">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r>
                    <w:rPr>
                      <w:rFonts w:hint="default" w:cs="Times New Roman"/>
                      <w:color w:val="auto"/>
                      <w:lang w:val="en-US" w:eastAsia="zh-CN"/>
                    </w:rPr>
                    <w:t>排放规律</w:t>
                  </w:r>
                </w:p>
              </w:tc>
              <w:tc>
                <w:tcPr>
                  <w:tcW w:w="446" w:type="pct"/>
                  <w:tcBorders>
                    <w:tl2br w:val="nil"/>
                    <w:tr2bl w:val="nil"/>
                  </w:tcBorders>
                  <w:noWrap w:val="0"/>
                  <w:vAlign w:val="center"/>
                </w:tcPr>
                <w:p w14:paraId="2E8E4763">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间歇排放时段</w:t>
                  </w:r>
                </w:p>
              </w:tc>
              <w:tc>
                <w:tcPr>
                  <w:tcW w:w="506" w:type="pct"/>
                  <w:tcBorders>
                    <w:tl2br w:val="nil"/>
                    <w:tr2bl w:val="nil"/>
                  </w:tcBorders>
                  <w:noWrap w:val="0"/>
                  <w:vAlign w:val="center"/>
                </w:tcPr>
                <w:p w14:paraId="0C0CABA6">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r>
                    <w:rPr>
                      <w:rFonts w:hint="default" w:cs="Times New Roman"/>
                      <w:color w:val="auto"/>
                      <w:lang w:val="en-US" w:eastAsia="zh-CN"/>
                    </w:rPr>
                    <w:t>名称</w:t>
                  </w:r>
                </w:p>
              </w:tc>
              <w:tc>
                <w:tcPr>
                  <w:tcW w:w="658" w:type="pct"/>
                  <w:tcBorders>
                    <w:tl2br w:val="nil"/>
                    <w:tr2bl w:val="nil"/>
                  </w:tcBorders>
                  <w:noWrap w:val="0"/>
                  <w:vAlign w:val="center"/>
                </w:tcPr>
                <w:p w14:paraId="5965063F">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r>
                    <w:rPr>
                      <w:rFonts w:hint="default" w:cs="Times New Roman"/>
                      <w:color w:val="auto"/>
                      <w:lang w:val="en-US" w:eastAsia="zh-CN"/>
                    </w:rPr>
                    <w:t>受纳水体功能目标</w:t>
                  </w:r>
                </w:p>
              </w:tc>
            </w:tr>
            <w:tr w14:paraId="30A1A8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84" w:type="pct"/>
                  <w:tcBorders>
                    <w:tl2br w:val="nil"/>
                    <w:tr2bl w:val="nil"/>
                  </w:tcBorders>
                  <w:noWrap w:val="0"/>
                  <w:vAlign w:val="center"/>
                </w:tcPr>
                <w:p w14:paraId="78D7424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lang w:val="en-US" w:eastAsia="zh-CN"/>
                    </w:rPr>
                    <w:t>1</w:t>
                  </w:r>
                </w:p>
              </w:tc>
              <w:tc>
                <w:tcPr>
                  <w:tcW w:w="510" w:type="pct"/>
                  <w:tcBorders>
                    <w:tl2br w:val="nil"/>
                    <w:tr2bl w:val="nil"/>
                  </w:tcBorders>
                  <w:noWrap w:val="0"/>
                  <w:vAlign w:val="center"/>
                </w:tcPr>
                <w:p w14:paraId="6AC4ECEE">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lang w:val="en-US" w:eastAsia="zh-CN"/>
                    </w:rPr>
                    <w:t>YS001</w:t>
                  </w:r>
                </w:p>
              </w:tc>
              <w:tc>
                <w:tcPr>
                  <w:tcW w:w="528" w:type="pct"/>
                  <w:tcBorders>
                    <w:tl2br w:val="nil"/>
                    <w:tr2bl w:val="nil"/>
                  </w:tcBorders>
                  <w:noWrap w:val="0"/>
                  <w:vAlign w:val="center"/>
                </w:tcPr>
                <w:p w14:paraId="20675529">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lang w:val="en-US" w:eastAsia="zh-CN"/>
                    </w:rPr>
                    <w:t>雨水排放口</w:t>
                  </w:r>
                </w:p>
              </w:tc>
              <w:tc>
                <w:tcPr>
                  <w:tcW w:w="812" w:type="pct"/>
                  <w:tcBorders>
                    <w:tl2br w:val="nil"/>
                    <w:tr2bl w:val="nil"/>
                  </w:tcBorders>
                  <w:noWrap w:val="0"/>
                  <w:vAlign w:val="center"/>
                </w:tcPr>
                <w:p w14:paraId="799156A6">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经市政雨水管网，排入进入江河、湖、库等水环境</w:t>
                  </w:r>
                </w:p>
              </w:tc>
              <w:tc>
                <w:tcPr>
                  <w:tcW w:w="1252" w:type="pct"/>
                  <w:tcBorders>
                    <w:tl2br w:val="nil"/>
                    <w:tr2bl w:val="nil"/>
                  </w:tcBorders>
                  <w:noWrap w:val="0"/>
                  <w:vAlign w:val="center"/>
                </w:tcPr>
                <w:p w14:paraId="4567ABB4">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lang w:val="en-US" w:eastAsia="zh-CN"/>
                    </w:rPr>
                    <w:t>间断排放，排放期间流量不稳定且无规律，但不属于冲击型排放</w:t>
                  </w:r>
                </w:p>
              </w:tc>
              <w:tc>
                <w:tcPr>
                  <w:tcW w:w="446" w:type="pct"/>
                  <w:tcBorders>
                    <w:tl2br w:val="nil"/>
                    <w:tr2bl w:val="nil"/>
                  </w:tcBorders>
                  <w:noWrap w:val="0"/>
                  <w:vAlign w:val="center"/>
                </w:tcPr>
                <w:p w14:paraId="62242BAE">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降雨期间</w:t>
                  </w:r>
                </w:p>
              </w:tc>
              <w:tc>
                <w:tcPr>
                  <w:tcW w:w="506" w:type="pct"/>
                  <w:tcBorders>
                    <w:tl2br w:val="nil"/>
                    <w:tr2bl w:val="nil"/>
                  </w:tcBorders>
                  <w:noWrap w:val="0"/>
                  <w:vAlign w:val="center"/>
                </w:tcPr>
                <w:p w14:paraId="2B57F877">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eastAsia="宋体" w:cs="Times New Roman"/>
                      <w:color w:val="auto"/>
                      <w:lang w:val="en-US" w:eastAsia="zh-CN"/>
                    </w:rPr>
                    <w:t>淘江</w:t>
                  </w:r>
                </w:p>
              </w:tc>
              <w:tc>
                <w:tcPr>
                  <w:tcW w:w="658" w:type="pct"/>
                  <w:tcBorders>
                    <w:tl2br w:val="nil"/>
                    <w:tr2bl w:val="nil"/>
                  </w:tcBorders>
                  <w:noWrap w:val="0"/>
                  <w:vAlign w:val="center"/>
                </w:tcPr>
                <w:p w14:paraId="1B1664D8">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olor w:val="000000" w:themeColor="text1"/>
                      <w14:textFill>
                        <w14:solidFill>
                          <w14:schemeClr w14:val="tx1"/>
                        </w14:solidFill>
                      </w14:textFill>
                    </w:rPr>
                    <w:t>《地表水环境质量标准》(GB3838-2002)</w:t>
                  </w:r>
                  <w:r>
                    <w:rPr>
                      <w:rFonts w:hint="eastAsia"/>
                      <w:color w:val="000000" w:themeColor="text1"/>
                      <w14:textFill>
                        <w14:solidFill>
                          <w14:schemeClr w14:val="tx1"/>
                        </w14:solidFill>
                      </w14:textFill>
                    </w:rPr>
                    <w:t>Ⅲ</w:t>
                  </w:r>
                  <w:r>
                    <w:rPr>
                      <w:rFonts w:hint="default"/>
                      <w:color w:val="000000" w:themeColor="text1"/>
                      <w14:textFill>
                        <w14:solidFill>
                          <w14:schemeClr w14:val="tx1"/>
                        </w14:solidFill>
                      </w14:textFill>
                    </w:rPr>
                    <w:t>类标准</w:t>
                  </w:r>
                </w:p>
              </w:tc>
            </w:tr>
          </w:tbl>
          <w:p w14:paraId="16A3B922">
            <w:pPr>
              <w:pStyle w:val="33"/>
              <w:keepNext w:val="0"/>
              <w:keepLines w:val="0"/>
              <w:suppressLineNumbers w:val="0"/>
              <w:bidi w:val="0"/>
              <w:spacing w:before="0" w:beforeAutospacing="0" w:after="0" w:afterAutospacing="0"/>
              <w:ind w:left="0" w:right="0"/>
              <w:jc w:val="both"/>
              <w:rPr>
                <w:rFonts w:hint="default" w:cs="Times New Roman"/>
                <w:color w:val="auto"/>
              </w:rPr>
            </w:pPr>
          </w:p>
        </w:tc>
      </w:tr>
    </w:tbl>
    <w:p w14:paraId="511B00B1">
      <w:pPr>
        <w:ind w:left="0" w:leftChars="0" w:firstLine="0" w:firstLineChars="0"/>
        <w:rPr>
          <w:rFonts w:hint="eastAsia"/>
          <w:color w:val="auto"/>
        </w:rPr>
        <w:sectPr>
          <w:pgSz w:w="16840" w:h="11907"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442179A1">
      <w:pPr>
        <w:rPr>
          <w:rFonts w:hint="eastAsia"/>
          <w:color w:val="auto"/>
        </w:rPr>
      </w:pPr>
    </w:p>
    <w:tbl>
      <w:tblPr>
        <w:tblStyle w:val="23"/>
        <w:tblW w:w="914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34"/>
        <w:gridCol w:w="8709"/>
      </w:tblGrid>
      <w:tr w14:paraId="29439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1" w:type="dxa"/>
            <w:noWrap w:val="0"/>
            <w:tcMar>
              <w:left w:w="28" w:type="dxa"/>
              <w:right w:w="28" w:type="dxa"/>
            </w:tcMar>
            <w:vAlign w:val="center"/>
          </w:tcPr>
          <w:p w14:paraId="496DD8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运营</w:t>
            </w:r>
          </w:p>
          <w:p w14:paraId="2E203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期环</w:t>
            </w:r>
          </w:p>
          <w:p w14:paraId="2A93C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境影</w:t>
            </w:r>
          </w:p>
          <w:p w14:paraId="0065BC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响和</w:t>
            </w:r>
          </w:p>
          <w:p w14:paraId="00915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宋体" w:hAnsi="宋体" w:cs="宋体"/>
                <w:bCs/>
                <w:color w:val="auto"/>
                <w:sz w:val="24"/>
              </w:rPr>
            </w:pPr>
            <w:r>
              <w:rPr>
                <w:rFonts w:hint="eastAsia" w:ascii="宋体" w:hAnsi="宋体" w:cs="宋体"/>
                <w:bCs/>
                <w:color w:val="auto"/>
                <w:sz w:val="24"/>
              </w:rPr>
              <w:t>保护</w:t>
            </w:r>
          </w:p>
          <w:p w14:paraId="04A67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宋体" w:hAnsi="宋体" w:cs="宋体"/>
                <w:bCs/>
                <w:color w:val="auto"/>
                <w:szCs w:val="21"/>
              </w:rPr>
            </w:pPr>
            <w:r>
              <w:rPr>
                <w:rFonts w:hint="eastAsia" w:ascii="宋体" w:hAnsi="宋体" w:cs="宋体"/>
                <w:bCs/>
                <w:color w:val="auto"/>
                <w:sz w:val="24"/>
              </w:rPr>
              <w:t>措施</w:t>
            </w:r>
          </w:p>
        </w:tc>
        <w:tc>
          <w:tcPr>
            <w:tcW w:w="8612" w:type="dxa"/>
            <w:noWrap w:val="0"/>
            <w:vAlign w:val="center"/>
          </w:tcPr>
          <w:p w14:paraId="39286CD9">
            <w:pPr>
              <w:pStyle w:val="4"/>
              <w:keepNext w:val="0"/>
              <w:keepLines w:val="0"/>
              <w:suppressLineNumbers w:val="0"/>
              <w:ind w:left="0" w:right="0"/>
              <w:rPr>
                <w:rFonts w:hint="default"/>
                <w:color w:val="auto"/>
              </w:rPr>
            </w:pPr>
            <w:r>
              <w:rPr>
                <w:rFonts w:hint="eastAsia"/>
                <w:color w:val="auto"/>
              </w:rPr>
              <w:t>水环境影响分析</w:t>
            </w:r>
          </w:p>
          <w:p w14:paraId="36221B66">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项目排水采用雨污分流制。项目</w:t>
            </w:r>
            <w:r>
              <w:rPr>
                <w:rFonts w:hint="eastAsia" w:cs="Times New Roman"/>
                <w:color w:val="auto"/>
                <w:lang w:eastAsia="zh-CN"/>
              </w:rPr>
              <w:t>无</w:t>
            </w:r>
            <w:r>
              <w:rPr>
                <w:rFonts w:hint="eastAsia" w:cs="Times New Roman"/>
                <w:color w:val="auto"/>
              </w:rPr>
              <w:t>生产废水；</w:t>
            </w:r>
            <w:r>
              <w:rPr>
                <w:rFonts w:hint="eastAsia" w:cs="Times New Roman"/>
                <w:color w:val="auto"/>
                <w:lang w:eastAsia="zh-CN"/>
              </w:rPr>
              <w:t>职工生活污水经</w:t>
            </w:r>
            <w:r>
              <w:rPr>
                <w:rFonts w:hint="eastAsia" w:cs="Times New Roman"/>
                <w:color w:val="auto"/>
                <w:lang w:val="en-US" w:eastAsia="zh-CN"/>
              </w:rPr>
              <w:t>厂区已建</w:t>
            </w:r>
            <w:r>
              <w:rPr>
                <w:rFonts w:hint="eastAsia" w:cs="Times New Roman"/>
                <w:color w:val="auto"/>
                <w:lang w:eastAsia="zh-CN"/>
              </w:rPr>
              <w:t>化粪池</w:t>
            </w:r>
            <w:r>
              <w:rPr>
                <w:rFonts w:hint="eastAsia" w:cs="Times New Roman"/>
                <w:color w:val="auto"/>
              </w:rPr>
              <w:t>处理后</w:t>
            </w:r>
            <w:r>
              <w:rPr>
                <w:rFonts w:hint="eastAsia" w:cs="Times New Roman"/>
                <w:color w:val="auto"/>
                <w:lang w:eastAsia="zh-CN"/>
              </w:rPr>
              <w:t>通过市政污水管网排放</w:t>
            </w:r>
            <w:r>
              <w:rPr>
                <w:rFonts w:hint="eastAsia" w:cs="Times New Roman"/>
                <w:color w:val="auto"/>
              </w:rPr>
              <w:t>至</w:t>
            </w:r>
            <w:r>
              <w:rPr>
                <w:rFonts w:hint="eastAsia" w:cs="Times New Roman"/>
                <w:color w:val="auto"/>
                <w:lang w:eastAsia="zh-CN"/>
              </w:rPr>
              <w:t>青口汽车工业开发区污水处理厂</w:t>
            </w:r>
            <w:r>
              <w:rPr>
                <w:rFonts w:hint="eastAsia" w:cs="Times New Roman"/>
                <w:color w:val="auto"/>
              </w:rPr>
              <w:t>进一步处理，不会对区域地表水体水质造成影响。</w:t>
            </w:r>
          </w:p>
          <w:p w14:paraId="1D2EB06F">
            <w:pPr>
              <w:pStyle w:val="4"/>
              <w:keepNext w:val="0"/>
              <w:keepLines w:val="0"/>
              <w:suppressLineNumbers w:val="0"/>
              <w:ind w:left="0" w:right="0"/>
              <w:rPr>
                <w:rFonts w:hint="default"/>
                <w:color w:val="auto"/>
              </w:rPr>
            </w:pPr>
            <w:r>
              <w:rPr>
                <w:rFonts w:hint="default"/>
                <w:color w:val="auto"/>
              </w:rPr>
              <w:t>废水污染防治措施</w:t>
            </w:r>
          </w:p>
          <w:p w14:paraId="4363CCC9">
            <w:pPr>
              <w:pStyle w:val="42"/>
              <w:rPr>
                <w:rFonts w:hint="eastAsia" w:ascii="Times New Roman" w:hAnsi="Times New Roman" w:cs="Times New Roman"/>
                <w:color w:val="000000"/>
                <w:sz w:val="24"/>
                <w:highlight w:val="none"/>
                <w:lang w:eastAsia="zh-CN"/>
              </w:rPr>
            </w:pPr>
            <w:r>
              <w:rPr>
                <w:rFonts w:hint="eastAsia" w:ascii="Times New Roman" w:hAnsi="Times New Roman" w:cs="Times New Roman"/>
                <w:color w:val="000000"/>
                <w:sz w:val="24"/>
                <w:highlight w:val="none"/>
                <w:lang w:eastAsia="zh-CN"/>
              </w:rPr>
              <w:t>项目</w:t>
            </w:r>
            <w:r>
              <w:rPr>
                <w:rFonts w:hint="default" w:ascii="Times New Roman" w:hAnsi="Times New Roman" w:cs="Times New Roman"/>
                <w:color w:val="000000"/>
                <w:sz w:val="24"/>
                <w:highlight w:val="none"/>
                <w:lang w:eastAsia="zh-CN"/>
              </w:rPr>
              <w:t>生活污水经化粪池预处理后排入市政污水管网，送往</w:t>
            </w:r>
            <w:r>
              <w:rPr>
                <w:rFonts w:hint="eastAsia" w:cs="Times New Roman"/>
                <w:color w:val="auto"/>
                <w:lang w:eastAsia="zh-CN"/>
              </w:rPr>
              <w:t>青口汽车工业开发区污水处理厂</w:t>
            </w:r>
            <w:r>
              <w:rPr>
                <w:rFonts w:hint="default" w:ascii="Times New Roman" w:hAnsi="Times New Roman" w:cs="Times New Roman"/>
                <w:color w:val="000000"/>
                <w:sz w:val="24"/>
                <w:highlight w:val="none"/>
                <w:lang w:eastAsia="zh-CN"/>
              </w:rPr>
              <w:t>集中处理</w:t>
            </w:r>
            <w:r>
              <w:rPr>
                <w:rFonts w:hint="eastAsia" w:ascii="Times New Roman" w:hAnsi="Times New Roman" w:cs="Times New Roman"/>
                <w:color w:val="000000"/>
                <w:sz w:val="24"/>
                <w:highlight w:val="none"/>
                <w:lang w:eastAsia="zh-CN"/>
              </w:rPr>
              <w:t>，属于间接排放，根据</w:t>
            </w:r>
            <w:r>
              <w:rPr>
                <w:rFonts w:hint="default" w:ascii="Times New Roman" w:hAnsi="Times New Roman" w:cs="Times New Roman"/>
                <w:color w:val="000000"/>
                <w:sz w:val="24"/>
                <w:highlight w:val="none"/>
                <w:lang w:eastAsia="zh-CN"/>
              </w:rPr>
              <w:t>《建设项目环境影响报告表编制技术指南</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eastAsia="zh-CN"/>
              </w:rPr>
              <w:t>污染影响类</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eastAsia="zh-CN"/>
              </w:rPr>
              <w:t>试行</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eastAsia="zh-CN"/>
              </w:rPr>
              <w:t>环办环评〔2020〕33号</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eastAsia="zh-CN"/>
              </w:rPr>
              <w:t>要求</w:t>
            </w:r>
            <w:r>
              <w:rPr>
                <w:rFonts w:hint="eastAsia" w:ascii="Times New Roman" w:hAnsi="Times New Roman" w:cs="Times New Roman"/>
                <w:color w:val="000000"/>
                <w:sz w:val="24"/>
                <w:highlight w:val="none"/>
                <w:lang w:eastAsia="zh-CN"/>
              </w:rPr>
              <w:t>，废水间接排放的建设项目应从处理能力、处理工艺、设计进出水水质等方面，分析依托集中污水处理厂的可行性。</w:t>
            </w:r>
          </w:p>
          <w:p w14:paraId="29858635">
            <w:pPr>
              <w:pStyle w:val="42"/>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w:t>
            </w:r>
            <w:r>
              <w:rPr>
                <w:rFonts w:hint="eastAsia" w:ascii="Times New Roman" w:hAnsi="Times New Roman" w:cs="Times New Roman"/>
                <w:color w:val="000000"/>
                <w:highlight w:val="none"/>
                <w:lang w:val="en-US" w:eastAsia="zh-CN"/>
              </w:rPr>
              <w:t>1</w:t>
            </w:r>
            <w:r>
              <w:rPr>
                <w:rFonts w:hint="default" w:ascii="Times New Roman" w:hAnsi="Times New Roman" w:cs="Times New Roman"/>
                <w:color w:val="000000"/>
                <w:highlight w:val="none"/>
                <w:lang w:val="en-US" w:eastAsia="zh-CN"/>
              </w:rPr>
              <w:t>)</w:t>
            </w:r>
            <w:r>
              <w:rPr>
                <w:rFonts w:hint="eastAsia" w:ascii="Times New Roman" w:hAnsi="Times New Roman" w:cs="Times New Roman"/>
                <w:color w:val="000000"/>
                <w:sz w:val="24"/>
                <w:highlight w:val="none"/>
                <w:lang w:eastAsia="zh-CN"/>
              </w:rPr>
              <w:t>青口汽车工业开发区污水处理厂</w:t>
            </w:r>
            <w:r>
              <w:rPr>
                <w:rFonts w:hint="eastAsia" w:ascii="Times New Roman" w:hAnsi="Times New Roman" w:eastAsia="宋体" w:cs="Times New Roman"/>
                <w:color w:val="000000"/>
                <w:sz w:val="24"/>
                <w:highlight w:val="none"/>
                <w:lang w:eastAsia="zh-CN"/>
              </w:rPr>
              <w:t>基本情况</w:t>
            </w:r>
          </w:p>
          <w:p w14:paraId="0A719E0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①处理工艺</w:t>
            </w:r>
          </w:p>
          <w:p w14:paraId="0F6C9728">
            <w:pPr>
              <w:keepNext w:val="0"/>
              <w:keepLines w:val="0"/>
              <w:suppressLineNumbers w:val="0"/>
              <w:bidi w:val="0"/>
              <w:spacing w:before="0" w:beforeAutospacing="0" w:after="0" w:afterAutospacing="0"/>
              <w:ind w:left="0" w:right="0"/>
              <w:rPr>
                <w:rFonts w:hint="default"/>
                <w:lang w:val="en-US"/>
              </w:rPr>
            </w:pPr>
            <w:r>
              <w:rPr>
                <w:rFonts w:hint="eastAsia"/>
                <w:lang w:eastAsia="zh-CN"/>
              </w:rPr>
              <w:t>青口汽车工业开发区污水处理厂采用预处理</w:t>
            </w:r>
            <w:r>
              <w:rPr>
                <w:rFonts w:hint="eastAsia"/>
                <w:lang w:val="en-US" w:eastAsia="zh-CN"/>
              </w:rPr>
              <w:t>+水解酸化+AAO生化池+二沉池+磁混凝沉淀+紫外线消毒工艺，</w:t>
            </w:r>
            <w:r>
              <w:rPr>
                <w:rFonts w:hint="default"/>
              </w:rPr>
              <w:t>污水处理工艺流程详见图</w:t>
            </w:r>
            <w:r>
              <w:rPr>
                <w:rFonts w:hint="eastAsia"/>
                <w:lang w:val="en-US" w:eastAsia="zh-CN"/>
              </w:rPr>
              <w:t>4.1-1</w:t>
            </w:r>
            <w:r>
              <w:rPr>
                <w:rFonts w:hint="default"/>
              </w:rPr>
              <w:t>。</w:t>
            </w:r>
          </w:p>
          <w:p w14:paraId="68D2D451">
            <w:pPr>
              <w:keepNext w:val="0"/>
              <w:keepLines w:val="0"/>
              <w:suppressLineNumbers w:val="0"/>
              <w:bidi w:val="0"/>
              <w:spacing w:before="0" w:beforeAutospacing="0" w:after="0" w:afterAutospacing="0"/>
              <w:ind w:left="0" w:leftChars="0" w:right="0" w:firstLine="0" w:firstLineChars="0"/>
              <w:rPr>
                <w:rFonts w:hint="eastAsia"/>
                <w:lang w:val="en-US" w:eastAsia="zh-CN"/>
              </w:rPr>
            </w:pPr>
            <w:r>
              <w:rPr>
                <w:rFonts w:hint="eastAsia"/>
                <w:lang w:val="en-US" w:eastAsia="zh-CN"/>
              </w:rPr>
              <w:drawing>
                <wp:inline distT="0" distB="0" distL="114300" distR="114300">
                  <wp:extent cx="5338445" cy="3751580"/>
                  <wp:effectExtent l="0" t="0" r="10795" b="12700"/>
                  <wp:docPr id="329" name="图片 329" descr="福建青口海峡环保有限公司(青口汽车工业开发区污水处理厂)企业自行监测方案（盖章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福建青口海峡环保有限公司(青口汽车工业开发区污水处理厂)企业自行监测方案（盖章版）_04"/>
                          <pic:cNvPicPr>
                            <a:picLocks noChangeAspect="1"/>
                          </pic:cNvPicPr>
                        </pic:nvPicPr>
                        <pic:blipFill>
                          <a:blip r:embed="rId15"/>
                          <a:srcRect l="17576" t="18223" r="16754" b="49154"/>
                          <a:stretch>
                            <a:fillRect/>
                          </a:stretch>
                        </pic:blipFill>
                        <pic:spPr>
                          <a:xfrm>
                            <a:off x="0" y="0"/>
                            <a:ext cx="5338445" cy="3751580"/>
                          </a:xfrm>
                          <a:prstGeom prst="rect">
                            <a:avLst/>
                          </a:prstGeom>
                        </pic:spPr>
                      </pic:pic>
                    </a:graphicData>
                  </a:graphic>
                </wp:inline>
              </w:drawing>
            </w:r>
          </w:p>
          <w:p w14:paraId="43A3B721">
            <w:pPr>
              <w:keepNext w:val="0"/>
              <w:keepLines w:val="0"/>
              <w:suppressLineNumbers w:val="0"/>
              <w:spacing w:before="0" w:beforeAutospacing="0" w:after="0" w:afterAutospacing="0"/>
              <w:ind w:left="0" w:right="0"/>
              <w:jc w:val="center"/>
              <w:rPr>
                <w:rFonts w:hint="eastAsia" w:ascii="Times New Roman" w:hAnsi="Times New Roman" w:cs="Times New Roman"/>
                <w:color w:val="000000"/>
                <w:sz w:val="24"/>
                <w:highlight w:val="none"/>
                <w:lang w:eastAsia="zh-CN"/>
              </w:rPr>
            </w:pPr>
            <w:r>
              <w:rPr>
                <w:rFonts w:hint="eastAsia" w:ascii="宋体" w:hAnsi="宋体" w:cs="宋体"/>
                <w:b/>
                <w:bCs/>
                <w:color w:val="auto"/>
                <w:sz w:val="24"/>
                <w:lang w:bidi="ar"/>
              </w:rPr>
              <w:t>图</w:t>
            </w:r>
            <w:r>
              <w:rPr>
                <w:rFonts w:hint="eastAsia" w:cs="Times New Roman"/>
                <w:b/>
                <w:bCs/>
                <w:color w:val="auto"/>
                <w:sz w:val="24"/>
                <w:lang w:val="en-US" w:eastAsia="zh-CN" w:bidi="ar"/>
              </w:rPr>
              <w:t>4.1-1污水处理厂处理</w:t>
            </w:r>
            <w:r>
              <w:rPr>
                <w:rFonts w:hint="eastAsia" w:ascii="宋体" w:hAnsi="宋体" w:cs="宋体"/>
                <w:b/>
                <w:bCs/>
                <w:color w:val="auto"/>
                <w:sz w:val="24"/>
                <w:lang w:bidi="ar"/>
              </w:rPr>
              <w:t>工艺流程图</w:t>
            </w:r>
          </w:p>
          <w:p w14:paraId="204F3471">
            <w:pPr>
              <w:pStyle w:val="42"/>
              <w:rPr>
                <w:rFonts w:hint="default" w:ascii="Times New Roman" w:hAnsi="Times New Roman" w:cs="Times New Roman"/>
                <w:color w:val="000000"/>
                <w:highlight w:val="none"/>
                <w:lang w:val="en-US" w:eastAsia="zh-CN"/>
              </w:rPr>
            </w:pPr>
            <w:r>
              <w:rPr>
                <w:rFonts w:hint="eastAsia" w:ascii="Times New Roman" w:hAnsi="Times New Roman" w:cs="Times New Roman"/>
                <w:color w:val="000000"/>
                <w:sz w:val="24"/>
                <w:highlight w:val="none"/>
                <w:lang w:eastAsia="zh-CN"/>
              </w:rPr>
              <w:t>②设计进出水水质</w:t>
            </w:r>
          </w:p>
          <w:p w14:paraId="742C6FE5">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2"/>
                <w:highlight w:val="none"/>
              </w:rPr>
            </w:pPr>
            <w:r>
              <w:rPr>
                <w:rFonts w:hint="eastAsia" w:ascii="Times New Roman" w:hAnsi="Times New Roman" w:eastAsia="宋体" w:cs="Times New Roman"/>
                <w:color w:val="000000"/>
                <w:sz w:val="24"/>
                <w:highlight w:val="none"/>
                <w:lang w:eastAsia="zh-CN"/>
              </w:rPr>
              <w:t>青口汽车工业开发区污水处理厂</w:t>
            </w:r>
            <w:r>
              <w:rPr>
                <w:rFonts w:hint="default" w:ascii="Times New Roman" w:hAnsi="Times New Roman" w:eastAsia="宋体" w:cs="Times New Roman"/>
                <w:color w:val="000000"/>
                <w:sz w:val="24"/>
                <w:szCs w:val="22"/>
                <w:highlight w:val="none"/>
              </w:rPr>
              <w:t>进出水水质见表</w:t>
            </w:r>
            <w:r>
              <w:rPr>
                <w:rFonts w:hint="eastAsia" w:ascii="Times New Roman" w:hAnsi="Times New Roman" w:eastAsia="宋体" w:cs="Times New Roman"/>
                <w:color w:val="000000"/>
                <w:sz w:val="24"/>
                <w:szCs w:val="22"/>
                <w:highlight w:val="none"/>
                <w:lang w:val="en-US" w:eastAsia="zh-CN"/>
              </w:rPr>
              <w:t>4.1-6</w:t>
            </w:r>
            <w:r>
              <w:rPr>
                <w:rFonts w:hint="default" w:ascii="Times New Roman" w:hAnsi="Times New Roman" w:eastAsia="宋体" w:cs="Times New Roman"/>
                <w:color w:val="000000"/>
                <w:sz w:val="24"/>
                <w:szCs w:val="22"/>
                <w:highlight w:val="none"/>
              </w:rPr>
              <w:t>。</w:t>
            </w:r>
          </w:p>
          <w:p w14:paraId="7EC09F9C">
            <w:pPr>
              <w:pStyle w:val="36"/>
              <w:keepNext w:val="0"/>
              <w:keepLines w:val="0"/>
              <w:suppressLineNumbers w:val="0"/>
              <w:bidi w:val="0"/>
              <w:spacing w:beforeAutospacing="0" w:after="0" w:afterAutospacing="0"/>
              <w:ind w:left="0" w:right="0"/>
              <w:rPr>
                <w:rFonts w:hint="default" w:ascii="Times New Roman" w:hAnsi="Times New Roman" w:eastAsia="黑体" w:cs="Times New Roman"/>
                <w:b w:val="0"/>
                <w:bCs w:val="0"/>
                <w:color w:val="000000"/>
                <w:kern w:val="2"/>
                <w:szCs w:val="28"/>
                <w:highlight w:val="none"/>
                <w:lang w:val="en-US" w:eastAsia="zh-CN" w:bidi="ar-SA"/>
              </w:rPr>
            </w:pPr>
            <w:r>
              <w:rPr>
                <w:rFonts w:hint="eastAsia"/>
                <w:lang w:val="en-US" w:eastAsia="zh-CN"/>
              </w:rPr>
              <w:t>污水处理厂</w:t>
            </w:r>
            <w:r>
              <w:rPr>
                <w:rFonts w:hint="default"/>
                <w:lang w:val="en-US" w:eastAsia="zh-CN"/>
              </w:rPr>
              <w:t>进出水水质标准</w:t>
            </w:r>
            <w:r>
              <w:rPr>
                <w:rFonts w:hint="eastAsia"/>
                <w:lang w:val="en-US" w:eastAsia="zh-CN"/>
              </w:rPr>
              <w:t>(</w:t>
            </w:r>
            <w:r>
              <w:rPr>
                <w:rFonts w:hint="default"/>
                <w:lang w:val="en-US" w:eastAsia="zh-CN"/>
              </w:rPr>
              <w:t>mg/L</w:t>
            </w:r>
            <w:r>
              <w:rPr>
                <w:rFonts w:hint="eastAsia"/>
                <w:lang w:val="en-US" w:eastAsia="zh-CN"/>
              </w:rPr>
              <w:t xml:space="preserve">  pH除外)</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15"/>
              <w:gridCol w:w="1358"/>
              <w:gridCol w:w="1104"/>
              <w:gridCol w:w="999"/>
              <w:gridCol w:w="1065"/>
              <w:gridCol w:w="986"/>
              <w:gridCol w:w="986"/>
              <w:gridCol w:w="880"/>
            </w:tblGrid>
            <w:tr w14:paraId="1F5B9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6DE8029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水质指标</w:t>
                  </w:r>
                </w:p>
              </w:tc>
              <w:tc>
                <w:tcPr>
                  <w:tcW w:w="799" w:type="pct"/>
                  <w:noWrap w:val="0"/>
                  <w:vAlign w:val="center"/>
                </w:tcPr>
                <w:p w14:paraId="6CBB1B2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pH</w:t>
                  </w:r>
                </w:p>
              </w:tc>
              <w:tc>
                <w:tcPr>
                  <w:tcW w:w="650" w:type="pct"/>
                  <w:noWrap w:val="0"/>
                  <w:vAlign w:val="center"/>
                </w:tcPr>
                <w:p w14:paraId="5C83024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COD</w:t>
                  </w:r>
                </w:p>
              </w:tc>
              <w:tc>
                <w:tcPr>
                  <w:tcW w:w="588" w:type="pct"/>
                  <w:noWrap w:val="0"/>
                  <w:vAlign w:val="center"/>
                </w:tcPr>
                <w:p w14:paraId="25704D9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BOD</w:t>
                  </w:r>
                  <w:r>
                    <w:rPr>
                      <w:rFonts w:hint="default" w:ascii="Times New Roman" w:hAnsi="Times New Roman" w:eastAsia="宋体" w:cs="Times New Roman"/>
                      <w:color w:val="000000"/>
                      <w:kern w:val="2"/>
                      <w:sz w:val="21"/>
                      <w:szCs w:val="21"/>
                      <w:highlight w:val="none"/>
                      <w:vertAlign w:val="subscript"/>
                      <w:lang w:val="en-US" w:eastAsia="zh-CN" w:bidi="ar-SA"/>
                    </w:rPr>
                    <w:t>5</w:t>
                  </w:r>
                </w:p>
              </w:tc>
              <w:tc>
                <w:tcPr>
                  <w:tcW w:w="627" w:type="pct"/>
                  <w:noWrap w:val="0"/>
                  <w:vAlign w:val="center"/>
                </w:tcPr>
                <w:p w14:paraId="4175C30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SS</w:t>
                  </w:r>
                </w:p>
              </w:tc>
              <w:tc>
                <w:tcPr>
                  <w:tcW w:w="580" w:type="pct"/>
                  <w:noWrap w:val="0"/>
                  <w:vAlign w:val="center"/>
                </w:tcPr>
                <w:p w14:paraId="621215E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NH</w:t>
                  </w:r>
                  <w:r>
                    <w:rPr>
                      <w:rFonts w:hint="default" w:ascii="Times New Roman" w:hAnsi="Times New Roman" w:eastAsia="宋体" w:cs="Times New Roman"/>
                      <w:color w:val="000000"/>
                      <w:kern w:val="2"/>
                      <w:sz w:val="21"/>
                      <w:szCs w:val="21"/>
                      <w:highlight w:val="none"/>
                      <w:vertAlign w:val="sub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-N</w:t>
                  </w:r>
                </w:p>
              </w:tc>
              <w:tc>
                <w:tcPr>
                  <w:tcW w:w="580" w:type="pct"/>
                  <w:noWrap w:val="0"/>
                  <w:vAlign w:val="center"/>
                </w:tcPr>
                <w:p w14:paraId="2D29E282">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TN</w:t>
                  </w:r>
                </w:p>
              </w:tc>
              <w:tc>
                <w:tcPr>
                  <w:tcW w:w="518" w:type="pct"/>
                  <w:noWrap w:val="0"/>
                  <w:vAlign w:val="center"/>
                </w:tcPr>
                <w:p w14:paraId="32D5647C">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TP</w:t>
                  </w:r>
                </w:p>
              </w:tc>
            </w:tr>
            <w:tr w14:paraId="21888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541A1B3A">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进水水质</w:t>
                  </w:r>
                </w:p>
              </w:tc>
              <w:tc>
                <w:tcPr>
                  <w:tcW w:w="799" w:type="pct"/>
                  <w:noWrap w:val="0"/>
                  <w:vAlign w:val="center"/>
                </w:tcPr>
                <w:p w14:paraId="0B1D670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6~9(无量纲)</w:t>
                  </w:r>
                </w:p>
              </w:tc>
              <w:tc>
                <w:tcPr>
                  <w:tcW w:w="650" w:type="pct"/>
                  <w:noWrap w:val="0"/>
                  <w:vAlign w:val="center"/>
                </w:tcPr>
                <w:p w14:paraId="514E635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25</w:t>
                  </w:r>
                  <w:r>
                    <w:rPr>
                      <w:rFonts w:hint="default" w:ascii="Times New Roman" w:hAnsi="Times New Roman" w:eastAsia="宋体" w:cs="Times New Roman"/>
                      <w:color w:val="000000"/>
                      <w:kern w:val="2"/>
                      <w:sz w:val="21"/>
                      <w:szCs w:val="21"/>
                      <w:highlight w:val="none"/>
                      <w:lang w:val="en-US" w:eastAsia="zh-CN" w:bidi="ar-SA"/>
                    </w:rPr>
                    <w:t>0</w:t>
                  </w:r>
                </w:p>
              </w:tc>
              <w:tc>
                <w:tcPr>
                  <w:tcW w:w="588" w:type="pct"/>
                  <w:noWrap w:val="0"/>
                  <w:vAlign w:val="center"/>
                </w:tcPr>
                <w:p w14:paraId="2F05921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15</w:t>
                  </w:r>
                  <w:r>
                    <w:rPr>
                      <w:rFonts w:hint="default" w:ascii="Times New Roman" w:hAnsi="Times New Roman" w:eastAsia="宋体" w:cs="Times New Roman"/>
                      <w:color w:val="000000"/>
                      <w:kern w:val="2"/>
                      <w:sz w:val="21"/>
                      <w:szCs w:val="21"/>
                      <w:highlight w:val="none"/>
                      <w:lang w:val="en-US" w:eastAsia="zh-CN" w:bidi="ar-SA"/>
                    </w:rPr>
                    <w:t>0</w:t>
                  </w:r>
                </w:p>
              </w:tc>
              <w:tc>
                <w:tcPr>
                  <w:tcW w:w="627" w:type="pct"/>
                  <w:noWrap w:val="0"/>
                  <w:vAlign w:val="center"/>
                </w:tcPr>
                <w:p w14:paraId="3749A2F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kern w:val="2"/>
                      <w:sz w:val="21"/>
                      <w:szCs w:val="21"/>
                      <w:highlight w:val="none"/>
                      <w:lang w:val="en-US" w:eastAsia="zh-CN" w:bidi="ar-SA"/>
                    </w:rPr>
                    <w:t>00</w:t>
                  </w:r>
                </w:p>
              </w:tc>
              <w:tc>
                <w:tcPr>
                  <w:tcW w:w="580" w:type="pct"/>
                  <w:noWrap w:val="0"/>
                  <w:vAlign w:val="center"/>
                </w:tcPr>
                <w:p w14:paraId="555DE63B">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0</w:t>
                  </w:r>
                </w:p>
              </w:tc>
              <w:tc>
                <w:tcPr>
                  <w:tcW w:w="580" w:type="pct"/>
                  <w:noWrap w:val="0"/>
                  <w:vAlign w:val="center"/>
                </w:tcPr>
                <w:p w14:paraId="1717C6D9">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4</w:t>
                  </w:r>
                  <w:r>
                    <w:rPr>
                      <w:rFonts w:hint="default" w:ascii="Times New Roman" w:hAnsi="Times New Roman" w:eastAsia="宋体" w:cs="Times New Roman"/>
                      <w:color w:val="000000"/>
                      <w:kern w:val="2"/>
                      <w:sz w:val="21"/>
                      <w:szCs w:val="21"/>
                      <w:highlight w:val="none"/>
                      <w:lang w:val="en-US" w:eastAsia="zh-CN" w:bidi="ar-SA"/>
                    </w:rPr>
                    <w:t>0</w:t>
                  </w:r>
                </w:p>
              </w:tc>
              <w:tc>
                <w:tcPr>
                  <w:tcW w:w="518" w:type="pct"/>
                  <w:noWrap w:val="0"/>
                  <w:vAlign w:val="center"/>
                </w:tcPr>
                <w:p w14:paraId="222FDF4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3.5</w:t>
                  </w:r>
                </w:p>
              </w:tc>
            </w:tr>
            <w:tr w14:paraId="533DD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37928884">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出水标准</w:t>
                  </w:r>
                </w:p>
              </w:tc>
              <w:tc>
                <w:tcPr>
                  <w:tcW w:w="799" w:type="pct"/>
                  <w:noWrap w:val="0"/>
                  <w:vAlign w:val="center"/>
                </w:tcPr>
                <w:p w14:paraId="17AAA48F">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6~9(无量纲)</w:t>
                  </w:r>
                </w:p>
              </w:tc>
              <w:tc>
                <w:tcPr>
                  <w:tcW w:w="650" w:type="pct"/>
                  <w:noWrap w:val="0"/>
                  <w:vAlign w:val="center"/>
                </w:tcPr>
                <w:p w14:paraId="7E74053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50</w:t>
                  </w:r>
                </w:p>
              </w:tc>
              <w:tc>
                <w:tcPr>
                  <w:tcW w:w="588" w:type="pct"/>
                  <w:noWrap w:val="0"/>
                  <w:vAlign w:val="center"/>
                </w:tcPr>
                <w:p w14:paraId="43ECE2D3">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10</w:t>
                  </w:r>
                </w:p>
              </w:tc>
              <w:tc>
                <w:tcPr>
                  <w:tcW w:w="627" w:type="pct"/>
                  <w:noWrap w:val="0"/>
                  <w:vAlign w:val="center"/>
                </w:tcPr>
                <w:p w14:paraId="02B9D667">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10</w:t>
                  </w:r>
                </w:p>
              </w:tc>
              <w:tc>
                <w:tcPr>
                  <w:tcW w:w="580" w:type="pct"/>
                  <w:noWrap w:val="0"/>
                  <w:vAlign w:val="center"/>
                </w:tcPr>
                <w:p w14:paraId="2C20726D">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15</w:t>
                  </w:r>
                </w:p>
              </w:tc>
              <w:tc>
                <w:tcPr>
                  <w:tcW w:w="580" w:type="pct"/>
                  <w:noWrap w:val="0"/>
                  <w:vAlign w:val="center"/>
                </w:tcPr>
                <w:p w14:paraId="2E0AF01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15</w:t>
                  </w:r>
                </w:p>
              </w:tc>
              <w:tc>
                <w:tcPr>
                  <w:tcW w:w="518" w:type="pct"/>
                  <w:noWrap w:val="0"/>
                  <w:vAlign w:val="center"/>
                </w:tcPr>
                <w:p w14:paraId="65B7EFE6">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0.5</w:t>
                  </w:r>
                </w:p>
              </w:tc>
            </w:tr>
          </w:tbl>
          <w:p w14:paraId="619AEE11">
            <w:pPr>
              <w:pStyle w:val="44"/>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ind w:left="0" w:right="0"/>
              <w:textAlignment w:val="auto"/>
              <w:rPr>
                <w:rFonts w:hint="default" w:ascii="Times New Roman" w:hAnsi="Times New Roman" w:cs="Times New Roman"/>
                <w:color w:val="000000"/>
                <w:highlight w:val="none"/>
                <w:lang w:val="en-US" w:eastAsia="zh-CN" w:bidi="he-IL"/>
              </w:rPr>
            </w:pPr>
            <w:r>
              <w:rPr>
                <w:rFonts w:hint="default" w:ascii="Times New Roman" w:hAnsi="Times New Roman" w:cs="Times New Roman"/>
                <w:color w:val="000000"/>
                <w:highlight w:val="none"/>
                <w:lang w:val="en-US" w:eastAsia="zh-CN" w:bidi="he-IL"/>
              </w:rPr>
              <w:t>(</w:t>
            </w:r>
            <w:r>
              <w:rPr>
                <w:rFonts w:hint="eastAsia" w:ascii="Times New Roman" w:hAnsi="Times New Roman" w:cs="Times New Roman"/>
                <w:color w:val="000000"/>
                <w:highlight w:val="none"/>
                <w:lang w:val="en-US" w:eastAsia="zh-CN" w:bidi="he-IL"/>
              </w:rPr>
              <w:t>2</w:t>
            </w:r>
            <w:r>
              <w:rPr>
                <w:rFonts w:hint="default" w:ascii="Times New Roman" w:hAnsi="Times New Roman" w:cs="Times New Roman"/>
                <w:color w:val="000000"/>
                <w:highlight w:val="none"/>
                <w:lang w:val="en-US" w:eastAsia="zh-CN" w:bidi="he-IL"/>
              </w:rPr>
              <w:t>)</w:t>
            </w:r>
            <w:r>
              <w:rPr>
                <w:rFonts w:hint="eastAsia" w:ascii="Times New Roman" w:hAnsi="Times New Roman" w:cs="Times New Roman"/>
                <w:color w:val="000000"/>
                <w:highlight w:val="none"/>
                <w:lang w:val="en-US" w:eastAsia="zh-CN" w:bidi="he-IL"/>
              </w:rPr>
              <w:t>依托可行性分析</w:t>
            </w:r>
          </w:p>
          <w:p w14:paraId="602BBBBA">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000000"/>
                <w:highlight w:val="none"/>
                <w:lang w:val="en-US" w:eastAsia="zh-CN" w:bidi="he-IL"/>
              </w:rPr>
            </w:pPr>
            <w:r>
              <w:rPr>
                <w:rFonts w:hint="default" w:ascii="Times New Roman" w:hAnsi="Times New Roman" w:cs="Times New Roman"/>
                <w:b w:val="0"/>
                <w:bCs w:val="0"/>
                <w:color w:val="000000"/>
                <w:highlight w:val="none"/>
                <w:lang w:eastAsia="zh-CN" w:bidi="he-IL"/>
              </w:rPr>
              <w:t>①接管可行性</w:t>
            </w:r>
          </w:p>
          <w:p w14:paraId="018F44F1">
            <w:pPr>
              <w:pStyle w:val="42"/>
              <w:rPr>
                <w:rFonts w:hint="default" w:ascii="Times New Roman" w:hAnsi="Times New Roman" w:cs="Times New Roman"/>
                <w:color w:val="000000"/>
                <w:highlight w:val="none"/>
                <w:lang w:eastAsia="zh-CN"/>
              </w:rPr>
            </w:pPr>
            <w:r>
              <w:rPr>
                <w:rFonts w:hint="eastAsia" w:ascii="Times New Roman" w:hAnsi="Times New Roman" w:cs="Times New Roman"/>
                <w:color w:val="000000"/>
                <w:sz w:val="24"/>
                <w:highlight w:val="none"/>
                <w:lang w:eastAsia="zh-CN"/>
              </w:rPr>
              <w:t>青口汽车工业开发区污水处理厂</w:t>
            </w:r>
            <w:r>
              <w:rPr>
                <w:rFonts w:hint="default" w:ascii="Times New Roman" w:hAnsi="Times New Roman" w:eastAsia="宋体" w:cs="Times New Roman"/>
                <w:color w:val="000000"/>
                <w:sz w:val="24"/>
                <w:highlight w:val="none"/>
              </w:rPr>
              <w:t>服务范围为</w:t>
            </w:r>
            <w:r>
              <w:rPr>
                <w:rFonts w:hint="eastAsia" w:ascii="Times New Roman" w:hAnsi="Times New Roman" w:cs="Times New Roman"/>
                <w:color w:val="000000"/>
                <w:sz w:val="24"/>
                <w:highlight w:val="none"/>
                <w:lang w:eastAsia="zh-CN"/>
              </w:rPr>
              <w:t>闽侯县青口汽车工业开发区，</w:t>
            </w:r>
            <w:r>
              <w:rPr>
                <w:rFonts w:hint="default" w:ascii="Times New Roman" w:hAnsi="Times New Roman" w:eastAsia="宋体" w:cs="Times New Roman"/>
                <w:color w:val="000000"/>
                <w:sz w:val="24"/>
                <w:highlight w:val="none"/>
                <w:lang w:eastAsia="zh-CN"/>
              </w:rPr>
              <w:t>本项目位于</w:t>
            </w:r>
            <w:r>
              <w:rPr>
                <w:rFonts w:hint="eastAsia" w:ascii="宋体" w:hAnsi="宋体" w:eastAsia="宋体" w:cs="宋体"/>
                <w:color w:val="000000"/>
                <w:sz w:val="24"/>
                <w:szCs w:val="24"/>
                <w:highlight w:val="none"/>
                <w:lang w:eastAsia="zh-CN"/>
              </w:rPr>
              <w:t>闽侯县青口镇</w:t>
            </w:r>
            <w:r>
              <w:rPr>
                <w:rFonts w:hint="eastAsia" w:cs="宋体"/>
                <w:color w:val="000000"/>
                <w:sz w:val="24"/>
                <w:szCs w:val="24"/>
                <w:highlight w:val="none"/>
                <w:lang w:eastAsia="zh-CN"/>
              </w:rPr>
              <w:t>东台村</w:t>
            </w:r>
            <w:r>
              <w:rPr>
                <w:rFonts w:hint="default" w:ascii="Times New Roman" w:hAnsi="Times New Roman" w:cs="Times New Roman"/>
                <w:color w:val="000000"/>
                <w:sz w:val="24"/>
                <w:highlight w:val="none"/>
                <w:lang w:eastAsia="zh-CN"/>
              </w:rPr>
              <w:t>，属于</w:t>
            </w:r>
            <w:r>
              <w:rPr>
                <w:rFonts w:hint="eastAsia" w:ascii="Times New Roman" w:hAnsi="Times New Roman" w:cs="Times New Roman"/>
                <w:color w:val="000000"/>
                <w:sz w:val="24"/>
                <w:highlight w:val="none"/>
                <w:lang w:eastAsia="zh-CN"/>
              </w:rPr>
              <w:t>青口汽车工业开发区污水处理厂</w:t>
            </w:r>
            <w:r>
              <w:rPr>
                <w:rFonts w:hint="default" w:ascii="Times New Roman" w:hAnsi="Times New Roman" w:cs="Times New Roman"/>
                <w:color w:val="000000"/>
                <w:sz w:val="24"/>
                <w:highlight w:val="none"/>
                <w:lang w:eastAsia="zh-CN"/>
              </w:rPr>
              <w:t>服务范围内，</w:t>
            </w:r>
            <w:r>
              <w:rPr>
                <w:rFonts w:hint="eastAsia" w:ascii="Times New Roman" w:hAnsi="Times New Roman" w:cs="Times New Roman"/>
                <w:color w:val="000000"/>
                <w:sz w:val="24"/>
                <w:highlight w:val="none"/>
                <w:lang w:eastAsia="zh-CN"/>
              </w:rPr>
              <w:t>项目所在</w:t>
            </w:r>
            <w:r>
              <w:rPr>
                <w:rFonts w:hint="default" w:ascii="Times New Roman" w:hAnsi="Times New Roman" w:cs="Times New Roman"/>
                <w:color w:val="000000"/>
                <w:sz w:val="24"/>
                <w:szCs w:val="24"/>
                <w:highlight w:val="none"/>
                <w:lang w:val="en-US" w:eastAsia="zh-CN"/>
              </w:rPr>
              <w:t>厂区污水总排口已经接入</w:t>
            </w:r>
            <w:r>
              <w:rPr>
                <w:rFonts w:hint="default" w:ascii="Times New Roman" w:hAnsi="Times New Roman" w:cs="Times New Roman"/>
                <w:color w:val="000000"/>
                <w:highlight w:val="none"/>
                <w:lang w:eastAsia="zh-CN"/>
              </w:rPr>
              <w:t>市政污水管网。</w:t>
            </w:r>
          </w:p>
          <w:p w14:paraId="3EDADF88">
            <w:pPr>
              <w:pStyle w:val="42"/>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②</w:t>
            </w:r>
            <w:r>
              <w:rPr>
                <w:rFonts w:hint="eastAsia" w:ascii="Times New Roman" w:hAnsi="Times New Roman" w:cs="Times New Roman"/>
                <w:color w:val="000000"/>
                <w:highlight w:val="none"/>
                <w:lang w:eastAsia="zh-CN"/>
              </w:rPr>
              <w:t>水质负荷</w:t>
            </w:r>
          </w:p>
          <w:p w14:paraId="3E176FA7">
            <w:pPr>
              <w:pStyle w:val="42"/>
              <w:rPr>
                <w:rFonts w:hint="default" w:ascii="Times New Roman" w:hAnsi="Times New Roman" w:cs="Times New Roman"/>
                <w:color w:val="000000"/>
                <w:highlight w:val="none"/>
                <w:lang w:eastAsia="zh-CN"/>
              </w:rPr>
            </w:pPr>
            <w:r>
              <w:rPr>
                <w:rFonts w:hint="eastAsia" w:ascii="Times New Roman" w:hAnsi="Times New Roman" w:cs="Times New Roman"/>
                <w:color w:val="000000"/>
                <w:highlight w:val="none"/>
                <w:lang w:eastAsia="zh-CN"/>
              </w:rPr>
              <w:t>项目</w:t>
            </w:r>
            <w:r>
              <w:rPr>
                <w:rFonts w:hint="default" w:ascii="Times New Roman" w:hAnsi="Times New Roman" w:cs="Times New Roman"/>
                <w:color w:val="000000"/>
                <w:highlight w:val="none"/>
                <w:lang w:eastAsia="zh-CN"/>
              </w:rPr>
              <w:t>生活污水直接经化粪池预处理，根据工程分析</w:t>
            </w:r>
            <w:r>
              <w:rPr>
                <w:rFonts w:hint="eastAsia" w:ascii="Times New Roman" w:hAnsi="Times New Roman" w:cs="Times New Roman"/>
                <w:color w:val="000000"/>
                <w:highlight w:val="none"/>
                <w:lang w:eastAsia="zh-CN"/>
              </w:rPr>
              <w:t>预测可知，</w:t>
            </w:r>
            <w:r>
              <w:rPr>
                <w:rFonts w:hint="default" w:ascii="Times New Roman" w:hAnsi="Times New Roman" w:cs="Times New Roman"/>
                <w:color w:val="000000"/>
                <w:highlight w:val="none"/>
                <w:lang w:eastAsia="zh-CN"/>
              </w:rPr>
              <w:t>项目</w:t>
            </w:r>
            <w:r>
              <w:rPr>
                <w:rFonts w:hint="eastAsia" w:ascii="Times New Roman" w:hAnsi="Times New Roman" w:cs="Times New Roman"/>
                <w:color w:val="000000"/>
                <w:highlight w:val="none"/>
                <w:lang w:eastAsia="zh-CN"/>
              </w:rPr>
              <w:t>生活污水</w:t>
            </w:r>
            <w:r>
              <w:rPr>
                <w:rFonts w:hint="default" w:ascii="Times New Roman" w:hAnsi="Times New Roman" w:cs="Times New Roman"/>
                <w:color w:val="000000"/>
                <w:highlight w:val="none"/>
                <w:lang w:eastAsia="zh-CN"/>
              </w:rPr>
              <w:t>经预处理后排入市政污水管网内污染物排放浓度情况表</w:t>
            </w:r>
            <w:r>
              <w:rPr>
                <w:rFonts w:hint="eastAsia" w:ascii="Times New Roman" w:hAnsi="Times New Roman" w:cs="Times New Roman"/>
                <w:color w:val="000000"/>
                <w:highlight w:val="none"/>
                <w:lang w:val="en-US" w:eastAsia="zh-CN"/>
              </w:rPr>
              <w:t>4</w:t>
            </w:r>
            <w:r>
              <w:rPr>
                <w:rFonts w:hint="default" w:ascii="Times New Roman" w:hAnsi="Times New Roman" w:cs="Times New Roman"/>
                <w:color w:val="000000"/>
                <w:highlight w:val="none"/>
                <w:lang w:eastAsia="zh-CN"/>
              </w:rPr>
              <w:t>.1-</w:t>
            </w:r>
            <w:r>
              <w:rPr>
                <w:rFonts w:hint="default" w:ascii="Times New Roman" w:hAnsi="Times New Roman" w:cs="Times New Roman"/>
                <w:color w:val="000000"/>
                <w:highlight w:val="none"/>
                <w:lang w:val="en-US" w:eastAsia="zh-CN"/>
              </w:rPr>
              <w:t>1</w:t>
            </w:r>
            <w:r>
              <w:rPr>
                <w:rFonts w:hint="default" w:ascii="Times New Roman" w:hAnsi="Times New Roman" w:cs="Times New Roman"/>
                <w:color w:val="000000"/>
                <w:highlight w:val="none"/>
                <w:lang w:eastAsia="zh-CN"/>
              </w:rPr>
              <w:t>。</w:t>
            </w:r>
          </w:p>
          <w:p w14:paraId="7352E574">
            <w:pPr>
              <w:pStyle w:val="36"/>
              <w:keepNext w:val="0"/>
              <w:keepLines w:val="0"/>
              <w:suppressLineNumbers w:val="0"/>
              <w:bidi w:val="0"/>
              <w:spacing w:beforeAutospacing="0" w:after="0" w:afterAutospacing="0"/>
              <w:ind w:left="0" w:right="0"/>
              <w:rPr>
                <w:rFonts w:hint="default"/>
              </w:rPr>
            </w:pPr>
            <w:r>
              <w:rPr>
                <w:rFonts w:hint="default"/>
              </w:rPr>
              <w:t>本项目</w:t>
            </w:r>
            <w:r>
              <w:rPr>
                <w:rFonts w:hint="eastAsia"/>
                <w:lang w:eastAsia="zh-CN"/>
              </w:rPr>
              <w:t>污水</w:t>
            </w:r>
            <w:r>
              <w:rPr>
                <w:rFonts w:hint="default"/>
              </w:rPr>
              <w:t xml:space="preserve">排放情况一览表 </w:t>
            </w:r>
            <w:r>
              <w:rPr>
                <w:rFonts w:hint="default"/>
                <w:lang w:val="en-US" w:eastAsia="zh-CN"/>
              </w:rPr>
              <w:t xml:space="preserve"> </w:t>
            </w:r>
            <w:r>
              <w:rPr>
                <w:rFonts w:hint="default"/>
              </w:rPr>
              <w:t>单位：mg/L(</w:t>
            </w:r>
            <w:r>
              <w:rPr>
                <w:rFonts w:hint="default"/>
                <w:lang w:val="en-US" w:eastAsia="zh-CN"/>
              </w:rPr>
              <w:t>pH</w:t>
            </w:r>
            <w:r>
              <w:rPr>
                <w:rFonts w:hint="default"/>
              </w:rPr>
              <w:t>除外)</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571"/>
              <w:gridCol w:w="1358"/>
              <w:gridCol w:w="1259"/>
              <w:gridCol w:w="1470"/>
              <w:gridCol w:w="1157"/>
            </w:tblGrid>
            <w:tr w14:paraId="1940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tcBorders>
                    <w:tl2br w:val="single" w:color="auto" w:sz="4" w:space="0"/>
                  </w:tcBorders>
                  <w:noWrap w:val="0"/>
                  <w:vAlign w:val="center"/>
                </w:tcPr>
                <w:p w14:paraId="007C5E29">
                  <w:pPr>
                    <w:pStyle w:val="33"/>
                    <w:keepNext w:val="0"/>
                    <w:keepLines w:val="0"/>
                    <w:suppressLineNumbers w:val="0"/>
                    <w:bidi w:val="0"/>
                    <w:spacing w:before="0" w:beforeAutospacing="0" w:after="0" w:afterAutospacing="0"/>
                    <w:ind w:left="0" w:right="0"/>
                    <w:jc w:val="right"/>
                    <w:rPr>
                      <w:rFonts w:hint="default"/>
                    </w:rPr>
                  </w:pPr>
                  <w:r>
                    <w:rPr>
                      <w:rFonts w:hint="default"/>
                      <w:lang w:val="en-US" w:eastAsia="zh-CN"/>
                    </w:rPr>
                    <w:t xml:space="preserve">    </w:t>
                  </w:r>
                  <w:r>
                    <w:rPr>
                      <w:rFonts w:hint="default"/>
                    </w:rPr>
                    <w:t>项目</w:t>
                  </w:r>
                </w:p>
                <w:p w14:paraId="712C9ED7">
                  <w:pPr>
                    <w:pStyle w:val="33"/>
                    <w:keepNext w:val="0"/>
                    <w:keepLines w:val="0"/>
                    <w:suppressLineNumbers w:val="0"/>
                    <w:bidi w:val="0"/>
                    <w:spacing w:before="0" w:beforeAutospacing="0" w:after="0" w:afterAutospacing="0"/>
                    <w:ind w:left="0" w:right="0"/>
                    <w:jc w:val="both"/>
                    <w:rPr>
                      <w:rFonts w:hint="default"/>
                    </w:rPr>
                  </w:pPr>
                  <w:r>
                    <w:rPr>
                      <w:rFonts w:hint="default"/>
                    </w:rPr>
                    <w:t>污染物</w:t>
                  </w:r>
                </w:p>
              </w:tc>
              <w:tc>
                <w:tcPr>
                  <w:tcW w:w="926" w:type="pct"/>
                  <w:noWrap w:val="0"/>
                  <w:vAlign w:val="center"/>
                </w:tcPr>
                <w:p w14:paraId="1BCEBD20">
                  <w:pPr>
                    <w:pStyle w:val="33"/>
                    <w:keepNext w:val="0"/>
                    <w:keepLines w:val="0"/>
                    <w:suppressLineNumbers w:val="0"/>
                    <w:bidi w:val="0"/>
                    <w:spacing w:before="0" w:beforeAutospacing="0" w:after="0" w:afterAutospacing="0"/>
                    <w:ind w:left="0" w:right="0"/>
                    <w:rPr>
                      <w:rFonts w:hint="default"/>
                    </w:rPr>
                  </w:pPr>
                  <w:r>
                    <w:rPr>
                      <w:rFonts w:hint="eastAsia"/>
                      <w:lang w:eastAsia="zh-CN"/>
                    </w:rPr>
                    <w:t>污水</w:t>
                  </w:r>
                  <w:r>
                    <w:rPr>
                      <w:rFonts w:hint="default"/>
                    </w:rPr>
                    <w:t>排放量</w:t>
                  </w:r>
                </w:p>
              </w:tc>
              <w:tc>
                <w:tcPr>
                  <w:tcW w:w="800" w:type="pct"/>
                  <w:noWrap w:val="0"/>
                  <w:vAlign w:val="center"/>
                </w:tcPr>
                <w:p w14:paraId="62FF5579">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污水产生</w:t>
                  </w:r>
                </w:p>
                <w:p w14:paraId="133C76DC">
                  <w:pPr>
                    <w:pStyle w:val="33"/>
                    <w:keepNext w:val="0"/>
                    <w:keepLines w:val="0"/>
                    <w:suppressLineNumbers w:val="0"/>
                    <w:bidi w:val="0"/>
                    <w:spacing w:before="0" w:beforeAutospacing="0" w:after="0" w:afterAutospacing="0"/>
                    <w:ind w:left="0" w:right="0"/>
                    <w:rPr>
                      <w:rFonts w:hint="default"/>
                    </w:rPr>
                  </w:pPr>
                  <w:r>
                    <w:rPr>
                      <w:rFonts w:hint="default"/>
                    </w:rPr>
                    <w:t>浓度</w:t>
                  </w:r>
                </w:p>
              </w:tc>
              <w:tc>
                <w:tcPr>
                  <w:tcW w:w="742" w:type="pct"/>
                  <w:noWrap w:val="0"/>
                  <w:vAlign w:val="center"/>
                </w:tcPr>
                <w:p w14:paraId="0F7D6E81">
                  <w:pPr>
                    <w:pStyle w:val="33"/>
                    <w:keepNext w:val="0"/>
                    <w:keepLines w:val="0"/>
                    <w:suppressLineNumbers w:val="0"/>
                    <w:bidi w:val="0"/>
                    <w:spacing w:before="0" w:beforeAutospacing="0" w:after="0" w:afterAutospacing="0"/>
                    <w:ind w:left="0" w:right="0"/>
                    <w:rPr>
                      <w:rFonts w:hint="default"/>
                    </w:rPr>
                  </w:pPr>
                  <w:r>
                    <w:rPr>
                      <w:rFonts w:hint="eastAsia"/>
                      <w:lang w:eastAsia="zh-CN"/>
                    </w:rPr>
                    <w:t>污水排放浓</w:t>
                  </w:r>
                  <w:r>
                    <w:rPr>
                      <w:rFonts w:hint="default"/>
                    </w:rPr>
                    <w:t>度</w:t>
                  </w:r>
                </w:p>
              </w:tc>
              <w:tc>
                <w:tcPr>
                  <w:tcW w:w="866" w:type="pct"/>
                  <w:noWrap w:val="0"/>
                  <w:vAlign w:val="center"/>
                </w:tcPr>
                <w:p w14:paraId="192A950A">
                  <w:pPr>
                    <w:pStyle w:val="33"/>
                    <w:keepNext w:val="0"/>
                    <w:keepLines w:val="0"/>
                    <w:suppressLineNumbers w:val="0"/>
                    <w:bidi w:val="0"/>
                    <w:spacing w:before="0" w:beforeAutospacing="0" w:after="0" w:afterAutospacing="0"/>
                    <w:ind w:left="0" w:right="0"/>
                    <w:rPr>
                      <w:rFonts w:hint="default"/>
                    </w:rPr>
                  </w:pPr>
                  <w:r>
                    <w:rPr>
                      <w:rFonts w:hint="default"/>
                    </w:rPr>
                    <w:t>排放标准</w:t>
                  </w:r>
                </w:p>
                <w:p w14:paraId="7D7340C5">
                  <w:pPr>
                    <w:pStyle w:val="33"/>
                    <w:keepNext w:val="0"/>
                    <w:keepLines w:val="0"/>
                    <w:suppressLineNumbers w:val="0"/>
                    <w:bidi w:val="0"/>
                    <w:spacing w:before="0" w:beforeAutospacing="0" w:after="0" w:afterAutospacing="0"/>
                    <w:ind w:left="0" w:right="0"/>
                    <w:rPr>
                      <w:rFonts w:hint="default"/>
                    </w:rPr>
                  </w:pPr>
                  <w:r>
                    <w:rPr>
                      <w:rFonts w:hint="default"/>
                    </w:rPr>
                    <w:t>限值</w:t>
                  </w:r>
                </w:p>
              </w:tc>
              <w:tc>
                <w:tcPr>
                  <w:tcW w:w="680" w:type="pct"/>
                  <w:noWrap w:val="0"/>
                  <w:vAlign w:val="center"/>
                </w:tcPr>
                <w:p w14:paraId="14BBCD36">
                  <w:pPr>
                    <w:pStyle w:val="33"/>
                    <w:keepNext w:val="0"/>
                    <w:keepLines w:val="0"/>
                    <w:suppressLineNumbers w:val="0"/>
                    <w:bidi w:val="0"/>
                    <w:spacing w:before="0" w:beforeAutospacing="0" w:after="0" w:afterAutospacing="0"/>
                    <w:ind w:left="0" w:right="0"/>
                    <w:rPr>
                      <w:rFonts w:hint="default"/>
                    </w:rPr>
                  </w:pPr>
                  <w:r>
                    <w:rPr>
                      <w:rFonts w:hint="default"/>
                    </w:rPr>
                    <w:t>达标</w:t>
                  </w:r>
                </w:p>
                <w:p w14:paraId="31AF4C82">
                  <w:pPr>
                    <w:pStyle w:val="33"/>
                    <w:keepNext w:val="0"/>
                    <w:keepLines w:val="0"/>
                    <w:suppressLineNumbers w:val="0"/>
                    <w:bidi w:val="0"/>
                    <w:spacing w:before="0" w:beforeAutospacing="0" w:after="0" w:afterAutospacing="0"/>
                    <w:ind w:left="0" w:right="0"/>
                    <w:rPr>
                      <w:rFonts w:hint="default"/>
                    </w:rPr>
                  </w:pPr>
                  <w:r>
                    <w:rPr>
                      <w:rFonts w:hint="default"/>
                    </w:rPr>
                    <w:t>情况</w:t>
                  </w:r>
                </w:p>
              </w:tc>
            </w:tr>
            <w:tr w14:paraId="11872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0"/>
                  <w:vAlign w:val="center"/>
                </w:tcPr>
                <w:p w14:paraId="4C38E5B9">
                  <w:pPr>
                    <w:pStyle w:val="33"/>
                    <w:keepNext w:val="0"/>
                    <w:keepLines w:val="0"/>
                    <w:suppressLineNumbers w:val="0"/>
                    <w:bidi w:val="0"/>
                    <w:spacing w:before="0" w:beforeAutospacing="0" w:after="0" w:afterAutospacing="0"/>
                    <w:ind w:left="0" w:right="0"/>
                    <w:rPr>
                      <w:rFonts w:hint="default"/>
                    </w:rPr>
                  </w:pPr>
                  <w:r>
                    <w:rPr>
                      <w:rFonts w:hint="default"/>
                    </w:rPr>
                    <w:t>生活污水</w:t>
                  </w:r>
                </w:p>
              </w:tc>
            </w:tr>
            <w:tr w14:paraId="6F6A8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14C7EFB8">
                  <w:pPr>
                    <w:pStyle w:val="33"/>
                    <w:keepNext w:val="0"/>
                    <w:keepLines w:val="0"/>
                    <w:suppressLineNumbers w:val="0"/>
                    <w:bidi w:val="0"/>
                    <w:spacing w:before="0" w:beforeAutospacing="0" w:after="0" w:afterAutospacing="0"/>
                    <w:ind w:left="0" w:right="0"/>
                    <w:rPr>
                      <w:rFonts w:hint="default"/>
                    </w:rPr>
                  </w:pPr>
                  <w:r>
                    <w:rPr>
                      <w:rFonts w:hint="default"/>
                    </w:rPr>
                    <w:t>pH(无量纲)</w:t>
                  </w:r>
                </w:p>
              </w:tc>
              <w:tc>
                <w:tcPr>
                  <w:tcW w:w="926" w:type="pct"/>
                  <w:vMerge w:val="restart"/>
                  <w:noWrap w:val="0"/>
                  <w:vAlign w:val="center"/>
                </w:tcPr>
                <w:p w14:paraId="1BCA47B9">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9吨/天</w:t>
                  </w:r>
                </w:p>
              </w:tc>
              <w:tc>
                <w:tcPr>
                  <w:tcW w:w="800" w:type="pct"/>
                  <w:noWrap w:val="0"/>
                  <w:vAlign w:val="center"/>
                </w:tcPr>
                <w:p w14:paraId="68FD84AF">
                  <w:pPr>
                    <w:pStyle w:val="33"/>
                    <w:keepNext w:val="0"/>
                    <w:keepLines w:val="0"/>
                    <w:suppressLineNumbers w:val="0"/>
                    <w:bidi w:val="0"/>
                    <w:spacing w:before="0" w:beforeAutospacing="0" w:after="0" w:afterAutospacing="0"/>
                    <w:ind w:left="0" w:right="0"/>
                    <w:rPr>
                      <w:rFonts w:hint="default"/>
                    </w:rPr>
                  </w:pPr>
                  <w:r>
                    <w:rPr>
                      <w:rFonts w:hint="default"/>
                    </w:rPr>
                    <w:t>6</w:t>
                  </w:r>
                  <w:r>
                    <w:rPr>
                      <w:rFonts w:hint="eastAsia"/>
                      <w:lang w:eastAsia="zh-CN"/>
                    </w:rPr>
                    <w:t>~</w:t>
                  </w:r>
                  <w:r>
                    <w:rPr>
                      <w:rFonts w:hint="default"/>
                    </w:rPr>
                    <w:t>9</w:t>
                  </w:r>
                </w:p>
              </w:tc>
              <w:tc>
                <w:tcPr>
                  <w:tcW w:w="742" w:type="pct"/>
                  <w:noWrap w:val="0"/>
                  <w:vAlign w:val="center"/>
                </w:tcPr>
                <w:p w14:paraId="34C54F8F">
                  <w:pPr>
                    <w:pStyle w:val="33"/>
                    <w:keepNext w:val="0"/>
                    <w:keepLines w:val="0"/>
                    <w:suppressLineNumbers w:val="0"/>
                    <w:bidi w:val="0"/>
                    <w:spacing w:before="0" w:beforeAutospacing="0" w:after="0" w:afterAutospacing="0"/>
                    <w:ind w:left="0" w:right="0"/>
                    <w:rPr>
                      <w:rFonts w:hint="default"/>
                      <w:lang w:val="en-US" w:eastAsia="zh-CN"/>
                    </w:rPr>
                  </w:pPr>
                  <w:r>
                    <w:rPr>
                      <w:rFonts w:hint="default"/>
                    </w:rPr>
                    <w:t>6</w:t>
                  </w:r>
                  <w:r>
                    <w:rPr>
                      <w:rFonts w:hint="eastAsia"/>
                      <w:lang w:eastAsia="zh-CN"/>
                    </w:rPr>
                    <w:t>~</w:t>
                  </w:r>
                  <w:r>
                    <w:rPr>
                      <w:rFonts w:hint="default"/>
                    </w:rPr>
                    <w:t>9</w:t>
                  </w:r>
                </w:p>
              </w:tc>
              <w:tc>
                <w:tcPr>
                  <w:tcW w:w="866" w:type="pct"/>
                  <w:noWrap w:val="0"/>
                  <w:vAlign w:val="center"/>
                </w:tcPr>
                <w:p w14:paraId="15FEE049">
                  <w:pPr>
                    <w:pStyle w:val="33"/>
                    <w:keepNext w:val="0"/>
                    <w:keepLines w:val="0"/>
                    <w:suppressLineNumbers w:val="0"/>
                    <w:bidi w:val="0"/>
                    <w:spacing w:before="0" w:beforeAutospacing="0" w:after="0" w:afterAutospacing="0"/>
                    <w:ind w:left="0" w:right="0"/>
                    <w:rPr>
                      <w:rFonts w:hint="default"/>
                    </w:rPr>
                  </w:pPr>
                  <w:r>
                    <w:rPr>
                      <w:rFonts w:hint="default"/>
                    </w:rPr>
                    <w:t>6</w:t>
                  </w:r>
                  <w:r>
                    <w:rPr>
                      <w:rFonts w:hint="eastAsia"/>
                      <w:lang w:eastAsia="zh-CN"/>
                    </w:rPr>
                    <w:t>~</w:t>
                  </w:r>
                  <w:r>
                    <w:rPr>
                      <w:rFonts w:hint="default"/>
                    </w:rPr>
                    <w:t>9</w:t>
                  </w:r>
                </w:p>
              </w:tc>
              <w:tc>
                <w:tcPr>
                  <w:tcW w:w="680" w:type="pct"/>
                  <w:noWrap w:val="0"/>
                  <w:vAlign w:val="center"/>
                </w:tcPr>
                <w:p w14:paraId="475A8C2E">
                  <w:pPr>
                    <w:pStyle w:val="33"/>
                    <w:keepNext w:val="0"/>
                    <w:keepLines w:val="0"/>
                    <w:suppressLineNumbers w:val="0"/>
                    <w:bidi w:val="0"/>
                    <w:spacing w:before="0" w:beforeAutospacing="0" w:after="0" w:afterAutospacing="0"/>
                    <w:ind w:left="0" w:right="0"/>
                    <w:rPr>
                      <w:rFonts w:hint="default"/>
                    </w:rPr>
                  </w:pPr>
                  <w:r>
                    <w:rPr>
                      <w:rFonts w:hint="default"/>
                    </w:rPr>
                    <w:t>达标</w:t>
                  </w:r>
                </w:p>
              </w:tc>
            </w:tr>
            <w:tr w14:paraId="1BBDB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78D9D345">
                  <w:pPr>
                    <w:pStyle w:val="33"/>
                    <w:keepNext w:val="0"/>
                    <w:keepLines w:val="0"/>
                    <w:suppressLineNumbers w:val="0"/>
                    <w:bidi w:val="0"/>
                    <w:spacing w:before="0" w:beforeAutospacing="0" w:after="0" w:afterAutospacing="0"/>
                    <w:ind w:left="0" w:right="0"/>
                    <w:rPr>
                      <w:rFonts w:hint="default"/>
                    </w:rPr>
                  </w:pPr>
                  <w:r>
                    <w:rPr>
                      <w:rFonts w:hint="default"/>
                    </w:rPr>
                    <w:t>COD</w:t>
                  </w:r>
                </w:p>
              </w:tc>
              <w:tc>
                <w:tcPr>
                  <w:tcW w:w="926" w:type="pct"/>
                  <w:vMerge w:val="continue"/>
                  <w:noWrap w:val="0"/>
                  <w:vAlign w:val="center"/>
                </w:tcPr>
                <w:p w14:paraId="18FA9DA7">
                  <w:pPr>
                    <w:pStyle w:val="33"/>
                    <w:keepNext w:val="0"/>
                    <w:keepLines w:val="0"/>
                    <w:suppressLineNumbers w:val="0"/>
                    <w:bidi w:val="0"/>
                    <w:spacing w:before="0" w:beforeAutospacing="0" w:after="0" w:afterAutospacing="0"/>
                    <w:ind w:left="0" w:right="0"/>
                    <w:rPr>
                      <w:rFonts w:hint="default"/>
                    </w:rPr>
                  </w:pPr>
                </w:p>
              </w:tc>
              <w:tc>
                <w:tcPr>
                  <w:tcW w:w="1307" w:type="dxa"/>
                  <w:noWrap w:val="0"/>
                  <w:vAlign w:val="center"/>
                </w:tcPr>
                <w:p w14:paraId="4C5A4A6B">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340</w:t>
                  </w:r>
                </w:p>
              </w:tc>
              <w:tc>
                <w:tcPr>
                  <w:tcW w:w="1212" w:type="dxa"/>
                  <w:noWrap w:val="0"/>
                  <w:vAlign w:val="center"/>
                </w:tcPr>
                <w:p w14:paraId="63DDB2DC">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274.38</w:t>
                  </w:r>
                </w:p>
              </w:tc>
              <w:tc>
                <w:tcPr>
                  <w:tcW w:w="866" w:type="pct"/>
                  <w:noWrap w:val="0"/>
                  <w:vAlign w:val="center"/>
                </w:tcPr>
                <w:p w14:paraId="16BF0F9E">
                  <w:pPr>
                    <w:pStyle w:val="33"/>
                    <w:keepNext w:val="0"/>
                    <w:keepLines w:val="0"/>
                    <w:suppressLineNumbers w:val="0"/>
                    <w:bidi w:val="0"/>
                    <w:spacing w:before="0" w:beforeAutospacing="0" w:after="0" w:afterAutospacing="0"/>
                    <w:ind w:left="0" w:right="0"/>
                    <w:rPr>
                      <w:rFonts w:hint="default"/>
                    </w:rPr>
                  </w:pPr>
                  <w:r>
                    <w:rPr>
                      <w:rFonts w:hint="default"/>
                    </w:rPr>
                    <w:t>500</w:t>
                  </w:r>
                </w:p>
              </w:tc>
              <w:tc>
                <w:tcPr>
                  <w:tcW w:w="680" w:type="pct"/>
                  <w:noWrap w:val="0"/>
                  <w:vAlign w:val="center"/>
                </w:tcPr>
                <w:p w14:paraId="37B3B015">
                  <w:pPr>
                    <w:pStyle w:val="33"/>
                    <w:keepNext w:val="0"/>
                    <w:keepLines w:val="0"/>
                    <w:suppressLineNumbers w:val="0"/>
                    <w:bidi w:val="0"/>
                    <w:spacing w:before="0" w:beforeAutospacing="0" w:after="0" w:afterAutospacing="0"/>
                    <w:ind w:left="0" w:right="0"/>
                    <w:rPr>
                      <w:rFonts w:hint="default"/>
                    </w:rPr>
                  </w:pPr>
                  <w:r>
                    <w:rPr>
                      <w:rFonts w:hint="default"/>
                    </w:rPr>
                    <w:t>达标</w:t>
                  </w:r>
                </w:p>
              </w:tc>
            </w:tr>
            <w:tr w14:paraId="5D283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7F325039">
                  <w:pPr>
                    <w:pStyle w:val="33"/>
                    <w:keepNext w:val="0"/>
                    <w:keepLines w:val="0"/>
                    <w:suppressLineNumbers w:val="0"/>
                    <w:bidi w:val="0"/>
                    <w:spacing w:before="0" w:beforeAutospacing="0" w:after="0" w:afterAutospacing="0"/>
                    <w:ind w:left="0" w:right="0"/>
                    <w:rPr>
                      <w:rFonts w:hint="default"/>
                    </w:rPr>
                  </w:pPr>
                  <w:r>
                    <w:rPr>
                      <w:rFonts w:hint="default"/>
                    </w:rPr>
                    <w:t>BOD5</w:t>
                  </w:r>
                </w:p>
              </w:tc>
              <w:tc>
                <w:tcPr>
                  <w:tcW w:w="926" w:type="pct"/>
                  <w:vMerge w:val="continue"/>
                  <w:noWrap w:val="0"/>
                  <w:vAlign w:val="center"/>
                </w:tcPr>
                <w:p w14:paraId="78EF826C">
                  <w:pPr>
                    <w:pStyle w:val="33"/>
                    <w:keepNext w:val="0"/>
                    <w:keepLines w:val="0"/>
                    <w:suppressLineNumbers w:val="0"/>
                    <w:bidi w:val="0"/>
                    <w:spacing w:before="0" w:beforeAutospacing="0" w:after="0" w:afterAutospacing="0"/>
                    <w:ind w:left="0" w:right="0"/>
                    <w:rPr>
                      <w:rFonts w:hint="default"/>
                    </w:rPr>
                  </w:pPr>
                </w:p>
              </w:tc>
              <w:tc>
                <w:tcPr>
                  <w:tcW w:w="1307" w:type="dxa"/>
                  <w:noWrap w:val="0"/>
                  <w:vAlign w:val="center"/>
                </w:tcPr>
                <w:p w14:paraId="2D7A8B04">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200</w:t>
                  </w:r>
                </w:p>
              </w:tc>
              <w:tc>
                <w:tcPr>
                  <w:tcW w:w="1212" w:type="dxa"/>
                  <w:noWrap w:val="0"/>
                  <w:vAlign w:val="center"/>
                </w:tcPr>
                <w:p w14:paraId="2CEF7E0B">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174.6</w:t>
                  </w:r>
                </w:p>
              </w:tc>
              <w:tc>
                <w:tcPr>
                  <w:tcW w:w="866" w:type="pct"/>
                  <w:noWrap w:val="0"/>
                  <w:vAlign w:val="center"/>
                </w:tcPr>
                <w:p w14:paraId="45AA9E5C">
                  <w:pPr>
                    <w:pStyle w:val="33"/>
                    <w:keepNext w:val="0"/>
                    <w:keepLines w:val="0"/>
                    <w:suppressLineNumbers w:val="0"/>
                    <w:bidi w:val="0"/>
                    <w:spacing w:before="0" w:beforeAutospacing="0" w:after="0" w:afterAutospacing="0"/>
                    <w:ind w:left="0" w:right="0"/>
                    <w:rPr>
                      <w:rFonts w:hint="default"/>
                    </w:rPr>
                  </w:pPr>
                  <w:r>
                    <w:rPr>
                      <w:rFonts w:hint="default"/>
                    </w:rPr>
                    <w:t>300</w:t>
                  </w:r>
                </w:p>
              </w:tc>
              <w:tc>
                <w:tcPr>
                  <w:tcW w:w="680" w:type="pct"/>
                  <w:noWrap w:val="0"/>
                  <w:vAlign w:val="center"/>
                </w:tcPr>
                <w:p w14:paraId="78BD6BF0">
                  <w:pPr>
                    <w:pStyle w:val="33"/>
                    <w:keepNext w:val="0"/>
                    <w:keepLines w:val="0"/>
                    <w:suppressLineNumbers w:val="0"/>
                    <w:bidi w:val="0"/>
                    <w:spacing w:before="0" w:beforeAutospacing="0" w:after="0" w:afterAutospacing="0"/>
                    <w:ind w:left="0" w:right="0"/>
                    <w:rPr>
                      <w:rFonts w:hint="default"/>
                    </w:rPr>
                  </w:pPr>
                  <w:r>
                    <w:rPr>
                      <w:rFonts w:hint="default"/>
                    </w:rPr>
                    <w:t>达标</w:t>
                  </w:r>
                </w:p>
              </w:tc>
            </w:tr>
            <w:tr w14:paraId="4E0DD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19EE3AAB">
                  <w:pPr>
                    <w:pStyle w:val="33"/>
                    <w:keepNext w:val="0"/>
                    <w:keepLines w:val="0"/>
                    <w:suppressLineNumbers w:val="0"/>
                    <w:bidi w:val="0"/>
                    <w:spacing w:before="0" w:beforeAutospacing="0" w:after="0" w:afterAutospacing="0"/>
                    <w:ind w:left="0" w:right="0"/>
                    <w:rPr>
                      <w:rFonts w:hint="default"/>
                    </w:rPr>
                  </w:pPr>
                  <w:r>
                    <w:rPr>
                      <w:rFonts w:hint="default"/>
                    </w:rPr>
                    <w:t>SS</w:t>
                  </w:r>
                </w:p>
              </w:tc>
              <w:tc>
                <w:tcPr>
                  <w:tcW w:w="926" w:type="pct"/>
                  <w:vMerge w:val="continue"/>
                  <w:noWrap w:val="0"/>
                  <w:vAlign w:val="center"/>
                </w:tcPr>
                <w:p w14:paraId="60ADFAB9">
                  <w:pPr>
                    <w:pStyle w:val="33"/>
                    <w:keepNext w:val="0"/>
                    <w:keepLines w:val="0"/>
                    <w:suppressLineNumbers w:val="0"/>
                    <w:bidi w:val="0"/>
                    <w:spacing w:before="0" w:beforeAutospacing="0" w:after="0" w:afterAutospacing="0"/>
                    <w:ind w:left="0" w:right="0"/>
                    <w:rPr>
                      <w:rFonts w:hint="default"/>
                    </w:rPr>
                  </w:pPr>
                </w:p>
              </w:tc>
              <w:tc>
                <w:tcPr>
                  <w:tcW w:w="1307" w:type="dxa"/>
                  <w:noWrap w:val="0"/>
                  <w:vAlign w:val="center"/>
                </w:tcPr>
                <w:p w14:paraId="4950B11F">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w:t>
                  </w:r>
                  <w:r>
                    <w:rPr>
                      <w:rFonts w:hint="eastAsia"/>
                      <w:lang w:val="en-US" w:eastAsia="zh-CN"/>
                    </w:rPr>
                    <w:t>2</w:t>
                  </w:r>
                  <w:r>
                    <w:rPr>
                      <w:rFonts w:hint="default"/>
                      <w:lang w:val="en-US" w:eastAsia="zh-CN"/>
                    </w:rPr>
                    <w:t>0</w:t>
                  </w:r>
                </w:p>
              </w:tc>
              <w:tc>
                <w:tcPr>
                  <w:tcW w:w="1212" w:type="dxa"/>
                  <w:noWrap w:val="0"/>
                  <w:vAlign w:val="center"/>
                </w:tcPr>
                <w:p w14:paraId="0CA62F21">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88</w:t>
                  </w:r>
                </w:p>
              </w:tc>
              <w:tc>
                <w:tcPr>
                  <w:tcW w:w="866" w:type="pct"/>
                  <w:noWrap w:val="0"/>
                  <w:vAlign w:val="center"/>
                </w:tcPr>
                <w:p w14:paraId="4C84D33E">
                  <w:pPr>
                    <w:pStyle w:val="33"/>
                    <w:keepNext w:val="0"/>
                    <w:keepLines w:val="0"/>
                    <w:suppressLineNumbers w:val="0"/>
                    <w:bidi w:val="0"/>
                    <w:spacing w:before="0" w:beforeAutospacing="0" w:after="0" w:afterAutospacing="0"/>
                    <w:ind w:left="0" w:right="0"/>
                    <w:rPr>
                      <w:rFonts w:hint="default"/>
                    </w:rPr>
                  </w:pPr>
                  <w:r>
                    <w:rPr>
                      <w:rFonts w:hint="default"/>
                    </w:rPr>
                    <w:t>400</w:t>
                  </w:r>
                </w:p>
              </w:tc>
              <w:tc>
                <w:tcPr>
                  <w:tcW w:w="680" w:type="pct"/>
                  <w:noWrap w:val="0"/>
                  <w:vAlign w:val="center"/>
                </w:tcPr>
                <w:p w14:paraId="7C154B93">
                  <w:pPr>
                    <w:pStyle w:val="33"/>
                    <w:keepNext w:val="0"/>
                    <w:keepLines w:val="0"/>
                    <w:suppressLineNumbers w:val="0"/>
                    <w:bidi w:val="0"/>
                    <w:spacing w:before="0" w:beforeAutospacing="0" w:after="0" w:afterAutospacing="0"/>
                    <w:ind w:left="0" w:right="0"/>
                    <w:rPr>
                      <w:rFonts w:hint="default"/>
                    </w:rPr>
                  </w:pPr>
                  <w:r>
                    <w:rPr>
                      <w:rFonts w:hint="default"/>
                    </w:rPr>
                    <w:t>达标</w:t>
                  </w:r>
                </w:p>
              </w:tc>
            </w:tr>
            <w:tr w14:paraId="6200E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4" w:type="pct"/>
                  <w:noWrap w:val="0"/>
                  <w:vAlign w:val="center"/>
                </w:tcPr>
                <w:p w14:paraId="145C0B9B">
                  <w:pPr>
                    <w:pStyle w:val="33"/>
                    <w:keepNext w:val="0"/>
                    <w:keepLines w:val="0"/>
                    <w:suppressLineNumbers w:val="0"/>
                    <w:bidi w:val="0"/>
                    <w:spacing w:before="0" w:beforeAutospacing="0" w:after="0" w:afterAutospacing="0"/>
                    <w:ind w:left="0" w:right="0"/>
                    <w:rPr>
                      <w:rFonts w:hint="default"/>
                    </w:rPr>
                  </w:pPr>
                  <w:r>
                    <w:rPr>
                      <w:rFonts w:hint="default"/>
                    </w:rPr>
                    <w:t>氨氮</w:t>
                  </w:r>
                </w:p>
              </w:tc>
              <w:tc>
                <w:tcPr>
                  <w:tcW w:w="926" w:type="pct"/>
                  <w:vMerge w:val="continue"/>
                  <w:noWrap w:val="0"/>
                  <w:vAlign w:val="center"/>
                </w:tcPr>
                <w:p w14:paraId="59E6C8F4">
                  <w:pPr>
                    <w:pStyle w:val="33"/>
                    <w:keepNext w:val="0"/>
                    <w:keepLines w:val="0"/>
                    <w:suppressLineNumbers w:val="0"/>
                    <w:bidi w:val="0"/>
                    <w:spacing w:before="0" w:beforeAutospacing="0" w:after="0" w:afterAutospacing="0"/>
                    <w:ind w:left="0" w:right="0"/>
                    <w:rPr>
                      <w:rFonts w:hint="default"/>
                    </w:rPr>
                  </w:pPr>
                </w:p>
              </w:tc>
              <w:tc>
                <w:tcPr>
                  <w:tcW w:w="1307" w:type="dxa"/>
                  <w:noWrap w:val="0"/>
                  <w:vAlign w:val="center"/>
                </w:tcPr>
                <w:p w14:paraId="68A33822">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32.6</w:t>
                  </w:r>
                </w:p>
              </w:tc>
              <w:tc>
                <w:tcPr>
                  <w:tcW w:w="1212" w:type="dxa"/>
                  <w:noWrap w:val="0"/>
                  <w:vAlign w:val="center"/>
                </w:tcPr>
                <w:p w14:paraId="13C8A2FE">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32.6</w:t>
                  </w:r>
                </w:p>
              </w:tc>
              <w:tc>
                <w:tcPr>
                  <w:tcW w:w="866" w:type="pct"/>
                  <w:noWrap w:val="0"/>
                  <w:vAlign w:val="center"/>
                </w:tcPr>
                <w:p w14:paraId="0E8C8EE2">
                  <w:pPr>
                    <w:pStyle w:val="33"/>
                    <w:keepNext w:val="0"/>
                    <w:keepLines w:val="0"/>
                    <w:suppressLineNumbers w:val="0"/>
                    <w:bidi w:val="0"/>
                    <w:spacing w:before="0" w:beforeAutospacing="0" w:after="0" w:afterAutospacing="0"/>
                    <w:ind w:left="0" w:right="0"/>
                    <w:rPr>
                      <w:rFonts w:hint="default"/>
                    </w:rPr>
                  </w:pPr>
                  <w:r>
                    <w:rPr>
                      <w:rFonts w:hint="default"/>
                    </w:rPr>
                    <w:t>45</w:t>
                  </w:r>
                </w:p>
              </w:tc>
              <w:tc>
                <w:tcPr>
                  <w:tcW w:w="680" w:type="pct"/>
                  <w:noWrap w:val="0"/>
                  <w:vAlign w:val="center"/>
                </w:tcPr>
                <w:p w14:paraId="7E5B7833">
                  <w:pPr>
                    <w:pStyle w:val="33"/>
                    <w:keepNext w:val="0"/>
                    <w:keepLines w:val="0"/>
                    <w:suppressLineNumbers w:val="0"/>
                    <w:bidi w:val="0"/>
                    <w:spacing w:before="0" w:beforeAutospacing="0" w:after="0" w:afterAutospacing="0"/>
                    <w:ind w:left="0" w:right="0"/>
                    <w:rPr>
                      <w:rFonts w:hint="default"/>
                    </w:rPr>
                  </w:pPr>
                  <w:r>
                    <w:rPr>
                      <w:rFonts w:hint="default"/>
                    </w:rPr>
                    <w:t>达标</w:t>
                  </w:r>
                </w:p>
              </w:tc>
            </w:tr>
          </w:tbl>
          <w:p w14:paraId="70333200">
            <w:pPr>
              <w:pStyle w:val="4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eastAsia="zh-CN"/>
              </w:rPr>
              <w:t>根据上表所列数据，本项目生活污水主要污染物排放浓度均能满足《污水综合排放标准》(GB8978-1996)表4三级标准及《污水排入城镇下水道水质标准》(GB/T 31962-2015)表1中B级标准限值。</w:t>
            </w:r>
          </w:p>
          <w:p w14:paraId="72E98C14">
            <w:pPr>
              <w:pStyle w:val="42"/>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eastAsia="zh-CN"/>
              </w:rPr>
              <w:t>项目</w:t>
            </w:r>
            <w:r>
              <w:rPr>
                <w:rFonts w:hint="eastAsia" w:ascii="Times New Roman" w:hAnsi="Times New Roman" w:cs="Times New Roman"/>
                <w:color w:val="000000"/>
                <w:highlight w:val="none"/>
                <w:lang w:eastAsia="zh-CN"/>
              </w:rPr>
              <w:t>生活污水</w:t>
            </w:r>
            <w:r>
              <w:rPr>
                <w:rFonts w:hint="default" w:ascii="Times New Roman" w:hAnsi="Times New Roman" w:cs="Times New Roman"/>
                <w:color w:val="000000"/>
                <w:highlight w:val="none"/>
                <w:lang w:eastAsia="zh-CN"/>
              </w:rPr>
              <w:t>不涉及有毒有害污染物，不涉及持久性、重金属，也不含有腐蚀成分，因此，从水质方面分析，项目</w:t>
            </w:r>
            <w:r>
              <w:rPr>
                <w:rFonts w:hint="eastAsia" w:ascii="Times New Roman" w:hAnsi="Times New Roman" w:cs="Times New Roman"/>
                <w:color w:val="000000"/>
                <w:highlight w:val="none"/>
                <w:lang w:eastAsia="zh-CN"/>
              </w:rPr>
              <w:t>生活污水</w:t>
            </w:r>
            <w:r>
              <w:rPr>
                <w:rFonts w:hint="default" w:ascii="Times New Roman" w:hAnsi="Times New Roman" w:cs="Times New Roman"/>
                <w:color w:val="000000"/>
                <w:highlight w:val="none"/>
                <w:lang w:eastAsia="zh-CN"/>
              </w:rPr>
              <w:t>经处理达标后，</w:t>
            </w:r>
            <w:r>
              <w:rPr>
                <w:rFonts w:hint="eastAsia" w:ascii="Times New Roman" w:hAnsi="Times New Roman" w:cs="Times New Roman"/>
                <w:color w:val="000000"/>
                <w:highlight w:val="none"/>
                <w:lang w:eastAsia="zh-CN"/>
              </w:rPr>
              <w:t>青口汽车工业开发区污水处理厂</w:t>
            </w:r>
            <w:r>
              <w:rPr>
                <w:rFonts w:hint="default" w:ascii="Times New Roman" w:hAnsi="Times New Roman" w:cs="Times New Roman"/>
                <w:color w:val="000000"/>
                <w:highlight w:val="none"/>
                <w:lang w:eastAsia="zh-CN"/>
              </w:rPr>
              <w:t>可接纳项目</w:t>
            </w:r>
            <w:r>
              <w:rPr>
                <w:rFonts w:hint="eastAsia" w:ascii="Times New Roman" w:hAnsi="Times New Roman" w:cs="Times New Roman"/>
                <w:color w:val="000000"/>
                <w:highlight w:val="none"/>
                <w:lang w:eastAsia="zh-CN"/>
              </w:rPr>
              <w:t>污水</w:t>
            </w:r>
            <w:r>
              <w:rPr>
                <w:rFonts w:hint="default" w:ascii="Times New Roman" w:hAnsi="Times New Roman" w:cs="Times New Roman"/>
                <w:color w:val="000000"/>
                <w:highlight w:val="none"/>
                <w:lang w:eastAsia="zh-CN"/>
              </w:rPr>
              <w:t>水质，不会对</w:t>
            </w:r>
            <w:r>
              <w:rPr>
                <w:rFonts w:hint="eastAsia" w:ascii="Times New Roman" w:hAnsi="Times New Roman" w:cs="Times New Roman"/>
                <w:color w:val="000000"/>
                <w:highlight w:val="none"/>
                <w:lang w:eastAsia="zh-CN"/>
              </w:rPr>
              <w:t>污水处理厂</w:t>
            </w:r>
            <w:r>
              <w:rPr>
                <w:rFonts w:hint="default" w:ascii="Times New Roman" w:hAnsi="Times New Roman" w:cs="Times New Roman"/>
                <w:color w:val="000000"/>
                <w:highlight w:val="none"/>
                <w:lang w:eastAsia="zh-CN"/>
              </w:rPr>
              <w:t>水质负荷造成冲击。</w:t>
            </w:r>
          </w:p>
          <w:p w14:paraId="0F1360B5">
            <w:pPr>
              <w:pStyle w:val="42"/>
              <w:rPr>
                <w:rFonts w:hint="eastAsia" w:ascii="Times New Roman" w:hAnsi="Times New Roman" w:cs="Times New Roman"/>
                <w:color w:val="000000"/>
                <w:highlight w:val="none"/>
                <w:lang w:val="en-US" w:eastAsia="zh-CN" w:bidi="he-IL"/>
              </w:rPr>
            </w:pPr>
            <w:r>
              <w:rPr>
                <w:rFonts w:hint="default" w:ascii="Times New Roman" w:hAnsi="Times New Roman" w:cs="Times New Roman"/>
                <w:color w:val="000000"/>
                <w:highlight w:val="none"/>
                <w:lang w:val="en-US" w:eastAsia="zh-CN" w:bidi="he-IL"/>
              </w:rPr>
              <w:t>③</w:t>
            </w:r>
            <w:r>
              <w:rPr>
                <w:rFonts w:hint="eastAsia" w:ascii="Times New Roman" w:hAnsi="Times New Roman" w:cs="Times New Roman"/>
                <w:color w:val="000000"/>
                <w:highlight w:val="none"/>
                <w:lang w:val="en-US" w:eastAsia="zh-CN" w:bidi="he-IL"/>
              </w:rPr>
              <w:t>水量负荷</w:t>
            </w:r>
          </w:p>
          <w:p w14:paraId="5FD96F25">
            <w:pPr>
              <w:pStyle w:val="42"/>
              <w:rPr>
                <w:rFonts w:hint="default" w:ascii="Times New Roman" w:hAnsi="Times New Roman" w:cs="Times New Roman"/>
                <w:color w:val="000000"/>
                <w:highlight w:val="none"/>
              </w:rPr>
            </w:pPr>
            <w:r>
              <w:rPr>
                <w:rFonts w:hint="eastAsia" w:ascii="Times New Roman" w:hAnsi="Times New Roman" w:cs="Times New Roman"/>
                <w:color w:val="000000"/>
                <w:highlight w:val="none"/>
                <w:lang w:eastAsia="zh-CN"/>
              </w:rPr>
              <w:t>青口汽车工业开发区污水处理厂</w:t>
            </w:r>
            <w:r>
              <w:rPr>
                <w:rFonts w:hint="default" w:ascii="Times New Roman" w:hAnsi="Times New Roman" w:cs="Times New Roman"/>
                <w:color w:val="000000"/>
                <w:highlight w:val="none"/>
                <w:lang w:eastAsia="zh-CN"/>
              </w:rPr>
              <w:t>设计</w:t>
            </w:r>
            <w:r>
              <w:rPr>
                <w:rFonts w:hint="default" w:ascii="Times New Roman" w:hAnsi="Times New Roman" w:cs="Times New Roman"/>
                <w:color w:val="000000"/>
                <w:highlight w:val="none"/>
              </w:rPr>
              <w:t>总处理规模为</w:t>
            </w:r>
            <w:r>
              <w:rPr>
                <w:rFonts w:hint="eastAsia" w:ascii="Times New Roman" w:hAnsi="Times New Roman" w:cs="Times New Roman"/>
                <w:color w:val="000000"/>
                <w:highlight w:val="none"/>
                <w:lang w:val="en-US" w:eastAsia="zh-CN"/>
              </w:rPr>
              <w:t>10000</w:t>
            </w:r>
            <w:r>
              <w:rPr>
                <w:rFonts w:hint="eastAsia" w:ascii="Times New Roman" w:hAnsi="Times New Roman" w:cs="Times New Roman"/>
                <w:color w:val="000000"/>
                <w:highlight w:val="none"/>
                <w:lang w:eastAsia="zh-CN"/>
              </w:rPr>
              <w:t>吨</w:t>
            </w:r>
            <w:r>
              <w:rPr>
                <w:rFonts w:hint="eastAsia" w:ascii="Times New Roman" w:hAnsi="Times New Roman" w:cs="Times New Roman"/>
                <w:color w:val="000000"/>
                <w:highlight w:val="none"/>
                <w:lang w:val="en-US" w:eastAsia="zh-CN"/>
              </w:rPr>
              <w:t>/天</w:t>
            </w:r>
            <w:r>
              <w:rPr>
                <w:rFonts w:hint="default" w:ascii="Times New Roman" w:hAnsi="Times New Roman" w:cs="Times New Roman"/>
                <w:color w:val="000000"/>
                <w:highlight w:val="none"/>
              </w:rPr>
              <w:t>，</w:t>
            </w:r>
            <w:r>
              <w:rPr>
                <w:rFonts w:hint="default" w:ascii="Times New Roman" w:hAnsi="Times New Roman" w:cs="Times New Roman"/>
                <w:color w:val="000000"/>
                <w:highlight w:val="none"/>
                <w:lang w:eastAsia="zh-CN"/>
              </w:rPr>
              <w:t>根据调查，</w:t>
            </w:r>
            <w:r>
              <w:rPr>
                <w:rFonts w:hint="default" w:ascii="Times New Roman" w:hAnsi="Times New Roman" w:cs="Times New Roman"/>
                <w:color w:val="000000"/>
                <w:highlight w:val="none"/>
              </w:rPr>
              <w:t>目前</w:t>
            </w:r>
            <w:r>
              <w:rPr>
                <w:rFonts w:hint="eastAsia" w:ascii="Times New Roman" w:hAnsi="Times New Roman" w:cs="Times New Roman"/>
                <w:color w:val="000000"/>
                <w:highlight w:val="none"/>
                <w:lang w:eastAsia="zh-CN"/>
              </w:rPr>
              <w:t>青口汽车工业开发区污水处理厂</w:t>
            </w:r>
            <w:r>
              <w:rPr>
                <w:rFonts w:hint="default" w:ascii="Times New Roman" w:hAnsi="Times New Roman" w:cs="Times New Roman"/>
                <w:color w:val="000000"/>
                <w:highlight w:val="none"/>
                <w:u w:val="none"/>
              </w:rPr>
              <w:t>实际运行规模为</w:t>
            </w:r>
            <w:r>
              <w:rPr>
                <w:rFonts w:hint="eastAsia" w:ascii="Times New Roman" w:hAnsi="Times New Roman" w:cs="Times New Roman"/>
                <w:color w:val="000000"/>
                <w:highlight w:val="none"/>
                <w:u w:val="none"/>
                <w:lang w:val="en-US" w:eastAsia="zh-CN"/>
              </w:rPr>
              <w:t>4500</w:t>
            </w:r>
            <w:r>
              <w:rPr>
                <w:rFonts w:hint="eastAsia" w:ascii="Times New Roman" w:hAnsi="Times New Roman" w:cs="Times New Roman"/>
                <w:color w:val="000000"/>
                <w:highlight w:val="none"/>
                <w:u w:val="none"/>
                <w:lang w:eastAsia="zh-CN"/>
              </w:rPr>
              <w:t>吨</w:t>
            </w:r>
            <w:r>
              <w:rPr>
                <w:rFonts w:hint="default" w:ascii="Times New Roman" w:hAnsi="Times New Roman" w:cs="Times New Roman"/>
                <w:color w:val="000000"/>
                <w:highlight w:val="none"/>
                <w:u w:val="none"/>
              </w:rPr>
              <w:t>/</w:t>
            </w:r>
            <w:r>
              <w:rPr>
                <w:rFonts w:hint="eastAsia" w:ascii="Times New Roman" w:hAnsi="Times New Roman" w:cs="Times New Roman"/>
                <w:color w:val="000000"/>
                <w:highlight w:val="none"/>
                <w:u w:val="none"/>
                <w:lang w:eastAsia="zh-CN"/>
              </w:rPr>
              <w:t>天</w:t>
            </w:r>
            <w:r>
              <w:rPr>
                <w:rFonts w:hint="default" w:ascii="Times New Roman" w:hAnsi="Times New Roman" w:cs="Times New Roman"/>
                <w:color w:val="000000"/>
                <w:highlight w:val="none"/>
                <w:u w:val="none"/>
              </w:rPr>
              <w:t>，</w:t>
            </w:r>
            <w:r>
              <w:rPr>
                <w:rFonts w:hint="default" w:ascii="Times New Roman" w:hAnsi="Times New Roman" w:cs="Times New Roman"/>
                <w:color w:val="000000"/>
                <w:szCs w:val="24"/>
                <w:highlight w:val="none"/>
                <w:u w:val="none"/>
                <w:lang w:eastAsia="zh-CN"/>
              </w:rPr>
              <w:t>剩余处理能力</w:t>
            </w:r>
            <w:r>
              <w:rPr>
                <w:rFonts w:hint="eastAsia" w:ascii="Times New Roman" w:hAnsi="Times New Roman" w:cs="Times New Roman"/>
                <w:color w:val="000000"/>
                <w:szCs w:val="24"/>
                <w:highlight w:val="none"/>
                <w:u w:val="none"/>
                <w:lang w:val="en-US" w:eastAsia="zh-CN"/>
              </w:rPr>
              <w:t>5500</w:t>
            </w:r>
            <w:r>
              <w:rPr>
                <w:rFonts w:hint="eastAsia" w:ascii="Times New Roman" w:hAnsi="Times New Roman" w:cs="Times New Roman"/>
                <w:color w:val="000000"/>
                <w:highlight w:val="none"/>
                <w:u w:val="none"/>
                <w:lang w:eastAsia="zh-CN"/>
              </w:rPr>
              <w:t>吨</w:t>
            </w:r>
            <w:r>
              <w:rPr>
                <w:rFonts w:hint="default" w:ascii="Times New Roman" w:hAnsi="Times New Roman" w:cs="Times New Roman"/>
                <w:color w:val="000000"/>
                <w:highlight w:val="none"/>
                <w:u w:val="none"/>
              </w:rPr>
              <w:t>/</w:t>
            </w:r>
            <w:r>
              <w:rPr>
                <w:rFonts w:hint="eastAsia" w:ascii="Times New Roman" w:hAnsi="Times New Roman" w:cs="Times New Roman"/>
                <w:color w:val="000000"/>
                <w:highlight w:val="none"/>
                <w:u w:val="none"/>
                <w:lang w:eastAsia="zh-CN"/>
              </w:rPr>
              <w:t>天</w:t>
            </w:r>
            <w:r>
              <w:rPr>
                <w:rFonts w:hint="default" w:ascii="Times New Roman" w:hAnsi="Times New Roman" w:cs="Times New Roman"/>
                <w:color w:val="000000"/>
                <w:highlight w:val="none"/>
              </w:rPr>
              <w:t>。</w:t>
            </w:r>
            <w:r>
              <w:rPr>
                <w:rFonts w:hint="eastAsia" w:ascii="Times New Roman" w:hAnsi="Times New Roman" w:cs="Times New Roman"/>
                <w:color w:val="000000"/>
                <w:highlight w:val="none"/>
                <w:lang w:eastAsia="zh-CN"/>
              </w:rPr>
              <w:t>本</w:t>
            </w:r>
            <w:r>
              <w:rPr>
                <w:rFonts w:hint="default" w:ascii="Times New Roman" w:hAnsi="Times New Roman" w:cs="Times New Roman"/>
                <w:color w:val="000000"/>
                <w:highlight w:val="none"/>
              </w:rPr>
              <w:t>项目</w:t>
            </w:r>
            <w:r>
              <w:rPr>
                <w:rFonts w:hint="default" w:ascii="Times New Roman" w:hAnsi="Times New Roman" w:cs="Times New Roman"/>
                <w:color w:val="000000"/>
                <w:highlight w:val="none"/>
                <w:lang w:eastAsia="zh-CN"/>
              </w:rPr>
              <w:t>生活污水</w:t>
            </w:r>
            <w:r>
              <w:rPr>
                <w:rFonts w:hint="default" w:ascii="Times New Roman" w:hAnsi="Times New Roman" w:cs="Times New Roman"/>
                <w:color w:val="000000"/>
                <w:highlight w:val="none"/>
              </w:rPr>
              <w:t>排放量</w:t>
            </w:r>
            <w:r>
              <w:rPr>
                <w:rFonts w:hint="eastAsia" w:ascii="Times New Roman" w:hAnsi="Times New Roman" w:cs="Times New Roman"/>
                <w:color w:val="000000"/>
                <w:highlight w:val="none"/>
                <w:lang w:val="en-US" w:eastAsia="zh-CN"/>
              </w:rPr>
              <w:t>9吨/天</w:t>
            </w:r>
            <w:r>
              <w:rPr>
                <w:rFonts w:hint="default" w:ascii="Times New Roman" w:hAnsi="Times New Roman" w:cs="Times New Roman"/>
                <w:color w:val="000000"/>
                <w:highlight w:val="none"/>
              </w:rPr>
              <w:t>，仅占</w:t>
            </w:r>
            <w:r>
              <w:rPr>
                <w:rFonts w:hint="eastAsia" w:ascii="Times New Roman" w:hAnsi="Times New Roman" w:cs="Times New Roman"/>
                <w:color w:val="000000"/>
                <w:highlight w:val="none"/>
                <w:lang w:eastAsia="zh-CN"/>
              </w:rPr>
              <w:t>青口汽车工业开发区污水处理厂剩余</w:t>
            </w:r>
            <w:r>
              <w:rPr>
                <w:rFonts w:hint="default" w:ascii="Times New Roman" w:hAnsi="Times New Roman" w:cs="Times New Roman"/>
                <w:color w:val="000000"/>
                <w:highlight w:val="none"/>
              </w:rPr>
              <w:t>处理</w:t>
            </w:r>
            <w:r>
              <w:rPr>
                <w:rFonts w:hint="eastAsia" w:ascii="Times New Roman" w:hAnsi="Times New Roman" w:cs="Times New Roman"/>
                <w:color w:val="000000"/>
                <w:highlight w:val="none"/>
                <w:lang w:eastAsia="zh-CN"/>
              </w:rPr>
              <w:t>规模</w:t>
            </w:r>
            <w:r>
              <w:rPr>
                <w:rFonts w:hint="default" w:ascii="Times New Roman" w:hAnsi="Times New Roman" w:cs="Times New Roman"/>
                <w:color w:val="000000"/>
                <w:highlight w:val="none"/>
              </w:rPr>
              <w:t>的</w:t>
            </w:r>
            <w:r>
              <w:rPr>
                <w:rFonts w:hint="eastAsia" w:ascii="Times New Roman" w:hAnsi="Times New Roman" w:cs="Times New Roman"/>
                <w:color w:val="000000"/>
                <w:highlight w:val="none"/>
                <w:lang w:val="en-US" w:eastAsia="zh-CN"/>
              </w:rPr>
              <w:t>0.164</w:t>
            </w:r>
            <w:r>
              <w:rPr>
                <w:rFonts w:hint="default" w:ascii="Times New Roman" w:hAnsi="Times New Roman" w:cs="Times New Roman"/>
                <w:color w:val="000000"/>
                <w:highlight w:val="none"/>
              </w:rPr>
              <w:t>%，</w:t>
            </w:r>
            <w:r>
              <w:rPr>
                <w:rFonts w:hint="eastAsia" w:ascii="Times New Roman" w:hAnsi="Times New Roman" w:cs="Times New Roman"/>
                <w:color w:val="000000"/>
                <w:highlight w:val="none"/>
                <w:lang w:eastAsia="zh-CN"/>
              </w:rPr>
              <w:t>污水处理厂采用</w:t>
            </w:r>
            <w:r>
              <w:rPr>
                <w:rFonts w:hint="eastAsia"/>
                <w:lang w:eastAsia="zh-CN"/>
              </w:rPr>
              <w:t>预处理</w:t>
            </w:r>
            <w:r>
              <w:rPr>
                <w:rFonts w:hint="eastAsia"/>
                <w:lang w:val="en-US" w:eastAsia="zh-CN"/>
              </w:rPr>
              <w:t>+水解酸化+AAO生化池+二沉池+磁混凝沉淀+紫外线消毒</w:t>
            </w:r>
            <w:r>
              <w:rPr>
                <w:rFonts w:hint="eastAsia" w:ascii="Times New Roman" w:hAnsi="Times New Roman" w:cs="Times New Roman"/>
                <w:color w:val="000000"/>
                <w:highlight w:val="none"/>
                <w:lang w:eastAsia="zh-CN"/>
              </w:rPr>
              <w:t>工艺，属于城镇污水处理厂通用工艺，因此，从处理能力及处理工艺分析</w:t>
            </w:r>
            <w:r>
              <w:rPr>
                <w:rFonts w:hint="default" w:ascii="Times New Roman" w:hAnsi="Times New Roman" w:cs="Times New Roman"/>
                <w:color w:val="000000"/>
                <w:highlight w:val="none"/>
              </w:rPr>
              <w:t>，</w:t>
            </w:r>
            <w:r>
              <w:rPr>
                <w:rFonts w:hint="eastAsia" w:ascii="Times New Roman" w:hAnsi="Times New Roman" w:cs="Times New Roman"/>
                <w:color w:val="000000"/>
                <w:highlight w:val="none"/>
                <w:lang w:eastAsia="zh-CN"/>
              </w:rPr>
              <w:t>青口汽车工业开发区污水处理厂</w:t>
            </w:r>
            <w:r>
              <w:rPr>
                <w:rFonts w:hint="default" w:ascii="Times New Roman" w:hAnsi="Times New Roman" w:cs="Times New Roman"/>
                <w:color w:val="000000"/>
                <w:highlight w:val="none"/>
                <w:lang w:eastAsia="zh-CN"/>
              </w:rPr>
              <w:t>可</w:t>
            </w:r>
            <w:r>
              <w:rPr>
                <w:rFonts w:hint="default" w:ascii="Times New Roman" w:hAnsi="Times New Roman" w:cs="Times New Roman"/>
                <w:color w:val="000000"/>
                <w:highlight w:val="none"/>
              </w:rPr>
              <w:t>接纳项目</w:t>
            </w:r>
            <w:r>
              <w:rPr>
                <w:rFonts w:hint="default" w:ascii="Times New Roman" w:hAnsi="Times New Roman" w:cs="Times New Roman"/>
                <w:color w:val="000000"/>
                <w:highlight w:val="none"/>
                <w:lang w:eastAsia="zh-CN"/>
              </w:rPr>
              <w:t>废水排放量，不会对</w:t>
            </w:r>
            <w:r>
              <w:rPr>
                <w:rFonts w:hint="eastAsia" w:ascii="Times New Roman" w:hAnsi="Times New Roman" w:cs="Times New Roman"/>
                <w:color w:val="000000"/>
                <w:highlight w:val="none"/>
                <w:lang w:eastAsia="zh-CN"/>
              </w:rPr>
              <w:t>污水处理厂</w:t>
            </w:r>
            <w:r>
              <w:rPr>
                <w:rFonts w:hint="default" w:ascii="Times New Roman" w:hAnsi="Times New Roman" w:cs="Times New Roman"/>
                <w:color w:val="000000"/>
                <w:highlight w:val="none"/>
                <w:lang w:eastAsia="zh-CN"/>
              </w:rPr>
              <w:t>水量负荷造成冲击</w:t>
            </w:r>
            <w:r>
              <w:rPr>
                <w:rFonts w:hint="default" w:ascii="Times New Roman" w:hAnsi="Times New Roman" w:cs="Times New Roman"/>
                <w:color w:val="000000"/>
                <w:highlight w:val="none"/>
              </w:rPr>
              <w:t>。</w:t>
            </w:r>
          </w:p>
          <w:p w14:paraId="19180C25">
            <w:pPr>
              <w:pStyle w:val="4"/>
              <w:keepNext w:val="0"/>
              <w:keepLines w:val="0"/>
              <w:suppressLineNumbers w:val="0"/>
              <w:bidi w:val="0"/>
              <w:ind w:left="0" w:right="0"/>
              <w:rPr>
                <w:rFonts w:hint="default"/>
              </w:rPr>
            </w:pPr>
            <w:r>
              <w:rPr>
                <w:rFonts w:hint="default"/>
              </w:rPr>
              <w:t>小结</w:t>
            </w:r>
          </w:p>
          <w:p w14:paraId="71504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bidi="he-IL"/>
                <w14:textFill>
                  <w14:solidFill>
                    <w14:schemeClr w14:val="tx1"/>
                  </w14:solidFill>
                </w14:textFill>
              </w:rPr>
            </w:pPr>
            <w:r>
              <w:rPr>
                <w:rFonts w:hint="default" w:ascii="Times New Roman" w:hAnsi="Times New Roman" w:cs="Times New Roman"/>
                <w:color w:val="000000" w:themeColor="text1"/>
                <w:sz w:val="24"/>
                <w:szCs w:val="24"/>
                <w:highlight w:val="none"/>
                <w:lang w:bidi="he-IL"/>
                <w14:textFill>
                  <w14:solidFill>
                    <w14:schemeClr w14:val="tx1"/>
                  </w14:solidFill>
                </w14:textFill>
              </w:rPr>
              <w:t>根据上述分析，</w:t>
            </w:r>
            <w:r>
              <w:rPr>
                <w:rFonts w:hint="eastAsia" w:ascii="Times New Roman" w:hAnsi="Times New Roman" w:cs="Times New Roman"/>
                <w:color w:val="000000" w:themeColor="text1"/>
                <w:sz w:val="24"/>
                <w:szCs w:val="24"/>
                <w:highlight w:val="none"/>
                <w:lang w:eastAsia="zh-CN"/>
                <w14:textFill>
                  <w14:solidFill>
                    <w14:schemeClr w14:val="tx1"/>
                  </w14:solidFill>
                </w14:textFill>
              </w:rPr>
              <w:t>项目</w:t>
            </w:r>
            <w:r>
              <w:rPr>
                <w:rFonts w:hint="eastAsia" w:cs="Times New Roman"/>
                <w:color w:val="000000" w:themeColor="text1"/>
                <w:sz w:val="24"/>
                <w:szCs w:val="24"/>
                <w:highlight w:val="none"/>
                <w:lang w:eastAsia="zh-CN"/>
                <w14:textFill>
                  <w14:solidFill>
                    <w14:schemeClr w14:val="tx1"/>
                  </w14:solidFill>
                </w14:textFill>
              </w:rPr>
              <w:t>无</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生产废水</w:t>
            </w:r>
            <w:r>
              <w:rPr>
                <w:rFonts w:hint="eastAsia" w:cs="Times New Roman"/>
                <w:color w:val="000000" w:themeColor="text1"/>
                <w:sz w:val="24"/>
                <w:szCs w:val="24"/>
                <w:highlight w:val="none"/>
                <w:lang w:eastAsia="zh-CN"/>
                <w14:textFill>
                  <w14:solidFill>
                    <w14:schemeClr w14:val="tx1"/>
                  </w14:solidFill>
                </w14:textFill>
              </w:rPr>
              <w:t>外排</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生活污水</w:t>
            </w:r>
            <w:r>
              <w:rPr>
                <w:rFonts w:hint="eastAsia" w:ascii="Times New Roman" w:hAnsi="Times New Roman" w:cs="Times New Roman"/>
                <w:color w:val="000000" w:themeColor="text1"/>
                <w:sz w:val="24"/>
                <w:szCs w:val="24"/>
                <w:highlight w:val="none"/>
                <w:lang w:eastAsia="zh-CN"/>
                <w14:textFill>
                  <w14:solidFill>
                    <w14:schemeClr w14:val="tx1"/>
                  </w14:solidFill>
                </w14:textFill>
              </w:rPr>
              <w:t>经</w:t>
            </w:r>
            <w:r>
              <w:rPr>
                <w:rFonts w:hint="eastAsia" w:cs="Times New Roman"/>
                <w:color w:val="000000" w:themeColor="text1"/>
                <w:sz w:val="24"/>
                <w:szCs w:val="24"/>
                <w:highlight w:val="none"/>
                <w:lang w:eastAsia="zh-CN"/>
                <w14:textFill>
                  <w14:solidFill>
                    <w14:schemeClr w14:val="tx1"/>
                  </w14:solidFill>
                </w14:textFill>
              </w:rPr>
              <w:t>厂区内已建</w:t>
            </w:r>
            <w:r>
              <w:rPr>
                <w:rFonts w:hint="eastAsia" w:ascii="Times New Roman" w:hAnsi="Times New Roman" w:cs="Times New Roman"/>
                <w:color w:val="000000" w:themeColor="text1"/>
                <w:sz w:val="24"/>
                <w:szCs w:val="24"/>
                <w:highlight w:val="none"/>
                <w:lang w:eastAsia="zh-CN"/>
                <w14:textFill>
                  <w14:solidFill>
                    <w14:schemeClr w14:val="tx1"/>
                  </w14:solidFill>
                </w14:textFill>
              </w:rPr>
              <w:t>化粪池处理后</w:t>
            </w:r>
            <w:r>
              <w:rPr>
                <w:rFonts w:hint="default" w:ascii="Times New Roman" w:hAnsi="Times New Roman" w:cs="Times New Roman"/>
                <w:color w:val="000000" w:themeColor="text1"/>
                <w:sz w:val="24"/>
                <w:szCs w:val="24"/>
                <w:highlight w:val="none"/>
                <w:lang w:eastAsia="zh-CN"/>
                <w14:textFill>
                  <w14:solidFill>
                    <w14:schemeClr w14:val="tx1"/>
                  </w14:solidFill>
                </w14:textFill>
              </w:rPr>
              <w:t>排入市政污水管网</w:t>
            </w:r>
            <w:r>
              <w:rPr>
                <w:rFonts w:hint="default" w:ascii="Times New Roman" w:hAnsi="Times New Roman" w:cs="Times New Roman"/>
                <w:color w:val="000000" w:themeColor="text1"/>
                <w:sz w:val="24"/>
                <w:szCs w:val="24"/>
                <w:highlight w:val="none"/>
                <w:lang w:bidi="he-IL"/>
                <w14:textFill>
                  <w14:solidFill>
                    <w14:schemeClr w14:val="tx1"/>
                  </w14:solidFill>
                </w14:textFill>
              </w:rPr>
              <w:t>，最终送往</w:t>
            </w:r>
            <w:r>
              <w:rPr>
                <w:rFonts w:hint="eastAsia" w:cs="Times New Roman"/>
                <w:color w:val="000000" w:themeColor="text1"/>
                <w:sz w:val="24"/>
                <w:szCs w:val="24"/>
                <w:highlight w:val="none"/>
                <w:lang w:eastAsia="zh-CN"/>
                <w14:textFill>
                  <w14:solidFill>
                    <w14:schemeClr w14:val="tx1"/>
                  </w14:solidFill>
                </w14:textFill>
              </w:rPr>
              <w:t>青口汽车工业开发区污水处理厂</w:t>
            </w:r>
            <w:r>
              <w:rPr>
                <w:rFonts w:hint="default" w:ascii="Times New Roman" w:hAnsi="Times New Roman" w:cs="Times New Roman"/>
                <w:color w:val="000000" w:themeColor="text1"/>
                <w:sz w:val="24"/>
                <w:szCs w:val="24"/>
                <w:highlight w:val="none"/>
                <w:lang w:eastAsia="zh-CN"/>
                <w14:textFill>
                  <w14:solidFill>
                    <w14:schemeClr w14:val="tx1"/>
                  </w14:solidFill>
                </w14:textFill>
              </w:rPr>
              <w:t>集中处理达标后排放</w:t>
            </w:r>
            <w:r>
              <w:rPr>
                <w:rFonts w:hint="default" w:ascii="Times New Roman" w:hAnsi="Times New Roman" w:cs="Times New Roman"/>
                <w:color w:val="000000" w:themeColor="text1"/>
                <w:sz w:val="24"/>
                <w:szCs w:val="24"/>
                <w:highlight w:val="none"/>
                <w:lang w:bidi="he-IL"/>
                <w14:textFill>
                  <w14:solidFill>
                    <w14:schemeClr w14:val="tx1"/>
                  </w14:solidFill>
                </w14:textFill>
              </w:rPr>
              <w:t>，</w:t>
            </w:r>
            <w:r>
              <w:rPr>
                <w:rFonts w:hint="default" w:ascii="Times New Roman" w:hAnsi="Times New Roman" w:cs="Times New Roman"/>
                <w:color w:val="000000" w:themeColor="text1"/>
                <w:sz w:val="24"/>
                <w:szCs w:val="24"/>
                <w:highlight w:val="none"/>
                <w:lang w:eastAsia="zh-CN" w:bidi="he-IL"/>
                <w14:textFill>
                  <w14:solidFill>
                    <w14:schemeClr w14:val="tx1"/>
                  </w14:solidFill>
                </w14:textFill>
              </w:rPr>
              <w:t>项目废水水质、水量不会对污水处理厂造成负荷冲击，项目污水</w:t>
            </w:r>
            <w:r>
              <w:rPr>
                <w:rFonts w:hint="default" w:ascii="Times New Roman" w:hAnsi="Times New Roman" w:cs="Times New Roman"/>
                <w:color w:val="000000" w:themeColor="text1"/>
                <w:sz w:val="24"/>
                <w:szCs w:val="24"/>
                <w:highlight w:val="none"/>
                <w:lang w:bidi="he-IL"/>
                <w14:textFill>
                  <w14:solidFill>
                    <w14:schemeClr w14:val="tx1"/>
                  </w14:solidFill>
                </w14:textFill>
              </w:rPr>
              <w:t>不直接排入地表水体，因此</w:t>
            </w:r>
            <w:r>
              <w:rPr>
                <w:rFonts w:hint="default" w:ascii="Times New Roman" w:hAnsi="Times New Roman" w:cs="Times New Roman"/>
                <w:color w:val="000000" w:themeColor="text1"/>
                <w:sz w:val="24"/>
                <w:szCs w:val="24"/>
                <w:highlight w:val="none"/>
                <w:lang w:eastAsia="zh-CN" w:bidi="he-IL"/>
                <w14:textFill>
                  <w14:solidFill>
                    <w14:schemeClr w14:val="tx1"/>
                  </w14:solidFill>
                </w14:textFill>
              </w:rPr>
              <w:t>几乎</w:t>
            </w:r>
            <w:r>
              <w:rPr>
                <w:rFonts w:hint="default" w:ascii="Times New Roman" w:hAnsi="Times New Roman" w:cs="Times New Roman"/>
                <w:color w:val="000000" w:themeColor="text1"/>
                <w:sz w:val="24"/>
                <w:szCs w:val="24"/>
                <w:highlight w:val="none"/>
                <w:lang w:bidi="he-IL"/>
                <w14:textFill>
                  <w14:solidFill>
                    <w14:schemeClr w14:val="tx1"/>
                  </w14:solidFill>
                </w14:textFill>
              </w:rPr>
              <w:t>不会对区域地表水环境产生直接不利影响。</w:t>
            </w:r>
          </w:p>
          <w:p w14:paraId="7133DDF1">
            <w:pPr>
              <w:pStyle w:val="4"/>
              <w:keepNext w:val="0"/>
              <w:keepLines w:val="0"/>
              <w:suppressLineNumbers w:val="0"/>
              <w:bidi w:val="0"/>
              <w:ind w:left="0" w:right="0"/>
              <w:rPr>
                <w:rFonts w:hint="default"/>
                <w:lang w:eastAsia="zh-CN"/>
              </w:rPr>
            </w:pPr>
            <w:r>
              <w:rPr>
                <w:rFonts w:hint="default"/>
                <w:lang w:eastAsia="zh-CN"/>
              </w:rPr>
              <w:t>监测计划</w:t>
            </w:r>
          </w:p>
          <w:p w14:paraId="50982344">
            <w:pPr>
              <w:keepNext w:val="0"/>
              <w:keepLines w:val="0"/>
              <w:suppressLineNumbers w:val="0"/>
              <w:bidi w:val="0"/>
              <w:spacing w:before="0" w:beforeAutospacing="0" w:after="0" w:afterAutospacing="0"/>
              <w:ind w:left="0" w:right="0"/>
              <w:rPr>
                <w:rFonts w:hint="default"/>
              </w:rPr>
            </w:pPr>
            <w:r>
              <w:rPr>
                <w:rFonts w:hint="eastAsia"/>
                <w:lang w:eastAsia="zh-CN"/>
              </w:rPr>
              <w:t>项目外排生活污水经处理达标后排入市政管网，送往</w:t>
            </w:r>
            <w:r>
              <w:rPr>
                <w:rFonts w:hint="eastAsia" w:cs="Times New Roman"/>
                <w:color w:val="000000" w:themeColor="text1"/>
                <w:sz w:val="24"/>
                <w:szCs w:val="24"/>
                <w:highlight w:val="none"/>
                <w:lang w:eastAsia="zh-CN"/>
                <w14:textFill>
                  <w14:solidFill>
                    <w14:schemeClr w14:val="tx1"/>
                  </w14:solidFill>
                </w14:textFill>
              </w:rPr>
              <w:t>青口汽车工业开发区污水处理厂</w:t>
            </w:r>
            <w:r>
              <w:rPr>
                <w:rFonts w:hint="eastAsia"/>
                <w:lang w:eastAsia="zh-CN"/>
              </w:rPr>
              <w:t>集中处理，属于间接排放，根据《排污许可证申请与核发技术规范 汽车制造业》(HJ 971-2018)要求，仅排放生活污水的项目无需进行污水自行监测。</w:t>
            </w:r>
          </w:p>
          <w:p w14:paraId="6BFA1DBE">
            <w:pPr>
              <w:pStyle w:val="3"/>
              <w:keepNext w:val="0"/>
              <w:keepLines w:val="0"/>
              <w:suppressLineNumbers w:val="0"/>
              <w:bidi w:val="0"/>
              <w:ind w:left="0" w:right="0"/>
              <w:rPr>
                <w:rFonts w:hint="default"/>
                <w:color w:val="auto"/>
              </w:rPr>
            </w:pPr>
            <w:r>
              <w:rPr>
                <w:rFonts w:hint="eastAsia"/>
                <w:color w:val="auto"/>
              </w:rPr>
              <w:t>大气环境</w:t>
            </w:r>
          </w:p>
          <w:p w14:paraId="7B5E8A9B">
            <w:pPr>
              <w:pStyle w:val="4"/>
              <w:keepNext w:val="0"/>
              <w:keepLines w:val="0"/>
              <w:suppressLineNumbers w:val="0"/>
              <w:ind w:left="0" w:right="0"/>
              <w:rPr>
                <w:rFonts w:hint="eastAsia"/>
                <w:color w:val="auto"/>
              </w:rPr>
            </w:pPr>
            <w:r>
              <w:rPr>
                <w:rFonts w:hint="default"/>
                <w:color w:val="auto"/>
              </w:rPr>
              <w:t>污染源强</w:t>
            </w:r>
          </w:p>
          <w:p w14:paraId="6132BCA3">
            <w:pPr>
              <w:keepNext w:val="0"/>
              <w:keepLines w:val="0"/>
              <w:suppressLineNumbers w:val="0"/>
              <w:spacing w:before="0" w:beforeAutospacing="0" w:after="0" w:afterAutospacing="0" w:line="360" w:lineRule="auto"/>
              <w:ind w:left="0" w:right="0" w:firstLine="480" w:firstLineChars="200"/>
              <w:rPr>
                <w:rFonts w:hint="eastAsia" w:cs="Times New Roman"/>
                <w:bCs/>
                <w:color w:val="auto"/>
                <w:sz w:val="24"/>
                <w:lang w:val="en-US" w:eastAsia="zh-CN"/>
              </w:rPr>
            </w:pPr>
            <w:r>
              <w:rPr>
                <w:rFonts w:hint="eastAsia" w:cs="Times New Roman"/>
                <w:bCs/>
                <w:color w:val="auto"/>
                <w:sz w:val="24"/>
                <w:lang w:val="en-US" w:eastAsia="zh-CN"/>
              </w:rPr>
              <w:t>项目运营期生产工艺为外购半成品物料进行装配，不涉及含VOCs物料使用，仅在线烘烤工序原料逸散极少量的有机废气，以无组织形式排放。</w:t>
            </w:r>
          </w:p>
          <w:p w14:paraId="03339813">
            <w:pPr>
              <w:keepNext w:val="0"/>
              <w:keepLines w:val="0"/>
              <w:suppressLineNumbers w:val="0"/>
              <w:spacing w:before="0" w:beforeAutospacing="0" w:after="0" w:afterAutospacing="0" w:line="360" w:lineRule="auto"/>
              <w:ind w:left="0" w:right="0" w:firstLine="480" w:firstLineChars="200"/>
              <w:rPr>
                <w:rFonts w:hint="eastAsia" w:cs="Times New Roman"/>
                <w:bCs/>
                <w:color w:val="auto"/>
                <w:sz w:val="24"/>
                <w:lang w:val="en-US" w:eastAsia="zh-CN"/>
              </w:rPr>
            </w:pPr>
            <w:r>
              <w:rPr>
                <w:rFonts w:hint="default" w:ascii="Times New Roman" w:hAnsi="Times New Roman" w:eastAsia="宋体" w:cs="Times New Roman"/>
                <w:color w:val="auto"/>
                <w:kern w:val="0"/>
                <w:sz w:val="24"/>
                <w:szCs w:val="20"/>
                <w:lang w:val="en-US" w:eastAsia="zh-CN" w:bidi="ar-SA"/>
              </w:rPr>
              <w:t>本项目</w:t>
            </w:r>
            <w:r>
              <w:rPr>
                <w:rFonts w:hint="eastAsia" w:ascii="Times New Roman" w:hAnsi="Times New Roman" w:eastAsia="宋体" w:cs="Times New Roman"/>
                <w:color w:val="auto"/>
                <w:kern w:val="0"/>
                <w:sz w:val="24"/>
                <w:szCs w:val="20"/>
                <w:lang w:val="en-US" w:eastAsia="zh-CN" w:bidi="ar-SA"/>
              </w:rPr>
              <w:t>在线烘烤工序温度为50℃</w:t>
            </w:r>
            <w:r>
              <w:rPr>
                <w:rFonts w:hint="default" w:ascii="Times New Roman" w:hAnsi="Times New Roman" w:eastAsia="宋体" w:cs="Times New Roman"/>
                <w:color w:val="auto"/>
                <w:kern w:val="0"/>
                <w:sz w:val="24"/>
                <w:szCs w:val="20"/>
                <w:lang w:val="en-US" w:eastAsia="zh-CN" w:bidi="ar-SA"/>
              </w:rPr>
              <w:t>，项目原料受热情况下，原料中残存</w:t>
            </w:r>
            <w:r>
              <w:rPr>
                <w:rFonts w:hint="eastAsia" w:ascii="Times New Roman" w:hAnsi="Times New Roman" w:eastAsia="宋体" w:cs="Times New Roman"/>
                <w:color w:val="auto"/>
                <w:kern w:val="0"/>
                <w:sz w:val="24"/>
                <w:szCs w:val="20"/>
                <w:lang w:val="en-US" w:eastAsia="zh-CN" w:bidi="ar-SA"/>
              </w:rPr>
              <w:t>的胶粘剂、未聚合的树脂单体等</w:t>
            </w:r>
            <w:r>
              <w:rPr>
                <w:rFonts w:hint="default" w:ascii="Times New Roman" w:hAnsi="Times New Roman" w:eastAsia="宋体" w:cs="Times New Roman"/>
                <w:color w:val="auto"/>
                <w:kern w:val="0"/>
                <w:sz w:val="24"/>
                <w:szCs w:val="20"/>
                <w:lang w:val="en-US" w:eastAsia="zh-CN" w:bidi="ar-SA"/>
              </w:rPr>
              <w:t>可挥发至空气中，其组分较复杂，</w:t>
            </w:r>
            <w:r>
              <w:rPr>
                <w:rFonts w:hint="eastAsia" w:ascii="Times New Roman" w:hAnsi="Times New Roman" w:eastAsia="宋体" w:cs="Times New Roman"/>
                <w:color w:val="auto"/>
                <w:kern w:val="0"/>
                <w:sz w:val="24"/>
                <w:szCs w:val="20"/>
                <w:lang w:val="en-US" w:eastAsia="zh-CN" w:bidi="ar-SA"/>
              </w:rPr>
              <w:t>且产生量极少，</w:t>
            </w:r>
            <w:r>
              <w:rPr>
                <w:rFonts w:hint="default" w:ascii="Times New Roman" w:hAnsi="Times New Roman" w:eastAsia="宋体" w:cs="Times New Roman"/>
                <w:color w:val="auto"/>
                <w:kern w:val="0"/>
                <w:sz w:val="24"/>
                <w:szCs w:val="20"/>
                <w:lang w:val="en-US" w:eastAsia="zh-CN" w:bidi="ar-SA"/>
              </w:rPr>
              <w:t>因此本项目用</w:t>
            </w:r>
            <w:r>
              <w:rPr>
                <w:rFonts w:hint="eastAsia" w:ascii="Times New Roman" w:hAnsi="Times New Roman" w:eastAsia="宋体" w:cs="Times New Roman"/>
                <w:color w:val="auto"/>
                <w:kern w:val="0"/>
                <w:sz w:val="24"/>
                <w:szCs w:val="20"/>
                <w:lang w:val="en-US" w:eastAsia="zh-CN" w:bidi="ar-SA"/>
              </w:rPr>
              <w:t>挥发性有机物（以非甲烷总烃计）</w:t>
            </w:r>
            <w:r>
              <w:rPr>
                <w:rFonts w:hint="default" w:ascii="Times New Roman" w:hAnsi="Times New Roman" w:eastAsia="宋体" w:cs="Times New Roman"/>
                <w:color w:val="auto"/>
                <w:kern w:val="0"/>
                <w:sz w:val="24"/>
                <w:szCs w:val="20"/>
                <w:lang w:val="en-US" w:eastAsia="zh-CN" w:bidi="ar-SA"/>
              </w:rPr>
              <w:t>指标来衡量项目生产过程产生的</w:t>
            </w:r>
            <w:r>
              <w:rPr>
                <w:rFonts w:hint="eastAsia" w:ascii="Times New Roman" w:hAnsi="Times New Roman" w:eastAsia="宋体" w:cs="Times New Roman"/>
                <w:color w:val="auto"/>
                <w:kern w:val="0"/>
                <w:sz w:val="24"/>
                <w:szCs w:val="20"/>
                <w:lang w:val="en-US" w:eastAsia="zh-CN" w:bidi="ar-SA"/>
              </w:rPr>
              <w:t>废气</w:t>
            </w:r>
            <w:r>
              <w:rPr>
                <w:rFonts w:hint="default" w:ascii="Times New Roman" w:hAnsi="Times New Roman" w:eastAsia="宋体" w:cs="Times New Roman"/>
                <w:color w:val="auto"/>
                <w:kern w:val="0"/>
                <w:sz w:val="24"/>
                <w:szCs w:val="20"/>
                <w:lang w:val="en-US" w:eastAsia="zh-CN" w:bidi="ar-SA"/>
              </w:rPr>
              <w:t>，</w:t>
            </w:r>
            <w:r>
              <w:rPr>
                <w:rFonts w:hint="default" w:ascii="Times New Roman" w:hAnsi="Times New Roman" w:cs="Times New Roman"/>
                <w:color w:val="auto"/>
                <w:lang w:val="en-US" w:eastAsia="zh-CN"/>
              </w:rPr>
              <w:t>因</w:t>
            </w:r>
            <w:r>
              <w:rPr>
                <w:rFonts w:hint="eastAsia" w:ascii="Times New Roman" w:hAnsi="Times New Roman" w:cs="Times New Roman"/>
                <w:color w:val="auto"/>
                <w:lang w:val="en-US" w:eastAsia="zh-CN"/>
              </w:rPr>
              <w:t>挥发性有机物产生</w:t>
            </w:r>
            <w:r>
              <w:rPr>
                <w:rFonts w:hint="default" w:ascii="Times New Roman" w:hAnsi="Times New Roman" w:cs="Times New Roman"/>
                <w:color w:val="auto"/>
                <w:lang w:val="en-US" w:eastAsia="zh-CN"/>
              </w:rPr>
              <w:t>强度</w:t>
            </w:r>
            <w:r>
              <w:rPr>
                <w:rFonts w:hint="eastAsia" w:ascii="Times New Roman" w:hAnsi="Times New Roman" w:cs="Times New Roman"/>
                <w:color w:val="auto"/>
                <w:lang w:val="en-US" w:eastAsia="zh-CN"/>
              </w:rPr>
              <w:t>极</w:t>
            </w:r>
            <w:r>
              <w:rPr>
                <w:rFonts w:hint="default" w:ascii="Times New Roman" w:hAnsi="Times New Roman" w:cs="Times New Roman"/>
                <w:color w:val="auto"/>
                <w:lang w:val="en-US" w:eastAsia="zh-CN"/>
              </w:rPr>
              <w:t>低，</w:t>
            </w:r>
            <w:r>
              <w:rPr>
                <w:rFonts w:hint="eastAsia" w:ascii="Times New Roman" w:hAnsi="Times New Roman" w:cs="Times New Roman"/>
                <w:color w:val="auto"/>
                <w:lang w:val="en-US" w:eastAsia="zh-CN"/>
              </w:rPr>
              <w:t>项目生产期间，车间仅保留必要的出入口敞开，</w:t>
            </w:r>
            <w:r>
              <w:rPr>
                <w:rFonts w:hint="default" w:ascii="Times New Roman" w:hAnsi="Times New Roman" w:cs="Times New Roman"/>
                <w:color w:val="auto"/>
                <w:lang w:val="en-US" w:eastAsia="zh-CN"/>
              </w:rPr>
              <w:t>能够减轻项目原料</w:t>
            </w:r>
            <w:r>
              <w:rPr>
                <w:rFonts w:hint="eastAsia" w:ascii="Times New Roman" w:hAnsi="Times New Roman" w:cs="Times New Roman"/>
                <w:color w:val="auto"/>
                <w:lang w:val="en-US" w:eastAsia="zh-CN"/>
              </w:rPr>
              <w:t>受热</w:t>
            </w:r>
            <w:r>
              <w:rPr>
                <w:rFonts w:hint="default" w:ascii="Times New Roman" w:hAnsi="Times New Roman" w:cs="Times New Roman"/>
                <w:color w:val="auto"/>
                <w:lang w:val="en-US" w:eastAsia="zh-CN"/>
              </w:rPr>
              <w:t>过程中产生的</w:t>
            </w:r>
            <w:r>
              <w:rPr>
                <w:rFonts w:hint="eastAsia" w:ascii="Times New Roman" w:hAnsi="Times New Roman" w:cs="Times New Roman"/>
                <w:color w:val="auto"/>
                <w:lang w:val="en-US" w:eastAsia="zh-CN"/>
              </w:rPr>
              <w:t>挥发性有机物逸散至外环境</w:t>
            </w:r>
            <w:r>
              <w:rPr>
                <w:rFonts w:hint="default" w:ascii="Times New Roman" w:hAnsi="Times New Roman" w:cs="Times New Roman"/>
                <w:color w:val="auto"/>
                <w:lang w:val="en-US" w:eastAsia="zh-CN"/>
              </w:rPr>
              <w:t>，对周边环境影响较小，本评价仅做定性分析。</w:t>
            </w:r>
          </w:p>
          <w:p w14:paraId="38518F24">
            <w:pPr>
              <w:pStyle w:val="4"/>
              <w:keepNext w:val="0"/>
              <w:keepLines w:val="0"/>
              <w:suppressLineNumbers w:val="0"/>
              <w:ind w:left="0" w:right="0"/>
              <w:rPr>
                <w:rFonts w:hint="eastAsia"/>
                <w:color w:val="auto"/>
              </w:rPr>
            </w:pPr>
            <w:r>
              <w:rPr>
                <w:rFonts w:hint="default"/>
                <w:color w:val="auto"/>
              </w:rPr>
              <w:t>监测计划</w:t>
            </w:r>
          </w:p>
          <w:p w14:paraId="3573D1D7">
            <w:pPr>
              <w:keepNext w:val="0"/>
              <w:keepLines w:val="0"/>
              <w:suppressLineNumbers w:val="0"/>
              <w:spacing w:before="0" w:beforeAutospacing="0" w:after="0" w:afterAutospacing="0"/>
              <w:ind w:left="0" w:right="0" w:firstLine="480"/>
              <w:rPr>
                <w:rFonts w:hint="eastAsia" w:cs="Times New Roman"/>
                <w:color w:val="auto"/>
              </w:rPr>
            </w:pPr>
            <w:r>
              <w:rPr>
                <w:rFonts w:hint="eastAsia"/>
                <w:color w:val="000000" w:themeColor="text1"/>
                <w:lang w:eastAsia="zh-CN"/>
                <w14:textFill>
                  <w14:solidFill>
                    <w14:schemeClr w14:val="tx1"/>
                  </w14:solidFill>
                </w14:textFill>
              </w:rPr>
              <w:t>根据《固定污染源排污许可分类管理名录（2019年版）》，项目需进行排污登记，</w:t>
            </w:r>
            <w:r>
              <w:rPr>
                <w:rFonts w:hint="eastAsia" w:eastAsia="宋体" w:cs="Times New Roman"/>
                <w:color w:val="000000" w:themeColor="text1"/>
                <w:lang w:val="en-US" w:eastAsia="zh-CN"/>
                <w14:textFill>
                  <w14:solidFill>
                    <w14:schemeClr w14:val="tx1"/>
                  </w14:solidFill>
                </w14:textFill>
              </w:rPr>
              <w:t>排污登记行业未明确规定自行监测要求</w:t>
            </w:r>
            <w:r>
              <w:rPr>
                <w:rFonts w:hint="eastAsia" w:cs="Times New Roman"/>
                <w:color w:val="000000" w:themeColor="text1"/>
                <w:lang w:val="en-US" w:eastAsia="zh-CN"/>
                <w14:textFill>
                  <w14:solidFill>
                    <w14:schemeClr w14:val="tx1"/>
                  </w14:solidFill>
                </w14:textFill>
              </w:rPr>
              <w:t>，本评价</w:t>
            </w:r>
            <w:r>
              <w:rPr>
                <w:rFonts w:hint="eastAsia"/>
                <w:lang w:eastAsia="zh-CN"/>
              </w:rPr>
              <w:t>根据《排污许可证申请与核发技术规范 汽车制造业》(HJ 971-2018)要求</w:t>
            </w:r>
            <w:r>
              <w:rPr>
                <w:rFonts w:hint="default" w:cs="Times New Roman"/>
                <w:color w:val="auto"/>
              </w:rPr>
              <w:t>，</w:t>
            </w:r>
            <w:r>
              <w:rPr>
                <w:rFonts w:hint="eastAsia"/>
                <w:color w:val="000000" w:themeColor="text1"/>
                <w14:textFill>
                  <w14:solidFill>
                    <w14:schemeClr w14:val="tx1"/>
                  </w14:solidFill>
                </w14:textFill>
              </w:rPr>
              <w:t>提出项目运营期废气自行监测计划</w:t>
            </w:r>
            <w:r>
              <w:rPr>
                <w:rFonts w:hint="eastAsia"/>
                <w:color w:val="000000" w:themeColor="text1"/>
                <w:lang w:eastAsia="zh-CN"/>
                <w14:textFill>
                  <w14:solidFill>
                    <w14:schemeClr w14:val="tx1"/>
                  </w14:solidFill>
                </w14:textFill>
              </w:rPr>
              <w:t>，企业可参照执行</w:t>
            </w:r>
            <w:r>
              <w:rPr>
                <w:rFonts w:hint="eastAsia" w:cs="Times New Roman"/>
                <w:color w:val="auto"/>
              </w:rPr>
              <w:t>：</w:t>
            </w:r>
          </w:p>
          <w:p w14:paraId="68AE721F">
            <w:pPr>
              <w:pStyle w:val="36"/>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运营期</w:t>
            </w:r>
            <w:r>
              <w:rPr>
                <w:rFonts w:hint="eastAsia" w:cs="Times New Roman"/>
                <w:color w:val="auto"/>
                <w:lang w:eastAsia="zh-CN"/>
              </w:rPr>
              <w:t>废气</w:t>
            </w:r>
            <w:r>
              <w:rPr>
                <w:rFonts w:hint="default" w:cs="Times New Roman"/>
                <w:color w:val="auto"/>
              </w:rPr>
              <w:t>监测计划表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69"/>
              <w:gridCol w:w="2167"/>
              <w:gridCol w:w="2650"/>
              <w:gridCol w:w="2304"/>
            </w:tblGrid>
            <w:tr w14:paraId="6C2AD0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trPr>
              <w:tc>
                <w:tcPr>
                  <w:tcW w:w="806" w:type="pct"/>
                  <w:noWrap w:val="0"/>
                  <w:vAlign w:val="center"/>
                </w:tcPr>
                <w:p w14:paraId="7D02C632">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要素</w:t>
                  </w:r>
                </w:p>
              </w:tc>
              <w:tc>
                <w:tcPr>
                  <w:tcW w:w="1276" w:type="pct"/>
                  <w:noWrap w:val="0"/>
                  <w:vAlign w:val="center"/>
                </w:tcPr>
                <w:p w14:paraId="09F5C276">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default" w:cs="Times New Roman"/>
                      <w:color w:val="auto"/>
                    </w:rPr>
                    <w:t>监测</w:t>
                  </w:r>
                  <w:r>
                    <w:rPr>
                      <w:rFonts w:hint="eastAsia" w:cs="Times New Roman"/>
                      <w:color w:val="auto"/>
                      <w:lang w:val="en-US" w:eastAsia="zh-CN"/>
                    </w:rPr>
                    <w:t>点位</w:t>
                  </w:r>
                </w:p>
              </w:tc>
              <w:tc>
                <w:tcPr>
                  <w:tcW w:w="1560" w:type="pct"/>
                  <w:noWrap w:val="0"/>
                  <w:vAlign w:val="center"/>
                </w:tcPr>
                <w:p w14:paraId="280A760E">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监测项目</w:t>
                  </w:r>
                </w:p>
              </w:tc>
              <w:tc>
                <w:tcPr>
                  <w:tcW w:w="1356" w:type="pct"/>
                  <w:noWrap w:val="0"/>
                  <w:vAlign w:val="center"/>
                </w:tcPr>
                <w:p w14:paraId="26FA41D5">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监测频次</w:t>
                  </w:r>
                </w:p>
              </w:tc>
            </w:tr>
            <w:tr w14:paraId="417C3F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06" w:type="pct"/>
                  <w:noWrap w:val="0"/>
                  <w:vAlign w:val="center"/>
                </w:tcPr>
                <w:p w14:paraId="58D5A469">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废气</w:t>
                  </w:r>
                </w:p>
              </w:tc>
              <w:tc>
                <w:tcPr>
                  <w:tcW w:w="1276" w:type="pct"/>
                  <w:noWrap w:val="0"/>
                  <w:vAlign w:val="center"/>
                </w:tcPr>
                <w:p w14:paraId="3358DA99">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厂界</w:t>
                  </w:r>
                </w:p>
              </w:tc>
              <w:tc>
                <w:tcPr>
                  <w:tcW w:w="1560" w:type="pct"/>
                  <w:noWrap w:val="0"/>
                  <w:vAlign w:val="center"/>
                </w:tcPr>
                <w:p w14:paraId="06D81EBE">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非甲烷总烃</w:t>
                  </w:r>
                </w:p>
              </w:tc>
              <w:tc>
                <w:tcPr>
                  <w:tcW w:w="1356" w:type="pct"/>
                  <w:noWrap w:val="0"/>
                  <w:vAlign w:val="center"/>
                </w:tcPr>
                <w:p w14:paraId="5FD2FA5F">
                  <w:pPr>
                    <w:pStyle w:val="33"/>
                    <w:keepNext w:val="0"/>
                    <w:keepLines w:val="0"/>
                    <w:suppressLineNumbers w:val="0"/>
                    <w:spacing w:before="0" w:beforeAutospacing="0" w:after="0" w:afterAutospacing="0"/>
                    <w:ind w:left="0" w:right="0"/>
                    <w:rPr>
                      <w:rFonts w:hint="eastAsia" w:eastAsia="宋体" w:cs="Times New Roman"/>
                      <w:color w:val="auto"/>
                      <w:lang w:val="en-US" w:eastAsia="zh-CN"/>
                    </w:rPr>
                  </w:pPr>
                  <w:r>
                    <w:rPr>
                      <w:rFonts w:hint="default" w:cs="Times New Roman"/>
                      <w:color w:val="auto"/>
                    </w:rPr>
                    <w:t>1次/</w:t>
                  </w:r>
                  <w:r>
                    <w:rPr>
                      <w:rFonts w:hint="eastAsia" w:cs="Times New Roman"/>
                      <w:color w:val="auto"/>
                      <w:lang w:eastAsia="zh-CN"/>
                    </w:rPr>
                    <w:t>年</w:t>
                  </w:r>
                </w:p>
              </w:tc>
            </w:tr>
          </w:tbl>
          <w:p w14:paraId="53EA43E7">
            <w:pPr>
              <w:pStyle w:val="3"/>
              <w:keepNext w:val="0"/>
              <w:keepLines w:val="0"/>
              <w:suppressLineNumbers w:val="0"/>
              <w:ind w:left="0" w:right="0"/>
              <w:rPr>
                <w:rFonts w:hint="default"/>
                <w:color w:val="auto"/>
              </w:rPr>
            </w:pPr>
            <w:r>
              <w:rPr>
                <w:rFonts w:hint="default"/>
                <w:color w:val="auto"/>
              </w:rPr>
              <w:t>运营期声环境影响和保护措施</w:t>
            </w:r>
          </w:p>
          <w:p w14:paraId="4355A09E">
            <w:pPr>
              <w:pStyle w:val="4"/>
              <w:keepNext w:val="0"/>
              <w:keepLines w:val="0"/>
              <w:suppressLineNumbers w:val="0"/>
              <w:ind w:left="0" w:right="0"/>
              <w:rPr>
                <w:rFonts w:hint="default"/>
                <w:color w:val="auto"/>
              </w:rPr>
            </w:pPr>
            <w:r>
              <w:rPr>
                <w:rFonts w:hint="default"/>
                <w:color w:val="auto"/>
              </w:rPr>
              <w:t>污染源强</w:t>
            </w:r>
          </w:p>
          <w:p w14:paraId="71C58AC3">
            <w:pPr>
              <w:keepNext w:val="0"/>
              <w:keepLines w:val="0"/>
              <w:suppressLineNumbers w:val="0"/>
              <w:spacing w:before="0" w:beforeAutospacing="0" w:after="0" w:afterAutospacing="0" w:line="360" w:lineRule="auto"/>
              <w:ind w:left="0" w:right="0" w:firstLine="480" w:firstLineChars="200"/>
              <w:rPr>
                <w:rFonts w:hint="eastAsia" w:cs="Times New Roman"/>
                <w:b/>
                <w:color w:val="auto"/>
                <w:spacing w:val="-10"/>
                <w:sz w:val="24"/>
              </w:rPr>
            </w:pPr>
            <w:r>
              <w:rPr>
                <w:rFonts w:hint="default" w:cs="Times New Roman"/>
                <w:color w:val="auto"/>
              </w:rPr>
              <w:t>本项目主要的噪声污染源为</w:t>
            </w:r>
            <w:r>
              <w:rPr>
                <w:rFonts w:hint="eastAsia" w:cs="Times New Roman"/>
                <w:color w:val="auto"/>
              </w:rPr>
              <w:t>项目生产设备</w:t>
            </w:r>
            <w:r>
              <w:rPr>
                <w:rFonts w:hint="default" w:cs="Times New Roman"/>
                <w:color w:val="auto"/>
              </w:rPr>
              <w:t>运行</w:t>
            </w:r>
            <w:r>
              <w:rPr>
                <w:rFonts w:hint="eastAsia" w:cs="Times New Roman"/>
                <w:color w:val="auto"/>
              </w:rPr>
              <w:t>过程中</w:t>
            </w:r>
            <w:r>
              <w:rPr>
                <w:rFonts w:hint="default" w:cs="Times New Roman"/>
                <w:color w:val="auto"/>
              </w:rPr>
              <w:t>产生的噪声，</w:t>
            </w:r>
            <w:r>
              <w:rPr>
                <w:rFonts w:hint="eastAsia" w:cs="Times New Roman"/>
                <w:color w:val="auto"/>
              </w:rPr>
              <w:t>项目主要设备噪声源强见下表</w:t>
            </w:r>
            <w:r>
              <w:rPr>
                <w:rFonts w:hint="eastAsia" w:cs="Times New Roman"/>
                <w:bCs/>
                <w:color w:val="auto"/>
                <w:spacing w:val="-10"/>
                <w:sz w:val="24"/>
              </w:rPr>
              <w:t>。</w:t>
            </w:r>
          </w:p>
          <w:p w14:paraId="3B00C922">
            <w:pPr>
              <w:pStyle w:val="36"/>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项目</w:t>
            </w:r>
            <w:r>
              <w:rPr>
                <w:rFonts w:hint="eastAsia" w:cs="Times New Roman"/>
                <w:color w:val="auto"/>
                <w:highlight w:val="none"/>
              </w:rPr>
              <w:t>主要噪声源强表</w:t>
            </w:r>
          </w:p>
          <w:tbl>
            <w:tblPr>
              <w:tblStyle w:val="35"/>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57" w:type="dxa"/>
                <w:bottom w:w="0" w:type="dxa"/>
                <w:right w:w="57" w:type="dxa"/>
              </w:tblCellMar>
            </w:tblPr>
            <w:tblGrid>
              <w:gridCol w:w="1680"/>
              <w:gridCol w:w="955"/>
              <w:gridCol w:w="890"/>
              <w:gridCol w:w="637"/>
              <w:gridCol w:w="637"/>
              <w:gridCol w:w="666"/>
              <w:gridCol w:w="934"/>
              <w:gridCol w:w="1043"/>
              <w:gridCol w:w="1048"/>
            </w:tblGrid>
            <w:tr w14:paraId="5EECCB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93" w:hRule="atLeast"/>
              </w:trPr>
              <w:tc>
                <w:tcPr>
                  <w:tcW w:w="990" w:type="pct"/>
                  <w:vMerge w:val="restart"/>
                  <w:tcBorders>
                    <w:tl2br w:val="nil"/>
                    <w:tr2bl w:val="nil"/>
                  </w:tcBorders>
                  <w:vAlign w:val="center"/>
                </w:tcPr>
                <w:p w14:paraId="141599B0">
                  <w:pPr>
                    <w:pStyle w:val="33"/>
                    <w:bidi w:val="0"/>
                  </w:pPr>
                  <w:r>
                    <w:t>声源名称</w:t>
                  </w:r>
                </w:p>
              </w:tc>
              <w:tc>
                <w:tcPr>
                  <w:tcW w:w="563" w:type="pct"/>
                  <w:vMerge w:val="restart"/>
                  <w:tcBorders>
                    <w:tl2br w:val="nil"/>
                    <w:tr2bl w:val="nil"/>
                  </w:tcBorders>
                  <w:vAlign w:val="center"/>
                </w:tcPr>
                <w:p w14:paraId="7D235338">
                  <w:pPr>
                    <w:pStyle w:val="33"/>
                    <w:bidi w:val="0"/>
                  </w:pPr>
                  <w:r>
                    <w:t>声源控制措施</w:t>
                  </w:r>
                </w:p>
              </w:tc>
              <w:tc>
                <w:tcPr>
                  <w:tcW w:w="524" w:type="pct"/>
                  <w:vMerge w:val="restart"/>
                  <w:tcBorders>
                    <w:tl2br w:val="nil"/>
                    <w:tr2bl w:val="nil"/>
                  </w:tcBorders>
                  <w:vAlign w:val="center"/>
                </w:tcPr>
                <w:p w14:paraId="15174037">
                  <w:pPr>
                    <w:pStyle w:val="33"/>
                    <w:bidi w:val="0"/>
                  </w:pPr>
                  <w:r>
                    <w:t>声功率级dB（A）</w:t>
                  </w:r>
                </w:p>
              </w:tc>
              <w:tc>
                <w:tcPr>
                  <w:tcW w:w="1142" w:type="pct"/>
                  <w:gridSpan w:val="3"/>
                  <w:tcBorders>
                    <w:tl2br w:val="nil"/>
                    <w:tr2bl w:val="nil"/>
                  </w:tcBorders>
                  <w:vAlign w:val="center"/>
                </w:tcPr>
                <w:p w14:paraId="6E6C62C8">
                  <w:pPr>
                    <w:pStyle w:val="33"/>
                    <w:bidi w:val="0"/>
                  </w:pPr>
                  <w:r>
                    <w:t>空间相对位置m</w:t>
                  </w:r>
                </w:p>
              </w:tc>
              <w:tc>
                <w:tcPr>
                  <w:tcW w:w="550" w:type="pct"/>
                  <w:vMerge w:val="restart"/>
                  <w:tcBorders>
                    <w:tl2br w:val="nil"/>
                    <w:tr2bl w:val="nil"/>
                  </w:tcBorders>
                  <w:vAlign w:val="center"/>
                </w:tcPr>
                <w:p w14:paraId="2548E0E6">
                  <w:pPr>
                    <w:pStyle w:val="33"/>
                    <w:bidi w:val="0"/>
                  </w:pPr>
                  <w:r>
                    <w:t>距室内边界距离/m</w:t>
                  </w:r>
                </w:p>
              </w:tc>
              <w:tc>
                <w:tcPr>
                  <w:tcW w:w="614" w:type="pct"/>
                  <w:vMerge w:val="restart"/>
                  <w:tcBorders>
                    <w:tl2br w:val="nil"/>
                    <w:tr2bl w:val="nil"/>
                  </w:tcBorders>
                  <w:vAlign w:val="center"/>
                </w:tcPr>
                <w:p w14:paraId="49762006">
                  <w:pPr>
                    <w:pStyle w:val="33"/>
                    <w:keepNext w:val="0"/>
                    <w:keepLines w:val="0"/>
                    <w:suppressLineNumbers w:val="0"/>
                    <w:spacing w:before="0" w:beforeAutospacing="0" w:after="0" w:afterAutospacing="0"/>
                    <w:ind w:left="0" w:leftChars="0" w:right="0" w:rightChars="0" w:firstLine="0" w:firstLineChars="0"/>
                  </w:pPr>
                  <w:r>
                    <w:rPr>
                      <w:rFonts w:hint="eastAsia" w:cs="Times New Roman"/>
                      <w:color w:val="auto"/>
                    </w:rPr>
                    <w:t>建筑物插入损失</w:t>
                  </w:r>
                  <w:r>
                    <w:rPr>
                      <w:rFonts w:hint="default" w:cs="Times New Roman"/>
                      <w:color w:val="auto"/>
                    </w:rPr>
                    <w:t>/dB</w:t>
                  </w:r>
                  <w:r>
                    <w:rPr>
                      <w:rFonts w:hint="eastAsia" w:cs="Times New Roman"/>
                      <w:color w:val="auto"/>
                    </w:rPr>
                    <w:t>（A）</w:t>
                  </w:r>
                </w:p>
              </w:tc>
              <w:tc>
                <w:tcPr>
                  <w:tcW w:w="614" w:type="pct"/>
                  <w:vMerge w:val="restart"/>
                  <w:tcBorders>
                    <w:tl2br w:val="nil"/>
                    <w:tr2bl w:val="nil"/>
                  </w:tcBorders>
                  <w:vAlign w:val="center"/>
                </w:tcPr>
                <w:p w14:paraId="21FFD3E1">
                  <w:pPr>
                    <w:pStyle w:val="33"/>
                    <w:bidi w:val="0"/>
                    <w:rPr>
                      <w:rFonts w:hint="default"/>
                      <w:lang w:val="en-US" w:eastAsia="zh-CN"/>
                    </w:rPr>
                  </w:pPr>
                  <w:r>
                    <w:rPr>
                      <w:rFonts w:hint="eastAsia"/>
                      <w:lang w:eastAsia="zh-CN"/>
                    </w:rPr>
                    <w:t>工作</w:t>
                  </w:r>
                  <w:r>
                    <w:t>时间</w:t>
                  </w:r>
                  <w:r>
                    <w:rPr>
                      <w:rFonts w:hint="eastAsia"/>
                      <w:lang w:eastAsia="zh-CN"/>
                    </w:rPr>
                    <w:t>（</w:t>
                  </w:r>
                  <w:r>
                    <w:rPr>
                      <w:rFonts w:hint="eastAsia"/>
                      <w:lang w:val="en-US" w:eastAsia="zh-CN"/>
                    </w:rPr>
                    <w:t>h/a)</w:t>
                  </w:r>
                </w:p>
              </w:tc>
            </w:tr>
            <w:tr w14:paraId="087C8F6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vMerge w:val="continue"/>
                  <w:tcBorders>
                    <w:tl2br w:val="nil"/>
                    <w:tr2bl w:val="nil"/>
                  </w:tcBorders>
                  <w:vAlign w:val="center"/>
                </w:tcPr>
                <w:p w14:paraId="699F1311">
                  <w:pPr>
                    <w:pStyle w:val="33"/>
                    <w:bidi w:val="0"/>
                  </w:pPr>
                </w:p>
              </w:tc>
              <w:tc>
                <w:tcPr>
                  <w:tcW w:w="563" w:type="pct"/>
                  <w:vMerge w:val="continue"/>
                  <w:tcBorders>
                    <w:tl2br w:val="nil"/>
                    <w:tr2bl w:val="nil"/>
                  </w:tcBorders>
                  <w:vAlign w:val="center"/>
                </w:tcPr>
                <w:p w14:paraId="7CCD6FAC">
                  <w:pPr>
                    <w:pStyle w:val="33"/>
                    <w:bidi w:val="0"/>
                  </w:pPr>
                </w:p>
              </w:tc>
              <w:tc>
                <w:tcPr>
                  <w:tcW w:w="524" w:type="pct"/>
                  <w:vMerge w:val="continue"/>
                  <w:tcBorders>
                    <w:tl2br w:val="nil"/>
                    <w:tr2bl w:val="nil"/>
                  </w:tcBorders>
                  <w:vAlign w:val="center"/>
                </w:tcPr>
                <w:p w14:paraId="7D3BCA04">
                  <w:pPr>
                    <w:pStyle w:val="33"/>
                    <w:bidi w:val="0"/>
                  </w:pPr>
                </w:p>
              </w:tc>
              <w:tc>
                <w:tcPr>
                  <w:tcW w:w="375" w:type="pct"/>
                  <w:tcBorders>
                    <w:tl2br w:val="nil"/>
                    <w:tr2bl w:val="nil"/>
                  </w:tcBorders>
                  <w:vAlign w:val="center"/>
                </w:tcPr>
                <w:p w14:paraId="725E2382">
                  <w:pPr>
                    <w:pStyle w:val="33"/>
                    <w:bidi w:val="0"/>
                  </w:pPr>
                  <w:r>
                    <w:t>X</w:t>
                  </w:r>
                </w:p>
              </w:tc>
              <w:tc>
                <w:tcPr>
                  <w:tcW w:w="375" w:type="pct"/>
                  <w:tcBorders>
                    <w:tl2br w:val="nil"/>
                    <w:tr2bl w:val="nil"/>
                  </w:tcBorders>
                  <w:vAlign w:val="center"/>
                </w:tcPr>
                <w:p w14:paraId="60854BD3">
                  <w:pPr>
                    <w:pStyle w:val="33"/>
                    <w:bidi w:val="0"/>
                  </w:pPr>
                  <w:r>
                    <w:t>Y</w:t>
                  </w:r>
                </w:p>
              </w:tc>
              <w:tc>
                <w:tcPr>
                  <w:tcW w:w="392" w:type="pct"/>
                  <w:tcBorders>
                    <w:tl2br w:val="nil"/>
                    <w:tr2bl w:val="nil"/>
                  </w:tcBorders>
                  <w:vAlign w:val="center"/>
                </w:tcPr>
                <w:p w14:paraId="1B72B697">
                  <w:pPr>
                    <w:pStyle w:val="33"/>
                    <w:bidi w:val="0"/>
                  </w:pPr>
                  <w:r>
                    <w:t>Z</w:t>
                  </w:r>
                </w:p>
              </w:tc>
              <w:tc>
                <w:tcPr>
                  <w:tcW w:w="550" w:type="pct"/>
                  <w:vMerge w:val="continue"/>
                  <w:tcBorders>
                    <w:tl2br w:val="nil"/>
                    <w:tr2bl w:val="nil"/>
                  </w:tcBorders>
                  <w:vAlign w:val="center"/>
                </w:tcPr>
                <w:p w14:paraId="60546204">
                  <w:pPr>
                    <w:pStyle w:val="33"/>
                    <w:bidi w:val="0"/>
                  </w:pPr>
                </w:p>
              </w:tc>
              <w:tc>
                <w:tcPr>
                  <w:tcW w:w="614" w:type="pct"/>
                  <w:vMerge w:val="continue"/>
                  <w:tcBorders>
                    <w:tl2br w:val="nil"/>
                    <w:tr2bl w:val="nil"/>
                  </w:tcBorders>
                  <w:vAlign w:val="center"/>
                </w:tcPr>
                <w:p w14:paraId="528B49C8">
                  <w:pPr>
                    <w:pStyle w:val="33"/>
                    <w:keepNext w:val="0"/>
                    <w:keepLines w:val="0"/>
                    <w:suppressLineNumbers w:val="0"/>
                    <w:spacing w:before="0" w:beforeAutospacing="0" w:after="0" w:afterAutospacing="0"/>
                    <w:ind w:left="0" w:leftChars="0" w:right="0" w:rightChars="0" w:firstLine="0" w:firstLineChars="0"/>
                  </w:pPr>
                </w:p>
              </w:tc>
              <w:tc>
                <w:tcPr>
                  <w:tcW w:w="614" w:type="pct"/>
                  <w:vMerge w:val="continue"/>
                  <w:tcBorders>
                    <w:tl2br w:val="nil"/>
                    <w:tr2bl w:val="nil"/>
                  </w:tcBorders>
                  <w:vAlign w:val="center"/>
                </w:tcPr>
                <w:p w14:paraId="128F667F">
                  <w:pPr>
                    <w:pStyle w:val="33"/>
                    <w:bidi w:val="0"/>
                  </w:pPr>
                </w:p>
              </w:tc>
            </w:tr>
            <w:tr w14:paraId="380F0F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tcBorders>
                    <w:tl2br w:val="nil"/>
                    <w:tr2bl w:val="nil"/>
                  </w:tcBorders>
                  <w:vAlign w:val="center"/>
                </w:tcPr>
                <w:p w14:paraId="5EC81D6F">
                  <w:pPr>
                    <w:pStyle w:val="33"/>
                    <w:bidi w:val="0"/>
                    <w:rPr>
                      <w:rFonts w:hint="default"/>
                      <w:highlight w:val="none"/>
                      <w:lang w:val="en-US" w:eastAsia="zh-CN"/>
                    </w:rPr>
                  </w:pPr>
                  <w:r>
                    <w:rPr>
                      <w:rFonts w:hint="eastAsia"/>
                      <w:highlight w:val="none"/>
                    </w:rPr>
                    <w:t>电检设备</w:t>
                  </w:r>
                </w:p>
              </w:tc>
              <w:tc>
                <w:tcPr>
                  <w:tcW w:w="563" w:type="pct"/>
                  <w:vMerge w:val="restart"/>
                  <w:tcBorders>
                    <w:tl2br w:val="nil"/>
                    <w:tr2bl w:val="nil"/>
                  </w:tcBorders>
                  <w:vAlign w:val="center"/>
                </w:tcPr>
                <w:p w14:paraId="5DFDD7AA">
                  <w:pPr>
                    <w:pStyle w:val="33"/>
                    <w:bidi w:val="0"/>
                    <w:rPr>
                      <w:highlight w:val="none"/>
                    </w:rPr>
                  </w:pPr>
                </w:p>
                <w:p w14:paraId="3F220EBD">
                  <w:pPr>
                    <w:pStyle w:val="33"/>
                    <w:bidi w:val="0"/>
                    <w:rPr>
                      <w:rFonts w:hint="eastAsia" w:eastAsia="宋体"/>
                      <w:highlight w:val="none"/>
                      <w:lang w:val="en-US" w:eastAsia="zh-CN"/>
                    </w:rPr>
                  </w:pPr>
                  <w:r>
                    <w:rPr>
                      <w:highlight w:val="none"/>
                    </w:rPr>
                    <w:t>安装消声器、基础减震、墙体隔声、距离衰减等</w:t>
                  </w:r>
                  <w:r>
                    <w:rPr>
                      <w:rFonts w:hint="eastAsia"/>
                      <w:highlight w:val="none"/>
                      <w:lang w:eastAsia="zh-CN"/>
                    </w:rPr>
                    <w:t>。</w:t>
                  </w:r>
                </w:p>
              </w:tc>
              <w:tc>
                <w:tcPr>
                  <w:tcW w:w="524" w:type="pct"/>
                  <w:tcBorders>
                    <w:tl2br w:val="nil"/>
                    <w:tr2bl w:val="nil"/>
                  </w:tcBorders>
                  <w:vAlign w:val="center"/>
                </w:tcPr>
                <w:p w14:paraId="50E1869F">
                  <w:pPr>
                    <w:pStyle w:val="33"/>
                    <w:bidi w:val="0"/>
                    <w:rPr>
                      <w:rFonts w:hint="default"/>
                      <w:highlight w:val="none"/>
                      <w:lang w:val="en-US" w:eastAsia="zh-CN"/>
                    </w:rPr>
                  </w:pPr>
                  <w:r>
                    <w:rPr>
                      <w:rFonts w:hint="eastAsia"/>
                      <w:highlight w:val="none"/>
                      <w:lang w:val="en-US" w:eastAsia="zh-CN"/>
                    </w:rPr>
                    <w:t>70</w:t>
                  </w:r>
                </w:p>
              </w:tc>
              <w:tc>
                <w:tcPr>
                  <w:tcW w:w="375" w:type="pct"/>
                  <w:tcBorders>
                    <w:tl2br w:val="nil"/>
                    <w:tr2bl w:val="nil"/>
                  </w:tcBorders>
                  <w:vAlign w:val="center"/>
                </w:tcPr>
                <w:p w14:paraId="767C0A6E">
                  <w:pPr>
                    <w:pStyle w:val="33"/>
                    <w:bidi w:val="0"/>
                    <w:rPr>
                      <w:rFonts w:hint="default"/>
                      <w:highlight w:val="none"/>
                      <w:lang w:val="en-US" w:eastAsia="zh-CN"/>
                    </w:rPr>
                  </w:pPr>
                  <w:r>
                    <w:rPr>
                      <w:rFonts w:hint="eastAsia"/>
                      <w:highlight w:val="none"/>
                      <w:lang w:val="en-US" w:eastAsia="zh-CN"/>
                    </w:rPr>
                    <w:t>-9</w:t>
                  </w:r>
                </w:p>
              </w:tc>
              <w:tc>
                <w:tcPr>
                  <w:tcW w:w="375" w:type="pct"/>
                  <w:tcBorders>
                    <w:tl2br w:val="nil"/>
                    <w:tr2bl w:val="nil"/>
                  </w:tcBorders>
                  <w:vAlign w:val="center"/>
                </w:tcPr>
                <w:p w14:paraId="1ED74351">
                  <w:pPr>
                    <w:pStyle w:val="33"/>
                    <w:bidi w:val="0"/>
                    <w:rPr>
                      <w:rFonts w:hint="default"/>
                      <w:highlight w:val="none"/>
                      <w:lang w:val="en-US" w:eastAsia="zh-CN"/>
                    </w:rPr>
                  </w:pPr>
                  <w:r>
                    <w:rPr>
                      <w:rFonts w:hint="eastAsia"/>
                      <w:highlight w:val="none"/>
                      <w:lang w:val="en-US" w:eastAsia="zh-CN"/>
                    </w:rPr>
                    <w:t>60</w:t>
                  </w:r>
                </w:p>
              </w:tc>
              <w:tc>
                <w:tcPr>
                  <w:tcW w:w="392" w:type="pct"/>
                  <w:tcBorders>
                    <w:tl2br w:val="nil"/>
                    <w:tr2bl w:val="nil"/>
                  </w:tcBorders>
                  <w:vAlign w:val="center"/>
                </w:tcPr>
                <w:p w14:paraId="10F47C8B">
                  <w:pPr>
                    <w:pStyle w:val="33"/>
                    <w:bidi w:val="0"/>
                    <w:rPr>
                      <w:highlight w:val="none"/>
                    </w:rPr>
                  </w:pPr>
                  <w:r>
                    <w:rPr>
                      <w:highlight w:val="none"/>
                    </w:rPr>
                    <w:t>1</w:t>
                  </w:r>
                </w:p>
              </w:tc>
              <w:tc>
                <w:tcPr>
                  <w:tcW w:w="550" w:type="pct"/>
                  <w:tcBorders>
                    <w:tl2br w:val="nil"/>
                    <w:tr2bl w:val="nil"/>
                  </w:tcBorders>
                  <w:vAlign w:val="center"/>
                </w:tcPr>
                <w:p w14:paraId="10904CE9">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6CAFF9E3">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62BE4E7A">
                  <w:pPr>
                    <w:pStyle w:val="33"/>
                    <w:bidi w:val="0"/>
                    <w:rPr>
                      <w:highlight w:val="none"/>
                    </w:rPr>
                  </w:pPr>
                  <w:r>
                    <w:rPr>
                      <w:rFonts w:hint="eastAsia"/>
                      <w:highlight w:val="none"/>
                      <w:lang w:val="en-US" w:eastAsia="zh-CN"/>
                    </w:rPr>
                    <w:t>4800</w:t>
                  </w:r>
                </w:p>
              </w:tc>
            </w:tr>
            <w:tr w14:paraId="3AC89E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tcBorders>
                    <w:tl2br w:val="nil"/>
                    <w:tr2bl w:val="nil"/>
                  </w:tcBorders>
                  <w:vAlign w:val="center"/>
                </w:tcPr>
                <w:p w14:paraId="302067E8">
                  <w:pPr>
                    <w:pStyle w:val="33"/>
                    <w:bidi w:val="0"/>
                    <w:rPr>
                      <w:rFonts w:hint="eastAsia"/>
                      <w:highlight w:val="none"/>
                      <w:lang w:eastAsia="zh-CN"/>
                    </w:rPr>
                  </w:pPr>
                  <w:r>
                    <w:rPr>
                      <w:rFonts w:hint="eastAsia"/>
                      <w:highlight w:val="none"/>
                    </w:rPr>
                    <w:t>烘烤箱</w:t>
                  </w:r>
                </w:p>
              </w:tc>
              <w:tc>
                <w:tcPr>
                  <w:tcW w:w="563" w:type="pct"/>
                  <w:vMerge w:val="continue"/>
                  <w:tcBorders>
                    <w:tl2br w:val="nil"/>
                    <w:tr2bl w:val="nil"/>
                  </w:tcBorders>
                  <w:vAlign w:val="center"/>
                </w:tcPr>
                <w:p w14:paraId="3A49994A">
                  <w:pPr>
                    <w:pStyle w:val="33"/>
                    <w:bidi w:val="0"/>
                    <w:rPr>
                      <w:highlight w:val="none"/>
                    </w:rPr>
                  </w:pPr>
                </w:p>
              </w:tc>
              <w:tc>
                <w:tcPr>
                  <w:tcW w:w="524" w:type="pct"/>
                  <w:tcBorders>
                    <w:tl2br w:val="nil"/>
                    <w:tr2bl w:val="nil"/>
                  </w:tcBorders>
                  <w:vAlign w:val="center"/>
                </w:tcPr>
                <w:p w14:paraId="5580780F">
                  <w:pPr>
                    <w:pStyle w:val="33"/>
                    <w:bidi w:val="0"/>
                    <w:rPr>
                      <w:highlight w:val="none"/>
                    </w:rPr>
                  </w:pPr>
                  <w:r>
                    <w:rPr>
                      <w:rFonts w:hint="eastAsia"/>
                      <w:highlight w:val="none"/>
                      <w:lang w:val="en-US" w:eastAsia="zh-CN"/>
                    </w:rPr>
                    <w:t>75</w:t>
                  </w:r>
                </w:p>
              </w:tc>
              <w:tc>
                <w:tcPr>
                  <w:tcW w:w="375" w:type="pct"/>
                  <w:tcBorders>
                    <w:tl2br w:val="nil"/>
                    <w:tr2bl w:val="nil"/>
                  </w:tcBorders>
                  <w:vAlign w:val="center"/>
                </w:tcPr>
                <w:p w14:paraId="08B00EDE">
                  <w:pPr>
                    <w:pStyle w:val="33"/>
                    <w:bidi w:val="0"/>
                    <w:rPr>
                      <w:rFonts w:hint="default"/>
                      <w:highlight w:val="none"/>
                      <w:lang w:val="en-US" w:eastAsia="zh-CN"/>
                    </w:rPr>
                  </w:pPr>
                  <w:r>
                    <w:rPr>
                      <w:rFonts w:hint="eastAsia"/>
                      <w:highlight w:val="none"/>
                      <w:lang w:val="en-US" w:eastAsia="zh-CN"/>
                    </w:rPr>
                    <w:t>9</w:t>
                  </w:r>
                </w:p>
              </w:tc>
              <w:tc>
                <w:tcPr>
                  <w:tcW w:w="375" w:type="pct"/>
                  <w:tcBorders>
                    <w:tl2br w:val="nil"/>
                    <w:tr2bl w:val="nil"/>
                  </w:tcBorders>
                  <w:vAlign w:val="center"/>
                </w:tcPr>
                <w:p w14:paraId="3E137F0B">
                  <w:pPr>
                    <w:pStyle w:val="33"/>
                    <w:bidi w:val="0"/>
                    <w:rPr>
                      <w:rFonts w:hint="default"/>
                      <w:highlight w:val="none"/>
                      <w:lang w:val="en-US" w:eastAsia="zh-CN"/>
                    </w:rPr>
                  </w:pPr>
                  <w:r>
                    <w:rPr>
                      <w:rFonts w:hint="eastAsia"/>
                      <w:highlight w:val="none"/>
                      <w:lang w:val="en-US" w:eastAsia="zh-CN"/>
                    </w:rPr>
                    <w:t>26</w:t>
                  </w:r>
                </w:p>
              </w:tc>
              <w:tc>
                <w:tcPr>
                  <w:tcW w:w="392" w:type="pct"/>
                  <w:tcBorders>
                    <w:tl2br w:val="nil"/>
                    <w:tr2bl w:val="nil"/>
                  </w:tcBorders>
                  <w:vAlign w:val="center"/>
                </w:tcPr>
                <w:p w14:paraId="579432AD">
                  <w:pPr>
                    <w:pStyle w:val="33"/>
                    <w:bidi w:val="0"/>
                    <w:rPr>
                      <w:highlight w:val="none"/>
                    </w:rPr>
                  </w:pPr>
                  <w:r>
                    <w:rPr>
                      <w:highlight w:val="none"/>
                    </w:rPr>
                    <w:t>1</w:t>
                  </w:r>
                </w:p>
              </w:tc>
              <w:tc>
                <w:tcPr>
                  <w:tcW w:w="550" w:type="pct"/>
                  <w:tcBorders>
                    <w:tl2br w:val="nil"/>
                    <w:tr2bl w:val="nil"/>
                  </w:tcBorders>
                  <w:vAlign w:val="center"/>
                </w:tcPr>
                <w:p w14:paraId="7DEB5BEF">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7144DEB3">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65052CA2">
                  <w:pPr>
                    <w:pStyle w:val="33"/>
                    <w:bidi w:val="0"/>
                    <w:rPr>
                      <w:highlight w:val="none"/>
                    </w:rPr>
                  </w:pPr>
                  <w:r>
                    <w:rPr>
                      <w:rFonts w:hint="eastAsia"/>
                      <w:highlight w:val="none"/>
                      <w:lang w:val="en-US" w:eastAsia="zh-CN"/>
                    </w:rPr>
                    <w:t>4800</w:t>
                  </w:r>
                </w:p>
              </w:tc>
            </w:tr>
            <w:tr w14:paraId="17ECD2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1E02EAA3">
                  <w:pPr>
                    <w:pStyle w:val="33"/>
                    <w:bidi w:val="0"/>
                    <w:rPr>
                      <w:highlight w:val="none"/>
                    </w:rPr>
                  </w:pPr>
                  <w:r>
                    <w:rPr>
                      <w:rFonts w:hint="eastAsia"/>
                      <w:highlight w:val="none"/>
                    </w:rPr>
                    <w:t>拧紧机器人</w:t>
                  </w:r>
                </w:p>
              </w:tc>
              <w:tc>
                <w:tcPr>
                  <w:tcW w:w="563" w:type="pct"/>
                  <w:vMerge w:val="continue"/>
                  <w:tcBorders>
                    <w:tl2br w:val="nil"/>
                    <w:tr2bl w:val="nil"/>
                  </w:tcBorders>
                  <w:vAlign w:val="center"/>
                </w:tcPr>
                <w:p w14:paraId="0FCB6C3F">
                  <w:pPr>
                    <w:pStyle w:val="33"/>
                    <w:bidi w:val="0"/>
                    <w:rPr>
                      <w:highlight w:val="none"/>
                    </w:rPr>
                  </w:pPr>
                </w:p>
              </w:tc>
              <w:tc>
                <w:tcPr>
                  <w:tcW w:w="524" w:type="pct"/>
                  <w:tcBorders>
                    <w:tl2br w:val="nil"/>
                    <w:tr2bl w:val="nil"/>
                  </w:tcBorders>
                  <w:vAlign w:val="center"/>
                </w:tcPr>
                <w:p w14:paraId="5802C9FC">
                  <w:pPr>
                    <w:pStyle w:val="33"/>
                    <w:bidi w:val="0"/>
                    <w:rPr>
                      <w:highlight w:val="none"/>
                    </w:rPr>
                  </w:pPr>
                  <w:r>
                    <w:rPr>
                      <w:rFonts w:hint="eastAsia"/>
                      <w:highlight w:val="none"/>
                      <w:lang w:val="en-US" w:eastAsia="zh-CN"/>
                    </w:rPr>
                    <w:t>75</w:t>
                  </w:r>
                </w:p>
              </w:tc>
              <w:tc>
                <w:tcPr>
                  <w:tcW w:w="375" w:type="pct"/>
                  <w:tcBorders>
                    <w:tl2br w:val="nil"/>
                    <w:tr2bl w:val="nil"/>
                  </w:tcBorders>
                  <w:vAlign w:val="center"/>
                </w:tcPr>
                <w:p w14:paraId="2B2D017F">
                  <w:pPr>
                    <w:pStyle w:val="33"/>
                    <w:bidi w:val="0"/>
                    <w:rPr>
                      <w:rFonts w:hint="default"/>
                      <w:highlight w:val="none"/>
                      <w:lang w:val="en-US" w:eastAsia="zh-CN"/>
                    </w:rPr>
                  </w:pPr>
                  <w:r>
                    <w:rPr>
                      <w:rFonts w:hint="eastAsia"/>
                      <w:highlight w:val="none"/>
                      <w:lang w:val="en-US" w:eastAsia="zh-CN"/>
                    </w:rPr>
                    <w:t>28</w:t>
                  </w:r>
                </w:p>
              </w:tc>
              <w:tc>
                <w:tcPr>
                  <w:tcW w:w="375" w:type="pct"/>
                  <w:tcBorders>
                    <w:tl2br w:val="nil"/>
                    <w:tr2bl w:val="nil"/>
                  </w:tcBorders>
                  <w:vAlign w:val="center"/>
                </w:tcPr>
                <w:p w14:paraId="36D1E616">
                  <w:pPr>
                    <w:pStyle w:val="33"/>
                    <w:bidi w:val="0"/>
                    <w:rPr>
                      <w:rFonts w:hint="default"/>
                      <w:highlight w:val="none"/>
                      <w:lang w:val="en-US" w:eastAsia="zh-CN"/>
                    </w:rPr>
                  </w:pPr>
                  <w:r>
                    <w:rPr>
                      <w:rFonts w:hint="eastAsia"/>
                      <w:highlight w:val="none"/>
                      <w:lang w:val="en-US" w:eastAsia="zh-CN"/>
                    </w:rPr>
                    <w:t>34</w:t>
                  </w:r>
                </w:p>
              </w:tc>
              <w:tc>
                <w:tcPr>
                  <w:tcW w:w="392" w:type="pct"/>
                  <w:tcBorders>
                    <w:tl2br w:val="nil"/>
                    <w:tr2bl w:val="nil"/>
                  </w:tcBorders>
                  <w:vAlign w:val="center"/>
                </w:tcPr>
                <w:p w14:paraId="0F616028">
                  <w:pPr>
                    <w:pStyle w:val="33"/>
                    <w:bidi w:val="0"/>
                    <w:rPr>
                      <w:highlight w:val="none"/>
                    </w:rPr>
                  </w:pPr>
                  <w:r>
                    <w:rPr>
                      <w:highlight w:val="none"/>
                    </w:rPr>
                    <w:t>1</w:t>
                  </w:r>
                </w:p>
              </w:tc>
              <w:tc>
                <w:tcPr>
                  <w:tcW w:w="550" w:type="pct"/>
                  <w:tcBorders>
                    <w:tl2br w:val="nil"/>
                    <w:tr2bl w:val="nil"/>
                  </w:tcBorders>
                  <w:vAlign w:val="center"/>
                </w:tcPr>
                <w:p w14:paraId="5A7D7A2E">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3E67FD59">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1D58C5A7">
                  <w:pPr>
                    <w:pStyle w:val="33"/>
                    <w:bidi w:val="0"/>
                    <w:rPr>
                      <w:highlight w:val="none"/>
                    </w:rPr>
                  </w:pPr>
                  <w:r>
                    <w:rPr>
                      <w:rFonts w:hint="eastAsia"/>
                      <w:highlight w:val="none"/>
                      <w:lang w:val="en-US" w:eastAsia="zh-CN"/>
                    </w:rPr>
                    <w:t>4800</w:t>
                  </w:r>
                </w:p>
              </w:tc>
            </w:tr>
            <w:tr w14:paraId="2F8B96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41310158">
                  <w:pPr>
                    <w:pStyle w:val="33"/>
                    <w:bidi w:val="0"/>
                    <w:rPr>
                      <w:highlight w:val="none"/>
                    </w:rPr>
                  </w:pPr>
                  <w:r>
                    <w:rPr>
                      <w:rFonts w:hint="eastAsia"/>
                      <w:highlight w:val="none"/>
                    </w:rPr>
                    <w:t>助力下线机器人</w:t>
                  </w:r>
                </w:p>
              </w:tc>
              <w:tc>
                <w:tcPr>
                  <w:tcW w:w="563" w:type="pct"/>
                  <w:vMerge w:val="continue"/>
                  <w:tcBorders>
                    <w:tl2br w:val="nil"/>
                    <w:tr2bl w:val="nil"/>
                  </w:tcBorders>
                  <w:vAlign w:val="center"/>
                </w:tcPr>
                <w:p w14:paraId="6310A120">
                  <w:pPr>
                    <w:pStyle w:val="33"/>
                    <w:bidi w:val="0"/>
                    <w:rPr>
                      <w:highlight w:val="none"/>
                    </w:rPr>
                  </w:pPr>
                </w:p>
              </w:tc>
              <w:tc>
                <w:tcPr>
                  <w:tcW w:w="524" w:type="pct"/>
                  <w:tcBorders>
                    <w:tl2br w:val="nil"/>
                    <w:tr2bl w:val="nil"/>
                  </w:tcBorders>
                  <w:vAlign w:val="center"/>
                </w:tcPr>
                <w:p w14:paraId="38E0C4A9">
                  <w:pPr>
                    <w:pStyle w:val="33"/>
                    <w:bidi w:val="0"/>
                    <w:rPr>
                      <w:highlight w:val="none"/>
                    </w:rPr>
                  </w:pPr>
                  <w:r>
                    <w:rPr>
                      <w:rFonts w:hint="eastAsia"/>
                      <w:highlight w:val="none"/>
                      <w:lang w:val="en-US" w:eastAsia="zh-CN"/>
                    </w:rPr>
                    <w:t>75</w:t>
                  </w:r>
                </w:p>
              </w:tc>
              <w:tc>
                <w:tcPr>
                  <w:tcW w:w="375" w:type="pct"/>
                  <w:tcBorders>
                    <w:tl2br w:val="nil"/>
                    <w:tr2bl w:val="nil"/>
                  </w:tcBorders>
                  <w:vAlign w:val="center"/>
                </w:tcPr>
                <w:p w14:paraId="074D2D3A">
                  <w:pPr>
                    <w:pStyle w:val="33"/>
                    <w:bidi w:val="0"/>
                    <w:ind w:firstLine="0" w:firstLineChars="0"/>
                    <w:rPr>
                      <w:rFonts w:hint="default"/>
                      <w:highlight w:val="none"/>
                      <w:lang w:val="en-US" w:eastAsia="zh-CN"/>
                    </w:rPr>
                  </w:pPr>
                  <w:r>
                    <w:rPr>
                      <w:rFonts w:hint="eastAsia"/>
                      <w:highlight w:val="none"/>
                      <w:lang w:val="en-US" w:eastAsia="zh-CN"/>
                    </w:rPr>
                    <w:t>45</w:t>
                  </w:r>
                </w:p>
              </w:tc>
              <w:tc>
                <w:tcPr>
                  <w:tcW w:w="375" w:type="pct"/>
                  <w:tcBorders>
                    <w:tl2br w:val="nil"/>
                    <w:tr2bl w:val="nil"/>
                  </w:tcBorders>
                  <w:vAlign w:val="center"/>
                </w:tcPr>
                <w:p w14:paraId="35234DB7">
                  <w:pPr>
                    <w:pStyle w:val="33"/>
                    <w:bidi w:val="0"/>
                    <w:ind w:firstLine="0" w:firstLineChars="0"/>
                    <w:rPr>
                      <w:rFonts w:hint="default"/>
                      <w:highlight w:val="none"/>
                      <w:lang w:val="en-US" w:eastAsia="zh-CN"/>
                    </w:rPr>
                  </w:pPr>
                  <w:r>
                    <w:rPr>
                      <w:rFonts w:hint="eastAsia"/>
                      <w:highlight w:val="none"/>
                      <w:lang w:val="en-US" w:eastAsia="zh-CN"/>
                    </w:rPr>
                    <w:t>38</w:t>
                  </w:r>
                </w:p>
              </w:tc>
              <w:tc>
                <w:tcPr>
                  <w:tcW w:w="392" w:type="pct"/>
                  <w:tcBorders>
                    <w:tl2br w:val="nil"/>
                    <w:tr2bl w:val="nil"/>
                  </w:tcBorders>
                  <w:vAlign w:val="center"/>
                </w:tcPr>
                <w:p w14:paraId="613FFF5A">
                  <w:pPr>
                    <w:pStyle w:val="33"/>
                    <w:bidi w:val="0"/>
                    <w:rPr>
                      <w:rFonts w:hint="eastAsia"/>
                      <w:highlight w:val="none"/>
                      <w:lang w:val="en-US" w:eastAsia="zh-CN"/>
                    </w:rPr>
                  </w:pPr>
                  <w:r>
                    <w:rPr>
                      <w:rFonts w:hint="eastAsia"/>
                      <w:highlight w:val="none"/>
                      <w:lang w:val="en-US" w:eastAsia="zh-CN"/>
                    </w:rPr>
                    <w:t>1</w:t>
                  </w:r>
                </w:p>
              </w:tc>
              <w:tc>
                <w:tcPr>
                  <w:tcW w:w="550" w:type="pct"/>
                  <w:tcBorders>
                    <w:tl2br w:val="nil"/>
                    <w:tr2bl w:val="nil"/>
                  </w:tcBorders>
                  <w:vAlign w:val="center"/>
                </w:tcPr>
                <w:p w14:paraId="58F08D8A">
                  <w:pPr>
                    <w:pStyle w:val="33"/>
                    <w:bidi w:val="0"/>
                    <w:rPr>
                      <w:rFonts w:hint="eastAsia"/>
                      <w:highlight w:val="none"/>
                      <w:lang w:val="en-US" w:eastAsia="zh-CN"/>
                    </w:rPr>
                  </w:pPr>
                  <w:r>
                    <w:rPr>
                      <w:rFonts w:hint="eastAsia"/>
                      <w:highlight w:val="none"/>
                      <w:lang w:val="en-US" w:eastAsia="zh-CN"/>
                    </w:rPr>
                    <w:t>1</w:t>
                  </w:r>
                </w:p>
              </w:tc>
              <w:tc>
                <w:tcPr>
                  <w:tcW w:w="614" w:type="pct"/>
                  <w:tcBorders>
                    <w:tl2br w:val="nil"/>
                    <w:tr2bl w:val="nil"/>
                  </w:tcBorders>
                  <w:vAlign w:val="center"/>
                </w:tcPr>
                <w:p w14:paraId="0A42ECDA">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4807B3D0">
                  <w:pPr>
                    <w:pStyle w:val="33"/>
                    <w:bidi w:val="0"/>
                    <w:rPr>
                      <w:highlight w:val="none"/>
                    </w:rPr>
                  </w:pPr>
                  <w:r>
                    <w:rPr>
                      <w:rFonts w:hint="eastAsia"/>
                      <w:highlight w:val="none"/>
                      <w:lang w:val="en-US" w:eastAsia="zh-CN"/>
                    </w:rPr>
                    <w:t>4800</w:t>
                  </w:r>
                </w:p>
              </w:tc>
            </w:tr>
            <w:tr w14:paraId="31075F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8" w:hRule="atLeast"/>
              </w:trPr>
              <w:tc>
                <w:tcPr>
                  <w:tcW w:w="990" w:type="pct"/>
                  <w:tcBorders>
                    <w:tl2br w:val="nil"/>
                    <w:tr2bl w:val="nil"/>
                  </w:tcBorders>
                  <w:vAlign w:val="center"/>
                </w:tcPr>
                <w:p w14:paraId="3144EDB1">
                  <w:pPr>
                    <w:pStyle w:val="33"/>
                    <w:bidi w:val="0"/>
                    <w:rPr>
                      <w:highlight w:val="none"/>
                    </w:rPr>
                  </w:pPr>
                  <w:r>
                    <w:rPr>
                      <w:rFonts w:hint="eastAsia"/>
                      <w:highlight w:val="none"/>
                    </w:rPr>
                    <w:t>总装倍速流水线</w:t>
                  </w:r>
                </w:p>
              </w:tc>
              <w:tc>
                <w:tcPr>
                  <w:tcW w:w="563" w:type="pct"/>
                  <w:vMerge w:val="continue"/>
                  <w:tcBorders>
                    <w:tl2br w:val="nil"/>
                    <w:tr2bl w:val="nil"/>
                  </w:tcBorders>
                  <w:vAlign w:val="center"/>
                </w:tcPr>
                <w:p w14:paraId="11EAE4B9">
                  <w:pPr>
                    <w:pStyle w:val="33"/>
                    <w:bidi w:val="0"/>
                    <w:rPr>
                      <w:highlight w:val="none"/>
                    </w:rPr>
                  </w:pPr>
                </w:p>
              </w:tc>
              <w:tc>
                <w:tcPr>
                  <w:tcW w:w="524" w:type="pct"/>
                  <w:tcBorders>
                    <w:tl2br w:val="nil"/>
                    <w:tr2bl w:val="nil"/>
                  </w:tcBorders>
                  <w:vAlign w:val="center"/>
                </w:tcPr>
                <w:p w14:paraId="66EA31DC">
                  <w:pPr>
                    <w:pStyle w:val="33"/>
                    <w:bidi w:val="0"/>
                    <w:rPr>
                      <w:rFonts w:hint="default"/>
                      <w:highlight w:val="none"/>
                      <w:lang w:val="en-US" w:eastAsia="zh-CN"/>
                    </w:rPr>
                  </w:pPr>
                  <w:r>
                    <w:rPr>
                      <w:rFonts w:hint="eastAsia"/>
                      <w:highlight w:val="none"/>
                      <w:lang w:val="en-US" w:eastAsia="zh-CN"/>
                    </w:rPr>
                    <w:t>75</w:t>
                  </w:r>
                </w:p>
              </w:tc>
              <w:tc>
                <w:tcPr>
                  <w:tcW w:w="375" w:type="pct"/>
                  <w:tcBorders>
                    <w:tl2br w:val="nil"/>
                    <w:tr2bl w:val="nil"/>
                  </w:tcBorders>
                  <w:vAlign w:val="center"/>
                </w:tcPr>
                <w:p w14:paraId="5C7679EB">
                  <w:pPr>
                    <w:pStyle w:val="33"/>
                    <w:bidi w:val="0"/>
                    <w:rPr>
                      <w:rFonts w:hint="default"/>
                      <w:highlight w:val="none"/>
                      <w:lang w:val="en-US" w:eastAsia="zh-CN"/>
                    </w:rPr>
                  </w:pPr>
                  <w:r>
                    <w:rPr>
                      <w:rFonts w:hint="eastAsia"/>
                      <w:highlight w:val="none"/>
                      <w:lang w:val="en-US" w:eastAsia="zh-CN"/>
                    </w:rPr>
                    <w:t>19</w:t>
                  </w:r>
                </w:p>
              </w:tc>
              <w:tc>
                <w:tcPr>
                  <w:tcW w:w="375" w:type="pct"/>
                  <w:tcBorders>
                    <w:tl2br w:val="nil"/>
                    <w:tr2bl w:val="nil"/>
                  </w:tcBorders>
                  <w:vAlign w:val="center"/>
                </w:tcPr>
                <w:p w14:paraId="53B001A8">
                  <w:pPr>
                    <w:pStyle w:val="33"/>
                    <w:bidi w:val="0"/>
                    <w:rPr>
                      <w:rFonts w:hint="default"/>
                      <w:highlight w:val="none"/>
                      <w:lang w:val="en-US" w:eastAsia="zh-CN"/>
                    </w:rPr>
                  </w:pPr>
                  <w:r>
                    <w:rPr>
                      <w:rFonts w:hint="eastAsia"/>
                      <w:highlight w:val="none"/>
                      <w:lang w:val="en-US" w:eastAsia="zh-CN"/>
                    </w:rPr>
                    <w:t>41</w:t>
                  </w:r>
                </w:p>
              </w:tc>
              <w:tc>
                <w:tcPr>
                  <w:tcW w:w="392" w:type="pct"/>
                  <w:tcBorders>
                    <w:tl2br w:val="nil"/>
                    <w:tr2bl w:val="nil"/>
                  </w:tcBorders>
                  <w:vAlign w:val="center"/>
                </w:tcPr>
                <w:p w14:paraId="0DCA1A0F">
                  <w:pPr>
                    <w:pStyle w:val="33"/>
                    <w:bidi w:val="0"/>
                    <w:rPr>
                      <w:highlight w:val="none"/>
                    </w:rPr>
                  </w:pPr>
                  <w:r>
                    <w:rPr>
                      <w:highlight w:val="none"/>
                    </w:rPr>
                    <w:t>1</w:t>
                  </w:r>
                </w:p>
              </w:tc>
              <w:tc>
                <w:tcPr>
                  <w:tcW w:w="550" w:type="pct"/>
                  <w:tcBorders>
                    <w:tl2br w:val="nil"/>
                    <w:tr2bl w:val="nil"/>
                  </w:tcBorders>
                  <w:vAlign w:val="center"/>
                </w:tcPr>
                <w:p w14:paraId="7F4D21CE">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289BDDC5">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0EB76DD7">
                  <w:pPr>
                    <w:pStyle w:val="33"/>
                    <w:bidi w:val="0"/>
                    <w:rPr>
                      <w:highlight w:val="none"/>
                    </w:rPr>
                  </w:pPr>
                  <w:r>
                    <w:rPr>
                      <w:rFonts w:hint="eastAsia"/>
                      <w:highlight w:val="none"/>
                      <w:lang w:val="en-US" w:eastAsia="zh-CN"/>
                    </w:rPr>
                    <w:t>4800</w:t>
                  </w:r>
                </w:p>
              </w:tc>
            </w:tr>
            <w:tr w14:paraId="28A039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5AC9D95A">
                  <w:pPr>
                    <w:pStyle w:val="33"/>
                    <w:bidi w:val="0"/>
                    <w:rPr>
                      <w:highlight w:val="none"/>
                    </w:rPr>
                  </w:pPr>
                  <w:r>
                    <w:rPr>
                      <w:rFonts w:hint="eastAsia"/>
                      <w:highlight w:val="none"/>
                    </w:rPr>
                    <w:t>机器人视觉拍照</w:t>
                  </w:r>
                </w:p>
              </w:tc>
              <w:tc>
                <w:tcPr>
                  <w:tcW w:w="563" w:type="pct"/>
                  <w:vMerge w:val="continue"/>
                  <w:tcBorders>
                    <w:tl2br w:val="nil"/>
                    <w:tr2bl w:val="nil"/>
                  </w:tcBorders>
                  <w:vAlign w:val="center"/>
                </w:tcPr>
                <w:p w14:paraId="13806E72">
                  <w:pPr>
                    <w:pStyle w:val="33"/>
                    <w:bidi w:val="0"/>
                    <w:rPr>
                      <w:highlight w:val="none"/>
                    </w:rPr>
                  </w:pPr>
                </w:p>
              </w:tc>
              <w:tc>
                <w:tcPr>
                  <w:tcW w:w="524" w:type="pct"/>
                  <w:tcBorders>
                    <w:tl2br w:val="nil"/>
                    <w:tr2bl w:val="nil"/>
                  </w:tcBorders>
                  <w:vAlign w:val="center"/>
                </w:tcPr>
                <w:p w14:paraId="109C2618">
                  <w:pPr>
                    <w:pStyle w:val="33"/>
                    <w:bidi w:val="0"/>
                    <w:rPr>
                      <w:rFonts w:hint="default"/>
                      <w:highlight w:val="none"/>
                      <w:lang w:val="en-US"/>
                    </w:rPr>
                  </w:pPr>
                  <w:r>
                    <w:rPr>
                      <w:rFonts w:hint="eastAsia"/>
                      <w:highlight w:val="none"/>
                      <w:lang w:val="en-US" w:eastAsia="zh-CN"/>
                    </w:rPr>
                    <w:t>70</w:t>
                  </w:r>
                </w:p>
              </w:tc>
              <w:tc>
                <w:tcPr>
                  <w:tcW w:w="375" w:type="pct"/>
                  <w:tcBorders>
                    <w:tl2br w:val="nil"/>
                    <w:tr2bl w:val="nil"/>
                  </w:tcBorders>
                  <w:vAlign w:val="center"/>
                </w:tcPr>
                <w:p w14:paraId="4A423210">
                  <w:pPr>
                    <w:pStyle w:val="33"/>
                    <w:bidi w:val="0"/>
                    <w:rPr>
                      <w:rFonts w:hint="default"/>
                      <w:highlight w:val="none"/>
                      <w:lang w:val="en-US" w:eastAsia="zh-CN"/>
                    </w:rPr>
                  </w:pPr>
                  <w:r>
                    <w:rPr>
                      <w:rFonts w:hint="eastAsia"/>
                      <w:highlight w:val="none"/>
                      <w:lang w:val="en-US" w:eastAsia="zh-CN"/>
                    </w:rPr>
                    <w:t>68</w:t>
                  </w:r>
                </w:p>
              </w:tc>
              <w:tc>
                <w:tcPr>
                  <w:tcW w:w="375" w:type="pct"/>
                  <w:tcBorders>
                    <w:tl2br w:val="nil"/>
                    <w:tr2bl w:val="nil"/>
                  </w:tcBorders>
                  <w:vAlign w:val="center"/>
                </w:tcPr>
                <w:p w14:paraId="79E4DAD9">
                  <w:pPr>
                    <w:pStyle w:val="33"/>
                    <w:bidi w:val="0"/>
                    <w:rPr>
                      <w:rFonts w:hint="default"/>
                      <w:highlight w:val="none"/>
                      <w:lang w:val="en-US" w:eastAsia="zh-CN"/>
                    </w:rPr>
                  </w:pPr>
                  <w:r>
                    <w:rPr>
                      <w:rFonts w:hint="eastAsia"/>
                      <w:highlight w:val="none"/>
                      <w:lang w:val="en-US" w:eastAsia="zh-CN"/>
                    </w:rPr>
                    <w:t>45</w:t>
                  </w:r>
                </w:p>
              </w:tc>
              <w:tc>
                <w:tcPr>
                  <w:tcW w:w="392" w:type="pct"/>
                  <w:tcBorders>
                    <w:tl2br w:val="nil"/>
                    <w:tr2bl w:val="nil"/>
                  </w:tcBorders>
                  <w:vAlign w:val="center"/>
                </w:tcPr>
                <w:p w14:paraId="328DFC4A">
                  <w:pPr>
                    <w:pStyle w:val="33"/>
                    <w:bidi w:val="0"/>
                    <w:rPr>
                      <w:highlight w:val="none"/>
                    </w:rPr>
                  </w:pPr>
                  <w:r>
                    <w:rPr>
                      <w:highlight w:val="none"/>
                    </w:rPr>
                    <w:t>1</w:t>
                  </w:r>
                </w:p>
              </w:tc>
              <w:tc>
                <w:tcPr>
                  <w:tcW w:w="550" w:type="pct"/>
                  <w:tcBorders>
                    <w:tl2br w:val="nil"/>
                    <w:tr2bl w:val="nil"/>
                  </w:tcBorders>
                  <w:vAlign w:val="center"/>
                </w:tcPr>
                <w:p w14:paraId="06B92A31">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08A13A13">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4BD14B0F">
                  <w:pPr>
                    <w:pStyle w:val="33"/>
                    <w:bidi w:val="0"/>
                    <w:rPr>
                      <w:highlight w:val="none"/>
                    </w:rPr>
                  </w:pPr>
                  <w:r>
                    <w:rPr>
                      <w:rFonts w:hint="eastAsia"/>
                      <w:highlight w:val="none"/>
                      <w:lang w:val="en-US" w:eastAsia="zh-CN"/>
                    </w:rPr>
                    <w:t>4800</w:t>
                  </w:r>
                </w:p>
              </w:tc>
            </w:tr>
            <w:tr w14:paraId="3C3282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30ABD2B5">
                  <w:pPr>
                    <w:pStyle w:val="33"/>
                    <w:bidi w:val="0"/>
                    <w:rPr>
                      <w:rFonts w:hint="eastAsia"/>
                      <w:highlight w:val="none"/>
                    </w:rPr>
                  </w:pPr>
                  <w:r>
                    <w:rPr>
                      <w:rFonts w:hint="eastAsia"/>
                      <w:highlight w:val="none"/>
                    </w:rPr>
                    <w:t>机器人通风按摩</w:t>
                  </w:r>
                </w:p>
                <w:p w14:paraId="00B1841A">
                  <w:pPr>
                    <w:pStyle w:val="33"/>
                    <w:bidi w:val="0"/>
                    <w:rPr>
                      <w:highlight w:val="none"/>
                    </w:rPr>
                  </w:pPr>
                  <w:r>
                    <w:rPr>
                      <w:rFonts w:hint="eastAsia"/>
                      <w:highlight w:val="none"/>
                    </w:rPr>
                    <w:t>检测</w:t>
                  </w:r>
                </w:p>
              </w:tc>
              <w:tc>
                <w:tcPr>
                  <w:tcW w:w="563" w:type="pct"/>
                  <w:vMerge w:val="continue"/>
                  <w:tcBorders>
                    <w:tl2br w:val="nil"/>
                    <w:tr2bl w:val="nil"/>
                  </w:tcBorders>
                  <w:vAlign w:val="center"/>
                </w:tcPr>
                <w:p w14:paraId="4C451AD7">
                  <w:pPr>
                    <w:pStyle w:val="33"/>
                    <w:bidi w:val="0"/>
                    <w:rPr>
                      <w:highlight w:val="none"/>
                    </w:rPr>
                  </w:pPr>
                </w:p>
              </w:tc>
              <w:tc>
                <w:tcPr>
                  <w:tcW w:w="524" w:type="pct"/>
                  <w:tcBorders>
                    <w:tl2br w:val="nil"/>
                    <w:tr2bl w:val="nil"/>
                  </w:tcBorders>
                  <w:vAlign w:val="center"/>
                </w:tcPr>
                <w:p w14:paraId="1A9A1A9F">
                  <w:pPr>
                    <w:pStyle w:val="33"/>
                    <w:bidi w:val="0"/>
                    <w:rPr>
                      <w:rFonts w:hint="default"/>
                      <w:highlight w:val="none"/>
                      <w:lang w:val="en-US"/>
                    </w:rPr>
                  </w:pPr>
                  <w:r>
                    <w:rPr>
                      <w:rFonts w:hint="eastAsia"/>
                      <w:highlight w:val="none"/>
                      <w:lang w:val="en-US" w:eastAsia="zh-CN"/>
                    </w:rPr>
                    <w:t>70</w:t>
                  </w:r>
                </w:p>
              </w:tc>
              <w:tc>
                <w:tcPr>
                  <w:tcW w:w="375" w:type="pct"/>
                  <w:tcBorders>
                    <w:tl2br w:val="nil"/>
                    <w:tr2bl w:val="nil"/>
                  </w:tcBorders>
                  <w:vAlign w:val="center"/>
                </w:tcPr>
                <w:p w14:paraId="63D7F8B5">
                  <w:pPr>
                    <w:pStyle w:val="33"/>
                    <w:bidi w:val="0"/>
                    <w:rPr>
                      <w:rFonts w:hint="default"/>
                      <w:highlight w:val="none"/>
                      <w:lang w:val="en-US" w:eastAsia="zh-CN"/>
                    </w:rPr>
                  </w:pPr>
                  <w:r>
                    <w:rPr>
                      <w:rFonts w:hint="eastAsia"/>
                      <w:highlight w:val="none"/>
                      <w:lang w:val="en-US" w:eastAsia="zh-CN"/>
                    </w:rPr>
                    <w:t>57</w:t>
                  </w:r>
                </w:p>
              </w:tc>
              <w:tc>
                <w:tcPr>
                  <w:tcW w:w="375" w:type="pct"/>
                  <w:tcBorders>
                    <w:tl2br w:val="nil"/>
                    <w:tr2bl w:val="nil"/>
                  </w:tcBorders>
                  <w:vAlign w:val="center"/>
                </w:tcPr>
                <w:p w14:paraId="4EF5708B">
                  <w:pPr>
                    <w:pStyle w:val="33"/>
                    <w:bidi w:val="0"/>
                    <w:rPr>
                      <w:rFonts w:hint="default"/>
                      <w:highlight w:val="none"/>
                      <w:lang w:val="en-US" w:eastAsia="zh-CN"/>
                    </w:rPr>
                  </w:pPr>
                  <w:r>
                    <w:rPr>
                      <w:rFonts w:hint="eastAsia"/>
                      <w:highlight w:val="none"/>
                      <w:lang w:val="en-US" w:eastAsia="zh-CN"/>
                    </w:rPr>
                    <w:t>42</w:t>
                  </w:r>
                </w:p>
              </w:tc>
              <w:tc>
                <w:tcPr>
                  <w:tcW w:w="392" w:type="pct"/>
                  <w:tcBorders>
                    <w:tl2br w:val="nil"/>
                    <w:tr2bl w:val="nil"/>
                  </w:tcBorders>
                  <w:vAlign w:val="center"/>
                </w:tcPr>
                <w:p w14:paraId="78B3A624">
                  <w:pPr>
                    <w:pStyle w:val="33"/>
                    <w:bidi w:val="0"/>
                    <w:rPr>
                      <w:highlight w:val="none"/>
                    </w:rPr>
                  </w:pPr>
                  <w:r>
                    <w:rPr>
                      <w:highlight w:val="none"/>
                    </w:rPr>
                    <w:t>1</w:t>
                  </w:r>
                </w:p>
              </w:tc>
              <w:tc>
                <w:tcPr>
                  <w:tcW w:w="550" w:type="pct"/>
                  <w:tcBorders>
                    <w:tl2br w:val="nil"/>
                    <w:tr2bl w:val="nil"/>
                  </w:tcBorders>
                  <w:vAlign w:val="center"/>
                </w:tcPr>
                <w:p w14:paraId="0657D48F">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28ABDC22">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668F615F">
                  <w:pPr>
                    <w:pStyle w:val="33"/>
                    <w:bidi w:val="0"/>
                    <w:rPr>
                      <w:highlight w:val="none"/>
                    </w:rPr>
                  </w:pPr>
                  <w:r>
                    <w:rPr>
                      <w:rFonts w:hint="eastAsia"/>
                      <w:highlight w:val="none"/>
                      <w:lang w:val="en-US" w:eastAsia="zh-CN"/>
                    </w:rPr>
                    <w:t>4800</w:t>
                  </w:r>
                </w:p>
              </w:tc>
            </w:tr>
            <w:tr w14:paraId="6113E6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001CD5F9">
                  <w:pPr>
                    <w:pStyle w:val="33"/>
                    <w:bidi w:val="0"/>
                    <w:rPr>
                      <w:highlight w:val="none"/>
                    </w:rPr>
                  </w:pPr>
                  <w:r>
                    <w:rPr>
                      <w:rFonts w:hint="eastAsia"/>
                      <w:highlight w:val="none"/>
                      <w:lang w:eastAsia="zh-CN"/>
                    </w:rPr>
                    <w:t>装配</w:t>
                  </w:r>
                  <w:r>
                    <w:rPr>
                      <w:rFonts w:hint="eastAsia"/>
                      <w:highlight w:val="none"/>
                    </w:rPr>
                    <w:t>线</w:t>
                  </w:r>
                </w:p>
              </w:tc>
              <w:tc>
                <w:tcPr>
                  <w:tcW w:w="563" w:type="pct"/>
                  <w:vMerge w:val="continue"/>
                  <w:tcBorders>
                    <w:tl2br w:val="nil"/>
                    <w:tr2bl w:val="nil"/>
                  </w:tcBorders>
                  <w:vAlign w:val="center"/>
                </w:tcPr>
                <w:p w14:paraId="2E1FB6A8">
                  <w:pPr>
                    <w:pStyle w:val="33"/>
                    <w:bidi w:val="0"/>
                    <w:rPr>
                      <w:highlight w:val="none"/>
                    </w:rPr>
                  </w:pPr>
                </w:p>
              </w:tc>
              <w:tc>
                <w:tcPr>
                  <w:tcW w:w="524" w:type="pct"/>
                  <w:tcBorders>
                    <w:tl2br w:val="nil"/>
                    <w:tr2bl w:val="nil"/>
                  </w:tcBorders>
                  <w:vAlign w:val="center"/>
                </w:tcPr>
                <w:p w14:paraId="1AC79214">
                  <w:pPr>
                    <w:pStyle w:val="33"/>
                    <w:bidi w:val="0"/>
                    <w:rPr>
                      <w:rFonts w:hint="default"/>
                      <w:highlight w:val="none"/>
                      <w:lang w:val="en-US"/>
                    </w:rPr>
                  </w:pPr>
                  <w:r>
                    <w:rPr>
                      <w:rFonts w:hint="eastAsia"/>
                      <w:highlight w:val="none"/>
                      <w:lang w:val="en-US" w:eastAsia="zh-CN"/>
                    </w:rPr>
                    <w:t>75</w:t>
                  </w:r>
                </w:p>
              </w:tc>
              <w:tc>
                <w:tcPr>
                  <w:tcW w:w="375" w:type="pct"/>
                  <w:tcBorders>
                    <w:tl2br w:val="nil"/>
                    <w:tr2bl w:val="nil"/>
                  </w:tcBorders>
                  <w:vAlign w:val="center"/>
                </w:tcPr>
                <w:p w14:paraId="2CDF2BB4">
                  <w:pPr>
                    <w:pStyle w:val="33"/>
                    <w:bidi w:val="0"/>
                    <w:rPr>
                      <w:rFonts w:hint="default"/>
                      <w:highlight w:val="none"/>
                      <w:lang w:val="en-US" w:eastAsia="zh-CN"/>
                    </w:rPr>
                  </w:pPr>
                  <w:r>
                    <w:rPr>
                      <w:rFonts w:hint="eastAsia"/>
                      <w:highlight w:val="none"/>
                      <w:lang w:val="en-US" w:eastAsia="zh-CN"/>
                    </w:rPr>
                    <w:t>17</w:t>
                  </w:r>
                </w:p>
              </w:tc>
              <w:tc>
                <w:tcPr>
                  <w:tcW w:w="375" w:type="pct"/>
                  <w:tcBorders>
                    <w:tl2br w:val="nil"/>
                    <w:tr2bl w:val="nil"/>
                  </w:tcBorders>
                  <w:vAlign w:val="center"/>
                </w:tcPr>
                <w:p w14:paraId="70DEEF18">
                  <w:pPr>
                    <w:pStyle w:val="33"/>
                    <w:bidi w:val="0"/>
                    <w:rPr>
                      <w:rFonts w:hint="default"/>
                      <w:highlight w:val="none"/>
                      <w:lang w:val="en-US" w:eastAsia="zh-CN"/>
                    </w:rPr>
                  </w:pPr>
                  <w:r>
                    <w:rPr>
                      <w:rFonts w:hint="eastAsia"/>
                      <w:highlight w:val="none"/>
                      <w:lang w:val="en-US" w:eastAsia="zh-CN"/>
                    </w:rPr>
                    <w:t>27</w:t>
                  </w:r>
                </w:p>
              </w:tc>
              <w:tc>
                <w:tcPr>
                  <w:tcW w:w="392" w:type="pct"/>
                  <w:tcBorders>
                    <w:tl2br w:val="nil"/>
                    <w:tr2bl w:val="nil"/>
                  </w:tcBorders>
                  <w:vAlign w:val="center"/>
                </w:tcPr>
                <w:p w14:paraId="51445D3D">
                  <w:pPr>
                    <w:pStyle w:val="33"/>
                    <w:bidi w:val="0"/>
                    <w:rPr>
                      <w:highlight w:val="none"/>
                    </w:rPr>
                  </w:pPr>
                  <w:r>
                    <w:rPr>
                      <w:highlight w:val="none"/>
                    </w:rPr>
                    <w:t>1</w:t>
                  </w:r>
                </w:p>
              </w:tc>
              <w:tc>
                <w:tcPr>
                  <w:tcW w:w="550" w:type="pct"/>
                  <w:tcBorders>
                    <w:tl2br w:val="nil"/>
                    <w:tr2bl w:val="nil"/>
                  </w:tcBorders>
                  <w:vAlign w:val="center"/>
                </w:tcPr>
                <w:p w14:paraId="6B66BD1D">
                  <w:pPr>
                    <w:pStyle w:val="33"/>
                    <w:bidi w:val="0"/>
                    <w:rPr>
                      <w:rFonts w:hint="eastAsia"/>
                      <w:highlight w:val="none"/>
                      <w:lang w:eastAsia="zh-CN"/>
                    </w:rPr>
                  </w:pPr>
                  <w:r>
                    <w:rPr>
                      <w:rFonts w:hint="eastAsia"/>
                      <w:highlight w:val="none"/>
                      <w:lang w:val="en-US" w:eastAsia="zh-CN"/>
                    </w:rPr>
                    <w:t>1</w:t>
                  </w:r>
                </w:p>
              </w:tc>
              <w:tc>
                <w:tcPr>
                  <w:tcW w:w="614" w:type="pct"/>
                  <w:tcBorders>
                    <w:tl2br w:val="nil"/>
                    <w:tr2bl w:val="nil"/>
                  </w:tcBorders>
                  <w:vAlign w:val="center"/>
                </w:tcPr>
                <w:p w14:paraId="78B837F3">
                  <w:pPr>
                    <w:pStyle w:val="33"/>
                    <w:keepNext w:val="0"/>
                    <w:keepLines w:val="0"/>
                    <w:suppressLineNumbers w:val="0"/>
                    <w:spacing w:before="0" w:beforeAutospacing="0" w:after="0" w:afterAutospacing="0"/>
                    <w:ind w:left="0" w:leftChars="0" w:right="0" w:rightChars="0" w:firstLine="0" w:firstLineChars="0"/>
                    <w:rPr>
                      <w:rFonts w:hint="eastAsia"/>
                      <w:highlight w:val="none"/>
                      <w:lang w:val="en-US" w:eastAsia="zh-CN"/>
                    </w:rPr>
                  </w:pPr>
                  <w:r>
                    <w:rPr>
                      <w:rFonts w:hint="eastAsia" w:ascii="Times New Roman" w:hAnsi="Times New Roman" w:eastAsia="宋体" w:cs="Times New Roman"/>
                      <w:color w:val="auto"/>
                      <w:highlight w:val="none"/>
                      <w:lang w:val="en-US" w:eastAsia="zh-CN"/>
                    </w:rPr>
                    <w:t>20</w:t>
                  </w:r>
                </w:p>
              </w:tc>
              <w:tc>
                <w:tcPr>
                  <w:tcW w:w="614" w:type="pct"/>
                  <w:tcBorders>
                    <w:tl2br w:val="nil"/>
                    <w:tr2bl w:val="nil"/>
                  </w:tcBorders>
                  <w:vAlign w:val="center"/>
                </w:tcPr>
                <w:p w14:paraId="135943E5">
                  <w:pPr>
                    <w:pStyle w:val="33"/>
                    <w:bidi w:val="0"/>
                    <w:rPr>
                      <w:highlight w:val="none"/>
                    </w:rPr>
                  </w:pPr>
                  <w:r>
                    <w:rPr>
                      <w:rFonts w:hint="eastAsia"/>
                      <w:highlight w:val="none"/>
                      <w:lang w:val="en-US" w:eastAsia="zh-CN"/>
                    </w:rPr>
                    <w:t>4800</w:t>
                  </w:r>
                </w:p>
              </w:tc>
            </w:tr>
            <w:tr w14:paraId="426020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990" w:type="pct"/>
                  <w:tcBorders>
                    <w:tl2br w:val="nil"/>
                    <w:tr2bl w:val="nil"/>
                  </w:tcBorders>
                  <w:vAlign w:val="center"/>
                </w:tcPr>
                <w:p w14:paraId="3B76E519">
                  <w:pPr>
                    <w:pStyle w:val="33"/>
                    <w:bidi w:val="0"/>
                    <w:rPr>
                      <w:rFonts w:hint="eastAsia"/>
                      <w:highlight w:val="none"/>
                      <w:lang w:eastAsia="zh-CN"/>
                    </w:rPr>
                  </w:pPr>
                  <w:r>
                    <w:rPr>
                      <w:rFonts w:hint="eastAsia"/>
                      <w:highlight w:val="none"/>
                      <w:lang w:eastAsia="zh-CN"/>
                    </w:rPr>
                    <w:t>空压机</w:t>
                  </w:r>
                </w:p>
              </w:tc>
              <w:tc>
                <w:tcPr>
                  <w:tcW w:w="563" w:type="pct"/>
                  <w:vMerge w:val="continue"/>
                  <w:tcBorders>
                    <w:tl2br w:val="nil"/>
                    <w:tr2bl w:val="nil"/>
                  </w:tcBorders>
                  <w:vAlign w:val="center"/>
                </w:tcPr>
                <w:p w14:paraId="65F22FB9">
                  <w:pPr>
                    <w:pStyle w:val="33"/>
                    <w:bidi w:val="0"/>
                    <w:rPr>
                      <w:highlight w:val="none"/>
                    </w:rPr>
                  </w:pPr>
                </w:p>
              </w:tc>
              <w:tc>
                <w:tcPr>
                  <w:tcW w:w="524" w:type="pct"/>
                  <w:tcBorders>
                    <w:tl2br w:val="nil"/>
                    <w:tr2bl w:val="nil"/>
                  </w:tcBorders>
                  <w:vAlign w:val="center"/>
                </w:tcPr>
                <w:p w14:paraId="61AFADD4">
                  <w:pPr>
                    <w:pStyle w:val="33"/>
                    <w:bidi w:val="0"/>
                    <w:rPr>
                      <w:rFonts w:hint="default"/>
                      <w:highlight w:val="none"/>
                      <w:lang w:val="en-US" w:eastAsia="zh-CN"/>
                    </w:rPr>
                  </w:pPr>
                  <w:r>
                    <w:rPr>
                      <w:rFonts w:hint="eastAsia"/>
                      <w:highlight w:val="none"/>
                      <w:lang w:val="en-US" w:eastAsia="zh-CN"/>
                    </w:rPr>
                    <w:t>80</w:t>
                  </w:r>
                </w:p>
              </w:tc>
              <w:tc>
                <w:tcPr>
                  <w:tcW w:w="375" w:type="pct"/>
                  <w:tcBorders>
                    <w:tl2br w:val="nil"/>
                    <w:tr2bl w:val="nil"/>
                  </w:tcBorders>
                  <w:vAlign w:val="center"/>
                </w:tcPr>
                <w:p w14:paraId="538C132A">
                  <w:pPr>
                    <w:pStyle w:val="33"/>
                    <w:bidi w:val="0"/>
                    <w:rPr>
                      <w:rFonts w:hint="default"/>
                      <w:highlight w:val="none"/>
                      <w:lang w:val="en-US" w:eastAsia="zh-CN"/>
                    </w:rPr>
                  </w:pPr>
                  <w:r>
                    <w:rPr>
                      <w:rFonts w:hint="eastAsia"/>
                      <w:highlight w:val="none"/>
                      <w:lang w:val="en-US" w:eastAsia="zh-CN"/>
                    </w:rPr>
                    <w:t>9</w:t>
                  </w:r>
                </w:p>
              </w:tc>
              <w:tc>
                <w:tcPr>
                  <w:tcW w:w="375" w:type="pct"/>
                  <w:tcBorders>
                    <w:tl2br w:val="nil"/>
                    <w:tr2bl w:val="nil"/>
                  </w:tcBorders>
                  <w:vAlign w:val="center"/>
                </w:tcPr>
                <w:p w14:paraId="5603048C">
                  <w:pPr>
                    <w:pStyle w:val="33"/>
                    <w:bidi w:val="0"/>
                    <w:rPr>
                      <w:rFonts w:hint="default"/>
                      <w:highlight w:val="none"/>
                      <w:lang w:val="en-US" w:eastAsia="zh-CN"/>
                    </w:rPr>
                  </w:pPr>
                  <w:r>
                    <w:rPr>
                      <w:rFonts w:hint="eastAsia"/>
                      <w:highlight w:val="none"/>
                      <w:lang w:val="en-US" w:eastAsia="zh-CN"/>
                    </w:rPr>
                    <w:t>32</w:t>
                  </w:r>
                </w:p>
              </w:tc>
              <w:tc>
                <w:tcPr>
                  <w:tcW w:w="392" w:type="pct"/>
                  <w:tcBorders>
                    <w:tl2br w:val="nil"/>
                    <w:tr2bl w:val="nil"/>
                  </w:tcBorders>
                  <w:vAlign w:val="center"/>
                </w:tcPr>
                <w:p w14:paraId="3109C32D">
                  <w:pPr>
                    <w:pStyle w:val="33"/>
                    <w:bidi w:val="0"/>
                    <w:rPr>
                      <w:rFonts w:hint="eastAsia" w:eastAsia="宋体"/>
                      <w:highlight w:val="none"/>
                      <w:lang w:val="en-US" w:eastAsia="zh-CN"/>
                    </w:rPr>
                  </w:pPr>
                  <w:r>
                    <w:rPr>
                      <w:rFonts w:hint="eastAsia"/>
                      <w:highlight w:val="none"/>
                      <w:lang w:val="en-US" w:eastAsia="zh-CN"/>
                    </w:rPr>
                    <w:t>1</w:t>
                  </w:r>
                </w:p>
              </w:tc>
              <w:tc>
                <w:tcPr>
                  <w:tcW w:w="550" w:type="pct"/>
                  <w:tcBorders>
                    <w:tl2br w:val="nil"/>
                    <w:tr2bl w:val="nil"/>
                  </w:tcBorders>
                  <w:vAlign w:val="center"/>
                </w:tcPr>
                <w:p w14:paraId="6FD812E2">
                  <w:pPr>
                    <w:pStyle w:val="33"/>
                    <w:bidi w:val="0"/>
                    <w:rPr>
                      <w:rFonts w:hint="default"/>
                      <w:highlight w:val="none"/>
                      <w:lang w:val="en-US" w:eastAsia="zh-CN"/>
                    </w:rPr>
                  </w:pPr>
                  <w:r>
                    <w:rPr>
                      <w:rFonts w:hint="eastAsia"/>
                      <w:highlight w:val="none"/>
                      <w:lang w:val="en-US" w:eastAsia="zh-CN"/>
                    </w:rPr>
                    <w:t>1</w:t>
                  </w:r>
                </w:p>
              </w:tc>
              <w:tc>
                <w:tcPr>
                  <w:tcW w:w="614" w:type="pct"/>
                  <w:tcBorders>
                    <w:tl2br w:val="nil"/>
                    <w:tr2bl w:val="nil"/>
                  </w:tcBorders>
                  <w:vAlign w:val="center"/>
                </w:tcPr>
                <w:p w14:paraId="44FCD1C1">
                  <w:pPr>
                    <w:pStyle w:val="3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w:t>
                  </w:r>
                </w:p>
              </w:tc>
              <w:tc>
                <w:tcPr>
                  <w:tcW w:w="614" w:type="pct"/>
                  <w:tcBorders>
                    <w:tl2br w:val="nil"/>
                    <w:tr2bl w:val="nil"/>
                  </w:tcBorders>
                  <w:vAlign w:val="center"/>
                </w:tcPr>
                <w:p w14:paraId="5C62E96F">
                  <w:pPr>
                    <w:pStyle w:val="33"/>
                    <w:bidi w:val="0"/>
                    <w:rPr>
                      <w:rFonts w:hint="default"/>
                      <w:highlight w:val="none"/>
                      <w:lang w:val="en-US" w:eastAsia="zh-CN"/>
                    </w:rPr>
                  </w:pPr>
                  <w:r>
                    <w:rPr>
                      <w:rFonts w:hint="eastAsia"/>
                      <w:highlight w:val="none"/>
                      <w:lang w:val="en-US" w:eastAsia="zh-CN"/>
                    </w:rPr>
                    <w:t>4800</w:t>
                  </w:r>
                </w:p>
              </w:tc>
            </w:tr>
            <w:tr w14:paraId="50547F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rHeight w:val="389" w:hRule="atLeast"/>
              </w:trPr>
              <w:tc>
                <w:tcPr>
                  <w:tcW w:w="5000" w:type="pct"/>
                  <w:gridSpan w:val="9"/>
                  <w:tcBorders>
                    <w:tl2br w:val="nil"/>
                    <w:tr2bl w:val="nil"/>
                  </w:tcBorders>
                  <w:vAlign w:val="center"/>
                </w:tcPr>
                <w:p w14:paraId="570EFAC4">
                  <w:pPr>
                    <w:pStyle w:val="33"/>
                    <w:keepNext w:val="0"/>
                    <w:keepLines w:val="0"/>
                    <w:suppressLineNumbers w:val="0"/>
                    <w:spacing w:before="0" w:beforeAutospacing="0" w:after="0" w:afterAutospacing="0" w:line="360" w:lineRule="auto"/>
                    <w:ind w:left="0" w:right="0"/>
                    <w:jc w:val="both"/>
                    <w:rPr>
                      <w:rFonts w:hint="eastAsia"/>
                      <w:lang w:val="en-US" w:eastAsia="zh-CN"/>
                    </w:rPr>
                  </w:pPr>
                  <w:r>
                    <w:rPr>
                      <w:rFonts w:hint="eastAsia" w:cs="Times New Roman"/>
                      <w:color w:val="auto"/>
                    </w:rPr>
                    <w:t>备注：构建评价范围的预测网格时，采用直角坐标的方式，即坐标形式为（x，y），以</w:t>
                  </w:r>
                  <w:r>
                    <w:rPr>
                      <w:rFonts w:hint="eastAsia" w:cs="Times New Roman"/>
                      <w:color w:val="auto"/>
                      <w:lang w:eastAsia="zh-CN"/>
                    </w:rPr>
                    <w:t>车间</w:t>
                  </w:r>
                  <w:r>
                    <w:rPr>
                      <w:rFonts w:hint="eastAsia" w:cs="Times New Roman"/>
                      <w:color w:val="auto"/>
                    </w:rPr>
                    <w:t>西</w:t>
                  </w:r>
                  <w:r>
                    <w:rPr>
                      <w:rFonts w:hint="eastAsia" w:cs="Times New Roman"/>
                      <w:color w:val="auto"/>
                      <w:lang w:val="en-US" w:eastAsia="zh-CN"/>
                    </w:rPr>
                    <w:t>南</w:t>
                  </w:r>
                  <w:r>
                    <w:rPr>
                      <w:rFonts w:hint="eastAsia" w:cs="Times New Roman"/>
                      <w:color w:val="auto"/>
                    </w:rPr>
                    <w:t>角为（0，0）。</w:t>
                  </w:r>
                </w:p>
              </w:tc>
            </w:tr>
          </w:tbl>
          <w:p w14:paraId="2F386887">
            <w:pPr>
              <w:pStyle w:val="4"/>
              <w:keepNext w:val="0"/>
              <w:keepLines w:val="0"/>
              <w:suppressLineNumbers w:val="0"/>
              <w:ind w:left="0" w:right="0"/>
              <w:rPr>
                <w:rFonts w:hint="eastAsia"/>
                <w:color w:val="auto"/>
              </w:rPr>
            </w:pPr>
            <w:r>
              <w:rPr>
                <w:rFonts w:hint="eastAsia"/>
                <w:color w:val="auto"/>
              </w:rPr>
              <w:t>声</w:t>
            </w:r>
            <w:r>
              <w:rPr>
                <w:rFonts w:hint="default"/>
                <w:color w:val="auto"/>
              </w:rPr>
              <w:t>环境影响</w:t>
            </w:r>
            <w:r>
              <w:rPr>
                <w:rFonts w:hint="eastAsia"/>
                <w:color w:val="auto"/>
              </w:rPr>
              <w:t>分析</w:t>
            </w:r>
          </w:p>
          <w:p w14:paraId="2FFF2C0A">
            <w:pPr>
              <w:keepNext w:val="0"/>
              <w:keepLines w:val="0"/>
              <w:suppressLineNumbers w:val="0"/>
              <w:spacing w:before="0" w:beforeAutospacing="0" w:after="0" w:afterAutospacing="0"/>
              <w:ind w:left="0" w:right="0" w:firstLine="480"/>
              <w:rPr>
                <w:rFonts w:hint="default" w:cs="Times New Roman"/>
                <w:color w:val="auto"/>
              </w:rPr>
            </w:pPr>
            <w:bookmarkStart w:id="7" w:name="_Toc40869479"/>
            <w:r>
              <w:rPr>
                <w:rFonts w:hint="eastAsia" w:cs="Times New Roman"/>
                <w:color w:val="auto"/>
              </w:rPr>
              <w:t>（一）</w:t>
            </w:r>
            <w:r>
              <w:rPr>
                <w:rFonts w:hint="default" w:cs="Times New Roman"/>
                <w:color w:val="auto"/>
              </w:rPr>
              <w:t>预测模式</w:t>
            </w:r>
            <w:bookmarkEnd w:id="7"/>
          </w:p>
          <w:p w14:paraId="3730A74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本评价采用《环境影响评价技术导则-声环境》（HJ2.4-2021）中</w:t>
            </w:r>
            <w:r>
              <w:rPr>
                <w:rFonts w:hint="eastAsia" w:cs="Times New Roman"/>
                <w:color w:val="auto"/>
              </w:rPr>
              <w:t>附录A、</w:t>
            </w:r>
            <w:r>
              <w:rPr>
                <w:rFonts w:hint="default" w:cs="Times New Roman"/>
                <w:color w:val="auto"/>
              </w:rPr>
              <w:t>附录</w:t>
            </w:r>
            <w:r>
              <w:rPr>
                <w:rFonts w:hint="eastAsia" w:cs="Times New Roman"/>
                <w:color w:val="auto"/>
              </w:rPr>
              <w:t>B</w:t>
            </w:r>
            <w:r>
              <w:rPr>
                <w:rFonts w:hint="default" w:cs="Times New Roman"/>
                <w:color w:val="auto"/>
              </w:rPr>
              <w:t>噪声预测</w:t>
            </w:r>
            <w:r>
              <w:rPr>
                <w:rFonts w:hint="eastAsia" w:cs="Times New Roman"/>
                <w:color w:val="auto"/>
              </w:rPr>
              <w:t>模型</w:t>
            </w:r>
            <w:r>
              <w:rPr>
                <w:rFonts w:hint="default" w:cs="Times New Roman"/>
                <w:color w:val="auto"/>
              </w:rPr>
              <w:t>，预测本项目各声源对预测点的影响规律和影响程度。</w:t>
            </w:r>
          </w:p>
          <w:p w14:paraId="591DBA3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w:t>
            </w:r>
            <w:r>
              <w:rPr>
                <w:rFonts w:hint="eastAsia" w:cs="Times New Roman"/>
                <w:color w:val="auto"/>
              </w:rPr>
              <w:t>室内声源等效室外声源声功率级计算方法</w:t>
            </w:r>
          </w:p>
          <w:p w14:paraId="13542119">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如图B.1所示，声源位于室内，室内声源可采用等效室外声源声功率级法进行计算。设靠近开口处（或窗户）室内、室外某倍频带的声压级或A声级分别为L</w:t>
            </w:r>
            <w:r>
              <w:rPr>
                <w:rFonts w:hint="eastAsia" w:cs="Times New Roman"/>
                <w:color w:val="auto"/>
                <w:vertAlign w:val="subscript"/>
              </w:rPr>
              <w:t>p1</w:t>
            </w:r>
            <w:r>
              <w:rPr>
                <w:rFonts w:hint="eastAsia" w:cs="Times New Roman"/>
                <w:color w:val="auto"/>
              </w:rPr>
              <w:t>和L</w:t>
            </w:r>
            <w:r>
              <w:rPr>
                <w:rFonts w:hint="eastAsia" w:cs="Times New Roman"/>
                <w:color w:val="auto"/>
                <w:vertAlign w:val="subscript"/>
              </w:rPr>
              <w:t>p2</w:t>
            </w:r>
            <w:r>
              <w:rPr>
                <w:rFonts w:hint="eastAsia" w:cs="Times New Roman"/>
                <w:color w:val="auto"/>
              </w:rPr>
              <w:t>。若声源所在室内声场为近似扩散声场，则室外的倍频带声压级可按式（B.1）近似求出：</w:t>
            </w:r>
          </w:p>
          <w:p w14:paraId="69815751">
            <w:pPr>
              <w:keepNext w:val="0"/>
              <w:keepLines w:val="0"/>
              <w:suppressLineNumbers w:val="0"/>
              <w:spacing w:before="0" w:beforeAutospacing="0" w:after="0" w:afterAutospacing="0"/>
              <w:ind w:left="0" w:right="0" w:firstLine="480"/>
              <w:jc w:val="center"/>
              <w:rPr>
                <w:rFonts w:hint="eastAsia" w:cs="Times New Roman"/>
                <w:color w:val="auto"/>
              </w:rPr>
            </w:pPr>
            <m:oMath>
              <m:r>
                <m:rPr/>
                <w:rPr>
                  <w:rFonts w:hint="default" w:ascii="Times New Roman" w:hAnsi="Times New Roman" w:eastAsia="Times New Roman" w:cs="Times New Roman"/>
                  <w:color w:val="auto"/>
                  <w:position w:val="1"/>
                  <w:sz w:val="19"/>
                  <w:szCs w:val="19"/>
                </w:rPr>
                <m:t>L</m:t>
              </m:r>
              <m:r>
                <m:rPr/>
                <w:rPr>
                  <w:rFonts w:hint="default" w:ascii="Times New Roman" w:hAnsi="Times New Roman" w:eastAsia="Times New Roman" w:cs="Times New Roman"/>
                  <w:color w:val="auto"/>
                  <w:position w:val="-3"/>
                  <w:sz w:val="11"/>
                  <w:szCs w:val="11"/>
                </w:rPr>
                <m:t>p</m:t>
              </m:r>
              <m:r>
                <m:rPr>
                  <m:sty m:val="p"/>
                </m:rPr>
                <w:rPr>
                  <w:rFonts w:hint="default" w:ascii="Times New Roman" w:hAnsi="Times New Roman" w:eastAsia="Times New Roman" w:cs="Times New Roman"/>
                  <w:color w:val="auto"/>
                  <w:spacing w:val="10"/>
                  <w:position w:val="-3"/>
                  <w:sz w:val="11"/>
                  <w:szCs w:val="11"/>
                </w:rPr>
                <m:t>2</m:t>
              </m:r>
              <m:r>
                <m:rPr>
                  <m:sty m:val="p"/>
                </m:rPr>
                <w:rPr>
                  <w:rFonts w:hint="default" w:ascii="微软雅黑" w:hAnsi="微软雅黑" w:eastAsia="微软雅黑" w:cs="微软雅黑"/>
                  <w:color w:val="auto"/>
                  <w:spacing w:val="6"/>
                  <w:position w:val="1"/>
                  <w:sz w:val="19"/>
                  <w:szCs w:val="19"/>
                </w:rPr>
                <m:t>=</m:t>
              </m:r>
              <m:r>
                <m:rPr/>
                <w:rPr>
                  <w:rFonts w:hint="default" w:ascii="Times New Roman" w:hAnsi="Times New Roman" w:eastAsia="Times New Roman" w:cs="Times New Roman"/>
                  <w:color w:val="auto"/>
                  <w:position w:val="1"/>
                  <w:sz w:val="19"/>
                  <w:szCs w:val="19"/>
                </w:rPr>
                <m:t>L</m:t>
              </m:r>
              <m:r>
                <m:rPr/>
                <w:rPr>
                  <w:rFonts w:hint="default" w:ascii="Times New Roman" w:hAnsi="Times New Roman" w:eastAsia="Times New Roman" w:cs="Times New Roman"/>
                  <w:color w:val="auto"/>
                  <w:position w:val="-3"/>
                  <w:sz w:val="11"/>
                  <w:szCs w:val="11"/>
                </w:rPr>
                <m:t>p</m:t>
              </m:r>
              <m:r>
                <m:rPr>
                  <m:sty m:val="p"/>
                </m:rPr>
                <w:rPr>
                  <w:rFonts w:hint="default" w:ascii="Times New Roman" w:hAnsi="Times New Roman" w:eastAsia="Times New Roman" w:cs="Times New Roman"/>
                  <w:color w:val="auto"/>
                  <w:spacing w:val="6"/>
                  <w:position w:val="-3"/>
                  <w:sz w:val="11"/>
                  <w:szCs w:val="11"/>
                </w:rPr>
                <m:t>1</m:t>
              </m:r>
              <m:r>
                <m:rPr>
                  <m:sty m:val="p"/>
                </m:rPr>
                <w:rPr>
                  <w:rFonts w:hint="default" w:ascii="微软雅黑" w:hAnsi="微软雅黑" w:eastAsia="微软雅黑" w:cs="微软雅黑"/>
                  <w:color w:val="auto"/>
                  <w:spacing w:val="6"/>
                  <w:position w:val="1"/>
                  <w:sz w:val="19"/>
                  <w:szCs w:val="19"/>
                </w:rPr>
                <m:t>−</m:t>
              </m:r>
              <m:r>
                <m:rPr>
                  <m:sty m:val="p"/>
                </m:rPr>
                <w:rPr>
                  <w:rFonts w:hint="default" w:ascii="微软雅黑" w:hAnsi="微软雅黑" w:eastAsia="微软雅黑" w:cs="微软雅黑"/>
                  <w:color w:val="auto"/>
                  <w:spacing w:val="6"/>
                  <w:sz w:val="24"/>
                  <w:szCs w:val="24"/>
                </w:rPr>
                <m:t>(</m:t>
              </m:r>
              <m:r>
                <m:rPr/>
                <w:rPr>
                  <w:rFonts w:hint="default" w:ascii="Times New Roman" w:hAnsi="Times New Roman" w:eastAsia="Times New Roman" w:cs="Times New Roman"/>
                  <w:color w:val="auto"/>
                  <w:position w:val="1"/>
                  <w:sz w:val="19"/>
                  <w:szCs w:val="19"/>
                </w:rPr>
                <m:t>TL</m:t>
              </m:r>
              <m:r>
                <m:rPr>
                  <m:sty m:val="p"/>
                </m:rPr>
                <w:rPr>
                  <w:rFonts w:hint="default" w:ascii="微软雅黑" w:hAnsi="微软雅黑" w:eastAsia="微软雅黑" w:cs="微软雅黑"/>
                  <w:color w:val="auto"/>
                  <w:spacing w:val="6"/>
                  <w:position w:val="1"/>
                  <w:sz w:val="19"/>
                  <w:szCs w:val="19"/>
                </w:rPr>
                <m:t>+</m:t>
              </m:r>
              <m:r>
                <m:rPr>
                  <m:sty m:val="p"/>
                </m:rPr>
                <w:rPr>
                  <w:rFonts w:hint="default" w:ascii="Times New Roman" w:hAnsi="Times New Roman" w:eastAsia="Times New Roman" w:cs="Times New Roman"/>
                  <w:color w:val="auto"/>
                  <w:spacing w:val="6"/>
                  <w:position w:val="1"/>
                  <w:sz w:val="19"/>
                  <w:szCs w:val="19"/>
                </w:rPr>
                <m:t>6</m:t>
              </m:r>
              <m:r>
                <m:rPr>
                  <m:sty m:val="p"/>
                </m:rPr>
                <w:rPr>
                  <w:rFonts w:hint="default" w:ascii="微软雅黑" w:hAnsi="微软雅黑" w:eastAsia="微软雅黑" w:cs="微软雅黑"/>
                  <w:color w:val="auto"/>
                  <w:spacing w:val="6"/>
                  <w:sz w:val="24"/>
                  <w:szCs w:val="24"/>
                </w:rPr>
                <m:t>)</m:t>
              </m:r>
            </m:oMath>
            <w:r>
              <w:rPr>
                <w:rFonts w:hint="eastAsia" w:hAnsi="微软雅黑" w:eastAsia="微软雅黑" w:cs="微软雅黑"/>
                <w:b w:val="0"/>
                <w:i w:val="0"/>
                <w:color w:val="auto"/>
                <w:spacing w:val="6"/>
                <w:sz w:val="24"/>
                <w:szCs w:val="24"/>
                <w:lang w:eastAsia="zh-CN"/>
              </w:rPr>
              <w:t>…(</w:t>
            </w:r>
            <w:r>
              <w:rPr>
                <w:rFonts w:hint="eastAsia" w:cs="Times New Roman"/>
                <w:color w:val="auto"/>
              </w:rPr>
              <w:t>B.</w:t>
            </w:r>
            <w:r>
              <w:rPr>
                <w:rFonts w:hint="default" w:cs="Times New Roman"/>
                <w:color w:val="auto"/>
              </w:rPr>
              <w:t>1</w:t>
            </w:r>
            <w:r>
              <w:rPr>
                <w:rFonts w:hint="eastAsia" w:cs="Times New Roman"/>
                <w:color w:val="auto"/>
                <w:lang w:eastAsia="zh-CN"/>
              </w:rPr>
              <w:t>)</w:t>
            </w:r>
          </w:p>
          <w:p w14:paraId="1E9D8379">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式中：</w:t>
            </w:r>
            <w:r>
              <w:rPr>
                <w:rFonts w:hint="eastAsia" w:cs="Times New Roman"/>
                <w:i/>
                <w:iCs/>
                <w:color w:val="auto"/>
              </w:rPr>
              <w:t>L</w:t>
            </w:r>
            <w:r>
              <w:rPr>
                <w:rFonts w:hint="eastAsia" w:cs="Times New Roman"/>
                <w:i/>
                <w:iCs/>
                <w:color w:val="auto"/>
                <w:vertAlign w:val="subscript"/>
              </w:rPr>
              <w:t>p1</w:t>
            </w:r>
            <w:r>
              <w:rPr>
                <w:rFonts w:hint="eastAsia" w:cs="Times New Roman"/>
                <w:color w:val="auto"/>
              </w:rPr>
              <w:t>—靠近开口处（或窗户）室内某倍频带的声压级或A声级，dB；</w:t>
            </w:r>
          </w:p>
          <w:p w14:paraId="121C8D82">
            <w:pPr>
              <w:keepNext w:val="0"/>
              <w:keepLines w:val="0"/>
              <w:suppressLineNumbers w:val="0"/>
              <w:spacing w:before="0" w:beforeAutospacing="0" w:after="0" w:afterAutospacing="0"/>
              <w:ind w:left="0" w:right="0" w:firstLine="1231" w:firstLineChars="513"/>
              <w:rPr>
                <w:rFonts w:hint="default" w:cs="Times New Roman"/>
                <w:color w:val="auto"/>
              </w:rPr>
            </w:pPr>
            <w:r>
              <w:rPr>
                <w:rFonts w:hint="eastAsia" w:cs="Times New Roman"/>
                <w:i/>
                <w:iCs/>
                <w:color w:val="auto"/>
              </w:rPr>
              <w:t>L</w:t>
            </w:r>
            <w:r>
              <w:rPr>
                <w:rFonts w:hint="eastAsia" w:cs="Times New Roman"/>
                <w:i/>
                <w:iCs/>
                <w:color w:val="auto"/>
                <w:vertAlign w:val="subscript"/>
              </w:rPr>
              <w:t>p2</w:t>
            </w:r>
            <w:r>
              <w:rPr>
                <w:rFonts w:hint="eastAsia" w:cs="Times New Roman"/>
                <w:color w:val="auto"/>
              </w:rPr>
              <w:t>—靠近开口处（或窗户）室外某倍频带的声压级或A声级，dB；</w:t>
            </w:r>
          </w:p>
          <w:p w14:paraId="1C16363D">
            <w:pPr>
              <w:keepNext w:val="0"/>
              <w:keepLines w:val="0"/>
              <w:suppressLineNumbers w:val="0"/>
              <w:spacing w:before="0" w:beforeAutospacing="0" w:after="0" w:afterAutospacing="0"/>
              <w:ind w:left="0" w:right="0" w:firstLine="1231" w:firstLineChars="513"/>
              <w:rPr>
                <w:rFonts w:hint="default" w:cs="Times New Roman"/>
                <w:color w:val="auto"/>
              </w:rPr>
            </w:pPr>
            <w:r>
              <w:rPr>
                <w:rFonts w:hint="eastAsia" w:cs="Times New Roman"/>
                <w:i/>
                <w:iCs/>
                <w:color w:val="auto"/>
              </w:rPr>
              <w:t>TL</w:t>
            </w:r>
            <w:r>
              <w:rPr>
                <w:rFonts w:hint="eastAsia" w:cs="Times New Roman"/>
                <w:color w:val="auto"/>
              </w:rPr>
              <w:t>—隔墙（或窗户）倍频带或A声级的隔声量，dB。</w:t>
            </w:r>
          </w:p>
          <w:p w14:paraId="1B855444">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rPr>
              <w:drawing>
                <wp:inline distT="0" distB="0" distL="114300" distR="114300">
                  <wp:extent cx="3311525" cy="1603375"/>
                  <wp:effectExtent l="0" t="0" r="10795" b="12065"/>
                  <wp:docPr id="18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7"/>
                          <pic:cNvPicPr>
                            <a:picLocks noChangeAspect="1"/>
                          </pic:cNvPicPr>
                        </pic:nvPicPr>
                        <pic:blipFill>
                          <a:blip r:embed="rId16"/>
                          <a:stretch>
                            <a:fillRect/>
                          </a:stretch>
                        </pic:blipFill>
                        <pic:spPr>
                          <a:xfrm>
                            <a:off x="0" y="0"/>
                            <a:ext cx="3311525" cy="1603375"/>
                          </a:xfrm>
                          <a:prstGeom prst="rect">
                            <a:avLst/>
                          </a:prstGeom>
                          <a:noFill/>
                          <a:ln>
                            <a:noFill/>
                          </a:ln>
                        </pic:spPr>
                      </pic:pic>
                    </a:graphicData>
                  </a:graphic>
                </wp:inline>
              </w:drawing>
            </w:r>
          </w:p>
          <w:p w14:paraId="4BD63695">
            <w:pPr>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室内声源等效为室外声源图例</w:t>
            </w:r>
          </w:p>
          <w:p w14:paraId="22B9D726">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也可按式（B.2）计算某一室内声源靠近围护结构处产生的倍频带声压级或A声级：</w:t>
            </w:r>
          </w:p>
          <w:p w14:paraId="11FB5389">
            <w:pPr>
              <w:keepNext w:val="0"/>
              <w:keepLines w:val="0"/>
              <w:suppressLineNumbers w:val="0"/>
              <w:spacing w:before="0" w:beforeAutospacing="0" w:after="0" w:afterAutospacing="0"/>
              <w:ind w:left="0" w:right="0" w:firstLine="480"/>
              <w:jc w:val="center"/>
              <w:rPr>
                <w:rFonts w:hint="eastAsia" w:cs="Times New Roman"/>
                <w:color w:val="auto"/>
              </w:rPr>
            </w:pPr>
            <m:oMath>
              <m:sSub>
                <m:sSubPr>
                  <m:ctrlPr>
                    <w:rPr>
                      <w:rFonts w:hint="default" w:ascii="Cambria Math" w:hAnsi="Cambria Math" w:eastAsia="宋体" w:cs="Times New Roman"/>
                      <w:color w:val="auto"/>
                      <w:kern w:val="0"/>
                      <w:sz w:val="24"/>
                      <w:szCs w:val="21"/>
                      <w:lang w:val="en-US" w:eastAsia="zh-CN" w:bidi="ar-SA"/>
                    </w:rPr>
                  </m:ctrlPr>
                </m:sSubPr>
                <m:e>
                  <m:r>
                    <m:rPr>
                      <m:sty m:val="p"/>
                    </m:rPr>
                    <w:rPr>
                      <w:rFonts w:hint="default" w:ascii="Cambria Math" w:hAnsi="Cambria Math" w:eastAsia="宋体" w:cs="Times New Roman"/>
                      <w:color w:val="auto"/>
                      <w:kern w:val="0"/>
                      <w:sz w:val="24"/>
                      <w:szCs w:val="21"/>
                      <w:lang w:val="en-US" w:eastAsia="zh-CN" w:bidi="ar-SA"/>
                    </w:rPr>
                    <m:t>L</m:t>
                  </m:r>
                  <m:ctrlPr>
                    <w:rPr>
                      <w:rFonts w:hint="default" w:ascii="Cambria Math" w:hAnsi="Cambria Math" w:eastAsia="宋体" w:cs="Times New Roman"/>
                      <w:color w:val="auto"/>
                      <w:kern w:val="0"/>
                      <w:sz w:val="24"/>
                      <w:szCs w:val="21"/>
                      <w:lang w:val="en-US" w:eastAsia="zh-CN" w:bidi="ar-SA"/>
                    </w:rPr>
                  </m:ctrlPr>
                </m:e>
                <m:sub>
                  <m:r>
                    <m:rPr>
                      <m:sty m:val="p"/>
                    </m:rPr>
                    <w:rPr>
                      <w:rFonts w:hint="default" w:ascii="Cambria Math" w:hAnsi="Cambria Math" w:eastAsia="宋体" w:cs="Times New Roman"/>
                      <w:color w:val="auto"/>
                      <w:kern w:val="0"/>
                      <w:sz w:val="24"/>
                      <w:szCs w:val="21"/>
                      <w:lang w:val="en-US" w:eastAsia="zh-CN" w:bidi="ar-SA"/>
                    </w:rPr>
                    <m:t>p1</m:t>
                  </m:r>
                  <m:ctrlPr>
                    <w:rPr>
                      <w:rFonts w:hint="default" w:ascii="Cambria Math" w:hAnsi="Cambria Math" w:eastAsia="宋体" w:cs="Times New Roman"/>
                      <w:color w:val="auto"/>
                      <w:kern w:val="0"/>
                      <w:sz w:val="24"/>
                      <w:szCs w:val="21"/>
                      <w:lang w:val="en-US" w:eastAsia="zh-CN" w:bidi="ar-SA"/>
                    </w:rPr>
                  </m:ctrlPr>
                </m:sub>
              </m:sSub>
              <m:r>
                <m:rPr>
                  <m:sty m:val="p"/>
                </m:rPr>
                <w:rPr>
                  <w:rFonts w:hint="default" w:ascii="Cambria Math" w:hAnsi="Cambria Math" w:eastAsia="宋体" w:cs="Times New Roman"/>
                  <w:color w:val="auto"/>
                  <w:kern w:val="0"/>
                  <w:sz w:val="24"/>
                  <w:szCs w:val="21"/>
                  <w:lang w:val="en-US" w:eastAsia="zh-CN" w:bidi="ar-SA"/>
                </w:rPr>
                <m:t>=</m:t>
              </m:r>
              <m:sSub>
                <m:sSubPr>
                  <m:ctrlPr>
                    <w:rPr>
                      <w:rFonts w:hint="default" w:ascii="Cambria Math" w:hAnsi="Cambria Math" w:eastAsia="宋体" w:cs="Times New Roman"/>
                      <w:color w:val="auto"/>
                      <w:kern w:val="0"/>
                      <w:sz w:val="24"/>
                      <w:szCs w:val="21"/>
                      <w:lang w:val="en-US" w:eastAsia="zh-CN" w:bidi="ar-SA"/>
                    </w:rPr>
                  </m:ctrlPr>
                </m:sSubPr>
                <m:e>
                  <m:r>
                    <m:rPr>
                      <m:sty m:val="p"/>
                    </m:rPr>
                    <w:rPr>
                      <w:rFonts w:hint="default" w:ascii="Cambria Math" w:hAnsi="Cambria Math" w:eastAsia="宋体" w:cs="Times New Roman"/>
                      <w:color w:val="auto"/>
                      <w:kern w:val="0"/>
                      <w:sz w:val="24"/>
                      <w:szCs w:val="21"/>
                      <w:lang w:val="en-US" w:eastAsia="zh-CN" w:bidi="ar-SA"/>
                    </w:rPr>
                    <m:t>L</m:t>
                  </m:r>
                  <m:ctrlPr>
                    <w:rPr>
                      <w:rFonts w:hint="default" w:ascii="Cambria Math" w:hAnsi="Cambria Math" w:eastAsia="宋体" w:cs="Times New Roman"/>
                      <w:color w:val="auto"/>
                      <w:kern w:val="0"/>
                      <w:sz w:val="24"/>
                      <w:szCs w:val="21"/>
                      <w:lang w:val="en-US" w:eastAsia="zh-CN" w:bidi="ar-SA"/>
                    </w:rPr>
                  </m:ctrlPr>
                </m:e>
                <m:sub>
                  <m:r>
                    <m:rPr>
                      <m:sty m:val="p"/>
                    </m:rPr>
                    <w:rPr>
                      <w:rFonts w:hint="default" w:ascii="Cambria Math" w:hAnsi="Cambria Math" w:eastAsia="宋体" w:cs="Times New Roman"/>
                      <w:color w:val="auto"/>
                      <w:kern w:val="0"/>
                      <w:sz w:val="24"/>
                      <w:szCs w:val="21"/>
                      <w:lang w:val="en-US" w:eastAsia="zh-CN" w:bidi="ar-SA"/>
                    </w:rPr>
                    <m:t>w</m:t>
                  </m:r>
                  <m:ctrlPr>
                    <w:rPr>
                      <w:rFonts w:hint="default" w:ascii="Cambria Math" w:hAnsi="Cambria Math" w:eastAsia="宋体" w:cs="Times New Roman"/>
                      <w:color w:val="auto"/>
                      <w:kern w:val="0"/>
                      <w:sz w:val="24"/>
                      <w:szCs w:val="21"/>
                      <w:lang w:val="en-US" w:eastAsia="zh-CN" w:bidi="ar-SA"/>
                    </w:rPr>
                  </m:ctrlPr>
                </m:sub>
              </m:sSub>
              <m:r>
                <m:rPr>
                  <m:sty m:val="p"/>
                </m:rPr>
                <w:rPr>
                  <w:rFonts w:hint="default" w:ascii="Cambria Math" w:hAnsi="Cambria Math" w:eastAsia="宋体" w:cs="Times New Roman"/>
                  <w:color w:val="auto"/>
                  <w:kern w:val="0"/>
                  <w:sz w:val="24"/>
                  <w:szCs w:val="21"/>
                  <w:lang w:val="en-US" w:eastAsia="zh-CN" w:bidi="ar-SA"/>
                </w:rPr>
                <m:t>+10lg</m:t>
              </m:r>
              <m:d>
                <m:dPr>
                  <m:ctrlPr>
                    <w:rPr>
                      <w:rFonts w:hint="default" w:ascii="Cambria Math" w:hAnsi="Cambria Math" w:eastAsia="宋体" w:cs="Times New Roman"/>
                      <w:color w:val="auto"/>
                      <w:kern w:val="0"/>
                      <w:sz w:val="24"/>
                      <w:szCs w:val="21"/>
                      <w:lang w:val="en-US" w:eastAsia="zh-CN" w:bidi="ar-SA"/>
                    </w:rPr>
                  </m:ctrlPr>
                </m:dPr>
                <m:e>
                  <m:f>
                    <m:fPr>
                      <m:ctrlPr>
                        <w:rPr>
                          <w:rFonts w:hint="default" w:ascii="Cambria Math" w:hAnsi="Cambria Math" w:eastAsia="宋体" w:cs="Times New Roman"/>
                          <w:color w:val="auto"/>
                          <w:kern w:val="0"/>
                          <w:sz w:val="24"/>
                          <w:szCs w:val="21"/>
                          <w:lang w:val="en-US" w:eastAsia="zh-CN" w:bidi="ar-SA"/>
                        </w:rPr>
                      </m:ctrlPr>
                    </m:fPr>
                    <m:num>
                      <m:r>
                        <m:rPr>
                          <m:sty m:val="p"/>
                        </m:rPr>
                        <w:rPr>
                          <w:rFonts w:hint="default" w:ascii="Cambria Math" w:hAnsi="Cambria Math" w:eastAsia="宋体" w:cs="Times New Roman"/>
                          <w:color w:val="auto"/>
                          <w:kern w:val="0"/>
                          <w:sz w:val="24"/>
                          <w:szCs w:val="21"/>
                          <w:lang w:val="en-US" w:eastAsia="zh-CN" w:bidi="ar-SA"/>
                        </w:rPr>
                        <m:t>Q</m:t>
                      </m:r>
                      <m:ctrlPr>
                        <w:rPr>
                          <w:rFonts w:hint="default" w:ascii="Cambria Math" w:hAnsi="Cambria Math" w:eastAsia="宋体" w:cs="Times New Roman"/>
                          <w:color w:val="auto"/>
                          <w:kern w:val="0"/>
                          <w:sz w:val="24"/>
                          <w:szCs w:val="21"/>
                          <w:lang w:val="en-US" w:eastAsia="zh-CN" w:bidi="ar-SA"/>
                        </w:rPr>
                      </m:ctrlPr>
                    </m:num>
                    <m:den>
                      <m:sSup>
                        <m:sSupPr>
                          <m:ctrlPr>
                            <w:rPr>
                              <w:rFonts w:hint="default" w:ascii="Cambria Math" w:hAnsi="Cambria Math" w:cs="Times New Roman"/>
                              <w:color w:val="auto"/>
                              <w:kern w:val="0"/>
                              <w:sz w:val="24"/>
                              <w:szCs w:val="21"/>
                              <w:lang w:val="en-US" w:eastAsia="zh-CN" w:bidi="ar-SA"/>
                            </w:rPr>
                          </m:ctrlPr>
                        </m:sSupPr>
                        <m:e>
                          <m:r>
                            <m:rPr>
                              <m:sty m:val="p"/>
                            </m:rPr>
                            <w:rPr>
                              <w:rFonts w:hint="default" w:ascii="Cambria Math" w:hAnsi="Cambria Math" w:eastAsia="宋体" w:cs="Times New Roman"/>
                              <w:color w:val="auto"/>
                              <w:kern w:val="0"/>
                              <w:sz w:val="24"/>
                              <w:szCs w:val="21"/>
                              <w:lang w:val="en-US" w:eastAsia="zh-CN" w:bidi="ar-SA"/>
                            </w:rPr>
                            <m:t>4</m:t>
                          </m:r>
                          <m:r>
                            <m:rPr>
                              <m:sty m:val="p"/>
                            </m:rPr>
                            <w:rPr>
                              <w:rFonts w:hint="default" w:ascii="Cambria Math" w:hAnsi="Cambria Math" w:cs="Times New Roman"/>
                              <w:color w:val="auto"/>
                              <w:kern w:val="0"/>
                              <w:sz w:val="24"/>
                              <w:szCs w:val="21"/>
                              <w:lang w:val="en-US" w:bidi="ar-SA"/>
                            </w:rPr>
                            <m:t>π</m:t>
                          </m:r>
                          <m:r>
                            <m:rPr>
                              <m:sty m:val="p"/>
                            </m:rPr>
                            <w:rPr>
                              <w:rFonts w:hint="default" w:ascii="Cambria Math" w:hAnsi="Cambria Math" w:cs="Times New Roman"/>
                              <w:color w:val="auto"/>
                              <w:kern w:val="0"/>
                              <w:sz w:val="24"/>
                              <w:szCs w:val="21"/>
                              <w:lang w:val="en-US" w:eastAsia="zh-CN" w:bidi="ar-SA"/>
                            </w:rPr>
                            <m:t>r</m:t>
                          </m:r>
                          <m:ctrlPr>
                            <w:rPr>
                              <w:rFonts w:hint="default" w:ascii="Cambria Math" w:hAnsi="Cambria Math" w:cs="Times New Roman"/>
                              <w:color w:val="auto"/>
                              <w:kern w:val="0"/>
                              <w:sz w:val="24"/>
                              <w:szCs w:val="21"/>
                              <w:lang w:val="en-US" w:eastAsia="zh-CN" w:bidi="ar-SA"/>
                            </w:rPr>
                          </m:ctrlPr>
                        </m:e>
                        <m:sup>
                          <m:r>
                            <m:rPr>
                              <m:sty m:val="p"/>
                            </m:rPr>
                            <w:rPr>
                              <w:rFonts w:hint="default" w:ascii="Cambria Math" w:hAnsi="Cambria Math" w:cs="Times New Roman"/>
                              <w:color w:val="auto"/>
                              <w:kern w:val="0"/>
                              <w:sz w:val="24"/>
                              <w:szCs w:val="21"/>
                              <w:lang w:val="en-US" w:eastAsia="zh-CN" w:bidi="ar-SA"/>
                            </w:rPr>
                            <m:t>2</m:t>
                          </m:r>
                          <m:ctrlPr>
                            <w:rPr>
                              <w:rFonts w:hint="default" w:ascii="Cambria Math" w:hAnsi="Cambria Math" w:cs="Times New Roman"/>
                              <w:color w:val="auto"/>
                              <w:kern w:val="0"/>
                              <w:sz w:val="24"/>
                              <w:szCs w:val="21"/>
                              <w:lang w:val="en-US" w:eastAsia="zh-CN" w:bidi="ar-SA"/>
                            </w:rPr>
                          </m:ctrlPr>
                        </m:sup>
                      </m:sSup>
                      <m:ctrlPr>
                        <w:rPr>
                          <w:rFonts w:hint="default" w:ascii="Cambria Math" w:hAnsi="Cambria Math" w:eastAsia="宋体" w:cs="Times New Roman"/>
                          <w:color w:val="auto"/>
                          <w:kern w:val="0"/>
                          <w:sz w:val="24"/>
                          <w:szCs w:val="21"/>
                          <w:lang w:val="en-US" w:eastAsia="zh-CN" w:bidi="ar-SA"/>
                        </w:rPr>
                      </m:ctrlPr>
                    </m:den>
                  </m:f>
                  <m:r>
                    <m:rPr>
                      <m:sty m:val="p"/>
                    </m:rPr>
                    <w:rPr>
                      <w:rFonts w:hint="default" w:ascii="Cambria Math" w:hAnsi="Cambria Math" w:eastAsia="宋体" w:cs="Times New Roman"/>
                      <w:color w:val="auto"/>
                      <w:kern w:val="0"/>
                      <w:sz w:val="24"/>
                      <w:szCs w:val="21"/>
                      <w:lang w:val="en-US" w:eastAsia="zh-CN" w:bidi="ar-SA"/>
                    </w:rPr>
                    <m:t>+</m:t>
                  </m:r>
                  <m:f>
                    <m:fPr>
                      <m:ctrlPr>
                        <w:rPr>
                          <w:rFonts w:hint="default" w:ascii="Cambria Math" w:hAnsi="Cambria Math" w:eastAsia="宋体" w:cs="Times New Roman"/>
                          <w:color w:val="auto"/>
                          <w:kern w:val="0"/>
                          <w:sz w:val="24"/>
                          <w:szCs w:val="21"/>
                          <w:lang w:val="en-US" w:eastAsia="zh-CN" w:bidi="ar-SA"/>
                        </w:rPr>
                      </m:ctrlPr>
                    </m:fPr>
                    <m:num>
                      <m:r>
                        <m:rPr>
                          <m:sty m:val="p"/>
                        </m:rPr>
                        <w:rPr>
                          <w:rFonts w:hint="default" w:ascii="Cambria Math" w:hAnsi="Cambria Math" w:eastAsia="宋体" w:cs="Times New Roman"/>
                          <w:color w:val="auto"/>
                          <w:kern w:val="0"/>
                          <w:sz w:val="24"/>
                          <w:szCs w:val="21"/>
                          <w:lang w:val="en-US" w:eastAsia="zh-CN" w:bidi="ar-SA"/>
                        </w:rPr>
                        <m:t>4</m:t>
                      </m:r>
                      <m:ctrlPr>
                        <w:rPr>
                          <w:rFonts w:hint="default" w:ascii="Cambria Math" w:hAnsi="Cambria Math" w:eastAsia="宋体" w:cs="Times New Roman"/>
                          <w:color w:val="auto"/>
                          <w:kern w:val="0"/>
                          <w:sz w:val="24"/>
                          <w:szCs w:val="21"/>
                          <w:lang w:val="en-US" w:eastAsia="zh-CN" w:bidi="ar-SA"/>
                        </w:rPr>
                      </m:ctrlPr>
                    </m:num>
                    <m:den>
                      <m:r>
                        <m:rPr>
                          <m:sty m:val="p"/>
                        </m:rPr>
                        <w:rPr>
                          <w:rFonts w:hint="default" w:ascii="Cambria Math" w:hAnsi="Cambria Math" w:cs="Times New Roman"/>
                          <w:color w:val="auto"/>
                          <w:kern w:val="0"/>
                          <w:sz w:val="24"/>
                          <w:szCs w:val="21"/>
                          <w:lang w:val="en-US" w:eastAsia="zh-CN" w:bidi="ar-SA"/>
                        </w:rPr>
                        <m:t>R</m:t>
                      </m:r>
                      <m:ctrlPr>
                        <w:rPr>
                          <w:rFonts w:hint="default" w:ascii="Cambria Math" w:hAnsi="Cambria Math" w:eastAsia="宋体" w:cs="Times New Roman"/>
                          <w:color w:val="auto"/>
                          <w:kern w:val="0"/>
                          <w:sz w:val="24"/>
                          <w:szCs w:val="21"/>
                          <w:lang w:val="en-US" w:eastAsia="zh-CN" w:bidi="ar-SA"/>
                        </w:rPr>
                      </m:ctrlPr>
                    </m:den>
                  </m:f>
                  <m:ctrlPr>
                    <w:rPr>
                      <w:rFonts w:hint="default" w:ascii="Cambria Math" w:hAnsi="Cambria Math" w:eastAsia="宋体" w:cs="Times New Roman"/>
                      <w:color w:val="auto"/>
                      <w:kern w:val="0"/>
                      <w:sz w:val="24"/>
                      <w:szCs w:val="21"/>
                      <w:lang w:val="en-US" w:eastAsia="zh-CN" w:bidi="ar-SA"/>
                    </w:rPr>
                  </m:ctrlPr>
                </m:e>
              </m:d>
            </m:oMath>
            <w:r>
              <w:rPr>
                <w:rFonts w:hint="eastAsia" w:hAnsi="Cambria Math" w:cs="Times New Roman"/>
                <w:i w:val="0"/>
                <w:color w:val="auto"/>
                <w:kern w:val="0"/>
                <w:sz w:val="24"/>
                <w:szCs w:val="21"/>
                <w:lang w:val="en-US" w:eastAsia="zh-CN" w:bidi="ar-SA"/>
              </w:rPr>
              <w:t>…</w:t>
            </w:r>
            <w:r>
              <w:rPr>
                <w:rFonts w:hint="eastAsia" w:cs="Times New Roman"/>
                <w:color w:val="auto"/>
                <w:lang w:eastAsia="zh-CN"/>
              </w:rPr>
              <w:t>(</w:t>
            </w:r>
            <w:r>
              <w:rPr>
                <w:rFonts w:hint="eastAsia" w:cs="Times New Roman"/>
                <w:color w:val="auto"/>
              </w:rPr>
              <w:t>B.2</w:t>
            </w:r>
            <w:r>
              <w:rPr>
                <w:rFonts w:hint="eastAsia" w:cs="Times New Roman"/>
                <w:color w:val="auto"/>
                <w:lang w:eastAsia="zh-CN"/>
              </w:rPr>
              <w:t>)</w:t>
            </w:r>
          </w:p>
          <w:p w14:paraId="4AD37DFD">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式中：</w:t>
            </w:r>
            <w:r>
              <w:rPr>
                <w:rFonts w:hint="eastAsia" w:cs="Times New Roman"/>
                <w:i/>
                <w:iCs/>
                <w:color w:val="auto"/>
              </w:rPr>
              <w:t>L</w:t>
            </w:r>
            <w:r>
              <w:rPr>
                <w:rFonts w:hint="eastAsia" w:cs="Times New Roman"/>
                <w:i/>
                <w:iCs/>
                <w:color w:val="auto"/>
                <w:vertAlign w:val="subscript"/>
              </w:rPr>
              <w:t>p1</w:t>
            </w:r>
            <w:r>
              <w:rPr>
                <w:rFonts w:hint="eastAsia" w:cs="Times New Roman"/>
                <w:color w:val="auto"/>
              </w:rPr>
              <w:t>——靠近开口处（或窗户）室内某倍频带的声压级或A声级，dB；</w:t>
            </w:r>
          </w:p>
          <w:p w14:paraId="581EAFDC">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L</w:t>
            </w:r>
            <w:r>
              <w:rPr>
                <w:rFonts w:hint="eastAsia" w:cs="Times New Roman"/>
                <w:i/>
                <w:iCs/>
                <w:color w:val="auto"/>
                <w:vertAlign w:val="subscript"/>
                <w:lang w:val="en-US" w:eastAsia="zh-CN"/>
              </w:rPr>
              <w:t>w</w:t>
            </w:r>
            <w:r>
              <w:rPr>
                <w:rFonts w:hint="eastAsia" w:cs="Times New Roman"/>
                <w:color w:val="auto"/>
              </w:rPr>
              <w:t>——点声源声功率级（A计权或倍频带），dB；</w:t>
            </w:r>
          </w:p>
          <w:p w14:paraId="05A1E613">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Q</w:t>
            </w:r>
            <w:r>
              <w:rPr>
                <w:rFonts w:hint="eastAsia" w:cs="Times New Roman"/>
                <w:color w:val="auto"/>
              </w:rPr>
              <w:t>—指向性因数；通常对无指向性声源，当声源放在房间中心时，Q=1；当放在一面墙的中心时，Q=2；当放在两面墙夹角处时，Q=4；当放在三面墙夹角处时，Q=8；</w:t>
            </w:r>
          </w:p>
          <w:p w14:paraId="19BEB194">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R</w:t>
            </w:r>
            <w:r>
              <w:rPr>
                <w:rFonts w:hint="eastAsia" w:cs="Times New Roman"/>
                <w:color w:val="auto"/>
              </w:rPr>
              <w:t>—房间常数；R=Sa/（1-a），S为房间内表面面积，m</w:t>
            </w:r>
            <w:r>
              <w:rPr>
                <w:rFonts w:hint="eastAsia" w:cs="Times New Roman"/>
                <w:color w:val="auto"/>
                <w:vertAlign w:val="superscript"/>
              </w:rPr>
              <w:t>2</w:t>
            </w:r>
            <w:r>
              <w:rPr>
                <w:rFonts w:hint="eastAsia" w:cs="Times New Roman"/>
                <w:color w:val="auto"/>
              </w:rPr>
              <w:t>；a为平均吸声系数；</w:t>
            </w:r>
          </w:p>
          <w:p w14:paraId="4AF61342">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r</w:t>
            </w:r>
            <w:r>
              <w:rPr>
                <w:rFonts w:hint="eastAsia" w:cs="Times New Roman"/>
                <w:color w:val="auto"/>
              </w:rPr>
              <w:t>—声源到靠近围护结构某点处的距离，m。</w:t>
            </w:r>
          </w:p>
          <w:p w14:paraId="0D8BACAC">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然后按式（B.3）计算出所有室内声源在围护结构处产生的i倍频带叠加声压级：</w:t>
            </w:r>
          </w:p>
          <w:p w14:paraId="7AD6C322">
            <w:pPr>
              <w:keepNext w:val="0"/>
              <w:keepLines w:val="0"/>
              <w:suppressLineNumbers w:val="0"/>
              <w:spacing w:before="0" w:beforeAutospacing="0" w:after="0" w:afterAutospacing="0"/>
              <w:ind w:left="0" w:right="0" w:firstLine="480"/>
              <w:jc w:val="center"/>
              <w:rPr>
                <w:rFonts w:hint="eastAsia" w:cs="Times New Roman"/>
                <w:color w:val="auto"/>
              </w:rPr>
            </w:pPr>
            <m:oMath>
              <m:sSub>
                <m:sSubPr>
                  <m:ctrlPr>
                    <w:rPr>
                      <w:rFonts w:hint="eastAsia" w:ascii="Times New Roman" w:hAnsi="Times New Roman" w:eastAsia="宋体" w:cs="Times New Roman"/>
                      <w:color w:val="auto"/>
                      <w:sz w:val="24"/>
                      <w:lang w:val="en-US" w:eastAsia="zh-CN"/>
                    </w:rPr>
                  </m:ctrlPr>
                </m:sSubPr>
                <m:e>
                  <m:r>
                    <m:rPr>
                      <m:sty m:val="p"/>
                    </m:rPr>
                    <w:rPr>
                      <w:rFonts w:hint="eastAsia" w:ascii="Times New Roman" w:hAnsi="Times New Roman" w:eastAsia="宋体" w:cs="Times New Roman"/>
                      <w:color w:val="auto"/>
                      <w:sz w:val="24"/>
                      <w:lang w:val="en-US" w:eastAsia="zh-CN"/>
                    </w:rPr>
                    <m:t>L</m:t>
                  </m:r>
                  <m:ctrlPr>
                    <w:rPr>
                      <w:rFonts w:hint="eastAsia" w:ascii="Times New Roman" w:hAnsi="Times New Roman" w:eastAsia="宋体" w:cs="Times New Roman"/>
                      <w:color w:val="auto"/>
                      <w:sz w:val="24"/>
                      <w:lang w:val="en-US" w:eastAsia="zh-CN"/>
                    </w:rPr>
                  </m:ctrlPr>
                </m:e>
                <m:sub>
                  <m:r>
                    <m:rPr>
                      <m:sty m:val="p"/>
                    </m:rPr>
                    <w:rPr>
                      <w:rFonts w:hint="eastAsia" w:ascii="Times New Roman" w:hAnsi="Times New Roman" w:eastAsia="宋体" w:cs="Times New Roman"/>
                      <w:color w:val="auto"/>
                      <w:sz w:val="24"/>
                      <w:vertAlign w:val="subscript"/>
                      <w:lang w:val="en-US" w:eastAsia="zh-CN"/>
                    </w:rPr>
                    <m:t>p1i</m:t>
                  </m:r>
                  <m:ctrlPr>
                    <w:rPr>
                      <w:rFonts w:hint="eastAsia" w:ascii="Times New Roman" w:hAnsi="Times New Roman" w:eastAsia="宋体" w:cs="Times New Roman"/>
                      <w:color w:val="auto"/>
                      <w:sz w:val="24"/>
                      <w:lang w:val="en-US" w:eastAsia="zh-CN"/>
                    </w:rPr>
                  </m:ctrlPr>
                </m:sub>
              </m:sSub>
              <m:r>
                <m:rPr>
                  <m:sty m:val="p"/>
                </m:rPr>
                <w:rPr>
                  <w:rFonts w:hint="eastAsia" w:ascii="Times New Roman" w:hAnsi="Times New Roman" w:eastAsia="宋体" w:cs="Times New Roman"/>
                  <w:color w:val="auto"/>
                  <w:sz w:val="24"/>
                  <w:lang w:val="en-US" w:eastAsia="zh-CN"/>
                </w:rPr>
                <m:t>(T)</m:t>
              </m:r>
              <m:r>
                <m:rPr>
                  <m:sty m:val="p"/>
                </m:rPr>
                <w:rPr>
                  <w:rFonts w:hint="eastAsia" w:ascii="Cambria Math" w:hAnsi="Cambria Math" w:eastAsia="宋体" w:cs="Times New Roman"/>
                  <w:color w:val="auto"/>
                  <w:sz w:val="24"/>
                  <w:lang w:val="en-US" w:eastAsia="zh-CN"/>
                </w:rPr>
                <m:t>=</m:t>
              </m:r>
              <m:r>
                <m:rPr>
                  <m:sty m:val="p"/>
                </m:rPr>
                <w:rPr>
                  <w:rFonts w:hint="default" w:ascii="Cambria Math" w:hAnsi="Cambria Math" w:eastAsia="宋体" w:cs="Times New Roman"/>
                  <w:color w:val="auto"/>
                  <w:sz w:val="24"/>
                  <w:lang w:val="en-US" w:eastAsia="zh-CN"/>
                </w:rPr>
                <m:t>10</m:t>
              </m:r>
              <m:r>
                <m:rPr>
                  <m:sty m:val="p"/>
                </m:rPr>
                <w:rPr>
                  <w:rFonts w:hint="eastAsia" w:ascii="Cambria Math" w:hAnsi="Cambria Math" w:eastAsia="宋体" w:cs="Times New Roman"/>
                  <w:color w:val="auto"/>
                  <w:sz w:val="24"/>
                  <w:lang w:val="en-US" w:eastAsia="zh-CN"/>
                </w:rPr>
                <m:t>lg</m:t>
              </m:r>
              <m:d>
                <m:dPr>
                  <m:begChr m:val="{"/>
                  <m:endChr m:val="}"/>
                  <m:ctrlPr>
                    <w:rPr>
                      <w:rFonts w:hint="eastAsia" w:ascii="Cambria Math" w:hAnsi="Cambria Math" w:eastAsia="宋体" w:cs="Times New Roman"/>
                      <w:color w:val="auto"/>
                      <w:sz w:val="24"/>
                      <w:lang w:val="en-US" w:eastAsia="zh-CN"/>
                    </w:rPr>
                  </m:ctrlPr>
                </m:dPr>
                <m:e>
                  <m:nary>
                    <m:naryPr>
                      <m:chr m:val="∑"/>
                      <m:limLoc m:val="undOvr"/>
                      <m:ctrlPr>
                        <w:rPr>
                          <w:rFonts w:hint="eastAsia" w:ascii="Cambria Math" w:hAnsi="Cambria Math" w:eastAsia="宋体" w:cs="Times New Roman"/>
                          <w:color w:val="auto"/>
                          <w:sz w:val="24"/>
                          <w:lang w:val="en-US" w:eastAsia="zh-CN"/>
                        </w:rPr>
                      </m:ctrlPr>
                    </m:naryPr>
                    <m:sub>
                      <m:r>
                        <m:rPr>
                          <m:sty m:val="p"/>
                        </m:rPr>
                        <w:rPr>
                          <w:rFonts w:hint="default" w:ascii="Cambria Math" w:hAnsi="Cambria Math" w:eastAsia="宋体" w:cs="Times New Roman"/>
                          <w:color w:val="auto"/>
                          <w:sz w:val="24"/>
                          <w:lang w:val="en-US" w:eastAsia="zh-CN"/>
                        </w:rPr>
                        <m:t>J=1</m:t>
                      </m:r>
                      <m:ctrlPr>
                        <w:rPr>
                          <w:rFonts w:hint="eastAsia" w:ascii="Cambria Math" w:hAnsi="Cambria Math" w:eastAsia="宋体" w:cs="Times New Roman"/>
                          <w:color w:val="auto"/>
                          <w:sz w:val="24"/>
                          <w:lang w:val="en-US" w:eastAsia="zh-CN"/>
                        </w:rPr>
                      </m:ctrlPr>
                    </m:sub>
                    <m:sup>
                      <m:r>
                        <m:rPr>
                          <m:sty m:val="p"/>
                        </m:rPr>
                        <w:rPr>
                          <w:rFonts w:hint="default" w:ascii="Cambria Math" w:hAnsi="Cambria Math" w:eastAsia="宋体" w:cs="Times New Roman"/>
                          <w:color w:val="auto"/>
                          <w:sz w:val="24"/>
                          <w:lang w:val="en-US" w:eastAsia="zh-CN"/>
                        </w:rPr>
                        <m:t>N</m:t>
                      </m:r>
                      <m:ctrlPr>
                        <w:rPr>
                          <w:rFonts w:hint="eastAsia" w:ascii="Cambria Math" w:hAnsi="Cambria Math" w:eastAsia="宋体" w:cs="Times New Roman"/>
                          <w:color w:val="auto"/>
                          <w:sz w:val="24"/>
                          <w:lang w:val="en-US" w:eastAsia="zh-CN"/>
                        </w:rPr>
                      </m:ctrlPr>
                    </m:sup>
                    <m:e>
                      <m:sSup>
                        <m:sSupPr>
                          <m:ctrlPr>
                            <w:rPr>
                              <w:rFonts w:hint="eastAsia" w:ascii="Cambria Math" w:hAnsi="Cambria Math" w:eastAsia="宋体" w:cs="Times New Roman"/>
                              <w:color w:val="auto"/>
                              <w:sz w:val="24"/>
                              <w:lang w:val="en-US" w:eastAsia="zh-CN"/>
                            </w:rPr>
                          </m:ctrlPr>
                        </m:sSupPr>
                        <m:e>
                          <m:r>
                            <m:rPr>
                              <m:sty m:val="p"/>
                            </m:rPr>
                            <w:rPr>
                              <w:rFonts w:hint="default" w:ascii="Cambria Math" w:hAnsi="Cambria Math" w:eastAsia="宋体" w:cs="Times New Roman"/>
                              <w:color w:val="auto"/>
                              <w:sz w:val="24"/>
                              <w:lang w:val="en-US" w:eastAsia="zh-CN"/>
                            </w:rPr>
                            <m:t>10</m:t>
                          </m:r>
                          <m:ctrlPr>
                            <w:rPr>
                              <w:rFonts w:hint="eastAsia" w:ascii="Cambria Math" w:hAnsi="Cambria Math" w:eastAsia="宋体" w:cs="Times New Roman"/>
                              <w:color w:val="auto"/>
                              <w:sz w:val="24"/>
                              <w:lang w:val="en-US" w:eastAsia="zh-CN"/>
                            </w:rPr>
                          </m:ctrlPr>
                        </m:e>
                        <m:sup>
                          <m:r>
                            <m:rPr>
                              <m:sty m:val="p"/>
                            </m:rPr>
                            <w:rPr>
                              <w:rFonts w:hint="default" w:ascii="Cambria Math" w:hAnsi="Cambria Math" w:eastAsia="宋体" w:cs="Times New Roman"/>
                              <w:color w:val="auto"/>
                              <w:sz w:val="24"/>
                              <w:lang w:val="en-US" w:eastAsia="zh-CN"/>
                            </w:rPr>
                            <m:t>0.1</m:t>
                          </m:r>
                          <m:sSub>
                            <m:sSubPr>
                              <m:ctrlPr>
                                <w:rPr>
                                  <w:rFonts w:hint="eastAsia" w:ascii="Cambria Math" w:hAnsi="Cambria Math" w:eastAsia="宋体" w:cs="Times New Roman"/>
                                  <w:color w:val="auto"/>
                                  <w:sz w:val="24"/>
                                  <w:lang w:val="en-US" w:eastAsia="zh-CN"/>
                                </w:rPr>
                              </m:ctrlPr>
                            </m:sSubPr>
                            <m:e>
                              <m:r>
                                <m:rPr>
                                  <m:sty m:val="p"/>
                                </m:rPr>
                                <w:rPr>
                                  <w:rFonts w:hint="default" w:ascii="Cambria Math" w:hAnsi="Cambria Math" w:eastAsia="宋体" w:cs="Times New Roman"/>
                                  <w:color w:val="auto"/>
                                  <w:sz w:val="24"/>
                                  <w:lang w:val="en-US" w:eastAsia="zh-CN"/>
                                </w:rPr>
                                <m:t>L</m:t>
                              </m:r>
                              <m:ctrlPr>
                                <w:rPr>
                                  <w:rFonts w:hint="eastAsia" w:ascii="Cambria Math" w:hAnsi="Cambria Math" w:eastAsia="宋体" w:cs="Times New Roman"/>
                                  <w:color w:val="auto"/>
                                  <w:sz w:val="24"/>
                                  <w:lang w:val="en-US" w:eastAsia="zh-CN"/>
                                </w:rPr>
                              </m:ctrlPr>
                            </m:e>
                            <m:sub>
                              <m:r>
                                <m:rPr>
                                  <m:sty m:val="p"/>
                                </m:rPr>
                                <w:rPr>
                                  <w:rFonts w:hint="eastAsia" w:ascii="Cambria Math" w:hAnsi="Cambria Math" w:eastAsia="宋体" w:cs="Times New Roman"/>
                                  <w:color w:val="auto"/>
                                  <w:sz w:val="24"/>
                                  <w:lang w:val="en-US" w:eastAsia="zh-CN"/>
                                </w:rPr>
                                <m:t>p</m:t>
                              </m:r>
                              <m:r>
                                <m:rPr>
                                  <m:sty m:val="p"/>
                                </m:rPr>
                                <w:rPr>
                                  <w:rFonts w:hint="default" w:ascii="Cambria Math" w:hAnsi="Cambria Math" w:eastAsia="宋体" w:cs="Times New Roman"/>
                                  <w:color w:val="auto"/>
                                  <w:sz w:val="24"/>
                                  <w:lang w:val="en-US" w:eastAsia="zh-CN"/>
                                </w:rPr>
                                <m:t>1</m:t>
                              </m:r>
                              <m:r>
                                <m:rPr>
                                  <m:sty m:val="p"/>
                                </m:rPr>
                                <w:rPr>
                                  <w:rFonts w:hint="eastAsia" w:ascii="Cambria Math" w:hAnsi="Cambria Math" w:eastAsia="宋体" w:cs="Times New Roman"/>
                                  <w:color w:val="auto"/>
                                  <w:sz w:val="24"/>
                                  <w:lang w:val="en-US" w:eastAsia="zh-CN"/>
                                </w:rPr>
                                <m:t>ij</m:t>
                              </m:r>
                              <m:ctrlPr>
                                <w:rPr>
                                  <w:rFonts w:hint="eastAsia" w:ascii="Cambria Math" w:hAnsi="Cambria Math" w:eastAsia="宋体" w:cs="Times New Roman"/>
                                  <w:color w:val="auto"/>
                                  <w:sz w:val="24"/>
                                  <w:lang w:val="en-US" w:eastAsia="zh-CN"/>
                                </w:rPr>
                              </m:ctrlPr>
                            </m:sub>
                          </m:sSub>
                          <m:ctrlPr>
                            <w:rPr>
                              <w:rFonts w:hint="eastAsia" w:ascii="Cambria Math" w:hAnsi="Cambria Math" w:eastAsia="宋体" w:cs="Times New Roman"/>
                              <w:color w:val="auto"/>
                              <w:sz w:val="24"/>
                              <w:lang w:val="en-US" w:eastAsia="zh-CN"/>
                            </w:rPr>
                          </m:ctrlPr>
                        </m:sup>
                      </m:sSup>
                      <m:ctrlPr>
                        <w:rPr>
                          <w:rFonts w:hint="eastAsia" w:ascii="Cambria Math" w:hAnsi="Cambria Math" w:eastAsia="宋体" w:cs="Times New Roman"/>
                          <w:color w:val="auto"/>
                          <w:sz w:val="24"/>
                          <w:lang w:val="en-US" w:eastAsia="zh-CN"/>
                        </w:rPr>
                      </m:ctrlPr>
                    </m:e>
                  </m:nary>
                  <m:ctrlPr>
                    <w:rPr>
                      <w:rFonts w:hint="eastAsia" w:ascii="Cambria Math" w:hAnsi="Cambria Math" w:eastAsia="宋体" w:cs="Times New Roman"/>
                      <w:color w:val="auto"/>
                      <w:sz w:val="24"/>
                      <w:lang w:val="en-US" w:eastAsia="zh-CN"/>
                    </w:rPr>
                  </m:ctrlPr>
                </m:e>
              </m:d>
            </m:oMath>
            <w:r>
              <w:rPr>
                <w:rFonts w:hint="eastAsia" w:hAnsi="Cambria Math" w:cs="Times New Roman"/>
                <w:i w:val="0"/>
                <w:color w:val="auto"/>
                <w:sz w:val="24"/>
                <w:lang w:val="en-US" w:eastAsia="zh-CN"/>
              </w:rPr>
              <w:t>…</w:t>
            </w:r>
            <w:r>
              <w:rPr>
                <w:rFonts w:hint="eastAsia" w:cs="Times New Roman"/>
                <w:color w:val="auto"/>
                <w:lang w:eastAsia="zh-CN"/>
              </w:rPr>
              <w:t>(</w:t>
            </w:r>
            <w:r>
              <w:rPr>
                <w:rFonts w:hint="eastAsia" w:cs="Times New Roman"/>
                <w:color w:val="auto"/>
              </w:rPr>
              <w:t>B.3</w:t>
            </w:r>
            <w:r>
              <w:rPr>
                <w:rFonts w:hint="eastAsia" w:cs="Times New Roman"/>
                <w:color w:val="auto"/>
                <w:lang w:eastAsia="zh-CN"/>
              </w:rPr>
              <w:t>)</w:t>
            </w:r>
          </w:p>
          <w:p w14:paraId="4D94B92E">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式中：</w:t>
            </w:r>
            <w:r>
              <w:rPr>
                <w:rFonts w:hint="eastAsia" w:cs="Times New Roman"/>
                <w:i/>
                <w:iCs/>
                <w:color w:val="auto"/>
              </w:rPr>
              <w:t>L</w:t>
            </w:r>
            <w:r>
              <w:rPr>
                <w:rFonts w:hint="eastAsia" w:cs="Times New Roman"/>
                <w:i/>
                <w:iCs/>
                <w:color w:val="auto"/>
                <w:vertAlign w:val="subscript"/>
              </w:rPr>
              <w:t>p1i</w:t>
            </w:r>
            <w:r>
              <w:rPr>
                <w:rFonts w:hint="eastAsia" w:cs="Times New Roman"/>
                <w:i/>
                <w:iCs/>
                <w:color w:val="auto"/>
              </w:rPr>
              <w:t>（T）</w:t>
            </w:r>
            <w:r>
              <w:rPr>
                <w:rFonts w:hint="eastAsia" w:cs="Times New Roman"/>
                <w:color w:val="auto"/>
              </w:rPr>
              <w:t>——靠近围护结构处室内N个声源i倍频带的叠加声压级，dB；</w:t>
            </w:r>
          </w:p>
          <w:p w14:paraId="51B9B6EE">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L</w:t>
            </w:r>
            <w:r>
              <w:rPr>
                <w:rFonts w:hint="eastAsia" w:cs="Times New Roman"/>
                <w:i/>
                <w:iCs/>
                <w:color w:val="auto"/>
                <w:vertAlign w:val="subscript"/>
              </w:rPr>
              <w:t>p1ij</w:t>
            </w:r>
            <w:r>
              <w:rPr>
                <w:rFonts w:hint="eastAsia" w:cs="Times New Roman"/>
                <w:color w:val="auto"/>
              </w:rPr>
              <w:t>——室内j声源i倍频带的声压级，dB；</w:t>
            </w:r>
          </w:p>
          <w:p w14:paraId="3C23F37C">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N</w:t>
            </w:r>
            <w:r>
              <w:rPr>
                <w:rFonts w:hint="eastAsia" w:cs="Times New Roman"/>
                <w:color w:val="auto"/>
              </w:rPr>
              <w:t>—室内声源总数。</w:t>
            </w:r>
          </w:p>
          <w:p w14:paraId="4EADF2D4">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在室内近似为扩散声场时，按式（B.4）计算出靠近室外围护结构处的声压级：</w:t>
            </w:r>
          </w:p>
          <w:p w14:paraId="4299ED4A">
            <w:pPr>
              <w:keepNext w:val="0"/>
              <w:keepLines w:val="0"/>
              <w:suppressLineNumbers w:val="0"/>
              <w:spacing w:before="0" w:beforeAutospacing="0" w:after="0" w:afterAutospacing="0"/>
              <w:ind w:left="0" w:right="0" w:firstLine="480"/>
              <w:jc w:val="center"/>
              <w:rPr>
                <w:rFonts w:hint="eastAsia" w:cs="Times New Roman"/>
                <w:color w:val="auto"/>
              </w:rPr>
            </w:pPr>
            <m:oMath>
              <m:r>
                <m:rPr/>
                <w:rPr>
                  <w:rFonts w:hint="default" w:ascii="Times New Roman" w:hAnsi="Times New Roman" w:eastAsia="Times New Roman" w:cs="Times New Roman"/>
                  <w:color w:val="auto"/>
                  <w:spacing w:val="-4"/>
                  <w:sz w:val="22"/>
                  <w:szCs w:val="22"/>
                </w:rPr>
                <m:t>L</m:t>
              </m:r>
              <m:r>
                <m:rPr/>
                <w:rPr>
                  <w:rFonts w:hint="default" w:ascii="Times New Roman" w:hAnsi="Times New Roman" w:eastAsia="Times New Roman" w:cs="Times New Roman"/>
                  <w:color w:val="auto"/>
                  <w:spacing w:val="-4"/>
                  <w:position w:val="-5"/>
                  <w:sz w:val="13"/>
                  <w:szCs w:val="13"/>
                </w:rPr>
                <m:t>p</m:t>
              </m:r>
              <m:r>
                <m:rPr>
                  <m:sty m:val="p"/>
                </m:rPr>
                <w:rPr>
                  <w:rFonts w:hint="default" w:ascii="Times New Roman" w:hAnsi="Times New Roman" w:eastAsia="Times New Roman" w:cs="Times New Roman"/>
                  <w:color w:val="auto"/>
                  <w:spacing w:val="-8"/>
                  <w:position w:val="-5"/>
                  <w:sz w:val="13"/>
                  <w:szCs w:val="13"/>
                </w:rPr>
                <m:t>2</m:t>
              </m:r>
              <m:r>
                <m:rPr/>
                <w:rPr>
                  <w:rFonts w:hint="default" w:ascii="Times New Roman" w:hAnsi="Times New Roman" w:eastAsia="Times New Roman" w:cs="Times New Roman"/>
                  <w:color w:val="auto"/>
                  <w:spacing w:val="-4"/>
                  <w:position w:val="-5"/>
                  <w:sz w:val="13"/>
                  <w:szCs w:val="13"/>
                </w:rPr>
                <m:t>i</m:t>
              </m:r>
              <m:r>
                <m:rPr>
                  <m:sty m:val="p"/>
                </m:rPr>
                <w:rPr>
                  <w:rFonts w:hint="default" w:ascii="Times New Roman" w:hAnsi="Times New Roman" w:eastAsia="Times New Roman" w:cs="Times New Roman"/>
                  <w:color w:val="auto"/>
                  <w:spacing w:val="-8"/>
                  <w:sz w:val="22"/>
                  <w:szCs w:val="22"/>
                </w:rPr>
                <m:t>(</m:t>
              </m:r>
              <m:r>
                <m:rPr/>
                <w:rPr>
                  <w:rFonts w:hint="default" w:ascii="Times New Roman" w:hAnsi="Times New Roman" w:eastAsia="Times New Roman" w:cs="Times New Roman"/>
                  <w:color w:val="auto"/>
                  <w:spacing w:val="-4"/>
                  <w:sz w:val="22"/>
                  <w:szCs w:val="22"/>
                </w:rPr>
                <m:t>T</m:t>
              </m:r>
              <m:r>
                <m:rPr>
                  <m:sty m:val="p"/>
                </m:rPr>
                <w:rPr>
                  <w:rFonts w:hint="default" w:ascii="Times New Roman" w:hAnsi="Times New Roman" w:eastAsia="Times New Roman" w:cs="Times New Roman"/>
                  <w:color w:val="auto"/>
                  <w:spacing w:val="-7"/>
                  <w:sz w:val="22"/>
                  <w:szCs w:val="22"/>
                </w:rPr>
                <m:t>)</m:t>
              </m:r>
              <m:r>
                <m:rPr>
                  <m:sty m:val="p"/>
                </m:rPr>
                <w:rPr>
                  <w:rFonts w:hint="default" w:ascii="微软雅黑" w:hAnsi="微软雅黑" w:eastAsia="微软雅黑" w:cs="微软雅黑"/>
                  <w:color w:val="auto"/>
                  <w:spacing w:val="-4"/>
                  <w:sz w:val="22"/>
                  <w:szCs w:val="22"/>
                </w:rPr>
                <m:t>=</m:t>
              </m:r>
              <m:r>
                <m:rPr/>
                <w:rPr>
                  <w:rFonts w:hint="default" w:ascii="Times New Roman" w:hAnsi="Times New Roman" w:eastAsia="Times New Roman" w:cs="Times New Roman"/>
                  <w:color w:val="auto"/>
                  <w:spacing w:val="-4"/>
                  <w:sz w:val="22"/>
                  <w:szCs w:val="22"/>
                </w:rPr>
                <m:t>L</m:t>
              </m:r>
              <m:r>
                <m:rPr/>
                <w:rPr>
                  <w:rFonts w:hint="default" w:ascii="Times New Roman" w:hAnsi="Times New Roman" w:eastAsia="Times New Roman" w:cs="Times New Roman"/>
                  <w:color w:val="auto"/>
                  <w:spacing w:val="-4"/>
                  <w:position w:val="-5"/>
                  <w:sz w:val="13"/>
                  <w:szCs w:val="13"/>
                </w:rPr>
                <m:t>p</m:t>
              </m:r>
              <m:r>
                <m:rPr>
                  <m:sty m:val="p"/>
                </m:rPr>
                <w:rPr>
                  <w:rFonts w:hint="default" w:ascii="Times New Roman" w:hAnsi="Times New Roman" w:eastAsia="Times New Roman" w:cs="Times New Roman"/>
                  <w:color w:val="auto"/>
                  <w:spacing w:val="-4"/>
                  <w:position w:val="-5"/>
                  <w:sz w:val="13"/>
                  <w:szCs w:val="13"/>
                </w:rPr>
                <m:t>1</m:t>
              </m:r>
              <m:r>
                <m:rPr/>
                <w:rPr>
                  <w:rFonts w:hint="default" w:ascii="Times New Roman" w:hAnsi="Times New Roman" w:eastAsia="Times New Roman" w:cs="Times New Roman"/>
                  <w:color w:val="auto"/>
                  <w:spacing w:val="-4"/>
                  <w:position w:val="-5"/>
                  <w:sz w:val="13"/>
                  <w:szCs w:val="13"/>
                </w:rPr>
                <m:t>i</m:t>
              </m:r>
              <m:r>
                <m:rPr>
                  <m:sty m:val="p"/>
                </m:rPr>
                <w:rPr>
                  <w:rFonts w:hint="default" w:ascii="Times New Roman" w:hAnsi="Times New Roman" w:eastAsia="Times New Roman" w:cs="Times New Roman"/>
                  <w:color w:val="auto"/>
                  <w:spacing w:val="-4"/>
                  <w:sz w:val="22"/>
                  <w:szCs w:val="22"/>
                </w:rPr>
                <m:t>(</m:t>
              </m:r>
              <m:r>
                <m:rPr/>
                <w:rPr>
                  <w:rFonts w:hint="default" w:ascii="Times New Roman" w:hAnsi="Times New Roman" w:eastAsia="Times New Roman" w:cs="Times New Roman"/>
                  <w:color w:val="auto"/>
                  <w:spacing w:val="-4"/>
                  <w:sz w:val="22"/>
                  <w:szCs w:val="22"/>
                </w:rPr>
                <m:t>T</m:t>
              </m:r>
              <m:r>
                <m:rPr>
                  <m:sty m:val="p"/>
                </m:rPr>
                <w:rPr>
                  <w:rFonts w:hint="default" w:ascii="Times New Roman" w:hAnsi="Times New Roman" w:eastAsia="Times New Roman" w:cs="Times New Roman"/>
                  <w:color w:val="auto"/>
                  <w:spacing w:val="-4"/>
                  <w:sz w:val="22"/>
                  <w:szCs w:val="22"/>
                </w:rPr>
                <m:t>)</m:t>
              </m:r>
              <m:r>
                <m:rPr>
                  <m:sty m:val="p"/>
                </m:rPr>
                <w:rPr>
                  <w:rFonts w:hint="default" w:ascii="微软雅黑" w:hAnsi="微软雅黑" w:eastAsia="微软雅黑" w:cs="微软雅黑"/>
                  <w:color w:val="auto"/>
                  <w:spacing w:val="-4"/>
                  <w:sz w:val="22"/>
                  <w:szCs w:val="22"/>
                </w:rPr>
                <m:t>−</m:t>
              </m:r>
              <m:r>
                <m:rPr>
                  <m:sty m:val="p"/>
                </m:rPr>
                <w:rPr>
                  <w:rFonts w:hint="default" w:ascii="Times New Roman" w:hAnsi="Times New Roman" w:eastAsia="Times New Roman" w:cs="Times New Roman"/>
                  <w:color w:val="auto"/>
                  <w:spacing w:val="-4"/>
                  <w:sz w:val="22"/>
                  <w:szCs w:val="22"/>
                </w:rPr>
                <m:t>(</m:t>
              </m:r>
              <m:r>
                <m:rPr/>
                <w:rPr>
                  <w:rFonts w:hint="default" w:ascii="Times New Roman" w:hAnsi="Times New Roman" w:eastAsia="Times New Roman" w:cs="Times New Roman"/>
                  <w:color w:val="auto"/>
                  <w:spacing w:val="-4"/>
                  <w:sz w:val="22"/>
                  <w:szCs w:val="22"/>
                </w:rPr>
                <m:t>TL</m:t>
              </m:r>
              <m:r>
                <m:rPr/>
                <w:rPr>
                  <w:rFonts w:hint="default" w:ascii="Times New Roman" w:hAnsi="Times New Roman" w:eastAsia="Times New Roman" w:cs="Times New Roman"/>
                  <w:color w:val="auto"/>
                  <w:spacing w:val="-4"/>
                  <w:position w:val="-5"/>
                  <w:sz w:val="13"/>
                  <w:szCs w:val="13"/>
                </w:rPr>
                <m:t>i</m:t>
              </m:r>
              <m:r>
                <m:rPr>
                  <m:sty m:val="p"/>
                </m:rPr>
                <w:rPr>
                  <w:rFonts w:hint="default" w:ascii="微软雅黑" w:hAnsi="微软雅黑" w:eastAsia="微软雅黑" w:cs="微软雅黑"/>
                  <w:color w:val="auto"/>
                  <w:spacing w:val="-4"/>
                  <w:sz w:val="22"/>
                  <w:szCs w:val="22"/>
                </w:rPr>
                <m:t>+</m:t>
              </m:r>
              <m:r>
                <m:rPr>
                  <m:sty m:val="p"/>
                </m:rPr>
                <w:rPr>
                  <w:rFonts w:hint="default" w:ascii="Times New Roman" w:hAnsi="Times New Roman" w:eastAsia="Times New Roman" w:cs="Times New Roman"/>
                  <w:color w:val="auto"/>
                  <w:spacing w:val="-4"/>
                  <w:sz w:val="22"/>
                  <w:szCs w:val="22"/>
                </w:rPr>
                <m:t>6)</m:t>
              </m:r>
            </m:oMath>
            <w:r>
              <w:rPr>
                <w:rFonts w:hint="default" w:cs="Times New Roman"/>
                <w:color w:val="auto"/>
              </w:rPr>
              <w:t>……………</w:t>
            </w:r>
            <w:r>
              <w:rPr>
                <w:rFonts w:hint="eastAsia" w:cs="Times New Roman"/>
                <w:color w:val="auto"/>
                <w:lang w:eastAsia="zh-CN"/>
              </w:rPr>
              <w:t>(</w:t>
            </w:r>
            <w:r>
              <w:rPr>
                <w:rFonts w:hint="eastAsia" w:cs="Times New Roman"/>
                <w:color w:val="auto"/>
              </w:rPr>
              <w:t>B.4</w:t>
            </w:r>
            <w:r>
              <w:rPr>
                <w:rFonts w:hint="eastAsia" w:cs="Times New Roman"/>
                <w:color w:val="auto"/>
                <w:lang w:eastAsia="zh-CN"/>
              </w:rPr>
              <w:t>)</w:t>
            </w:r>
          </w:p>
          <w:p w14:paraId="2A4C07D8">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式中：</w:t>
            </w:r>
            <w:r>
              <w:rPr>
                <w:rFonts w:hint="eastAsia" w:cs="Times New Roman"/>
                <w:i/>
                <w:iCs/>
                <w:color w:val="auto"/>
              </w:rPr>
              <w:t>L</w:t>
            </w:r>
            <w:r>
              <w:rPr>
                <w:rFonts w:hint="eastAsia" w:cs="Times New Roman"/>
                <w:i/>
                <w:iCs/>
                <w:color w:val="auto"/>
                <w:vertAlign w:val="subscript"/>
              </w:rPr>
              <w:t>p2i</w:t>
            </w:r>
            <w:r>
              <w:rPr>
                <w:rFonts w:hint="eastAsia" w:cs="Times New Roman"/>
                <w:i/>
                <w:iCs/>
                <w:color w:val="auto"/>
              </w:rPr>
              <w:t>（T）</w:t>
            </w:r>
            <w:r>
              <w:rPr>
                <w:rFonts w:hint="eastAsia" w:cs="Times New Roman"/>
                <w:color w:val="auto"/>
              </w:rPr>
              <w:t>——靠近围护结构处室外N个声源i倍频带的叠加声压级，dB；</w:t>
            </w:r>
          </w:p>
          <w:p w14:paraId="44A45DA6">
            <w:pPr>
              <w:keepNext w:val="0"/>
              <w:keepLines w:val="0"/>
              <w:suppressLineNumbers w:val="0"/>
              <w:spacing w:before="0" w:beforeAutospacing="0" w:after="0" w:afterAutospacing="0"/>
              <w:ind w:left="0" w:right="0" w:firstLine="1065" w:firstLineChars="444"/>
              <w:rPr>
                <w:rFonts w:hint="default" w:cs="Times New Roman"/>
                <w:color w:val="auto"/>
              </w:rPr>
            </w:pPr>
            <w:r>
              <w:rPr>
                <w:rFonts w:hint="eastAsia" w:cs="Times New Roman"/>
                <w:i/>
                <w:iCs/>
                <w:color w:val="auto"/>
              </w:rPr>
              <w:t>L</w:t>
            </w:r>
            <w:r>
              <w:rPr>
                <w:rFonts w:hint="eastAsia" w:cs="Times New Roman"/>
                <w:i/>
                <w:iCs/>
                <w:color w:val="auto"/>
                <w:vertAlign w:val="subscript"/>
              </w:rPr>
              <w:t>p1i</w:t>
            </w:r>
            <w:r>
              <w:rPr>
                <w:rFonts w:hint="eastAsia" w:cs="Times New Roman"/>
                <w:i/>
                <w:iCs/>
                <w:color w:val="auto"/>
              </w:rPr>
              <w:t>（T）</w:t>
            </w:r>
            <w:r>
              <w:rPr>
                <w:rFonts w:hint="eastAsia" w:cs="Times New Roman"/>
                <w:color w:val="auto"/>
              </w:rPr>
              <w:t>——靠近围护结构处室内N个声源i倍频带的叠加声压级，dB；</w:t>
            </w:r>
          </w:p>
          <w:p w14:paraId="56FE5F6E">
            <w:pPr>
              <w:keepNext w:val="0"/>
              <w:keepLines w:val="0"/>
              <w:suppressLineNumbers w:val="0"/>
              <w:spacing w:before="0" w:beforeAutospacing="0" w:after="0" w:afterAutospacing="0"/>
              <w:ind w:left="0" w:right="0" w:firstLine="1065" w:firstLineChars="444"/>
              <w:rPr>
                <w:rFonts w:hint="default" w:cs="Times New Roman"/>
                <w:color w:val="auto"/>
              </w:rPr>
            </w:pPr>
            <w:r>
              <w:rPr>
                <w:rFonts w:hint="eastAsia" w:cs="Times New Roman"/>
                <w:i/>
                <w:iCs/>
                <w:color w:val="auto"/>
              </w:rPr>
              <w:t>TL</w:t>
            </w:r>
            <w:r>
              <w:rPr>
                <w:rFonts w:hint="eastAsia" w:cs="Times New Roman"/>
                <w:i/>
                <w:iCs/>
                <w:color w:val="auto"/>
                <w:vertAlign w:val="subscript"/>
              </w:rPr>
              <w:t>i</w:t>
            </w:r>
            <w:r>
              <w:rPr>
                <w:rFonts w:hint="eastAsia" w:cs="Times New Roman"/>
                <w:color w:val="auto"/>
              </w:rPr>
              <w:t>——围护结构i倍频带的隔声量，dB。</w:t>
            </w:r>
          </w:p>
          <w:p w14:paraId="36978FBA">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然后按式（B.5）将室外声源的声压级和透过面积换算成等效的室外声源，计算出中心位置位于透声面积（S）处的等效声源的倍频带声功率级。</w:t>
            </w:r>
          </w:p>
          <w:p w14:paraId="490264CE">
            <w:pPr>
              <w:keepNext w:val="0"/>
              <w:keepLines w:val="0"/>
              <w:suppressLineNumbers w:val="0"/>
              <w:spacing w:before="0" w:beforeAutospacing="0" w:after="0" w:afterAutospacing="0"/>
              <w:ind w:left="0" w:right="0" w:firstLine="480"/>
              <w:jc w:val="center"/>
              <w:rPr>
                <w:rFonts w:hint="eastAsia" w:cs="Times New Roman"/>
                <w:color w:val="auto"/>
              </w:rPr>
            </w:pPr>
            <m:oMath>
              <m:sSub>
                <m:sSubPr>
                  <m:ctrlPr>
                    <w:rPr>
                      <w:rFonts w:hint="eastAsia" w:ascii="Times New Roman" w:hAnsi="Times New Roman" w:eastAsia="宋体" w:cs="Times New Roman"/>
                      <w:color w:val="auto"/>
                      <w:sz w:val="24"/>
                      <w:lang w:val="en-US" w:eastAsia="zh-CN"/>
                    </w:rPr>
                  </m:ctrlPr>
                </m:sSubPr>
                <m:e>
                  <m:r>
                    <m:rPr>
                      <m:sty m:val="p"/>
                    </m:rPr>
                    <w:rPr>
                      <w:rFonts w:hint="eastAsia" w:ascii="Times New Roman" w:hAnsi="Times New Roman" w:eastAsia="宋体" w:cs="Times New Roman"/>
                      <w:color w:val="auto"/>
                      <w:sz w:val="24"/>
                      <w:lang w:val="en-US" w:eastAsia="zh-CN"/>
                    </w:rPr>
                    <m:t>L</m:t>
                  </m:r>
                  <m:ctrlPr>
                    <w:rPr>
                      <w:rFonts w:hint="eastAsia" w:ascii="Times New Roman" w:hAnsi="Times New Roman" w:eastAsia="宋体" w:cs="Times New Roman"/>
                      <w:color w:val="auto"/>
                      <w:sz w:val="24"/>
                      <w:lang w:val="en-US" w:eastAsia="zh-CN"/>
                    </w:rPr>
                  </m:ctrlPr>
                </m:e>
                <m:sub>
                  <m:r>
                    <m:rPr>
                      <m:sty m:val="p"/>
                    </m:rPr>
                    <w:rPr>
                      <w:rFonts w:hint="eastAsia" w:ascii="Times New Roman" w:hAnsi="Times New Roman" w:eastAsia="宋体" w:cs="Times New Roman"/>
                      <w:color w:val="auto"/>
                      <w:sz w:val="24"/>
                      <w:lang w:val="en-US" w:eastAsia="zh-CN"/>
                    </w:rPr>
                    <m:t>w</m:t>
                  </m:r>
                  <m:ctrlPr>
                    <w:rPr>
                      <w:rFonts w:hint="eastAsia" w:ascii="Times New Roman" w:hAnsi="Times New Roman" w:eastAsia="宋体" w:cs="Times New Roman"/>
                      <w:color w:val="auto"/>
                      <w:sz w:val="24"/>
                      <w:lang w:val="en-US" w:eastAsia="zh-CN"/>
                    </w:rPr>
                  </m:ctrlPr>
                </m:sub>
              </m:sSub>
              <m:r>
                <m:rPr>
                  <m:sty m:val="p"/>
                </m:rPr>
                <w:rPr>
                  <w:rFonts w:hint="eastAsia" w:ascii="Times New Roman" w:hAnsi="Times New Roman" w:eastAsia="宋体" w:cs="Times New Roman"/>
                  <w:color w:val="auto"/>
                  <w:sz w:val="24"/>
                  <w:lang w:val="en-US" w:eastAsia="zh-CN"/>
                </w:rPr>
                <m:t>=</m:t>
              </m:r>
              <m:sSub>
                <m:sSubPr>
                  <m:ctrlPr>
                    <w:rPr>
                      <w:rFonts w:hint="eastAsia" w:ascii="Times New Roman" w:hAnsi="Times New Roman" w:eastAsia="宋体" w:cs="Times New Roman"/>
                      <w:color w:val="auto"/>
                      <w:sz w:val="24"/>
                      <w:lang w:val="en-US" w:eastAsia="zh-CN"/>
                    </w:rPr>
                  </m:ctrlPr>
                </m:sSubPr>
                <m:e>
                  <m:r>
                    <m:rPr>
                      <m:sty m:val="p"/>
                    </m:rPr>
                    <w:rPr>
                      <w:rFonts w:hint="eastAsia" w:ascii="Times New Roman" w:hAnsi="Times New Roman" w:eastAsia="宋体" w:cs="Times New Roman"/>
                      <w:color w:val="auto"/>
                      <w:sz w:val="24"/>
                      <w:lang w:val="en-US" w:eastAsia="zh-CN"/>
                    </w:rPr>
                    <m:t>L</m:t>
                  </m:r>
                  <m:ctrlPr>
                    <w:rPr>
                      <w:rFonts w:hint="eastAsia" w:ascii="Times New Roman" w:hAnsi="Times New Roman" w:eastAsia="宋体" w:cs="Times New Roman"/>
                      <w:color w:val="auto"/>
                      <w:sz w:val="24"/>
                      <w:lang w:val="en-US" w:eastAsia="zh-CN"/>
                    </w:rPr>
                  </m:ctrlPr>
                </m:e>
                <m:sub>
                  <m:r>
                    <m:rPr>
                      <m:sty m:val="p"/>
                    </m:rPr>
                    <w:rPr>
                      <w:rFonts w:hint="eastAsia" w:ascii="Times New Roman" w:hAnsi="Times New Roman" w:eastAsia="宋体" w:cs="Times New Roman"/>
                      <w:color w:val="auto"/>
                      <w:sz w:val="24"/>
                      <w:lang w:val="en-US" w:eastAsia="zh-CN"/>
                    </w:rPr>
                    <m:t>p2</m:t>
                  </m:r>
                  <m:ctrlPr>
                    <w:rPr>
                      <w:rFonts w:hint="eastAsia" w:ascii="Times New Roman" w:hAnsi="Times New Roman" w:eastAsia="宋体" w:cs="Times New Roman"/>
                      <w:color w:val="auto"/>
                      <w:sz w:val="24"/>
                      <w:lang w:val="en-US" w:eastAsia="zh-CN"/>
                    </w:rPr>
                  </m:ctrlPr>
                </m:sub>
              </m:sSub>
              <m:r>
                <m:rPr>
                  <m:sty m:val="p"/>
                </m:rPr>
                <w:rPr>
                  <w:rFonts w:hint="eastAsia" w:ascii="Times New Roman" w:hAnsi="Times New Roman" w:eastAsia="宋体" w:cs="Times New Roman"/>
                  <w:color w:val="auto"/>
                  <w:sz w:val="24"/>
                  <w:lang w:val="en-US" w:eastAsia="zh-CN"/>
                </w:rPr>
                <m:t>(T)+10lgS</m:t>
              </m:r>
            </m:oMath>
            <w:r>
              <w:rPr>
                <w:rFonts w:hint="default" w:cs="Times New Roman"/>
                <w:color w:val="auto"/>
              </w:rPr>
              <w:t>……………</w:t>
            </w:r>
            <w:r>
              <w:rPr>
                <w:rFonts w:hint="eastAsia" w:cs="Times New Roman"/>
                <w:color w:val="auto"/>
                <w:lang w:eastAsia="zh-CN"/>
              </w:rPr>
              <w:t>(</w:t>
            </w:r>
            <w:r>
              <w:rPr>
                <w:rFonts w:hint="eastAsia" w:cs="Times New Roman"/>
                <w:color w:val="auto"/>
              </w:rPr>
              <w:t>B.</w:t>
            </w:r>
            <w:r>
              <w:rPr>
                <w:rFonts w:hint="default" w:cs="Times New Roman"/>
                <w:color w:val="auto"/>
              </w:rPr>
              <w:t>5</w:t>
            </w:r>
            <w:r>
              <w:rPr>
                <w:rFonts w:hint="eastAsia" w:cs="Times New Roman"/>
                <w:color w:val="auto"/>
                <w:lang w:eastAsia="zh-CN"/>
              </w:rPr>
              <w:t>)</w:t>
            </w:r>
          </w:p>
          <w:p w14:paraId="77E2D4DA">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式中：</w:t>
            </w:r>
            <w:r>
              <w:rPr>
                <w:rFonts w:hint="eastAsia" w:cs="Times New Roman"/>
                <w:i/>
                <w:iCs/>
                <w:color w:val="auto"/>
              </w:rPr>
              <w:t>L</w:t>
            </w:r>
            <w:r>
              <w:rPr>
                <w:rFonts w:hint="eastAsia" w:cs="Times New Roman"/>
                <w:i/>
                <w:iCs/>
                <w:color w:val="auto"/>
                <w:vertAlign w:val="subscript"/>
              </w:rPr>
              <w:t>w</w:t>
            </w:r>
            <w:r>
              <w:rPr>
                <w:rFonts w:hint="eastAsia" w:cs="Times New Roman"/>
                <w:color w:val="auto"/>
              </w:rPr>
              <w:t>——中心位置位于透声面积（S）处的等效声源的倍频带声功率级，dB；</w:t>
            </w:r>
          </w:p>
          <w:p w14:paraId="16A9C054">
            <w:pPr>
              <w:keepNext w:val="0"/>
              <w:keepLines w:val="0"/>
              <w:suppressLineNumbers w:val="0"/>
              <w:spacing w:before="0" w:beforeAutospacing="0" w:after="0" w:afterAutospacing="0"/>
              <w:ind w:left="0" w:right="0" w:firstLine="1226" w:firstLineChars="511"/>
              <w:rPr>
                <w:rFonts w:hint="default" w:cs="Times New Roman"/>
                <w:i w:val="0"/>
                <w:iCs w:val="0"/>
                <w:color w:val="auto"/>
              </w:rPr>
            </w:pPr>
            <w:r>
              <w:rPr>
                <w:rFonts w:hint="eastAsia" w:cs="Times New Roman"/>
                <w:i/>
                <w:iCs/>
                <w:color w:val="auto"/>
              </w:rPr>
              <w:t>L</w:t>
            </w:r>
            <w:r>
              <w:rPr>
                <w:rFonts w:hint="eastAsia" w:cs="Times New Roman"/>
                <w:i/>
                <w:iCs/>
                <w:color w:val="auto"/>
                <w:vertAlign w:val="subscript"/>
              </w:rPr>
              <w:t>p2</w:t>
            </w:r>
            <w:r>
              <w:rPr>
                <w:rFonts w:hint="eastAsia" w:cs="Times New Roman"/>
                <w:i w:val="0"/>
                <w:iCs w:val="0"/>
                <w:color w:val="auto"/>
                <w:lang w:val="en-US" w:eastAsia="zh-CN"/>
              </w:rPr>
              <w:t>(</w:t>
            </w:r>
            <w:r>
              <w:rPr>
                <w:rFonts w:hint="eastAsia" w:cs="Times New Roman"/>
                <w:i w:val="0"/>
                <w:iCs w:val="0"/>
                <w:color w:val="auto"/>
              </w:rPr>
              <w:t>T</w:t>
            </w:r>
            <w:r>
              <w:rPr>
                <w:rFonts w:hint="eastAsia" w:cs="Times New Roman"/>
                <w:i w:val="0"/>
                <w:iCs w:val="0"/>
                <w:color w:val="auto"/>
                <w:lang w:val="en-US" w:eastAsia="zh-CN"/>
              </w:rPr>
              <w:t>)</w:t>
            </w:r>
            <w:r>
              <w:rPr>
                <w:rFonts w:hint="eastAsia" w:cs="Times New Roman"/>
                <w:i w:val="0"/>
                <w:iCs w:val="0"/>
                <w:color w:val="auto"/>
              </w:rPr>
              <w:t>——靠近围护结构处室外声源的声压级，dB；</w:t>
            </w:r>
          </w:p>
          <w:p w14:paraId="0860082B">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S</w:t>
            </w:r>
            <w:r>
              <w:rPr>
                <w:rFonts w:hint="eastAsia" w:cs="Times New Roman"/>
                <w:color w:val="auto"/>
              </w:rPr>
              <w:t>——透声面积，m</w:t>
            </w:r>
            <w:r>
              <w:rPr>
                <w:rFonts w:hint="eastAsia" w:cs="Times New Roman"/>
                <w:color w:val="auto"/>
                <w:vertAlign w:val="superscript"/>
              </w:rPr>
              <w:t>2</w:t>
            </w:r>
            <w:r>
              <w:rPr>
                <w:rFonts w:hint="eastAsia" w:cs="Times New Roman"/>
                <w:color w:val="auto"/>
              </w:rPr>
              <w:t>。</w:t>
            </w:r>
          </w:p>
          <w:p w14:paraId="1FFBF5DF">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然后按室外声源预测方法计算预测点处的A声级</w:t>
            </w:r>
          </w:p>
          <w:p w14:paraId="49979A09">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（2）</w:t>
            </w:r>
            <w:r>
              <w:rPr>
                <w:rFonts w:hint="default" w:cs="Times New Roman"/>
                <w:color w:val="auto"/>
              </w:rPr>
              <w:t>单个室外的点声源在预测点产生的声级计算基本公式</w:t>
            </w:r>
          </w:p>
          <w:p w14:paraId="0F60AB6D">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rPr>
              <w:drawing>
                <wp:inline distT="0" distB="0" distL="114300" distR="114300">
                  <wp:extent cx="1104265" cy="279400"/>
                  <wp:effectExtent l="0" t="0" r="8255" b="10160"/>
                  <wp:docPr id="18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92"/>
                          <pic:cNvPicPr>
                            <a:picLocks noChangeAspect="1"/>
                          </pic:cNvPicPr>
                        </pic:nvPicPr>
                        <pic:blipFill>
                          <a:blip r:embed="rId17"/>
                          <a:stretch>
                            <a:fillRect/>
                          </a:stretch>
                        </pic:blipFill>
                        <pic:spPr>
                          <a:xfrm>
                            <a:off x="0" y="0"/>
                            <a:ext cx="1104265" cy="279400"/>
                          </a:xfrm>
                          <a:prstGeom prst="rect">
                            <a:avLst/>
                          </a:prstGeom>
                          <a:noFill/>
                          <a:ln>
                            <a:noFill/>
                          </a:ln>
                        </pic:spPr>
                      </pic:pic>
                    </a:graphicData>
                  </a:graphic>
                </wp:inline>
              </w:drawing>
            </w:r>
          </w:p>
          <w:p w14:paraId="5DC72BDB">
            <w:pPr>
              <w:keepNext w:val="0"/>
              <w:keepLines w:val="0"/>
              <w:suppressLineNumbers w:val="0"/>
              <w:spacing w:before="0" w:beforeAutospacing="0" w:after="0" w:afterAutospacing="0"/>
              <w:ind w:left="0" w:right="0" w:firstLine="480"/>
              <w:jc w:val="center"/>
              <w:rPr>
                <w:rFonts w:hint="default" w:cs="Times New Roman"/>
                <w:color w:val="auto"/>
              </w:rPr>
            </w:pPr>
            <w:r>
              <w:rPr>
                <w:rFonts w:hint="default" w:cs="Times New Roman"/>
                <w:color w:val="auto"/>
              </w:rPr>
              <w:drawing>
                <wp:inline distT="0" distB="0" distL="114300" distR="114300">
                  <wp:extent cx="2105025" cy="184785"/>
                  <wp:effectExtent l="0" t="0" r="13335" b="13335"/>
                  <wp:docPr id="18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3"/>
                          <pic:cNvPicPr>
                            <a:picLocks noChangeAspect="1"/>
                          </pic:cNvPicPr>
                        </pic:nvPicPr>
                        <pic:blipFill>
                          <a:blip r:embed="rId18"/>
                          <a:stretch>
                            <a:fillRect/>
                          </a:stretch>
                        </pic:blipFill>
                        <pic:spPr>
                          <a:xfrm>
                            <a:off x="0" y="0"/>
                            <a:ext cx="2105025" cy="184785"/>
                          </a:xfrm>
                          <a:prstGeom prst="rect">
                            <a:avLst/>
                          </a:prstGeom>
                          <a:noFill/>
                          <a:ln>
                            <a:noFill/>
                          </a:ln>
                        </pic:spPr>
                      </pic:pic>
                    </a:graphicData>
                  </a:graphic>
                </wp:inline>
              </w:drawing>
            </w:r>
          </w:p>
          <w:p w14:paraId="6E60A52F">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式中：</w:t>
            </w:r>
            <w:r>
              <w:rPr>
                <w:rFonts w:hint="default" w:cs="Times New Roman"/>
                <w:i/>
                <w:color w:val="auto"/>
              </w:rPr>
              <w:t>L</w:t>
            </w:r>
            <w:r>
              <w:rPr>
                <w:rFonts w:hint="default" w:cs="Times New Roman"/>
                <w:i/>
                <w:color w:val="auto"/>
                <w:vertAlign w:val="subscript"/>
              </w:rPr>
              <w:t>A</w:t>
            </w:r>
            <w:r>
              <w:rPr>
                <w:rFonts w:hint="eastAsia" w:cs="Times New Roman"/>
                <w:i/>
                <w:color w:val="auto"/>
              </w:rPr>
              <w:t>（</w:t>
            </w:r>
            <w:r>
              <w:rPr>
                <w:rFonts w:hint="default" w:cs="Times New Roman"/>
                <w:i/>
                <w:color w:val="auto"/>
              </w:rPr>
              <w:t>r</w:t>
            </w:r>
            <w:r>
              <w:rPr>
                <w:rFonts w:hint="eastAsia" w:cs="Times New Roman"/>
                <w:i/>
                <w:color w:val="auto"/>
              </w:rPr>
              <w:t>）</w:t>
            </w:r>
            <w:r>
              <w:rPr>
                <w:rFonts w:hint="default" w:cs="Times New Roman"/>
                <w:color w:val="auto"/>
              </w:rPr>
              <w:t>—点声源在预测点产生的A声级，dB；</w:t>
            </w:r>
          </w:p>
          <w:p w14:paraId="4AFCB0BE">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i/>
                <w:iCs/>
                <w:color w:val="auto"/>
              </w:rPr>
              <w:t>L</w:t>
            </w:r>
            <w:r>
              <w:rPr>
                <w:rFonts w:hint="default" w:cs="Times New Roman"/>
                <w:i/>
                <w:iCs/>
                <w:color w:val="auto"/>
                <w:vertAlign w:val="subscript"/>
              </w:rPr>
              <w:t>A</w:t>
            </w:r>
            <w:r>
              <w:rPr>
                <w:rFonts w:hint="default" w:cs="Times New Roman"/>
                <w:color w:val="auto"/>
              </w:rPr>
              <w:t>（</w:t>
            </w:r>
            <w:r>
              <w:rPr>
                <w:rFonts w:hint="default" w:cs="Times New Roman"/>
                <w:i/>
                <w:iCs/>
                <w:color w:val="auto"/>
              </w:rPr>
              <w:t>r</w:t>
            </w:r>
            <w:r>
              <w:rPr>
                <w:rFonts w:hint="default" w:cs="Times New Roman"/>
                <w:color w:val="auto"/>
                <w:vertAlign w:val="subscript"/>
              </w:rPr>
              <w:t>0</w:t>
            </w:r>
            <w:r>
              <w:rPr>
                <w:rFonts w:hint="default" w:cs="Times New Roman"/>
                <w:color w:val="auto"/>
              </w:rPr>
              <w:t>）—参考位置r</w:t>
            </w:r>
            <w:r>
              <w:rPr>
                <w:rFonts w:hint="default" w:cs="Times New Roman"/>
                <w:color w:val="auto"/>
                <w:vertAlign w:val="subscript"/>
              </w:rPr>
              <w:t>o</w:t>
            </w:r>
            <w:r>
              <w:rPr>
                <w:rFonts w:hint="default" w:cs="Times New Roman"/>
                <w:color w:val="auto"/>
              </w:rPr>
              <w:t>处的A声级，dB；</w:t>
            </w:r>
          </w:p>
          <w:p w14:paraId="51B30227">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i/>
                <w:color w:val="auto"/>
              </w:rPr>
              <w:t>A</w:t>
            </w:r>
            <w:r>
              <w:rPr>
                <w:rFonts w:hint="default" w:cs="Times New Roman"/>
                <w:color w:val="auto"/>
              </w:rPr>
              <w:t>—倍频带衰减，dB；</w:t>
            </w:r>
          </w:p>
          <w:p w14:paraId="6502B0AC">
            <w:pPr>
              <w:keepNext w:val="0"/>
              <w:keepLines w:val="0"/>
              <w:suppressLineNumbers w:val="0"/>
              <w:spacing w:before="0" w:beforeAutospacing="0" w:after="0" w:afterAutospacing="0"/>
              <w:ind w:left="0" w:right="0" w:firstLine="1200" w:firstLineChars="500"/>
              <w:rPr>
                <w:rFonts w:hint="default" w:cs="Times New Roman"/>
                <w:i/>
                <w:color w:val="auto"/>
              </w:rPr>
            </w:pPr>
            <w:r>
              <w:rPr>
                <w:rFonts w:hint="default" w:cs="Times New Roman"/>
                <w:i/>
                <w:color w:val="auto"/>
              </w:rPr>
              <w:t>A</w:t>
            </w:r>
            <w:r>
              <w:rPr>
                <w:rFonts w:hint="default" w:cs="Times New Roman"/>
                <w:i/>
                <w:color w:val="auto"/>
                <w:vertAlign w:val="subscript"/>
              </w:rPr>
              <w:t>div</w:t>
            </w:r>
            <w:r>
              <w:rPr>
                <w:rFonts w:hint="default" w:cs="Times New Roman"/>
                <w:i/>
                <w:color w:val="auto"/>
              </w:rPr>
              <w:t>—</w:t>
            </w:r>
            <w:r>
              <w:rPr>
                <w:rFonts w:hint="default" w:cs="Times New Roman"/>
                <w:color w:val="auto"/>
              </w:rPr>
              <w:t>几何发散引起的倍频带衰减，dB；</w:t>
            </w:r>
          </w:p>
          <w:p w14:paraId="55E56A26">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i/>
                <w:color w:val="auto"/>
              </w:rPr>
              <w:t>A</w:t>
            </w:r>
            <w:r>
              <w:rPr>
                <w:rFonts w:hint="default" w:cs="Times New Roman"/>
                <w:i/>
                <w:color w:val="auto"/>
                <w:vertAlign w:val="subscript"/>
              </w:rPr>
              <w:t>atm</w:t>
            </w:r>
            <w:r>
              <w:rPr>
                <w:rFonts w:hint="default" w:cs="Times New Roman"/>
                <w:color w:val="auto"/>
              </w:rPr>
              <w:t>—大气吸收引起的倍频带衰减，dB；</w:t>
            </w:r>
          </w:p>
          <w:p w14:paraId="52C287BD">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i/>
                <w:color w:val="auto"/>
              </w:rPr>
              <w:t>A</w:t>
            </w:r>
            <w:r>
              <w:rPr>
                <w:rFonts w:hint="default" w:cs="Times New Roman"/>
                <w:i/>
                <w:color w:val="auto"/>
                <w:vertAlign w:val="subscript"/>
              </w:rPr>
              <w:t>gr</w:t>
            </w:r>
            <w:r>
              <w:rPr>
                <w:rFonts w:hint="default" w:cs="Times New Roman"/>
                <w:color w:val="auto"/>
              </w:rPr>
              <w:t>—地面效应引起的倍频带衰减，dB；</w:t>
            </w:r>
          </w:p>
          <w:p w14:paraId="79C22902">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i/>
                <w:color w:val="auto"/>
              </w:rPr>
              <w:t>A</w:t>
            </w:r>
            <w:r>
              <w:rPr>
                <w:rFonts w:hint="default" w:cs="Times New Roman"/>
                <w:i/>
                <w:color w:val="auto"/>
                <w:vertAlign w:val="subscript"/>
              </w:rPr>
              <w:t>bar</w:t>
            </w:r>
            <w:r>
              <w:rPr>
                <w:rFonts w:hint="default" w:cs="Times New Roman"/>
                <w:color w:val="auto"/>
              </w:rPr>
              <w:t>—声屏障引起的倍频带衰减，dB；</w:t>
            </w:r>
          </w:p>
          <w:p w14:paraId="3AE3832A">
            <w:pPr>
              <w:keepNext w:val="0"/>
              <w:keepLines w:val="0"/>
              <w:suppressLineNumbers w:val="0"/>
              <w:spacing w:before="0" w:beforeAutospacing="0" w:after="0" w:afterAutospacing="0"/>
              <w:ind w:left="0" w:right="0" w:firstLine="1200" w:firstLineChars="500"/>
              <w:rPr>
                <w:rFonts w:hint="default" w:cs="Times New Roman"/>
                <w:color w:val="auto"/>
              </w:rPr>
            </w:pPr>
            <w:r>
              <w:rPr>
                <w:rFonts w:hint="default" w:cs="Times New Roman"/>
                <w:i/>
                <w:color w:val="auto"/>
              </w:rPr>
              <w:t>A</w:t>
            </w:r>
            <w:r>
              <w:rPr>
                <w:rFonts w:hint="default" w:cs="Times New Roman"/>
                <w:i/>
                <w:color w:val="auto"/>
                <w:vertAlign w:val="subscript"/>
              </w:rPr>
              <w:t>mic</w:t>
            </w:r>
            <w:r>
              <w:rPr>
                <w:rFonts w:hint="default" w:cs="Times New Roman"/>
                <w:color w:val="auto"/>
              </w:rPr>
              <w:t>—其他多方面效应引起的倍频带衰减，dB。</w:t>
            </w:r>
          </w:p>
          <w:p w14:paraId="0A0A27C7">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w:t>
            </w:r>
            <w:r>
              <w:rPr>
                <w:rFonts w:hint="default" w:cs="Times New Roman"/>
                <w:color w:val="auto"/>
              </w:rPr>
              <w:t>3</w:t>
            </w:r>
            <w:r>
              <w:rPr>
                <w:rFonts w:hint="eastAsia" w:cs="Times New Roman"/>
                <w:color w:val="auto"/>
              </w:rPr>
              <w:t>）工业企业噪声计算</w:t>
            </w:r>
          </w:p>
          <w:p w14:paraId="45D30642">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设第</w:t>
            </w:r>
            <w:r>
              <w:rPr>
                <w:rFonts w:hint="eastAsia" w:cs="Times New Roman"/>
                <w:i/>
                <w:iCs/>
                <w:color w:val="auto"/>
              </w:rPr>
              <w:t>i</w:t>
            </w:r>
            <w:r>
              <w:rPr>
                <w:rFonts w:hint="eastAsia" w:cs="Times New Roman"/>
                <w:color w:val="auto"/>
              </w:rPr>
              <w:t>个室外声源在预测点产生的A声级为</w:t>
            </w:r>
            <w:r>
              <w:rPr>
                <w:rFonts w:hint="eastAsia" w:cs="Times New Roman"/>
                <w:i/>
                <w:iCs/>
                <w:color w:val="auto"/>
              </w:rPr>
              <w:t>L</w:t>
            </w:r>
            <w:r>
              <w:rPr>
                <w:rFonts w:hint="eastAsia" w:cs="Times New Roman"/>
                <w:i/>
                <w:iCs/>
                <w:color w:val="auto"/>
                <w:vertAlign w:val="subscript"/>
              </w:rPr>
              <w:t>Ai</w:t>
            </w:r>
            <w:r>
              <w:rPr>
                <w:rFonts w:hint="eastAsia" w:cs="Times New Roman"/>
                <w:color w:val="auto"/>
              </w:rPr>
              <w:t>，在</w:t>
            </w:r>
            <w:r>
              <w:rPr>
                <w:rFonts w:hint="eastAsia" w:cs="Times New Roman"/>
                <w:i/>
                <w:iCs/>
                <w:color w:val="auto"/>
              </w:rPr>
              <w:t>T</w:t>
            </w:r>
            <w:r>
              <w:rPr>
                <w:rFonts w:hint="eastAsia" w:cs="Times New Roman"/>
                <w:color w:val="auto"/>
              </w:rPr>
              <w:t>时间内该声源工作时间为</w:t>
            </w:r>
            <w:r>
              <w:rPr>
                <w:rFonts w:hint="eastAsia" w:cs="Times New Roman"/>
                <w:i/>
                <w:iCs/>
                <w:color w:val="auto"/>
              </w:rPr>
              <w:t>t</w:t>
            </w:r>
            <w:r>
              <w:rPr>
                <w:rFonts w:hint="eastAsia" w:cs="Times New Roman"/>
                <w:i/>
                <w:iCs/>
                <w:color w:val="auto"/>
                <w:vertAlign w:val="subscript"/>
              </w:rPr>
              <w:t>i</w:t>
            </w:r>
            <w:r>
              <w:rPr>
                <w:rFonts w:hint="eastAsia" w:cs="Times New Roman"/>
                <w:color w:val="auto"/>
              </w:rPr>
              <w:t>；第</w:t>
            </w:r>
            <w:r>
              <w:rPr>
                <w:rFonts w:hint="eastAsia" w:cs="Times New Roman"/>
                <w:i/>
                <w:iCs/>
                <w:color w:val="auto"/>
              </w:rPr>
              <w:t>j</w:t>
            </w:r>
            <w:r>
              <w:rPr>
                <w:rFonts w:hint="eastAsia" w:cs="Times New Roman"/>
                <w:color w:val="auto"/>
              </w:rPr>
              <w:t>个等效室外声源在预测点产生的A声级为</w:t>
            </w:r>
            <w:r>
              <w:rPr>
                <w:rFonts w:hint="eastAsia" w:cs="Times New Roman"/>
                <w:i/>
                <w:iCs/>
                <w:color w:val="auto"/>
              </w:rPr>
              <w:t>L</w:t>
            </w:r>
            <w:r>
              <w:rPr>
                <w:rFonts w:hint="eastAsia" w:cs="Times New Roman"/>
                <w:i/>
                <w:iCs/>
                <w:color w:val="auto"/>
                <w:vertAlign w:val="subscript"/>
              </w:rPr>
              <w:t>Aj</w:t>
            </w:r>
            <w:r>
              <w:rPr>
                <w:rFonts w:hint="eastAsia" w:cs="Times New Roman"/>
                <w:color w:val="auto"/>
              </w:rPr>
              <w:t>，在</w:t>
            </w:r>
            <w:r>
              <w:rPr>
                <w:rFonts w:hint="eastAsia" w:cs="Times New Roman"/>
                <w:i/>
                <w:iCs/>
                <w:color w:val="auto"/>
              </w:rPr>
              <w:t>T</w:t>
            </w:r>
            <w:r>
              <w:rPr>
                <w:rFonts w:hint="eastAsia" w:cs="Times New Roman"/>
                <w:color w:val="auto"/>
              </w:rPr>
              <w:t>时间内该声源工作时间为</w:t>
            </w:r>
            <w:r>
              <w:rPr>
                <w:rFonts w:hint="eastAsia" w:cs="Times New Roman"/>
                <w:i/>
                <w:iCs/>
                <w:color w:val="auto"/>
              </w:rPr>
              <w:t>t</w:t>
            </w:r>
            <w:r>
              <w:rPr>
                <w:rFonts w:hint="eastAsia" w:cs="Times New Roman"/>
                <w:i/>
                <w:iCs/>
                <w:color w:val="auto"/>
                <w:vertAlign w:val="subscript"/>
              </w:rPr>
              <w:t>j</w:t>
            </w:r>
            <w:r>
              <w:rPr>
                <w:rFonts w:hint="eastAsia" w:cs="Times New Roman"/>
                <w:color w:val="auto"/>
              </w:rPr>
              <w:t>，则拟建工程声源对预测点产生的贡献值（</w:t>
            </w:r>
            <w:r>
              <w:rPr>
                <w:rFonts w:hint="eastAsia" w:cs="Times New Roman"/>
                <w:i/>
                <w:iCs/>
                <w:color w:val="auto"/>
              </w:rPr>
              <w:t>L</w:t>
            </w:r>
            <w:r>
              <w:rPr>
                <w:rFonts w:hint="eastAsia" w:cs="Times New Roman"/>
                <w:i/>
                <w:iCs/>
                <w:color w:val="auto"/>
                <w:vertAlign w:val="subscript"/>
              </w:rPr>
              <w:t>eqg</w:t>
            </w:r>
            <w:r>
              <w:rPr>
                <w:rFonts w:hint="eastAsia" w:cs="Times New Roman"/>
                <w:color w:val="auto"/>
              </w:rPr>
              <w:t>）为：</w:t>
            </w:r>
          </w:p>
          <w:p w14:paraId="26AE7DA5">
            <w:pPr>
              <w:keepNext w:val="0"/>
              <w:keepLines w:val="0"/>
              <w:suppressLineNumbers w:val="0"/>
              <w:spacing w:before="0" w:beforeAutospacing="0" w:after="0" w:afterAutospacing="0"/>
              <w:ind w:left="0" w:right="0" w:firstLine="480"/>
              <w:jc w:val="center"/>
              <w:rPr>
                <w:rFonts w:hint="default" w:cs="Times New Roman"/>
                <w:color w:val="auto"/>
              </w:rPr>
            </w:pPr>
            <m:oMathPara>
              <m:oMath>
                <m:sSub>
                  <m:sSubPr>
                    <m:ctrlPr>
                      <w:rPr>
                        <w:rFonts w:hint="default" w:ascii="Cambria Math" w:hAnsi="Cambria Math" w:cs="Times New Roman"/>
                        <w:i/>
                        <w:color w:val="auto"/>
                        <w:sz w:val="24"/>
                        <w:lang w:val="en-US"/>
                      </w:rPr>
                    </m:ctrlPr>
                  </m:sSubPr>
                  <m:e>
                    <m:r>
                      <m:rPr>
                        <m:sty m:val="p"/>
                      </m:rPr>
                      <w:rPr>
                        <w:rFonts w:hint="eastAsia" w:ascii="Times New Roman" w:hAnsi="Times New Roman" w:eastAsia="宋体" w:cs="Times New Roman"/>
                        <w:color w:val="auto"/>
                        <w:sz w:val="24"/>
                        <w:lang w:val="en-US" w:eastAsia="zh-CN"/>
                      </w:rPr>
                      <m:t>L</m:t>
                    </m:r>
                    <m:ctrlPr>
                      <w:rPr>
                        <w:rFonts w:hint="default" w:ascii="Cambria Math" w:hAnsi="Cambria Math" w:cs="Times New Roman"/>
                        <w:i/>
                        <w:color w:val="auto"/>
                        <w:sz w:val="24"/>
                        <w:lang w:val="en-US"/>
                      </w:rPr>
                    </m:ctrlPr>
                  </m:e>
                  <m:sub>
                    <m:r>
                      <m:rPr>
                        <m:sty m:val="p"/>
                      </m:rPr>
                      <w:rPr>
                        <w:rFonts w:hint="eastAsia" w:ascii="Times New Roman" w:hAnsi="Times New Roman" w:eastAsia="宋体" w:cs="Times New Roman"/>
                        <w:color w:val="auto"/>
                        <w:sz w:val="24"/>
                        <w:lang w:val="en-US" w:eastAsia="zh-CN"/>
                      </w:rPr>
                      <m:t>eqg</m:t>
                    </m:r>
                    <m:ctrlPr>
                      <w:rPr>
                        <w:rFonts w:hint="default" w:ascii="Cambria Math" w:hAnsi="Cambria Math" w:cs="Times New Roman"/>
                        <w:i/>
                        <w:color w:val="auto"/>
                        <w:sz w:val="24"/>
                        <w:lang w:val="en-US"/>
                      </w:rPr>
                    </m:ctrlPr>
                  </m:sub>
                </m:sSub>
                <m:r>
                  <m:rPr/>
                  <w:rPr>
                    <w:rFonts w:hint="eastAsia" w:ascii="Cambria Math" w:hAnsi="Cambria Math" w:cs="Times New Roman"/>
                    <w:color w:val="auto"/>
                    <w:sz w:val="24"/>
                    <w:lang w:val="en-US" w:eastAsia="zh-CN"/>
                  </w:rPr>
                  <m:t>=</m:t>
                </m:r>
                <m:r>
                  <m:rPr/>
                  <w:rPr>
                    <w:rFonts w:hint="default" w:ascii="Cambria Math" w:hAnsi="Cambria Math" w:cs="Times New Roman"/>
                    <w:color w:val="auto"/>
                    <w:sz w:val="24"/>
                    <w:lang w:val="en-US" w:eastAsia="zh-CN"/>
                  </w:rPr>
                  <m:t>10lg</m:t>
                </m:r>
                <m:d>
                  <m:dPr>
                    <m:begChr m:val="["/>
                    <m:endChr m:val="]"/>
                    <m:ctrlPr>
                      <w:rPr>
                        <w:rFonts w:hint="default" w:ascii="Cambria Math" w:hAnsi="Cambria Math" w:cs="Times New Roman"/>
                        <w:i/>
                        <w:color w:val="auto"/>
                        <w:sz w:val="24"/>
                        <w:lang w:val="en-US" w:eastAsia="zh-CN"/>
                      </w:rPr>
                    </m:ctrlPr>
                  </m:dPr>
                  <m:e>
                    <m:f>
                      <m:fPr>
                        <m:ctrlPr>
                          <w:rPr>
                            <w:rFonts w:hint="default" w:ascii="Cambria Math" w:hAnsi="Cambria Math" w:cs="Times New Roman"/>
                            <w:i/>
                            <w:color w:val="auto"/>
                            <w:sz w:val="24"/>
                            <w:lang w:val="en-US" w:eastAsia="zh-CN"/>
                          </w:rPr>
                        </m:ctrlPr>
                      </m:fPr>
                      <m:num>
                        <m:r>
                          <m:rPr/>
                          <w:rPr>
                            <w:rFonts w:hint="default" w:ascii="Cambria Math" w:hAnsi="Cambria Math" w:cs="Times New Roman"/>
                            <w:color w:val="auto"/>
                            <w:sz w:val="24"/>
                            <w:lang w:val="en-US" w:eastAsia="zh-CN"/>
                          </w:rPr>
                          <m:t>1</m:t>
                        </m:r>
                        <m:ctrlPr>
                          <w:rPr>
                            <w:rFonts w:hint="default" w:ascii="Cambria Math" w:hAnsi="Cambria Math" w:cs="Times New Roman"/>
                            <w:i/>
                            <w:color w:val="auto"/>
                            <w:sz w:val="24"/>
                            <w:lang w:val="en-US" w:eastAsia="zh-CN"/>
                          </w:rPr>
                        </m:ctrlPr>
                      </m:num>
                      <m:den>
                        <m:r>
                          <m:rPr/>
                          <w:rPr>
                            <w:rFonts w:hint="default" w:ascii="Cambria Math" w:hAnsi="Cambria Math" w:cs="Times New Roman"/>
                            <w:color w:val="auto"/>
                            <w:sz w:val="24"/>
                            <w:lang w:val="en-US" w:eastAsia="zh-CN"/>
                          </w:rPr>
                          <m:t>T</m:t>
                        </m:r>
                        <m:ctrlPr>
                          <w:rPr>
                            <w:rFonts w:hint="default" w:ascii="Cambria Math" w:hAnsi="Cambria Math" w:cs="Times New Roman"/>
                            <w:i/>
                            <w:color w:val="auto"/>
                            <w:sz w:val="24"/>
                            <w:lang w:val="en-US" w:eastAsia="zh-CN"/>
                          </w:rPr>
                        </m:ctrlPr>
                      </m:den>
                    </m:f>
                    <m:d>
                      <m:dPr>
                        <m:ctrlPr>
                          <w:rPr>
                            <w:rFonts w:hint="default" w:ascii="Cambria Math" w:hAnsi="Cambria Math" w:cs="Times New Roman"/>
                            <w:i/>
                            <w:color w:val="auto"/>
                            <w:sz w:val="24"/>
                            <w:lang w:val="en-US" w:eastAsia="zh-CN"/>
                          </w:rPr>
                        </m:ctrlPr>
                      </m:dPr>
                      <m:e>
                        <m:nary>
                          <m:naryPr>
                            <m:chr m:val="∑"/>
                            <m:limLoc m:val="undOvr"/>
                            <m:ctrlPr>
                              <w:rPr>
                                <w:rFonts w:hint="default" w:ascii="Cambria Math" w:hAnsi="Cambria Math" w:cs="Times New Roman"/>
                                <w:i/>
                                <w:color w:val="auto"/>
                                <w:sz w:val="24"/>
                                <w:lang w:val="en-US" w:eastAsia="zh-CN"/>
                              </w:rPr>
                            </m:ctrlPr>
                          </m:naryPr>
                          <m:sub>
                            <m:r>
                              <m:rPr/>
                              <w:rPr>
                                <w:rFonts w:hint="default" w:ascii="Cambria Math" w:hAnsi="Cambria Math" w:cs="Times New Roman"/>
                                <w:color w:val="auto"/>
                                <w:sz w:val="24"/>
                                <w:lang w:val="en-US" w:eastAsia="zh-CN"/>
                              </w:rPr>
                              <m:t>i</m:t>
                            </m:r>
                            <m:r>
                              <m:rPr/>
                              <w:rPr>
                                <w:rFonts w:hint="eastAsia" w:ascii="Cambria Math" w:hAnsi="Cambria Math" w:cs="Times New Roman"/>
                                <w:color w:val="auto"/>
                                <w:sz w:val="24"/>
                                <w:lang w:val="en-US" w:eastAsia="zh-CN"/>
                              </w:rPr>
                              <m:t>=</m:t>
                            </m:r>
                            <m:r>
                              <m:rPr/>
                              <w:rPr>
                                <w:rFonts w:hint="default" w:ascii="Cambria Math" w:hAnsi="Cambria Math" w:cs="Times New Roman"/>
                                <w:color w:val="auto"/>
                                <w:sz w:val="24"/>
                                <w:lang w:val="en-US" w:eastAsia="zh-CN"/>
                              </w:rPr>
                              <m:t>1</m:t>
                            </m:r>
                            <m:ctrlPr>
                              <w:rPr>
                                <w:rFonts w:hint="default" w:ascii="Cambria Math" w:hAnsi="Cambria Math" w:cs="Times New Roman"/>
                                <w:i/>
                                <w:color w:val="auto"/>
                                <w:sz w:val="24"/>
                                <w:lang w:val="en-US" w:eastAsia="zh-CN"/>
                              </w:rPr>
                            </m:ctrlPr>
                          </m:sub>
                          <m:sup>
                            <m:r>
                              <m:rPr/>
                              <w:rPr>
                                <w:rFonts w:hint="default" w:ascii="Cambria Math" w:hAnsi="Cambria Math" w:cs="Times New Roman"/>
                                <w:color w:val="auto"/>
                                <w:sz w:val="24"/>
                                <w:lang w:val="en-US" w:eastAsia="zh-CN"/>
                              </w:rPr>
                              <m:t>N</m:t>
                            </m:r>
                            <m:ctrlPr>
                              <w:rPr>
                                <w:rFonts w:hint="default" w:ascii="Cambria Math" w:hAnsi="Cambria Math" w:cs="Times New Roman"/>
                                <w:i/>
                                <w:color w:val="auto"/>
                                <w:sz w:val="24"/>
                                <w:lang w:val="en-US" w:eastAsia="zh-CN"/>
                              </w:rPr>
                            </m:ctrlPr>
                          </m:sup>
                          <m:e>
                            <m:sSub>
                              <m:sSubPr>
                                <m:ctrlPr>
                                  <w:rPr>
                                    <w:rFonts w:hint="default" w:ascii="Cambria Math" w:hAnsi="Cambria Math" w:cs="Times New Roman"/>
                                    <w:i/>
                                    <w:color w:val="auto"/>
                                    <w:sz w:val="24"/>
                                    <w:lang w:val="en-US" w:eastAsia="zh-CN"/>
                                  </w:rPr>
                                </m:ctrlPr>
                              </m:sSubPr>
                              <m:e>
                                <m:r>
                                  <m:rPr/>
                                  <w:rPr>
                                    <w:rFonts w:hint="default" w:ascii="Cambria Math" w:hAnsi="Cambria Math" w:cs="Times New Roman"/>
                                    <w:color w:val="auto"/>
                                    <w:sz w:val="24"/>
                                    <w:lang w:val="en-US" w:eastAsia="zh-CN"/>
                                  </w:rPr>
                                  <m:t>t</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i</m:t>
                                </m:r>
                                <m:ctrlPr>
                                  <w:rPr>
                                    <w:rFonts w:hint="default" w:ascii="Cambria Math" w:hAnsi="Cambria Math" w:cs="Times New Roman"/>
                                    <w:i/>
                                    <w:color w:val="auto"/>
                                    <w:sz w:val="24"/>
                                    <w:lang w:val="en-US" w:eastAsia="zh-CN"/>
                                  </w:rPr>
                                </m:ctrlPr>
                              </m:sub>
                            </m:sSub>
                            <m:sSup>
                              <m:sSupPr>
                                <m:ctrlPr>
                                  <w:rPr>
                                    <w:rFonts w:hint="default" w:ascii="Cambria Math" w:hAnsi="Cambria Math" w:cs="Times New Roman"/>
                                    <w:i/>
                                    <w:color w:val="auto"/>
                                    <w:sz w:val="24"/>
                                    <w:lang w:val="en-US" w:eastAsia="zh-CN"/>
                                  </w:rPr>
                                </m:ctrlPr>
                              </m:sSupPr>
                              <m:e>
                                <m:r>
                                  <m:rPr/>
                                  <w:rPr>
                                    <w:rFonts w:hint="default" w:ascii="Cambria Math" w:hAnsi="Cambria Math" w:cs="Times New Roman"/>
                                    <w:color w:val="auto"/>
                                    <w:sz w:val="24"/>
                                    <w:lang w:val="en-US" w:eastAsia="zh-CN"/>
                                  </w:rPr>
                                  <m:t>10</m:t>
                                </m:r>
                                <m:ctrlPr>
                                  <w:rPr>
                                    <w:rFonts w:hint="default" w:ascii="Cambria Math" w:hAnsi="Cambria Math" w:cs="Times New Roman"/>
                                    <w:i/>
                                    <w:color w:val="auto"/>
                                    <w:sz w:val="24"/>
                                    <w:lang w:val="en-US" w:eastAsia="zh-CN"/>
                                  </w:rPr>
                                </m:ctrlPr>
                              </m:e>
                              <m:sup>
                                <m:r>
                                  <m:rPr/>
                                  <w:rPr>
                                    <w:rFonts w:hint="default" w:ascii="Cambria Math" w:hAnsi="Cambria Math" w:cs="Times New Roman"/>
                                    <w:color w:val="auto"/>
                                    <w:sz w:val="24"/>
                                    <w:lang w:val="en-US" w:eastAsia="zh-CN"/>
                                  </w:rPr>
                                  <m:t>0.1</m:t>
                                </m:r>
                                <m:sSub>
                                  <m:sSubPr>
                                    <m:ctrlPr>
                                      <w:rPr>
                                        <w:rFonts w:hint="default" w:ascii="Cambria Math" w:hAnsi="Cambria Math" w:cs="Times New Roman"/>
                                        <w:i/>
                                        <w:color w:val="auto"/>
                                        <w:sz w:val="24"/>
                                        <w:lang w:val="en-US" w:eastAsia="zh-CN"/>
                                      </w:rPr>
                                    </m:ctrlPr>
                                  </m:sSubPr>
                                  <m:e>
                                    <m:r>
                                      <m:rPr/>
                                      <w:rPr>
                                        <w:rFonts w:hint="default" w:ascii="Cambria Math" w:hAnsi="Cambria Math" w:cs="Times New Roman"/>
                                        <w:color w:val="auto"/>
                                        <w:sz w:val="24"/>
                                        <w:lang w:val="en-US" w:eastAsia="zh-CN"/>
                                      </w:rPr>
                                      <m:t>L</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Ai</m:t>
                                    </m:r>
                                    <m:ctrlPr>
                                      <w:rPr>
                                        <w:rFonts w:hint="default" w:ascii="Cambria Math" w:hAnsi="Cambria Math" w:cs="Times New Roman"/>
                                        <w:i/>
                                        <w:color w:val="auto"/>
                                        <w:sz w:val="24"/>
                                        <w:lang w:val="en-US" w:eastAsia="zh-CN"/>
                                      </w:rPr>
                                    </m:ctrlPr>
                                  </m:sub>
                                </m:sSub>
                                <m:ctrlPr>
                                  <w:rPr>
                                    <w:rFonts w:hint="default" w:ascii="Cambria Math" w:hAnsi="Cambria Math" w:cs="Times New Roman"/>
                                    <w:i/>
                                    <w:color w:val="auto"/>
                                    <w:sz w:val="24"/>
                                    <w:lang w:val="en-US" w:eastAsia="zh-CN"/>
                                  </w:rPr>
                                </m:ctrlPr>
                              </m:sup>
                            </m:sSup>
                            <m:r>
                              <m:rPr/>
                              <w:rPr>
                                <w:rFonts w:hint="default" w:ascii="Cambria Math" w:hAnsi="Cambria Math" w:cs="Times New Roman"/>
                                <w:color w:val="auto"/>
                                <w:sz w:val="24"/>
                                <w:lang w:val="en-US" w:eastAsia="zh-CN"/>
                              </w:rPr>
                              <m:t>+</m:t>
                            </m:r>
                            <m:nary>
                              <m:naryPr>
                                <m:chr m:val="∑"/>
                                <m:limLoc m:val="undOvr"/>
                                <m:ctrlPr>
                                  <w:rPr>
                                    <w:rFonts w:hint="default" w:ascii="Cambria Math" w:hAnsi="Cambria Math" w:cs="Times New Roman"/>
                                    <w:i/>
                                    <w:color w:val="auto"/>
                                    <w:sz w:val="24"/>
                                    <w:lang w:val="en-US" w:eastAsia="zh-CN"/>
                                  </w:rPr>
                                </m:ctrlPr>
                              </m:naryPr>
                              <m:sub>
                                <m:r>
                                  <m:rPr/>
                                  <w:rPr>
                                    <w:rFonts w:hint="default" w:ascii="Cambria Math" w:hAnsi="Cambria Math" w:cs="Times New Roman"/>
                                    <w:color w:val="auto"/>
                                    <w:sz w:val="24"/>
                                    <w:lang w:val="en-US" w:eastAsia="zh-CN"/>
                                  </w:rPr>
                                  <m:t>j</m:t>
                                </m:r>
                                <m:r>
                                  <m:rPr/>
                                  <w:rPr>
                                    <w:rFonts w:hint="eastAsia" w:ascii="Cambria Math" w:hAnsi="Cambria Math" w:cs="Times New Roman"/>
                                    <w:color w:val="auto"/>
                                    <w:sz w:val="24"/>
                                    <w:lang w:val="en-US" w:eastAsia="zh-CN"/>
                                  </w:rPr>
                                  <m:t>=</m:t>
                                </m:r>
                                <m:r>
                                  <m:rPr/>
                                  <w:rPr>
                                    <w:rFonts w:hint="default" w:ascii="Cambria Math" w:hAnsi="Cambria Math" w:cs="Times New Roman"/>
                                    <w:color w:val="auto"/>
                                    <w:sz w:val="24"/>
                                    <w:lang w:val="en-US" w:eastAsia="zh-CN"/>
                                  </w:rPr>
                                  <m:t>1</m:t>
                                </m:r>
                                <m:ctrlPr>
                                  <w:rPr>
                                    <w:rFonts w:hint="default" w:ascii="Cambria Math" w:hAnsi="Cambria Math" w:cs="Times New Roman"/>
                                    <w:i/>
                                    <w:color w:val="auto"/>
                                    <w:sz w:val="24"/>
                                    <w:lang w:val="en-US" w:eastAsia="zh-CN"/>
                                  </w:rPr>
                                </m:ctrlPr>
                              </m:sub>
                              <m:sup>
                                <m:r>
                                  <m:rPr/>
                                  <w:rPr>
                                    <w:rFonts w:hint="default" w:ascii="Cambria Math" w:hAnsi="Cambria Math" w:cs="Times New Roman"/>
                                    <w:color w:val="auto"/>
                                    <w:sz w:val="24"/>
                                    <w:lang w:val="en-US" w:eastAsia="zh-CN"/>
                                  </w:rPr>
                                  <m:t>M</m:t>
                                </m:r>
                                <m:ctrlPr>
                                  <w:rPr>
                                    <w:rFonts w:hint="default" w:ascii="Cambria Math" w:hAnsi="Cambria Math" w:cs="Times New Roman"/>
                                    <w:i/>
                                    <w:color w:val="auto"/>
                                    <w:sz w:val="24"/>
                                    <w:lang w:val="en-US" w:eastAsia="zh-CN"/>
                                  </w:rPr>
                                </m:ctrlPr>
                              </m:sup>
                              <m:e>
                                <m:sSub>
                                  <m:sSubPr>
                                    <m:ctrlPr>
                                      <w:rPr>
                                        <w:rFonts w:hint="default" w:ascii="Cambria Math" w:hAnsi="Cambria Math" w:cs="Times New Roman"/>
                                        <w:i/>
                                        <w:color w:val="auto"/>
                                        <w:sz w:val="24"/>
                                        <w:lang w:val="en-US" w:eastAsia="zh-CN"/>
                                      </w:rPr>
                                    </m:ctrlPr>
                                  </m:sSubPr>
                                  <m:e>
                                    <m:r>
                                      <m:rPr/>
                                      <w:rPr>
                                        <w:rFonts w:hint="default" w:ascii="Cambria Math" w:hAnsi="Cambria Math" w:cs="Times New Roman"/>
                                        <w:color w:val="auto"/>
                                        <w:sz w:val="24"/>
                                        <w:lang w:val="en-US" w:eastAsia="zh-CN"/>
                                      </w:rPr>
                                      <m:t>t</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j</m:t>
                                    </m:r>
                                    <m:ctrlPr>
                                      <w:rPr>
                                        <w:rFonts w:hint="default" w:ascii="Cambria Math" w:hAnsi="Cambria Math" w:cs="Times New Roman"/>
                                        <w:i/>
                                        <w:color w:val="auto"/>
                                        <w:sz w:val="24"/>
                                        <w:lang w:val="en-US" w:eastAsia="zh-CN"/>
                                      </w:rPr>
                                    </m:ctrlPr>
                                  </m:sub>
                                </m:sSub>
                                <m:sSup>
                                  <m:sSupPr>
                                    <m:ctrlPr>
                                      <w:rPr>
                                        <w:rFonts w:hint="default" w:ascii="Cambria Math" w:hAnsi="Cambria Math" w:cs="Times New Roman"/>
                                        <w:i/>
                                        <w:color w:val="auto"/>
                                        <w:sz w:val="24"/>
                                        <w:lang w:val="en-US" w:eastAsia="zh-CN"/>
                                      </w:rPr>
                                    </m:ctrlPr>
                                  </m:sSupPr>
                                  <m:e>
                                    <m:r>
                                      <m:rPr/>
                                      <w:rPr>
                                        <w:rFonts w:hint="default" w:ascii="Cambria Math" w:hAnsi="Cambria Math" w:cs="Times New Roman"/>
                                        <w:color w:val="auto"/>
                                        <w:sz w:val="24"/>
                                        <w:lang w:val="en-US" w:eastAsia="zh-CN"/>
                                      </w:rPr>
                                      <m:t>10</m:t>
                                    </m:r>
                                    <m:ctrlPr>
                                      <w:rPr>
                                        <w:rFonts w:hint="default" w:ascii="Cambria Math" w:hAnsi="Cambria Math" w:cs="Times New Roman"/>
                                        <w:i/>
                                        <w:color w:val="auto"/>
                                        <w:sz w:val="24"/>
                                        <w:lang w:val="en-US" w:eastAsia="zh-CN"/>
                                      </w:rPr>
                                    </m:ctrlPr>
                                  </m:e>
                                  <m:sup>
                                    <m:r>
                                      <m:rPr/>
                                      <w:rPr>
                                        <w:rFonts w:hint="default" w:ascii="Cambria Math" w:hAnsi="Cambria Math" w:cs="Times New Roman"/>
                                        <w:color w:val="auto"/>
                                        <w:sz w:val="24"/>
                                        <w:lang w:val="en-US" w:eastAsia="zh-CN"/>
                                      </w:rPr>
                                      <m:t>0.1</m:t>
                                    </m:r>
                                    <m:sSub>
                                      <m:sSubPr>
                                        <m:ctrlPr>
                                          <w:rPr>
                                            <w:rFonts w:hint="default" w:ascii="Cambria Math" w:hAnsi="Cambria Math" w:cs="Times New Roman"/>
                                            <w:i/>
                                            <w:color w:val="auto"/>
                                            <w:sz w:val="24"/>
                                            <w:lang w:val="en-US" w:eastAsia="zh-CN"/>
                                          </w:rPr>
                                        </m:ctrlPr>
                                      </m:sSubPr>
                                      <m:e>
                                        <m:r>
                                          <m:rPr/>
                                          <w:rPr>
                                            <w:rFonts w:hint="default" w:ascii="Cambria Math" w:hAnsi="Cambria Math" w:cs="Times New Roman"/>
                                            <w:color w:val="auto"/>
                                            <w:sz w:val="24"/>
                                            <w:lang w:val="en-US" w:eastAsia="zh-CN"/>
                                          </w:rPr>
                                          <m:t>L</m:t>
                                        </m:r>
                                        <m:ctrlPr>
                                          <w:rPr>
                                            <w:rFonts w:hint="default" w:ascii="Cambria Math" w:hAnsi="Cambria Math" w:cs="Times New Roman"/>
                                            <w:i/>
                                            <w:color w:val="auto"/>
                                            <w:sz w:val="24"/>
                                            <w:lang w:val="en-US" w:eastAsia="zh-CN"/>
                                          </w:rPr>
                                        </m:ctrlPr>
                                      </m:e>
                                      <m:sub>
                                        <m:r>
                                          <m:rPr/>
                                          <w:rPr>
                                            <w:rFonts w:hint="default" w:ascii="Cambria Math" w:hAnsi="Cambria Math" w:cs="Times New Roman"/>
                                            <w:color w:val="auto"/>
                                            <w:sz w:val="24"/>
                                            <w:lang w:val="en-US" w:eastAsia="zh-CN"/>
                                          </w:rPr>
                                          <m:t>Aj</m:t>
                                        </m:r>
                                        <m:ctrlPr>
                                          <w:rPr>
                                            <w:rFonts w:hint="default" w:ascii="Cambria Math" w:hAnsi="Cambria Math" w:cs="Times New Roman"/>
                                            <w:i/>
                                            <w:color w:val="auto"/>
                                            <w:sz w:val="24"/>
                                            <w:lang w:val="en-US" w:eastAsia="zh-CN"/>
                                          </w:rPr>
                                        </m:ctrlPr>
                                      </m:sub>
                                    </m:sSub>
                                    <m:ctrlPr>
                                      <w:rPr>
                                        <w:rFonts w:hint="default" w:ascii="Cambria Math" w:hAnsi="Cambria Math" w:cs="Times New Roman"/>
                                        <w:i/>
                                        <w:color w:val="auto"/>
                                        <w:sz w:val="24"/>
                                        <w:lang w:val="en-US" w:eastAsia="zh-CN"/>
                                      </w:rPr>
                                    </m:ctrlPr>
                                  </m:sup>
                                </m:sSup>
                                <m:ctrlPr>
                                  <w:rPr>
                                    <w:rFonts w:hint="default" w:ascii="Cambria Math" w:hAnsi="Cambria Math" w:cs="Times New Roman"/>
                                    <w:i/>
                                    <w:color w:val="auto"/>
                                    <w:sz w:val="24"/>
                                    <w:lang w:val="en-US" w:eastAsia="zh-CN"/>
                                  </w:rPr>
                                </m:ctrlPr>
                              </m:e>
                            </m:nary>
                            <m:ctrlPr>
                              <w:rPr>
                                <w:rFonts w:hint="default" w:ascii="Cambria Math" w:hAnsi="Cambria Math" w:cs="Times New Roman"/>
                                <w:i/>
                                <w:color w:val="auto"/>
                                <w:sz w:val="24"/>
                                <w:lang w:val="en-US" w:eastAsia="zh-CN"/>
                              </w:rPr>
                            </m:ctrlPr>
                          </m:e>
                        </m:nary>
                        <m:ctrlPr>
                          <w:rPr>
                            <w:rFonts w:hint="default" w:ascii="Cambria Math" w:hAnsi="Cambria Math" w:cs="Times New Roman"/>
                            <w:i/>
                            <w:color w:val="auto"/>
                            <w:sz w:val="24"/>
                            <w:lang w:val="en-US" w:eastAsia="zh-CN"/>
                          </w:rPr>
                        </m:ctrlPr>
                      </m:e>
                    </m:d>
                    <m:ctrlPr>
                      <w:rPr>
                        <w:rFonts w:hint="default" w:ascii="Cambria Math" w:hAnsi="Cambria Math" w:cs="Times New Roman"/>
                        <w:i/>
                        <w:color w:val="auto"/>
                        <w:sz w:val="24"/>
                        <w:lang w:val="en-US" w:eastAsia="zh-CN"/>
                      </w:rPr>
                    </m:ctrlPr>
                  </m:e>
                </m:d>
              </m:oMath>
            </m:oMathPara>
          </w:p>
          <w:p w14:paraId="6DB3E31C">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式中：</w:t>
            </w:r>
            <w:r>
              <w:rPr>
                <w:rFonts w:hint="eastAsia" w:cs="Times New Roman"/>
                <w:i/>
                <w:iCs/>
                <w:color w:val="auto"/>
              </w:rPr>
              <w:t>L</w:t>
            </w:r>
            <w:r>
              <w:rPr>
                <w:rFonts w:hint="eastAsia" w:cs="Times New Roman"/>
                <w:i/>
                <w:iCs/>
                <w:color w:val="auto"/>
                <w:vertAlign w:val="subscript"/>
              </w:rPr>
              <w:t>eqg</w:t>
            </w:r>
            <w:r>
              <w:rPr>
                <w:rFonts w:hint="eastAsia" w:cs="Times New Roman"/>
                <w:color w:val="auto"/>
              </w:rPr>
              <w:t>——建设项目声源在预测点产生的噪声贡献值，dB；</w:t>
            </w:r>
          </w:p>
          <w:p w14:paraId="7223A240">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T</w:t>
            </w:r>
            <w:r>
              <w:rPr>
                <w:rFonts w:hint="eastAsia" w:cs="Times New Roman"/>
                <w:color w:val="auto"/>
              </w:rPr>
              <w:t>——用于计算等效声级的时间，s；</w:t>
            </w:r>
          </w:p>
          <w:p w14:paraId="28B418DE">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N</w:t>
            </w:r>
            <w:r>
              <w:rPr>
                <w:rFonts w:hint="eastAsia" w:cs="Times New Roman"/>
                <w:color w:val="auto"/>
              </w:rPr>
              <w:t>——室外声源个数；</w:t>
            </w:r>
          </w:p>
          <w:p w14:paraId="44A28020">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t</w:t>
            </w:r>
            <w:r>
              <w:rPr>
                <w:rFonts w:hint="eastAsia" w:cs="Times New Roman"/>
                <w:i/>
                <w:iCs/>
                <w:color w:val="auto"/>
                <w:vertAlign w:val="subscript"/>
              </w:rPr>
              <w:t>i</w:t>
            </w:r>
            <w:r>
              <w:rPr>
                <w:rFonts w:hint="eastAsia" w:cs="Times New Roman"/>
                <w:color w:val="auto"/>
              </w:rPr>
              <w:t>——在T时间内i声源工作时间，s；</w:t>
            </w:r>
          </w:p>
          <w:p w14:paraId="463A14B1">
            <w:pPr>
              <w:keepNext w:val="0"/>
              <w:keepLines w:val="0"/>
              <w:suppressLineNumbers w:val="0"/>
              <w:spacing w:before="0" w:beforeAutospacing="0" w:after="0" w:afterAutospacing="0"/>
              <w:ind w:left="0" w:right="0" w:firstLine="1226" w:firstLineChars="511"/>
              <w:rPr>
                <w:rFonts w:hint="default" w:cs="Times New Roman"/>
                <w:color w:val="auto"/>
              </w:rPr>
            </w:pPr>
            <w:r>
              <w:rPr>
                <w:rFonts w:hint="eastAsia" w:cs="Times New Roman"/>
                <w:i/>
                <w:iCs/>
                <w:color w:val="auto"/>
              </w:rPr>
              <w:t>M</w:t>
            </w:r>
            <w:r>
              <w:rPr>
                <w:rFonts w:hint="eastAsia" w:cs="Times New Roman"/>
                <w:color w:val="auto"/>
              </w:rPr>
              <w:t>——等效室外声源个数；</w:t>
            </w:r>
          </w:p>
          <w:p w14:paraId="7E3ED6DC">
            <w:pPr>
              <w:keepNext w:val="0"/>
              <w:keepLines w:val="0"/>
              <w:suppressLineNumbers w:val="0"/>
              <w:spacing w:before="0" w:beforeAutospacing="0" w:after="0" w:afterAutospacing="0"/>
              <w:ind w:left="0" w:right="0" w:firstLine="1200" w:firstLineChars="500"/>
              <w:rPr>
                <w:rFonts w:hint="default" w:cs="Times New Roman"/>
                <w:color w:val="auto"/>
              </w:rPr>
            </w:pPr>
            <w:r>
              <w:rPr>
                <w:rFonts w:hint="eastAsia" w:cs="Times New Roman"/>
                <w:i/>
                <w:iCs/>
                <w:color w:val="auto"/>
              </w:rPr>
              <w:t>t</w:t>
            </w:r>
            <w:r>
              <w:rPr>
                <w:rFonts w:hint="eastAsia" w:cs="Times New Roman"/>
                <w:i/>
                <w:iCs/>
                <w:color w:val="auto"/>
                <w:vertAlign w:val="subscript"/>
              </w:rPr>
              <w:t>j</w:t>
            </w:r>
            <w:r>
              <w:rPr>
                <w:rFonts w:hint="eastAsia" w:cs="Times New Roman"/>
                <w:color w:val="auto"/>
              </w:rPr>
              <w:t>——在T时间内j声源工作时间，s</w:t>
            </w:r>
            <w:r>
              <w:rPr>
                <w:rFonts w:hint="default" w:cs="Times New Roman"/>
                <w:color w:val="auto"/>
              </w:rPr>
              <w:t>。</w:t>
            </w:r>
          </w:p>
          <w:p w14:paraId="2565E925">
            <w:pPr>
              <w:keepNext w:val="0"/>
              <w:keepLines w:val="0"/>
              <w:suppressLineNumbers w:val="0"/>
              <w:spacing w:before="0" w:beforeAutospacing="0" w:after="0" w:afterAutospacing="0"/>
              <w:ind w:left="0" w:right="0" w:firstLineChars="300"/>
              <w:rPr>
                <w:rFonts w:hint="default" w:cs="Times New Roman"/>
                <w:color w:val="auto"/>
              </w:rPr>
            </w:pPr>
            <w:r>
              <w:rPr>
                <w:rFonts w:hint="default" w:cs="Times New Roman"/>
                <w:color w:val="auto"/>
              </w:rPr>
              <w:t>根据《环境影响评价技术导则声环境》</w:t>
            </w:r>
            <w:r>
              <w:rPr>
                <w:rFonts w:hint="eastAsia" w:cs="Times New Roman"/>
                <w:color w:val="auto"/>
              </w:rPr>
              <w:t>（</w:t>
            </w:r>
            <w:r>
              <w:rPr>
                <w:rFonts w:hint="default" w:cs="Times New Roman"/>
                <w:color w:val="auto"/>
              </w:rPr>
              <w:t>HJ2.4-2021</w:t>
            </w:r>
            <w:r>
              <w:rPr>
                <w:rFonts w:hint="eastAsia" w:cs="Times New Roman"/>
                <w:color w:val="auto"/>
              </w:rPr>
              <w:t>）</w:t>
            </w:r>
            <w:r>
              <w:rPr>
                <w:rFonts w:hint="default" w:cs="Times New Roman"/>
                <w:color w:val="auto"/>
              </w:rPr>
              <w:t>：“8.5.2预测和评价建设项目在施工期和运营期厂界</w:t>
            </w:r>
            <w:r>
              <w:rPr>
                <w:rFonts w:hint="eastAsia" w:cs="Times New Roman"/>
                <w:color w:val="auto"/>
              </w:rPr>
              <w:t>（</w:t>
            </w:r>
            <w:r>
              <w:rPr>
                <w:rFonts w:hint="default" w:cs="Times New Roman"/>
                <w:color w:val="auto"/>
              </w:rPr>
              <w:t>厂界、边界</w:t>
            </w:r>
            <w:r>
              <w:rPr>
                <w:rFonts w:hint="eastAsia" w:cs="Times New Roman"/>
                <w:color w:val="auto"/>
              </w:rPr>
              <w:t>）</w:t>
            </w:r>
            <w:r>
              <w:rPr>
                <w:rFonts w:hint="default" w:cs="Times New Roman"/>
                <w:color w:val="auto"/>
              </w:rPr>
              <w:t>噪声贡献值，评价其超标和达标情况”。</w:t>
            </w:r>
          </w:p>
          <w:p w14:paraId="72CD4187">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本次环评预测噪声衰减仅考虑建筑物墙体隔声及距离衰减</w:t>
            </w:r>
            <w:r>
              <w:rPr>
                <w:rFonts w:hint="eastAsia" w:cs="Times New Roman"/>
                <w:color w:val="auto"/>
              </w:rPr>
              <w:t>。</w:t>
            </w:r>
          </w:p>
          <w:p w14:paraId="46279B08">
            <w:pPr>
              <w:keepNext w:val="0"/>
              <w:keepLines w:val="0"/>
              <w:suppressLineNumbers w:val="0"/>
              <w:spacing w:before="0" w:beforeAutospacing="0" w:after="0" w:afterAutospacing="0"/>
              <w:ind w:left="0" w:right="0" w:firstLine="480"/>
              <w:rPr>
                <w:rFonts w:hint="eastAsia" w:cs="Times New Roman"/>
                <w:color w:val="auto"/>
              </w:rPr>
            </w:pPr>
            <w:r>
              <w:rPr>
                <w:rFonts w:hint="default" w:cs="Times New Roman"/>
                <w:color w:val="auto"/>
              </w:rPr>
              <w:t>（</w:t>
            </w:r>
            <w:r>
              <w:rPr>
                <w:rFonts w:hint="eastAsia" w:cs="Times New Roman"/>
                <w:color w:val="auto"/>
              </w:rPr>
              <w:t>二</w:t>
            </w:r>
            <w:r>
              <w:rPr>
                <w:rFonts w:hint="default" w:cs="Times New Roman"/>
                <w:color w:val="auto"/>
              </w:rPr>
              <w:t>）预测结果</w:t>
            </w:r>
          </w:p>
          <w:p w14:paraId="3595D055">
            <w:pPr>
              <w:pStyle w:val="36"/>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厂界噪声预测结果一览表</w:t>
            </w:r>
          </w:p>
          <w:tbl>
            <w:tblPr>
              <w:tblStyle w:val="23"/>
              <w:tblW w:w="84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430"/>
              <w:gridCol w:w="1103"/>
              <w:gridCol w:w="1103"/>
              <w:gridCol w:w="1074"/>
              <w:gridCol w:w="960"/>
              <w:gridCol w:w="1128"/>
            </w:tblGrid>
            <w:tr w14:paraId="18046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14:paraId="561F72EE">
                  <w:pPr>
                    <w:pStyle w:val="33"/>
                    <w:keepNext w:val="0"/>
                    <w:keepLines w:val="0"/>
                    <w:suppressLineNumbers w:val="0"/>
                    <w:bidi w:val="0"/>
                    <w:spacing w:before="0" w:beforeAutospacing="0" w:after="0" w:afterAutospacing="0"/>
                    <w:ind w:left="0" w:right="0"/>
                    <w:rPr>
                      <w:rFonts w:hint="default"/>
                    </w:rPr>
                  </w:pPr>
                  <w:r>
                    <w:rPr>
                      <w:rFonts w:hint="default"/>
                    </w:rPr>
                    <w:t>序号</w:t>
                  </w:r>
                </w:p>
              </w:tc>
              <w:tc>
                <w:tcPr>
                  <w:tcW w:w="1430" w:type="pct"/>
                  <w:noWrap w:val="0"/>
                  <w:vAlign w:val="center"/>
                </w:tcPr>
                <w:p w14:paraId="1E7A190C">
                  <w:pPr>
                    <w:pStyle w:val="33"/>
                    <w:keepNext w:val="0"/>
                    <w:keepLines w:val="0"/>
                    <w:suppressLineNumbers w:val="0"/>
                    <w:bidi w:val="0"/>
                    <w:spacing w:before="0" w:beforeAutospacing="0" w:after="0" w:afterAutospacing="0"/>
                    <w:ind w:left="0" w:right="0"/>
                    <w:rPr>
                      <w:rFonts w:hint="default"/>
                    </w:rPr>
                  </w:pPr>
                  <w:r>
                    <w:rPr>
                      <w:rFonts w:hint="default"/>
                    </w:rPr>
                    <w:t>预测点</w:t>
                  </w:r>
                </w:p>
              </w:tc>
              <w:tc>
                <w:tcPr>
                  <w:tcW w:w="649" w:type="pct"/>
                  <w:tcBorders>
                    <w:right w:val="single" w:color="auto" w:sz="2" w:space="0"/>
                  </w:tcBorders>
                  <w:noWrap w:val="0"/>
                  <w:vAlign w:val="center"/>
                </w:tcPr>
                <w:p w14:paraId="1993CEC5">
                  <w:pPr>
                    <w:pStyle w:val="33"/>
                    <w:keepNext w:val="0"/>
                    <w:keepLines w:val="0"/>
                    <w:suppressLineNumbers w:val="0"/>
                    <w:bidi w:val="0"/>
                    <w:spacing w:before="0" w:beforeAutospacing="0" w:after="0" w:afterAutospacing="0"/>
                    <w:ind w:left="0" w:right="0"/>
                    <w:rPr>
                      <w:rFonts w:hint="eastAsia"/>
                    </w:rPr>
                  </w:pPr>
                  <w:r>
                    <w:rPr>
                      <w:rFonts w:hint="eastAsia"/>
                      <w:lang w:eastAsia="zh-CN"/>
                    </w:rPr>
                    <w:t>背景</w:t>
                  </w:r>
                  <w:r>
                    <w:rPr>
                      <w:rFonts w:hint="eastAsia"/>
                    </w:rPr>
                    <w:t>值dB（A）</w:t>
                  </w:r>
                </w:p>
              </w:tc>
              <w:tc>
                <w:tcPr>
                  <w:tcW w:w="649" w:type="pct"/>
                  <w:tcBorders>
                    <w:right w:val="single" w:color="auto" w:sz="2" w:space="0"/>
                  </w:tcBorders>
                  <w:noWrap w:val="0"/>
                  <w:vAlign w:val="center"/>
                </w:tcPr>
                <w:p w14:paraId="61DEA794">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贡献值</w:t>
                  </w:r>
                  <w:r>
                    <w:rPr>
                      <w:rFonts w:hint="eastAsia"/>
                    </w:rPr>
                    <w:t>dB（A）</w:t>
                  </w:r>
                </w:p>
              </w:tc>
              <w:tc>
                <w:tcPr>
                  <w:tcW w:w="632" w:type="pct"/>
                  <w:tcBorders>
                    <w:right w:val="single" w:color="auto" w:sz="2" w:space="0"/>
                  </w:tcBorders>
                  <w:noWrap w:val="0"/>
                  <w:vAlign w:val="center"/>
                </w:tcPr>
                <w:p w14:paraId="69E327C6">
                  <w:pPr>
                    <w:pStyle w:val="33"/>
                    <w:keepNext w:val="0"/>
                    <w:keepLines w:val="0"/>
                    <w:suppressLineNumbers w:val="0"/>
                    <w:bidi w:val="0"/>
                    <w:spacing w:before="0" w:beforeAutospacing="0" w:after="0" w:afterAutospacing="0"/>
                    <w:ind w:left="0" w:right="0"/>
                    <w:rPr>
                      <w:rFonts w:hint="default"/>
                    </w:rPr>
                  </w:pPr>
                  <w:r>
                    <w:rPr>
                      <w:rFonts w:hint="eastAsia"/>
                      <w:lang w:eastAsia="zh-CN"/>
                    </w:rPr>
                    <w:t>预测值</w:t>
                  </w:r>
                  <w:r>
                    <w:rPr>
                      <w:rFonts w:hint="eastAsia"/>
                    </w:rPr>
                    <w:t>dB（A）</w:t>
                  </w:r>
                </w:p>
              </w:tc>
              <w:tc>
                <w:tcPr>
                  <w:tcW w:w="565" w:type="pct"/>
                  <w:tcBorders>
                    <w:right w:val="single" w:color="auto" w:sz="2" w:space="0"/>
                  </w:tcBorders>
                  <w:noWrap w:val="0"/>
                  <w:vAlign w:val="center"/>
                </w:tcPr>
                <w:p w14:paraId="1D98F48F">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标准值</w:t>
                  </w:r>
                  <w:r>
                    <w:rPr>
                      <w:rFonts w:hint="eastAsia"/>
                    </w:rPr>
                    <w:t>dB（A）</w:t>
                  </w:r>
                </w:p>
              </w:tc>
              <w:tc>
                <w:tcPr>
                  <w:tcW w:w="664" w:type="pct"/>
                  <w:tcBorders>
                    <w:right w:val="single" w:color="auto" w:sz="2" w:space="0"/>
                  </w:tcBorders>
                  <w:noWrap w:val="0"/>
                  <w:vAlign w:val="center"/>
                </w:tcPr>
                <w:p w14:paraId="1F79EAD7">
                  <w:pPr>
                    <w:pStyle w:val="33"/>
                    <w:keepNext w:val="0"/>
                    <w:keepLines w:val="0"/>
                    <w:suppressLineNumbers w:val="0"/>
                    <w:bidi w:val="0"/>
                    <w:spacing w:before="0" w:beforeAutospacing="0" w:after="0" w:afterAutospacing="0"/>
                    <w:ind w:left="0" w:right="0"/>
                    <w:rPr>
                      <w:rFonts w:hint="default"/>
                    </w:rPr>
                  </w:pPr>
                  <w:r>
                    <w:rPr>
                      <w:rFonts w:hint="default"/>
                    </w:rPr>
                    <w:t>达标情况</w:t>
                  </w:r>
                </w:p>
              </w:tc>
            </w:tr>
            <w:tr w14:paraId="080F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14:paraId="1D03D037">
                  <w:pPr>
                    <w:pStyle w:val="33"/>
                    <w:keepNext w:val="0"/>
                    <w:keepLines w:val="0"/>
                    <w:suppressLineNumbers w:val="0"/>
                    <w:bidi w:val="0"/>
                    <w:spacing w:before="0" w:beforeAutospacing="0" w:after="0" w:afterAutospacing="0"/>
                    <w:ind w:left="0" w:right="0"/>
                    <w:rPr>
                      <w:rFonts w:hint="default"/>
                    </w:rPr>
                  </w:pPr>
                  <w:r>
                    <w:rPr>
                      <w:rFonts w:hint="default"/>
                    </w:rPr>
                    <w:t>1</w:t>
                  </w:r>
                </w:p>
              </w:tc>
              <w:tc>
                <w:tcPr>
                  <w:tcW w:w="1430" w:type="pct"/>
                  <w:noWrap w:val="0"/>
                  <w:vAlign w:val="center"/>
                </w:tcPr>
                <w:p w14:paraId="2BF92852">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东北侧厂界外1米N1</w:t>
                  </w:r>
                </w:p>
              </w:tc>
              <w:tc>
                <w:tcPr>
                  <w:tcW w:w="649" w:type="pct"/>
                  <w:noWrap w:val="0"/>
                  <w:vAlign w:val="center"/>
                </w:tcPr>
                <w:p w14:paraId="6943F230">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51.5</w:t>
                  </w:r>
                </w:p>
              </w:tc>
              <w:tc>
                <w:tcPr>
                  <w:tcW w:w="649" w:type="pct"/>
                  <w:noWrap w:val="0"/>
                  <w:vAlign w:val="center"/>
                </w:tcPr>
                <w:p w14:paraId="1196AE74">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47.34</w:t>
                  </w:r>
                </w:p>
              </w:tc>
              <w:tc>
                <w:tcPr>
                  <w:tcW w:w="632" w:type="pct"/>
                  <w:noWrap w:val="0"/>
                  <w:vAlign w:val="center"/>
                </w:tcPr>
                <w:p w14:paraId="211DF25D">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rPr>
                    <w:t>52.91</w:t>
                  </w:r>
                </w:p>
              </w:tc>
              <w:tc>
                <w:tcPr>
                  <w:tcW w:w="565" w:type="pct"/>
                  <w:noWrap w:val="0"/>
                  <w:vAlign w:val="center"/>
                </w:tcPr>
                <w:p w14:paraId="67B7BE9E">
                  <w:pPr>
                    <w:pStyle w:val="33"/>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60</w:t>
                  </w:r>
                </w:p>
              </w:tc>
              <w:tc>
                <w:tcPr>
                  <w:tcW w:w="664" w:type="pct"/>
                  <w:noWrap w:val="0"/>
                  <w:vAlign w:val="center"/>
                </w:tcPr>
                <w:p w14:paraId="7E978631">
                  <w:pPr>
                    <w:pStyle w:val="33"/>
                    <w:keepNext w:val="0"/>
                    <w:keepLines w:val="0"/>
                    <w:suppressLineNumbers w:val="0"/>
                    <w:bidi w:val="0"/>
                    <w:spacing w:before="0" w:beforeAutospacing="0" w:after="0" w:afterAutospacing="0"/>
                    <w:ind w:left="0" w:right="0"/>
                    <w:rPr>
                      <w:rFonts w:hint="eastAsia"/>
                    </w:rPr>
                  </w:pPr>
                  <w:r>
                    <w:rPr>
                      <w:rFonts w:hint="default"/>
                    </w:rPr>
                    <w:t>达标</w:t>
                  </w:r>
                </w:p>
              </w:tc>
            </w:tr>
            <w:tr w14:paraId="291BC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14:paraId="5D44F4A3">
                  <w:pPr>
                    <w:pStyle w:val="33"/>
                    <w:keepNext w:val="0"/>
                    <w:keepLines w:val="0"/>
                    <w:suppressLineNumbers w:val="0"/>
                    <w:bidi w:val="0"/>
                    <w:spacing w:before="0" w:beforeAutospacing="0" w:after="0" w:afterAutospacing="0"/>
                    <w:ind w:left="0" w:right="0"/>
                    <w:rPr>
                      <w:rFonts w:hint="default"/>
                    </w:rPr>
                  </w:pPr>
                  <w:r>
                    <w:rPr>
                      <w:rFonts w:hint="default"/>
                    </w:rPr>
                    <w:t>2</w:t>
                  </w:r>
                </w:p>
              </w:tc>
              <w:tc>
                <w:tcPr>
                  <w:tcW w:w="1430" w:type="pct"/>
                  <w:noWrap w:val="0"/>
                  <w:vAlign w:val="center"/>
                </w:tcPr>
                <w:p w14:paraId="016B1F05">
                  <w:pPr>
                    <w:pStyle w:val="33"/>
                    <w:keepNext w:val="0"/>
                    <w:keepLines w:val="0"/>
                    <w:suppressLineNumbers w:val="0"/>
                    <w:bidi w:val="0"/>
                    <w:spacing w:before="0" w:beforeAutospacing="0" w:after="0" w:afterAutospacing="0"/>
                    <w:ind w:left="0" w:right="0"/>
                    <w:rPr>
                      <w:rFonts w:hint="default"/>
                    </w:rPr>
                  </w:pPr>
                  <w:r>
                    <w:rPr>
                      <w:rFonts w:hint="eastAsia"/>
                      <w:lang w:val="en-US" w:eastAsia="zh-CN"/>
                    </w:rPr>
                    <w:t>东南侧厂界外1米N2</w:t>
                  </w:r>
                </w:p>
              </w:tc>
              <w:tc>
                <w:tcPr>
                  <w:tcW w:w="649" w:type="pct"/>
                  <w:noWrap w:val="0"/>
                  <w:vAlign w:val="center"/>
                </w:tcPr>
                <w:p w14:paraId="46AFE410">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51.6</w:t>
                  </w:r>
                </w:p>
              </w:tc>
              <w:tc>
                <w:tcPr>
                  <w:tcW w:w="649" w:type="pct"/>
                  <w:noWrap w:val="0"/>
                  <w:vAlign w:val="center"/>
                </w:tcPr>
                <w:p w14:paraId="3181A3D8">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46.22</w:t>
                  </w:r>
                </w:p>
              </w:tc>
              <w:tc>
                <w:tcPr>
                  <w:tcW w:w="632" w:type="pct"/>
                  <w:noWrap w:val="0"/>
                  <w:vAlign w:val="center"/>
                </w:tcPr>
                <w:p w14:paraId="23438CBA">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rPr>
                    <w:t>52.7</w:t>
                  </w:r>
                </w:p>
              </w:tc>
              <w:tc>
                <w:tcPr>
                  <w:tcW w:w="565" w:type="pct"/>
                  <w:noWrap w:val="0"/>
                  <w:vAlign w:val="center"/>
                </w:tcPr>
                <w:p w14:paraId="4989F6D3">
                  <w:pPr>
                    <w:pStyle w:val="33"/>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60</w:t>
                  </w:r>
                </w:p>
              </w:tc>
              <w:tc>
                <w:tcPr>
                  <w:tcW w:w="664" w:type="pct"/>
                  <w:noWrap w:val="0"/>
                  <w:vAlign w:val="center"/>
                </w:tcPr>
                <w:p w14:paraId="4BD99B18">
                  <w:pPr>
                    <w:pStyle w:val="33"/>
                    <w:keepNext w:val="0"/>
                    <w:keepLines w:val="0"/>
                    <w:suppressLineNumbers w:val="0"/>
                    <w:bidi w:val="0"/>
                    <w:spacing w:before="0" w:beforeAutospacing="0" w:after="0" w:afterAutospacing="0"/>
                    <w:ind w:left="0" w:right="0"/>
                    <w:rPr>
                      <w:rFonts w:hint="eastAsia"/>
                    </w:rPr>
                  </w:pPr>
                  <w:r>
                    <w:rPr>
                      <w:rFonts w:hint="default"/>
                    </w:rPr>
                    <w:t>达标</w:t>
                  </w:r>
                </w:p>
              </w:tc>
            </w:tr>
            <w:tr w14:paraId="03D6C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14:paraId="6F8D6911">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1430" w:type="pct"/>
                  <w:noWrap w:val="0"/>
                  <w:vAlign w:val="center"/>
                </w:tcPr>
                <w:p w14:paraId="5CCDFE24">
                  <w:pPr>
                    <w:pStyle w:val="33"/>
                    <w:keepNext w:val="0"/>
                    <w:keepLines w:val="0"/>
                    <w:suppressLineNumbers w:val="0"/>
                    <w:bidi w:val="0"/>
                    <w:spacing w:before="0" w:beforeAutospacing="0" w:after="0" w:afterAutospacing="0"/>
                    <w:ind w:left="0" w:right="0"/>
                    <w:rPr>
                      <w:rFonts w:hint="eastAsia"/>
                    </w:rPr>
                  </w:pPr>
                  <w:r>
                    <w:rPr>
                      <w:rFonts w:hint="eastAsia"/>
                      <w:lang w:val="en-US" w:eastAsia="zh-CN"/>
                    </w:rPr>
                    <w:t>西南侧厂界外1米N3</w:t>
                  </w:r>
                </w:p>
              </w:tc>
              <w:tc>
                <w:tcPr>
                  <w:tcW w:w="649" w:type="pct"/>
                  <w:noWrap w:val="0"/>
                  <w:vAlign w:val="center"/>
                </w:tcPr>
                <w:p w14:paraId="05A644A3">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58.6</w:t>
                  </w:r>
                </w:p>
              </w:tc>
              <w:tc>
                <w:tcPr>
                  <w:tcW w:w="649" w:type="pct"/>
                  <w:noWrap w:val="0"/>
                  <w:vAlign w:val="center"/>
                </w:tcPr>
                <w:p w14:paraId="42083BC3">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46.36</w:t>
                  </w:r>
                </w:p>
              </w:tc>
              <w:tc>
                <w:tcPr>
                  <w:tcW w:w="632" w:type="pct"/>
                  <w:noWrap w:val="0"/>
                  <w:vAlign w:val="center"/>
                </w:tcPr>
                <w:p w14:paraId="4265C4BE">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rPr>
                    <w:t>58.85</w:t>
                  </w:r>
                </w:p>
              </w:tc>
              <w:tc>
                <w:tcPr>
                  <w:tcW w:w="565" w:type="pct"/>
                  <w:noWrap w:val="0"/>
                  <w:vAlign w:val="center"/>
                </w:tcPr>
                <w:p w14:paraId="4622A53E">
                  <w:pPr>
                    <w:pStyle w:val="33"/>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60</w:t>
                  </w:r>
                </w:p>
              </w:tc>
              <w:tc>
                <w:tcPr>
                  <w:tcW w:w="664" w:type="pct"/>
                  <w:noWrap w:val="0"/>
                  <w:vAlign w:val="center"/>
                </w:tcPr>
                <w:p w14:paraId="37F4FCEB">
                  <w:pPr>
                    <w:pStyle w:val="33"/>
                    <w:keepNext w:val="0"/>
                    <w:keepLines w:val="0"/>
                    <w:suppressLineNumbers w:val="0"/>
                    <w:bidi w:val="0"/>
                    <w:spacing w:before="0" w:beforeAutospacing="0" w:after="0" w:afterAutospacing="0"/>
                    <w:ind w:left="0" w:right="0"/>
                    <w:rPr>
                      <w:rFonts w:hint="default"/>
                    </w:rPr>
                  </w:pPr>
                  <w:r>
                    <w:rPr>
                      <w:rFonts w:hint="default"/>
                    </w:rPr>
                    <w:t>达标</w:t>
                  </w:r>
                </w:p>
              </w:tc>
            </w:tr>
            <w:tr w14:paraId="0E559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14:paraId="4F9CC4B7">
                  <w:pPr>
                    <w:pStyle w:val="3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1430" w:type="pct"/>
                  <w:noWrap w:val="0"/>
                  <w:vAlign w:val="center"/>
                </w:tcPr>
                <w:p w14:paraId="207475CF">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西北侧厂界外1米N4</w:t>
                  </w:r>
                </w:p>
              </w:tc>
              <w:tc>
                <w:tcPr>
                  <w:tcW w:w="649" w:type="pct"/>
                  <w:noWrap w:val="0"/>
                  <w:vAlign w:val="center"/>
                </w:tcPr>
                <w:p w14:paraId="715E5477">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53.0</w:t>
                  </w:r>
                </w:p>
              </w:tc>
              <w:tc>
                <w:tcPr>
                  <w:tcW w:w="649" w:type="pct"/>
                  <w:noWrap w:val="0"/>
                  <w:vAlign w:val="center"/>
                </w:tcPr>
                <w:p w14:paraId="4A76EE7D">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47.69</w:t>
                  </w:r>
                </w:p>
              </w:tc>
              <w:tc>
                <w:tcPr>
                  <w:tcW w:w="632" w:type="pct"/>
                  <w:noWrap w:val="0"/>
                  <w:vAlign w:val="center"/>
                </w:tcPr>
                <w:p w14:paraId="05873FF8">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rPr>
                    <w:t>54.12</w:t>
                  </w:r>
                </w:p>
              </w:tc>
              <w:tc>
                <w:tcPr>
                  <w:tcW w:w="565" w:type="pct"/>
                  <w:noWrap w:val="0"/>
                  <w:vAlign w:val="center"/>
                </w:tcPr>
                <w:p w14:paraId="378C2C43">
                  <w:pPr>
                    <w:pStyle w:val="33"/>
                    <w:keepNext w:val="0"/>
                    <w:keepLines w:val="0"/>
                    <w:suppressLineNumbers w:val="0"/>
                    <w:bidi w:val="0"/>
                    <w:spacing w:before="0" w:beforeAutospacing="0" w:after="0" w:afterAutospacing="0"/>
                    <w:ind w:left="0" w:right="0"/>
                    <w:rPr>
                      <w:rFonts w:hint="eastAsia" w:eastAsia="宋体"/>
                      <w:lang w:val="en-US" w:eastAsia="zh-CN"/>
                    </w:rPr>
                  </w:pPr>
                  <w:r>
                    <w:rPr>
                      <w:rFonts w:hint="eastAsia"/>
                    </w:rPr>
                    <w:t>6</w:t>
                  </w:r>
                  <w:r>
                    <w:rPr>
                      <w:rFonts w:hint="eastAsia"/>
                      <w:lang w:val="en-US" w:eastAsia="zh-CN"/>
                    </w:rPr>
                    <w:t>0</w:t>
                  </w:r>
                </w:p>
              </w:tc>
              <w:tc>
                <w:tcPr>
                  <w:tcW w:w="664" w:type="pct"/>
                  <w:noWrap w:val="0"/>
                  <w:vAlign w:val="center"/>
                </w:tcPr>
                <w:p w14:paraId="005BBACA">
                  <w:pPr>
                    <w:pStyle w:val="33"/>
                    <w:keepNext w:val="0"/>
                    <w:keepLines w:val="0"/>
                    <w:suppressLineNumbers w:val="0"/>
                    <w:bidi w:val="0"/>
                    <w:spacing w:before="0" w:beforeAutospacing="0" w:after="0" w:afterAutospacing="0"/>
                    <w:ind w:left="0" w:right="0"/>
                    <w:rPr>
                      <w:rFonts w:hint="default"/>
                    </w:rPr>
                  </w:pPr>
                  <w:r>
                    <w:rPr>
                      <w:rFonts w:hint="default"/>
                    </w:rPr>
                    <w:t>达标</w:t>
                  </w:r>
                </w:p>
              </w:tc>
            </w:tr>
            <w:tr w14:paraId="55888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noWrap w:val="0"/>
                  <w:vAlign w:val="center"/>
                </w:tcPr>
                <w:p w14:paraId="15CD57AB">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1430" w:type="pct"/>
                  <w:noWrap w:val="0"/>
                  <w:vAlign w:val="center"/>
                </w:tcPr>
                <w:p w14:paraId="30333CC0">
                  <w:pPr>
                    <w:pStyle w:val="33"/>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东台村N5</w:t>
                  </w:r>
                </w:p>
              </w:tc>
              <w:tc>
                <w:tcPr>
                  <w:tcW w:w="649" w:type="pct"/>
                  <w:noWrap w:val="0"/>
                  <w:vAlign w:val="center"/>
                </w:tcPr>
                <w:p w14:paraId="0237375A">
                  <w:pPr>
                    <w:pStyle w:val="33"/>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51.4</w:t>
                  </w:r>
                </w:p>
              </w:tc>
              <w:tc>
                <w:tcPr>
                  <w:tcW w:w="649" w:type="pct"/>
                  <w:noWrap w:val="0"/>
                  <w:vAlign w:val="center"/>
                </w:tcPr>
                <w:p w14:paraId="39B26009">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36.74</w:t>
                  </w:r>
                </w:p>
              </w:tc>
              <w:tc>
                <w:tcPr>
                  <w:tcW w:w="632" w:type="pct"/>
                  <w:noWrap w:val="0"/>
                  <w:vAlign w:val="center"/>
                </w:tcPr>
                <w:p w14:paraId="7F7EE92B">
                  <w:pPr>
                    <w:pStyle w:val="33"/>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rPr>
                    <w:t>51.55</w:t>
                  </w:r>
                </w:p>
              </w:tc>
              <w:tc>
                <w:tcPr>
                  <w:tcW w:w="565" w:type="pct"/>
                  <w:noWrap w:val="0"/>
                  <w:vAlign w:val="center"/>
                </w:tcPr>
                <w:p w14:paraId="72483216">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w:t>
                  </w:r>
                </w:p>
              </w:tc>
              <w:tc>
                <w:tcPr>
                  <w:tcW w:w="664" w:type="pct"/>
                  <w:noWrap w:val="0"/>
                  <w:vAlign w:val="center"/>
                </w:tcPr>
                <w:p w14:paraId="32FD672E">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达标</w:t>
                  </w:r>
                </w:p>
              </w:tc>
            </w:tr>
          </w:tbl>
          <w:p w14:paraId="386B4DB7">
            <w:pPr>
              <w:keepNext w:val="0"/>
              <w:keepLines w:val="0"/>
              <w:suppressLineNumbers w:val="0"/>
              <w:spacing w:before="0" w:beforeAutospacing="0" w:after="0" w:afterAutospacing="0" w:line="360" w:lineRule="auto"/>
              <w:ind w:left="0" w:right="0" w:firstLine="480" w:firstLineChars="200"/>
              <w:rPr>
                <w:rFonts w:hint="default" w:eastAsia="宋体" w:cs="Times New Roman"/>
                <w:bCs/>
                <w:color w:val="auto"/>
                <w:spacing w:val="-10"/>
                <w:sz w:val="24"/>
                <w:lang w:val="en-US" w:eastAsia="zh-CN"/>
              </w:rPr>
            </w:pPr>
            <w:r>
              <w:rPr>
                <w:rFonts w:hint="eastAsia" w:cs="Times New Roman"/>
                <w:color w:val="auto"/>
              </w:rPr>
              <w:t>由预测结果可知，项目建成达产后厂界噪声能满足《工业企业厂界环境噪声排放标准》（GB12348-2008）中</w:t>
            </w:r>
            <w:r>
              <w:rPr>
                <w:rFonts w:hint="eastAsia" w:cs="Times New Roman"/>
                <w:color w:val="auto"/>
                <w:lang w:val="en-US" w:eastAsia="zh-CN"/>
              </w:rPr>
              <w:t>2</w:t>
            </w:r>
            <w:r>
              <w:rPr>
                <w:rFonts w:hint="eastAsia" w:cs="Times New Roman"/>
                <w:color w:val="auto"/>
              </w:rPr>
              <w:t>类标准。</w:t>
            </w:r>
            <w:r>
              <w:rPr>
                <w:rFonts w:hint="eastAsia" w:cs="Times New Roman"/>
                <w:color w:val="auto"/>
                <w:lang w:eastAsia="zh-CN"/>
              </w:rPr>
              <w:t>敏感点噪声能满足</w:t>
            </w:r>
            <w:r>
              <w:rPr>
                <w:rFonts w:hint="default"/>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声环境质量标准</w:t>
            </w:r>
            <w:r>
              <w:rPr>
                <w:rFonts w:hint="default"/>
                <w:color w:val="000000" w:themeColor="text1"/>
                <w:sz w:val="24"/>
                <w14:textFill>
                  <w14:solidFill>
                    <w14:schemeClr w14:val="tx1"/>
                  </w14:solidFill>
                </w14:textFill>
              </w:rPr>
              <w:t>》(GB</w:t>
            </w:r>
            <w:r>
              <w:rPr>
                <w:rFonts w:hint="eastAsia"/>
                <w:color w:val="000000" w:themeColor="text1"/>
                <w:sz w:val="24"/>
                <w14:textFill>
                  <w14:solidFill>
                    <w14:schemeClr w14:val="tx1"/>
                  </w14:solidFill>
                </w14:textFill>
              </w:rPr>
              <w:t>3096</w:t>
            </w:r>
            <w:r>
              <w:rPr>
                <w:rFonts w:hint="default"/>
                <w:color w:val="000000" w:themeColor="text1"/>
                <w:sz w:val="24"/>
                <w14:textFill>
                  <w14:solidFill>
                    <w14:schemeClr w14:val="tx1"/>
                  </w14:solidFill>
                </w14:textFill>
              </w:rPr>
              <w:t>-2008)中</w:t>
            </w: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类标准</w:t>
            </w:r>
            <w:r>
              <w:rPr>
                <w:rFonts w:hint="eastAsia"/>
                <w:color w:val="000000" w:themeColor="text1"/>
                <w:sz w:val="24"/>
                <w:lang w:eastAsia="zh-CN"/>
                <w14:textFill>
                  <w14:solidFill>
                    <w14:schemeClr w14:val="tx1"/>
                  </w14:solidFill>
                </w14:textFill>
              </w:rPr>
              <w:t>，</w:t>
            </w:r>
            <w:r>
              <w:rPr>
                <w:rFonts w:hint="eastAsia" w:cs="Times New Roman"/>
                <w:color w:val="auto"/>
              </w:rPr>
              <w:t>因此，本项目噪声对周边环境影响较小</w:t>
            </w:r>
            <w:r>
              <w:rPr>
                <w:rFonts w:hint="default" w:cs="Times New Roman"/>
                <w:bCs/>
                <w:color w:val="auto"/>
                <w:spacing w:val="-10"/>
                <w:sz w:val="24"/>
              </w:rPr>
              <w:t>。</w:t>
            </w:r>
          </w:p>
          <w:p w14:paraId="0C191A75">
            <w:pPr>
              <w:pStyle w:val="4"/>
              <w:keepNext w:val="0"/>
              <w:keepLines w:val="0"/>
              <w:suppressLineNumbers w:val="0"/>
              <w:ind w:left="0" w:right="0"/>
              <w:rPr>
                <w:rFonts w:hint="eastAsia"/>
                <w:color w:val="auto"/>
              </w:rPr>
            </w:pPr>
            <w:r>
              <w:rPr>
                <w:rFonts w:hint="default"/>
                <w:color w:val="auto"/>
              </w:rPr>
              <w:t>防治措施</w:t>
            </w:r>
          </w:p>
          <w:p w14:paraId="26BC2311">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项目噪声的主要来源是生产设备噪声，为进一步减少项目噪声对周围环境的影响，确保各厂界噪声稳定达标，建设单位应采取降噪措施。噪声防治主要从两方面入手：一是从噪声源上控制降低噪声，二是从传播途径上控制降低噪声，可采取如下措施：</w:t>
            </w:r>
          </w:p>
          <w:p w14:paraId="49C1E539">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（1）从噪声源上控制降低噪声</w:t>
            </w:r>
          </w:p>
          <w:p w14:paraId="0220E3DA">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①应选用低噪音、低能耗的生产设备。</w:t>
            </w:r>
          </w:p>
          <w:p w14:paraId="325116E9">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②对所有设备应加强日常管理和维修，确保设备处于良好的运转状态，杜绝因设备不正常运转而产生的高噪声现象。</w:t>
            </w:r>
          </w:p>
          <w:p w14:paraId="673E72EA">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③设备与基础之间安装</w:t>
            </w:r>
            <w:r>
              <w:rPr>
                <w:rFonts w:hint="eastAsia" w:cs="Times New Roman"/>
                <w:color w:val="auto"/>
                <w:lang w:eastAsia="zh-CN"/>
              </w:rPr>
              <w:t>减振</w:t>
            </w:r>
            <w:r>
              <w:rPr>
                <w:rFonts w:hint="eastAsia" w:cs="Times New Roman"/>
                <w:color w:val="auto"/>
              </w:rPr>
              <w:t>垫片。</w:t>
            </w:r>
          </w:p>
          <w:p w14:paraId="74C2DE3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（2）从传播途径上控制降低噪声</w:t>
            </w:r>
          </w:p>
          <w:p w14:paraId="7978B59B">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①合理布置噪声源，对噪声源强较高的设备，尽量远离厂界。</w:t>
            </w:r>
          </w:p>
          <w:p w14:paraId="6E04BC31">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②利用厂房墙体，加强对噪声的阻隔效果。</w:t>
            </w:r>
          </w:p>
          <w:p w14:paraId="7E8531DF">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以上措施在设备噪声防治中已广泛采用，同时结合距离、墙体及其他障碍物的衰减，评价预测</w:t>
            </w:r>
            <w:r>
              <w:rPr>
                <w:rFonts w:hint="eastAsia" w:cs="Times New Roman"/>
                <w:color w:val="auto"/>
                <w:lang w:eastAsia="zh-CN"/>
              </w:rPr>
              <w:t>厂</w:t>
            </w:r>
            <w:r>
              <w:rPr>
                <w:rFonts w:hint="eastAsia" w:cs="Times New Roman"/>
                <w:color w:val="auto"/>
              </w:rPr>
              <w:t>界噪声满足《工业企业厂界环境噪声排放标准》（GB12348-2008）中的</w:t>
            </w:r>
            <w:r>
              <w:rPr>
                <w:rFonts w:hint="eastAsia" w:cs="Times New Roman"/>
                <w:color w:val="auto"/>
                <w:lang w:val="en-US" w:eastAsia="zh-CN"/>
              </w:rPr>
              <w:t>2</w:t>
            </w:r>
            <w:r>
              <w:rPr>
                <w:rFonts w:hint="eastAsia" w:cs="Times New Roman"/>
                <w:color w:val="auto"/>
              </w:rPr>
              <w:t>类标准，降噪措施基本可行</w:t>
            </w:r>
            <w:r>
              <w:rPr>
                <w:rFonts w:hint="default" w:cs="Times New Roman"/>
                <w:color w:val="auto"/>
              </w:rPr>
              <w:t>。</w:t>
            </w:r>
          </w:p>
          <w:p w14:paraId="7F83F60F">
            <w:pPr>
              <w:pStyle w:val="4"/>
              <w:keepNext w:val="0"/>
              <w:keepLines w:val="0"/>
              <w:suppressLineNumbers w:val="0"/>
              <w:ind w:left="0" w:right="0"/>
              <w:rPr>
                <w:rFonts w:hint="eastAsia"/>
                <w:color w:val="auto"/>
              </w:rPr>
            </w:pPr>
            <w:r>
              <w:rPr>
                <w:rFonts w:hint="default"/>
                <w:color w:val="auto"/>
              </w:rPr>
              <w:t>监测计划</w:t>
            </w:r>
          </w:p>
          <w:p w14:paraId="39799533">
            <w:pPr>
              <w:keepNext w:val="0"/>
              <w:keepLines w:val="0"/>
              <w:suppressLineNumbers w:val="0"/>
              <w:spacing w:before="0" w:beforeAutospacing="0" w:after="0" w:afterAutospacing="0"/>
              <w:ind w:left="0" w:right="0" w:firstLine="480"/>
              <w:rPr>
                <w:rFonts w:hint="eastAsia" w:cs="Times New Roman"/>
                <w:color w:val="auto"/>
              </w:rPr>
            </w:pPr>
            <w:r>
              <w:rPr>
                <w:rFonts w:hint="default" w:cs="Times New Roman"/>
                <w:color w:val="auto"/>
              </w:rPr>
              <w:t>根据</w:t>
            </w:r>
            <w:r>
              <w:rPr>
                <w:rFonts w:hint="eastAsia" w:cs="Times New Roman"/>
                <w:color w:val="auto"/>
                <w:lang w:eastAsia="zh-CN"/>
              </w:rPr>
              <w:t>《排污许可证申请与核发技术规范工业噪声》（HJ1301—2023）</w:t>
            </w:r>
            <w:r>
              <w:rPr>
                <w:rFonts w:hint="default" w:cs="Times New Roman"/>
                <w:color w:val="auto"/>
              </w:rPr>
              <w:t>要求，项目运营期噪声监测计划如下</w:t>
            </w:r>
            <w:r>
              <w:rPr>
                <w:rFonts w:hint="eastAsia" w:cs="Times New Roman"/>
                <w:color w:val="auto"/>
              </w:rPr>
              <w:t>：</w:t>
            </w:r>
          </w:p>
          <w:p w14:paraId="1759FCBE">
            <w:pPr>
              <w:pStyle w:val="36"/>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运营期噪声监测计划表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69"/>
              <w:gridCol w:w="2167"/>
              <w:gridCol w:w="2650"/>
              <w:gridCol w:w="2304"/>
            </w:tblGrid>
            <w:tr w14:paraId="1D1114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trPr>
              <w:tc>
                <w:tcPr>
                  <w:tcW w:w="806" w:type="pct"/>
                  <w:noWrap w:val="0"/>
                  <w:vAlign w:val="center"/>
                </w:tcPr>
                <w:p w14:paraId="6339733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要素</w:t>
                  </w:r>
                </w:p>
              </w:tc>
              <w:tc>
                <w:tcPr>
                  <w:tcW w:w="1276" w:type="pct"/>
                  <w:noWrap w:val="0"/>
                  <w:vAlign w:val="center"/>
                </w:tcPr>
                <w:p w14:paraId="1200E20B">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default" w:cs="Times New Roman"/>
                      <w:color w:val="auto"/>
                    </w:rPr>
                    <w:t>监测</w:t>
                  </w:r>
                  <w:r>
                    <w:rPr>
                      <w:rFonts w:hint="eastAsia" w:cs="Times New Roman"/>
                      <w:color w:val="auto"/>
                      <w:lang w:val="en-US" w:eastAsia="zh-CN"/>
                    </w:rPr>
                    <w:t>点位</w:t>
                  </w:r>
                </w:p>
              </w:tc>
              <w:tc>
                <w:tcPr>
                  <w:tcW w:w="1560" w:type="pct"/>
                  <w:noWrap w:val="0"/>
                  <w:vAlign w:val="center"/>
                </w:tcPr>
                <w:p w14:paraId="07190A00">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监测项目</w:t>
                  </w:r>
                </w:p>
              </w:tc>
              <w:tc>
                <w:tcPr>
                  <w:tcW w:w="1356" w:type="pct"/>
                  <w:noWrap w:val="0"/>
                  <w:vAlign w:val="center"/>
                </w:tcPr>
                <w:p w14:paraId="204F0A7A">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监测频次</w:t>
                  </w:r>
                </w:p>
              </w:tc>
            </w:tr>
            <w:tr w14:paraId="20ED25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06" w:type="pct"/>
                  <w:noWrap w:val="0"/>
                  <w:vAlign w:val="center"/>
                </w:tcPr>
                <w:p w14:paraId="7A9F7AC8">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噪声</w:t>
                  </w:r>
                </w:p>
              </w:tc>
              <w:tc>
                <w:tcPr>
                  <w:tcW w:w="1276" w:type="pct"/>
                  <w:noWrap w:val="0"/>
                  <w:vAlign w:val="center"/>
                </w:tcPr>
                <w:p w14:paraId="0A51009E">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厂界</w:t>
                  </w:r>
                </w:p>
              </w:tc>
              <w:tc>
                <w:tcPr>
                  <w:tcW w:w="1560" w:type="pct"/>
                  <w:noWrap w:val="0"/>
                  <w:vAlign w:val="center"/>
                </w:tcPr>
                <w:p w14:paraId="0FE55117">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等效连续A声级</w:t>
                  </w:r>
                </w:p>
              </w:tc>
              <w:tc>
                <w:tcPr>
                  <w:tcW w:w="1356" w:type="pct"/>
                  <w:noWrap w:val="0"/>
                  <w:vAlign w:val="center"/>
                </w:tcPr>
                <w:p w14:paraId="6AD9EC5B">
                  <w:pPr>
                    <w:pStyle w:val="33"/>
                    <w:keepNext w:val="0"/>
                    <w:keepLines w:val="0"/>
                    <w:suppressLineNumbers w:val="0"/>
                    <w:spacing w:before="0" w:beforeAutospacing="0" w:after="0" w:afterAutospacing="0"/>
                    <w:ind w:left="0" w:right="0"/>
                    <w:rPr>
                      <w:rFonts w:hint="eastAsia" w:eastAsia="宋体" w:cs="Times New Roman"/>
                      <w:color w:val="auto"/>
                      <w:lang w:val="en-US" w:eastAsia="zh-CN"/>
                    </w:rPr>
                  </w:pPr>
                  <w:r>
                    <w:rPr>
                      <w:rFonts w:hint="default" w:cs="Times New Roman"/>
                      <w:color w:val="auto"/>
                    </w:rPr>
                    <w:t>昼间、1次/</w:t>
                  </w:r>
                  <w:r>
                    <w:rPr>
                      <w:rFonts w:hint="eastAsia" w:cs="Times New Roman"/>
                      <w:color w:val="auto"/>
                      <w:lang w:val="en-US" w:eastAsia="zh-CN"/>
                    </w:rPr>
                    <w:t>季度</w:t>
                  </w:r>
                </w:p>
              </w:tc>
            </w:tr>
          </w:tbl>
          <w:p w14:paraId="10D0C3B1">
            <w:pPr>
              <w:pStyle w:val="3"/>
              <w:keepNext w:val="0"/>
              <w:keepLines w:val="0"/>
              <w:suppressLineNumbers w:val="0"/>
              <w:ind w:left="0" w:right="0"/>
              <w:rPr>
                <w:rFonts w:hint="default"/>
                <w:color w:val="auto"/>
              </w:rPr>
            </w:pPr>
            <w:r>
              <w:rPr>
                <w:rFonts w:hint="default"/>
                <w:color w:val="auto"/>
              </w:rPr>
              <w:t>运营期固废影响和保护措施</w:t>
            </w:r>
          </w:p>
          <w:p w14:paraId="115AC411">
            <w:pPr>
              <w:pStyle w:val="4"/>
              <w:keepNext w:val="0"/>
              <w:keepLines w:val="0"/>
              <w:suppressLineNumbers w:val="0"/>
              <w:ind w:left="0" w:right="0"/>
              <w:rPr>
                <w:rFonts w:hint="default"/>
                <w:color w:val="auto"/>
              </w:rPr>
            </w:pPr>
            <w:r>
              <w:rPr>
                <w:rFonts w:hint="eastAsia"/>
                <w:color w:val="auto"/>
              </w:rPr>
              <w:t>污染源强</w:t>
            </w:r>
          </w:p>
          <w:p w14:paraId="30C1E001">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本项目产生的固废主要为生活</w:t>
            </w:r>
            <w:r>
              <w:rPr>
                <w:rFonts w:hint="default" w:cs="Times New Roman"/>
                <w:color w:val="auto"/>
                <w:highlight w:val="none"/>
              </w:rPr>
              <w:t>垃圾；一般工业固体废物（</w:t>
            </w:r>
            <w:r>
              <w:rPr>
                <w:rFonts w:hint="eastAsia" w:cs="Times New Roman"/>
                <w:bCs/>
                <w:color w:val="auto"/>
                <w:sz w:val="24"/>
                <w:highlight w:val="none"/>
                <w:lang w:eastAsia="zh-CN"/>
              </w:rPr>
              <w:t>不合格品、</w:t>
            </w:r>
            <w:r>
              <w:rPr>
                <w:rFonts w:hint="eastAsia" w:cs="Times New Roman"/>
                <w:bCs/>
                <w:color w:val="auto"/>
                <w:sz w:val="24"/>
                <w:highlight w:val="none"/>
                <w:lang w:val="en-US" w:eastAsia="zh-CN"/>
              </w:rPr>
              <w:t>废包装材料</w:t>
            </w:r>
            <w:r>
              <w:rPr>
                <w:rFonts w:hint="default" w:cs="Times New Roman"/>
                <w:color w:val="auto"/>
                <w:highlight w:val="none"/>
              </w:rPr>
              <w:t>）；危险废物（</w:t>
            </w:r>
            <w:r>
              <w:rPr>
                <w:rFonts w:hint="eastAsia" w:cs="Times New Roman"/>
                <w:color w:val="auto"/>
                <w:highlight w:val="none"/>
                <w:lang w:eastAsia="zh-CN"/>
              </w:rPr>
              <w:t>废润滑油、废油桶、含油抹布及手套</w:t>
            </w:r>
            <w:r>
              <w:rPr>
                <w:rFonts w:hint="default" w:cs="Times New Roman"/>
                <w:color w:val="auto"/>
                <w:highlight w:val="none"/>
              </w:rPr>
              <w:t>）。</w:t>
            </w:r>
            <w:r>
              <w:rPr>
                <w:rFonts w:hint="default" w:cs="Times New Roman"/>
                <w:color w:val="auto"/>
              </w:rPr>
              <w:t>主要产生情况如下：</w:t>
            </w:r>
          </w:p>
          <w:p w14:paraId="55E9103F">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（1）生活垃圾</w:t>
            </w:r>
          </w:p>
          <w:p w14:paraId="3F492A34">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项目</w:t>
            </w:r>
            <w:r>
              <w:rPr>
                <w:rFonts w:hint="default" w:cs="Times New Roman"/>
                <w:color w:val="auto"/>
              </w:rPr>
              <w:t>职工</w:t>
            </w:r>
            <w:r>
              <w:rPr>
                <w:rFonts w:hint="eastAsia" w:cs="Times New Roman"/>
                <w:color w:val="auto"/>
              </w:rPr>
              <w:t>共</w:t>
            </w:r>
            <w:r>
              <w:rPr>
                <w:rFonts w:hint="eastAsia" w:cs="Times New Roman"/>
                <w:color w:val="auto"/>
                <w:lang w:val="en-US" w:eastAsia="zh-CN"/>
              </w:rPr>
              <w:t>200</w:t>
            </w:r>
            <w:r>
              <w:rPr>
                <w:rFonts w:hint="eastAsia" w:cs="Times New Roman"/>
                <w:color w:val="auto"/>
              </w:rPr>
              <w:t>人，</w:t>
            </w:r>
            <w:r>
              <w:rPr>
                <w:rFonts w:hint="eastAsia" w:cs="Times New Roman"/>
                <w:color w:val="auto"/>
                <w:lang w:val="en-US" w:eastAsia="zh-CN"/>
              </w:rPr>
              <w:t>均不住厂</w:t>
            </w:r>
            <w:r>
              <w:rPr>
                <w:rFonts w:hint="eastAsia" w:cs="Times New Roman"/>
                <w:color w:val="auto"/>
              </w:rPr>
              <w:t>，年工作300天，不住厂生活垃圾按0.5kg/人次・天计算，则职工生活垃圾产生量约</w:t>
            </w:r>
            <w:r>
              <w:rPr>
                <w:rFonts w:hint="eastAsia" w:cs="Times New Roman"/>
                <w:color w:val="auto"/>
                <w:lang w:val="en-US" w:eastAsia="zh-CN"/>
              </w:rPr>
              <w:t>30</w:t>
            </w:r>
            <w:r>
              <w:rPr>
                <w:rFonts w:hint="eastAsia" w:cs="Times New Roman"/>
                <w:color w:val="auto"/>
              </w:rPr>
              <w:t>t/a</w:t>
            </w:r>
            <w:r>
              <w:rPr>
                <w:rFonts w:hint="eastAsia" w:cs="Times New Roman"/>
                <w:color w:val="auto"/>
                <w:lang w:eastAsia="zh-CN"/>
              </w:rPr>
              <w:t>，</w:t>
            </w:r>
            <w:r>
              <w:rPr>
                <w:rFonts w:hint="default" w:cs="Times New Roman"/>
                <w:color w:val="auto"/>
              </w:rPr>
              <w:t>由环卫部门定期统一清运处理</w:t>
            </w:r>
            <w:r>
              <w:rPr>
                <w:rFonts w:hint="eastAsia" w:cs="Times New Roman"/>
                <w:color w:val="auto"/>
              </w:rPr>
              <w:t>。</w:t>
            </w:r>
          </w:p>
          <w:p w14:paraId="16EF57C3">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（2）</w:t>
            </w:r>
            <w:r>
              <w:rPr>
                <w:rFonts w:hint="default" w:cs="Times New Roman"/>
                <w:color w:val="auto"/>
              </w:rPr>
              <w:t>一般工业固体废物</w:t>
            </w:r>
          </w:p>
          <w:p w14:paraId="6CA151E2">
            <w:pPr>
              <w:keepNext w:val="0"/>
              <w:keepLines w:val="0"/>
              <w:suppressLineNumbers w:val="0"/>
              <w:spacing w:before="0" w:beforeAutospacing="0" w:after="0" w:afterAutospacing="0"/>
              <w:ind w:left="0" w:right="0" w:firstLine="480"/>
              <w:rPr>
                <w:rFonts w:hint="eastAsia" w:eastAsia="宋体" w:cs="Times New Roman"/>
                <w:color w:val="auto"/>
                <w:lang w:eastAsia="zh-CN"/>
              </w:rPr>
            </w:pPr>
            <w:r>
              <w:rPr>
                <w:rFonts w:hint="eastAsia" w:cs="Times New Roman"/>
                <w:color w:val="auto"/>
                <w:lang w:val="en-US" w:eastAsia="zh-CN"/>
              </w:rPr>
              <w:t>①</w:t>
            </w:r>
            <w:r>
              <w:rPr>
                <w:rFonts w:hint="eastAsia" w:cs="Times New Roman"/>
                <w:color w:val="auto"/>
                <w:lang w:eastAsia="zh-CN"/>
              </w:rPr>
              <w:t>不合格品</w:t>
            </w:r>
            <w:r>
              <w:rPr>
                <w:rFonts w:hint="eastAsia" w:cs="Times New Roman"/>
                <w:color w:val="auto"/>
              </w:rPr>
              <w:t>：根据建设单位提供资料，</w:t>
            </w:r>
            <w:r>
              <w:rPr>
                <w:rFonts w:hint="eastAsia" w:cs="Times New Roman"/>
                <w:color w:val="auto"/>
                <w:lang w:eastAsia="zh-CN"/>
              </w:rPr>
              <w:t>外购半成品物料中不合格品</w:t>
            </w:r>
            <w:r>
              <w:rPr>
                <w:rFonts w:hint="eastAsia" w:cs="Times New Roman"/>
                <w:color w:val="auto"/>
                <w:highlight w:val="none"/>
                <w:lang w:val="en-US" w:eastAsia="zh-CN"/>
              </w:rPr>
              <w:t>产生量约3</w:t>
            </w:r>
            <w:r>
              <w:rPr>
                <w:rFonts w:hint="eastAsia" w:cs="Times New Roman"/>
                <w:color w:val="auto"/>
                <w:highlight w:val="none"/>
              </w:rPr>
              <w:t>t/a，</w:t>
            </w:r>
            <w:r>
              <w:rPr>
                <w:rFonts w:hint="eastAsia" w:cs="Times New Roman"/>
                <w:color w:val="auto"/>
                <w:lang w:eastAsia="zh-CN"/>
              </w:rPr>
              <w:t>集中收集后外运综合利用。</w:t>
            </w:r>
          </w:p>
          <w:p w14:paraId="66AE39A6">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lang w:val="en-US" w:eastAsia="zh-CN"/>
              </w:rPr>
              <w:t>②</w:t>
            </w:r>
            <w:r>
              <w:rPr>
                <w:rFonts w:hint="eastAsia" w:cs="Times New Roman"/>
                <w:color w:val="auto"/>
              </w:rPr>
              <w:t>废</w:t>
            </w:r>
            <w:r>
              <w:rPr>
                <w:rFonts w:hint="eastAsia" w:cs="Times New Roman"/>
                <w:color w:val="auto"/>
                <w:lang w:eastAsia="zh-CN"/>
              </w:rPr>
              <w:t>包装材料</w:t>
            </w:r>
            <w:r>
              <w:rPr>
                <w:rFonts w:hint="eastAsia" w:cs="Times New Roman"/>
                <w:color w:val="auto"/>
              </w:rPr>
              <w:t>：项目</w:t>
            </w:r>
            <w:r>
              <w:rPr>
                <w:rFonts w:hint="eastAsia" w:cs="Times New Roman"/>
                <w:color w:val="auto"/>
                <w:lang w:eastAsia="zh-CN"/>
              </w:rPr>
              <w:t>外购半成品物料外包装</w:t>
            </w:r>
            <w:r>
              <w:rPr>
                <w:rFonts w:hint="eastAsia" w:cs="Times New Roman"/>
                <w:color w:val="auto"/>
              </w:rPr>
              <w:t>产生量约</w:t>
            </w:r>
            <w:r>
              <w:rPr>
                <w:rFonts w:hint="eastAsia" w:cs="Times New Roman"/>
                <w:color w:val="auto"/>
                <w:lang w:val="en-US" w:eastAsia="zh-CN"/>
              </w:rPr>
              <w:t>1</w:t>
            </w:r>
            <w:r>
              <w:rPr>
                <w:rFonts w:hint="eastAsia" w:cs="Times New Roman"/>
                <w:color w:val="auto"/>
              </w:rPr>
              <w:t>t/a，集中收集后外售综合利用。</w:t>
            </w:r>
          </w:p>
          <w:p w14:paraId="6ACBFF99">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（3）危险废物</w:t>
            </w:r>
          </w:p>
          <w:p w14:paraId="2CC3B49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①废润滑油</w:t>
            </w:r>
          </w:p>
          <w:p w14:paraId="5D200CBC">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项目生产设备维护、检修过程会产生废润滑油，产生量约0.0</w:t>
            </w:r>
            <w:r>
              <w:rPr>
                <w:rFonts w:hint="eastAsia" w:cs="Times New Roman"/>
                <w:color w:val="auto"/>
                <w:lang w:val="en-US" w:eastAsia="zh-CN"/>
              </w:rPr>
              <w:t>5</w:t>
            </w:r>
            <w:r>
              <w:rPr>
                <w:rFonts w:hint="eastAsia" w:cs="Times New Roman"/>
                <w:color w:val="auto"/>
              </w:rPr>
              <w:t>t/a。根据《国家危险废物名录（2025年版）》，废物类别属于“HW08废矿物油与含矿物油废物”，废物代码为900-2</w:t>
            </w:r>
            <w:r>
              <w:rPr>
                <w:rFonts w:hint="eastAsia" w:cs="Times New Roman"/>
                <w:color w:val="auto"/>
                <w:lang w:val="en-US" w:eastAsia="zh-CN"/>
              </w:rPr>
              <w:t>17</w:t>
            </w:r>
            <w:r>
              <w:rPr>
                <w:rFonts w:hint="eastAsia" w:cs="Times New Roman"/>
                <w:color w:val="auto"/>
              </w:rPr>
              <w:t>-08，收集后暂存于</w:t>
            </w:r>
            <w:r>
              <w:rPr>
                <w:rFonts w:hint="eastAsia" w:cs="Times New Roman"/>
                <w:color w:val="auto"/>
                <w:lang w:eastAsia="zh-CN"/>
              </w:rPr>
              <w:t>危废暂存间</w:t>
            </w:r>
            <w:r>
              <w:rPr>
                <w:rFonts w:hint="eastAsia" w:cs="Times New Roman"/>
                <w:color w:val="auto"/>
              </w:rPr>
              <w:t>，定期委托有资质单位进行处理。</w:t>
            </w:r>
          </w:p>
          <w:p w14:paraId="1479F5E6">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②废</w:t>
            </w:r>
            <w:r>
              <w:rPr>
                <w:rFonts w:hint="eastAsia" w:cs="Times New Roman"/>
                <w:color w:val="auto"/>
                <w:lang w:val="en-US" w:eastAsia="zh-CN"/>
              </w:rPr>
              <w:t>油</w:t>
            </w:r>
            <w:r>
              <w:rPr>
                <w:rFonts w:hint="eastAsia" w:cs="Times New Roman"/>
                <w:color w:val="auto"/>
              </w:rPr>
              <w:t>桶</w:t>
            </w:r>
          </w:p>
          <w:p w14:paraId="0A1CAB1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lang w:eastAsia="zh-CN"/>
              </w:rPr>
              <w:t>设备维护</w:t>
            </w:r>
            <w:r>
              <w:rPr>
                <w:rFonts w:hint="eastAsia" w:cs="Times New Roman"/>
                <w:color w:val="auto"/>
              </w:rPr>
              <w:t>过程中使用的润滑油会产生</w:t>
            </w:r>
            <w:r>
              <w:rPr>
                <w:rFonts w:hint="eastAsia" w:cs="Times New Roman"/>
                <w:color w:val="auto"/>
                <w:lang w:eastAsia="zh-CN"/>
              </w:rPr>
              <w:t>废油桶</w:t>
            </w:r>
            <w:r>
              <w:rPr>
                <w:rFonts w:hint="eastAsia" w:cs="Times New Roman"/>
                <w:color w:val="auto"/>
              </w:rPr>
              <w:t>，产生量约为</w:t>
            </w:r>
            <w:r>
              <w:rPr>
                <w:rFonts w:hint="eastAsia" w:cs="Times New Roman"/>
                <w:color w:val="auto"/>
                <w:lang w:val="en-US" w:eastAsia="zh-CN"/>
              </w:rPr>
              <w:t>4</w:t>
            </w:r>
            <w:r>
              <w:rPr>
                <w:rFonts w:hint="eastAsia" w:cs="Times New Roman"/>
                <w:color w:val="auto"/>
              </w:rPr>
              <w:t>个/年，重量按</w:t>
            </w:r>
            <w:r>
              <w:rPr>
                <w:rFonts w:hint="eastAsia" w:cs="Times New Roman"/>
                <w:color w:val="auto"/>
                <w:lang w:val="en-US" w:eastAsia="zh-CN"/>
              </w:rPr>
              <w:t>2.5</w:t>
            </w:r>
            <w:r>
              <w:rPr>
                <w:rFonts w:hint="eastAsia" w:cs="Times New Roman"/>
                <w:color w:val="auto"/>
              </w:rPr>
              <w:t>kg/个计，则空桶产生量为</w:t>
            </w:r>
            <w:r>
              <w:rPr>
                <w:rFonts w:hint="eastAsia" w:cs="Times New Roman"/>
                <w:color w:val="auto"/>
                <w:lang w:val="en-US" w:eastAsia="zh-CN"/>
              </w:rPr>
              <w:t>0.01</w:t>
            </w:r>
            <w:r>
              <w:rPr>
                <w:rFonts w:hint="eastAsia" w:cs="Times New Roman"/>
                <w:color w:val="auto"/>
              </w:rPr>
              <w:t>t/a。根据《国家危险废物名录（2025年版）》，废物类别为“HW49其他废物”，废物代码为900-041-49。收集后暂存于</w:t>
            </w:r>
            <w:r>
              <w:rPr>
                <w:rFonts w:hint="eastAsia" w:cs="Times New Roman"/>
                <w:color w:val="auto"/>
                <w:lang w:eastAsia="zh-CN"/>
              </w:rPr>
              <w:t>危废暂存间</w:t>
            </w:r>
            <w:r>
              <w:rPr>
                <w:rFonts w:hint="eastAsia" w:cs="Times New Roman"/>
                <w:color w:val="auto"/>
              </w:rPr>
              <w:t>，定期委托有资质单位进行处理。</w:t>
            </w:r>
          </w:p>
          <w:p w14:paraId="2C05E736">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lang w:val="en-US" w:eastAsia="zh-CN"/>
              </w:rPr>
              <w:t>③</w:t>
            </w:r>
            <w:r>
              <w:rPr>
                <w:rFonts w:hint="eastAsia" w:cs="Times New Roman"/>
                <w:color w:val="auto"/>
              </w:rPr>
              <w:t>含油抹布及手套</w:t>
            </w:r>
          </w:p>
          <w:p w14:paraId="1E2B85DF">
            <w:pPr>
              <w:keepNext w:val="0"/>
              <w:keepLines w:val="0"/>
              <w:suppressLineNumbers w:val="0"/>
              <w:spacing w:before="0" w:beforeAutospacing="0" w:after="0" w:afterAutospacing="0"/>
              <w:ind w:left="0" w:right="0" w:firstLine="480"/>
              <w:rPr>
                <w:rFonts w:hint="default" w:cs="Times New Roman"/>
                <w:bCs/>
                <w:color w:val="auto"/>
                <w:spacing w:val="-10"/>
                <w:szCs w:val="21"/>
              </w:rPr>
            </w:pPr>
            <w:r>
              <w:rPr>
                <w:rFonts w:hint="eastAsia" w:cs="Times New Roman"/>
                <w:color w:val="auto"/>
              </w:rPr>
              <w:t>项目含油抹布及手套产生量约为0.00</w:t>
            </w:r>
            <w:r>
              <w:rPr>
                <w:rFonts w:hint="eastAsia" w:cs="Times New Roman"/>
                <w:color w:val="auto"/>
                <w:lang w:val="en-US" w:eastAsia="zh-CN"/>
              </w:rPr>
              <w:t>2</w:t>
            </w:r>
            <w:r>
              <w:rPr>
                <w:rFonts w:hint="eastAsia" w:cs="Times New Roman"/>
                <w:color w:val="auto"/>
              </w:rPr>
              <w:t>t/a。根据《国家危险废物名录（2025年版）》，废物类别属于“HW49其他废物”，废物代码为900-041-49，收集后暂存于</w:t>
            </w:r>
            <w:r>
              <w:rPr>
                <w:rFonts w:hint="eastAsia" w:cs="Times New Roman"/>
                <w:color w:val="auto"/>
                <w:lang w:eastAsia="zh-CN"/>
              </w:rPr>
              <w:t>危废暂存间</w:t>
            </w:r>
            <w:r>
              <w:rPr>
                <w:rFonts w:hint="eastAsia" w:cs="Times New Roman"/>
                <w:color w:val="auto"/>
              </w:rPr>
              <w:t>，定期委托有资质单位进行处理。</w:t>
            </w:r>
          </w:p>
          <w:p w14:paraId="5975BE3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lang w:val="en-US" w:eastAsia="zh-CN"/>
              </w:rPr>
            </w:pPr>
          </w:p>
        </w:tc>
      </w:tr>
    </w:tbl>
    <w:p w14:paraId="2F38BD6D">
      <w:pPr>
        <w:rPr>
          <w:rFonts w:hint="eastAsia"/>
          <w:color w:val="auto"/>
        </w:rPr>
      </w:pPr>
    </w:p>
    <w:p w14:paraId="70545D8E">
      <w:pPr>
        <w:rPr>
          <w:rFonts w:hint="eastAsia"/>
          <w:color w:val="auto"/>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707"/>
      </w:tblGrid>
      <w:tr w14:paraId="06B8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7" w:hRule="atLeast"/>
        </w:trPr>
        <w:tc>
          <w:tcPr>
            <w:tcW w:w="181" w:type="pct"/>
            <w:noWrap w:val="0"/>
            <w:vAlign w:val="center"/>
          </w:tcPr>
          <w:p w14:paraId="6E84D098">
            <w:pPr>
              <w:pStyle w:val="33"/>
              <w:keepNext w:val="0"/>
              <w:keepLines w:val="0"/>
              <w:suppressLineNumbers w:val="0"/>
              <w:bidi w:val="0"/>
              <w:spacing w:before="0" w:beforeAutospacing="0" w:after="0" w:afterAutospacing="0"/>
              <w:ind w:left="0" w:right="0"/>
              <w:jc w:val="center"/>
              <w:rPr>
                <w:rFonts w:hint="default" w:cs="Times New Roman"/>
                <w:color w:val="auto"/>
              </w:rPr>
            </w:pPr>
          </w:p>
        </w:tc>
        <w:tc>
          <w:tcPr>
            <w:tcW w:w="4818" w:type="pct"/>
            <w:noWrap w:val="0"/>
            <w:vAlign w:val="top"/>
          </w:tcPr>
          <w:p w14:paraId="12793089">
            <w:pPr>
              <w:pStyle w:val="36"/>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一般固体废物一览表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12"/>
              <w:gridCol w:w="1972"/>
              <w:gridCol w:w="1635"/>
              <w:gridCol w:w="2020"/>
              <w:gridCol w:w="976"/>
              <w:gridCol w:w="1653"/>
              <w:gridCol w:w="2293"/>
            </w:tblGrid>
            <w:tr w14:paraId="1E028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5A8A0E5B">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序号</w:t>
                  </w:r>
                </w:p>
              </w:tc>
              <w:tc>
                <w:tcPr>
                  <w:tcW w:w="783" w:type="pct"/>
                  <w:noWrap w:val="0"/>
                  <w:vAlign w:val="center"/>
                </w:tcPr>
                <w:p w14:paraId="4CFD75A2">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固废名称</w:t>
                  </w:r>
                </w:p>
              </w:tc>
              <w:tc>
                <w:tcPr>
                  <w:tcW w:w="731" w:type="pct"/>
                  <w:noWrap w:val="0"/>
                  <w:vAlign w:val="center"/>
                </w:tcPr>
                <w:p w14:paraId="627ACA4B">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固废代码</w:t>
                  </w:r>
                </w:p>
              </w:tc>
              <w:tc>
                <w:tcPr>
                  <w:tcW w:w="606" w:type="pct"/>
                  <w:noWrap w:val="0"/>
                  <w:vAlign w:val="center"/>
                </w:tcPr>
                <w:p w14:paraId="4D2210CA">
                  <w:pPr>
                    <w:pStyle w:val="33"/>
                    <w:keepNext w:val="0"/>
                    <w:keepLines w:val="0"/>
                    <w:suppressLineNumbers w:val="0"/>
                    <w:spacing w:before="0" w:beforeAutospacing="0" w:after="0" w:afterAutospacing="0"/>
                    <w:ind w:left="0" w:right="0"/>
                    <w:rPr>
                      <w:rFonts w:hint="default" w:cs="Times New Roman"/>
                      <w:color w:val="auto"/>
                      <w:highlight w:val="none"/>
                    </w:rPr>
                  </w:pPr>
                  <w:r>
                    <w:rPr>
                      <w:rFonts w:hint="default" w:cs="Times New Roman"/>
                      <w:color w:val="auto"/>
                      <w:highlight w:val="none"/>
                    </w:rPr>
                    <w:t>产生量（t/a）</w:t>
                  </w:r>
                </w:p>
              </w:tc>
              <w:tc>
                <w:tcPr>
                  <w:tcW w:w="749" w:type="pct"/>
                  <w:noWrap w:val="0"/>
                  <w:vAlign w:val="center"/>
                </w:tcPr>
                <w:p w14:paraId="164226EA">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产生工序及装置</w:t>
                  </w:r>
                </w:p>
              </w:tc>
              <w:tc>
                <w:tcPr>
                  <w:tcW w:w="362" w:type="pct"/>
                  <w:noWrap w:val="0"/>
                  <w:vAlign w:val="center"/>
                </w:tcPr>
                <w:p w14:paraId="228EBD22">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形态</w:t>
                  </w:r>
                </w:p>
              </w:tc>
              <w:tc>
                <w:tcPr>
                  <w:tcW w:w="613" w:type="pct"/>
                  <w:noWrap w:val="0"/>
                  <w:vAlign w:val="center"/>
                </w:tcPr>
                <w:p w14:paraId="53B2B458">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主要成分</w:t>
                  </w:r>
                </w:p>
              </w:tc>
              <w:tc>
                <w:tcPr>
                  <w:tcW w:w="850" w:type="pct"/>
                  <w:noWrap w:val="0"/>
                  <w:vAlign w:val="center"/>
                </w:tcPr>
                <w:p w14:paraId="5B41CB8F">
                  <w:pPr>
                    <w:pStyle w:val="33"/>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污染防治措施</w:t>
                  </w:r>
                </w:p>
              </w:tc>
            </w:tr>
            <w:tr w14:paraId="32928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3B0ADB4D">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rPr>
                    <w:t>1</w:t>
                  </w:r>
                </w:p>
              </w:tc>
              <w:tc>
                <w:tcPr>
                  <w:tcW w:w="783" w:type="pct"/>
                  <w:noWrap w:val="0"/>
                  <w:vAlign w:val="center"/>
                </w:tcPr>
                <w:p w14:paraId="35582C07">
                  <w:pPr>
                    <w:pStyle w:val="33"/>
                    <w:keepNext w:val="0"/>
                    <w:keepLines w:val="0"/>
                    <w:suppressLineNumbers w:val="0"/>
                    <w:bidi w:val="0"/>
                    <w:spacing w:before="0" w:beforeAutospacing="0" w:after="0" w:afterAutospacing="0"/>
                    <w:ind w:left="0" w:right="0" w:firstLine="0" w:firstLineChars="0"/>
                    <w:rPr>
                      <w:rFonts w:hint="eastAsia" w:eastAsia="宋体" w:cs="Times New Roman"/>
                      <w:color w:val="auto"/>
                      <w:lang w:eastAsia="zh-CN"/>
                    </w:rPr>
                  </w:pPr>
                  <w:r>
                    <w:rPr>
                      <w:rFonts w:hint="eastAsia" w:cs="Times New Roman"/>
                      <w:color w:val="auto"/>
                      <w:lang w:eastAsia="zh-CN"/>
                    </w:rPr>
                    <w:t>不合格品</w:t>
                  </w:r>
                </w:p>
              </w:tc>
              <w:tc>
                <w:tcPr>
                  <w:tcW w:w="731" w:type="pct"/>
                  <w:noWrap w:val="0"/>
                  <w:vAlign w:val="center"/>
                </w:tcPr>
                <w:p w14:paraId="5406FA79">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900-00</w:t>
                  </w:r>
                  <w:r>
                    <w:rPr>
                      <w:rFonts w:hint="eastAsia" w:cs="Times New Roman"/>
                      <w:color w:val="auto"/>
                      <w:lang w:val="en-US" w:eastAsia="zh-CN"/>
                    </w:rPr>
                    <w:t>3</w:t>
                  </w:r>
                  <w:r>
                    <w:rPr>
                      <w:rFonts w:hint="eastAsia" w:cs="Times New Roman"/>
                      <w:color w:val="auto"/>
                    </w:rPr>
                    <w:t>-S17</w:t>
                  </w:r>
                </w:p>
              </w:tc>
              <w:tc>
                <w:tcPr>
                  <w:tcW w:w="606" w:type="pct"/>
                  <w:noWrap w:val="0"/>
                  <w:vAlign w:val="center"/>
                </w:tcPr>
                <w:p w14:paraId="7D6F38DF">
                  <w:pPr>
                    <w:pStyle w:val="33"/>
                    <w:keepNext w:val="0"/>
                    <w:keepLines w:val="0"/>
                    <w:suppressLineNumbers w:val="0"/>
                    <w:bidi w:val="0"/>
                    <w:spacing w:before="0" w:beforeAutospacing="0" w:after="0" w:afterAutospacing="0"/>
                    <w:ind w:left="0" w:right="0" w:firstLine="0" w:firstLineChars="0"/>
                    <w:rPr>
                      <w:rFonts w:hint="default" w:eastAsia="宋体" w:cs="Times New Roman"/>
                      <w:color w:val="auto"/>
                      <w:highlight w:val="none"/>
                      <w:lang w:val="en-US" w:eastAsia="zh-CN"/>
                    </w:rPr>
                  </w:pPr>
                  <w:r>
                    <w:rPr>
                      <w:rFonts w:hint="eastAsia" w:cs="Times New Roman"/>
                      <w:color w:val="auto"/>
                      <w:highlight w:val="none"/>
                      <w:lang w:val="en-US" w:eastAsia="zh-CN"/>
                    </w:rPr>
                    <w:t>3</w:t>
                  </w:r>
                </w:p>
              </w:tc>
              <w:tc>
                <w:tcPr>
                  <w:tcW w:w="749" w:type="pct"/>
                  <w:noWrap w:val="0"/>
                  <w:vAlign w:val="center"/>
                </w:tcPr>
                <w:p w14:paraId="04395807">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lang w:eastAsia="zh-CN"/>
                    </w:rPr>
                    <w:t>检验</w:t>
                  </w:r>
                </w:p>
              </w:tc>
              <w:tc>
                <w:tcPr>
                  <w:tcW w:w="362" w:type="pct"/>
                  <w:noWrap w:val="0"/>
                  <w:vAlign w:val="center"/>
                </w:tcPr>
                <w:p w14:paraId="2C1AB013">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固态</w:t>
                  </w:r>
                </w:p>
              </w:tc>
              <w:tc>
                <w:tcPr>
                  <w:tcW w:w="613" w:type="pct"/>
                  <w:noWrap w:val="0"/>
                  <w:vAlign w:val="center"/>
                </w:tcPr>
                <w:p w14:paraId="6C620C9C">
                  <w:pPr>
                    <w:pStyle w:val="33"/>
                    <w:keepNext w:val="0"/>
                    <w:keepLines w:val="0"/>
                    <w:suppressLineNumbers w:val="0"/>
                    <w:bidi w:val="0"/>
                    <w:spacing w:before="0" w:beforeAutospacing="0" w:after="0" w:afterAutospacing="0"/>
                    <w:ind w:left="0" w:right="0" w:firstLine="0" w:firstLineChars="0"/>
                    <w:rPr>
                      <w:rFonts w:hint="eastAsia" w:eastAsia="宋体" w:cs="Times New Roman"/>
                      <w:color w:val="auto"/>
                      <w:lang w:eastAsia="zh-CN"/>
                    </w:rPr>
                  </w:pPr>
                  <w:r>
                    <w:rPr>
                      <w:rFonts w:hint="eastAsia" w:cs="Times New Roman"/>
                      <w:color w:val="auto"/>
                      <w:lang w:eastAsia="zh-CN"/>
                    </w:rPr>
                    <w:t>废塑料</w:t>
                  </w:r>
                </w:p>
              </w:tc>
              <w:tc>
                <w:tcPr>
                  <w:tcW w:w="850" w:type="pct"/>
                  <w:vMerge w:val="restart"/>
                  <w:noWrap w:val="0"/>
                  <w:vAlign w:val="center"/>
                </w:tcPr>
                <w:p w14:paraId="3FB7C94B">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外售物资回收单位</w:t>
                  </w:r>
                </w:p>
              </w:tc>
            </w:tr>
            <w:tr w14:paraId="1C5A8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24C429EC">
                  <w:pPr>
                    <w:pStyle w:val="33"/>
                    <w:keepNext w:val="0"/>
                    <w:keepLines w:val="0"/>
                    <w:suppressLineNumbers w:val="0"/>
                    <w:spacing w:before="0" w:beforeAutospacing="0" w:after="0" w:afterAutospacing="0"/>
                    <w:ind w:left="0" w:right="0" w:firstLine="0" w:firstLineChars="0"/>
                    <w:rPr>
                      <w:rFonts w:hint="eastAsia" w:cs="Times New Roman"/>
                      <w:color w:val="auto"/>
                    </w:rPr>
                  </w:pPr>
                  <w:r>
                    <w:rPr>
                      <w:rFonts w:hint="eastAsia" w:cs="Times New Roman"/>
                      <w:color w:val="auto"/>
                    </w:rPr>
                    <w:t>2</w:t>
                  </w:r>
                </w:p>
              </w:tc>
              <w:tc>
                <w:tcPr>
                  <w:tcW w:w="783" w:type="pct"/>
                  <w:noWrap w:val="0"/>
                  <w:vAlign w:val="center"/>
                </w:tcPr>
                <w:p w14:paraId="31DA0B69">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lang w:val="en-US" w:eastAsia="zh-CN"/>
                    </w:rPr>
                    <w:t>废包装材料</w:t>
                  </w:r>
                </w:p>
              </w:tc>
              <w:tc>
                <w:tcPr>
                  <w:tcW w:w="731" w:type="pct"/>
                  <w:noWrap w:val="0"/>
                  <w:vAlign w:val="center"/>
                </w:tcPr>
                <w:p w14:paraId="2A877E2B">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rPr>
                    <w:t>900-00</w:t>
                  </w:r>
                  <w:r>
                    <w:rPr>
                      <w:rFonts w:hint="eastAsia" w:cs="Times New Roman"/>
                      <w:color w:val="auto"/>
                      <w:lang w:val="en-US" w:eastAsia="zh-CN"/>
                    </w:rPr>
                    <w:t>3</w:t>
                  </w:r>
                  <w:r>
                    <w:rPr>
                      <w:rFonts w:hint="eastAsia" w:cs="Times New Roman"/>
                      <w:color w:val="auto"/>
                    </w:rPr>
                    <w:t>-S17</w:t>
                  </w:r>
                </w:p>
              </w:tc>
              <w:tc>
                <w:tcPr>
                  <w:tcW w:w="606" w:type="pct"/>
                  <w:noWrap w:val="0"/>
                  <w:vAlign w:val="center"/>
                </w:tcPr>
                <w:p w14:paraId="03CA78AF">
                  <w:pPr>
                    <w:pStyle w:val="33"/>
                    <w:keepNext w:val="0"/>
                    <w:keepLines w:val="0"/>
                    <w:suppressLineNumbers w:val="0"/>
                    <w:bidi w:val="0"/>
                    <w:spacing w:before="0" w:beforeAutospacing="0" w:after="0" w:afterAutospacing="0"/>
                    <w:ind w:left="0" w:right="0" w:firstLine="0" w:firstLineChars="0"/>
                    <w:rPr>
                      <w:rFonts w:hint="default" w:eastAsia="宋体" w:cs="Times New Roman"/>
                      <w:color w:val="auto"/>
                      <w:highlight w:val="none"/>
                      <w:lang w:val="en-US" w:eastAsia="zh-CN"/>
                    </w:rPr>
                  </w:pPr>
                  <w:r>
                    <w:rPr>
                      <w:rFonts w:hint="eastAsia" w:cs="Times New Roman"/>
                      <w:color w:val="auto"/>
                      <w:highlight w:val="none"/>
                      <w:lang w:val="en-US" w:eastAsia="zh-CN"/>
                    </w:rPr>
                    <w:t>1</w:t>
                  </w:r>
                </w:p>
              </w:tc>
              <w:tc>
                <w:tcPr>
                  <w:tcW w:w="749" w:type="pct"/>
                  <w:noWrap w:val="0"/>
                  <w:vAlign w:val="center"/>
                </w:tcPr>
                <w:p w14:paraId="51757910">
                  <w:pPr>
                    <w:pStyle w:val="33"/>
                    <w:keepNext w:val="0"/>
                    <w:keepLines w:val="0"/>
                    <w:suppressLineNumbers w:val="0"/>
                    <w:bidi w:val="0"/>
                    <w:spacing w:before="0" w:beforeAutospacing="0" w:after="0" w:afterAutospacing="0"/>
                    <w:ind w:left="0" w:right="0" w:firstLine="0" w:firstLineChars="0"/>
                    <w:rPr>
                      <w:rFonts w:hint="eastAsia" w:eastAsia="宋体" w:cs="Times New Roman"/>
                      <w:color w:val="auto"/>
                      <w:lang w:eastAsia="zh-CN"/>
                    </w:rPr>
                  </w:pPr>
                  <w:r>
                    <w:rPr>
                      <w:rFonts w:hint="eastAsia" w:cs="Times New Roman"/>
                      <w:color w:val="auto"/>
                      <w:lang w:eastAsia="zh-CN"/>
                    </w:rPr>
                    <w:t>原料包装</w:t>
                  </w:r>
                </w:p>
              </w:tc>
              <w:tc>
                <w:tcPr>
                  <w:tcW w:w="362" w:type="pct"/>
                  <w:noWrap w:val="0"/>
                  <w:vAlign w:val="center"/>
                </w:tcPr>
                <w:p w14:paraId="5F670978">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固态</w:t>
                  </w:r>
                </w:p>
              </w:tc>
              <w:tc>
                <w:tcPr>
                  <w:tcW w:w="613" w:type="pct"/>
                  <w:noWrap w:val="0"/>
                  <w:vAlign w:val="center"/>
                </w:tcPr>
                <w:p w14:paraId="24039F89">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lang w:val="en-US" w:eastAsia="zh-CN"/>
                    </w:rPr>
                    <w:t>废塑料</w:t>
                  </w:r>
                </w:p>
              </w:tc>
              <w:tc>
                <w:tcPr>
                  <w:tcW w:w="850" w:type="pct"/>
                  <w:vMerge w:val="continue"/>
                  <w:noWrap w:val="0"/>
                  <w:vAlign w:val="center"/>
                </w:tcPr>
                <w:p w14:paraId="35D4E668">
                  <w:pPr>
                    <w:pStyle w:val="33"/>
                    <w:keepNext w:val="0"/>
                    <w:keepLines w:val="0"/>
                    <w:suppressLineNumbers w:val="0"/>
                    <w:spacing w:before="0" w:beforeAutospacing="0" w:after="0" w:afterAutospacing="0"/>
                    <w:ind w:left="0" w:right="0"/>
                    <w:rPr>
                      <w:rFonts w:hint="eastAsia" w:cs="Times New Roman"/>
                      <w:color w:val="auto"/>
                    </w:rPr>
                  </w:pPr>
                </w:p>
              </w:tc>
            </w:tr>
            <w:tr w14:paraId="235DC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vAlign w:val="center"/>
                </w:tcPr>
                <w:p w14:paraId="63D88C61">
                  <w:pPr>
                    <w:pStyle w:val="33"/>
                    <w:keepNext w:val="0"/>
                    <w:keepLines w:val="0"/>
                    <w:suppressLineNumbers w:val="0"/>
                    <w:spacing w:before="0" w:beforeAutospacing="0" w:after="0" w:afterAutospacing="0"/>
                    <w:ind w:left="0" w:right="0" w:firstLine="0" w:firstLineChars="0"/>
                    <w:rPr>
                      <w:rFonts w:hint="eastAsia" w:eastAsia="宋体" w:cs="Times New Roman"/>
                      <w:color w:val="auto"/>
                      <w:lang w:val="en-US" w:eastAsia="zh-CN"/>
                    </w:rPr>
                  </w:pPr>
                  <w:r>
                    <w:rPr>
                      <w:rFonts w:hint="eastAsia" w:cs="Times New Roman"/>
                      <w:color w:val="auto"/>
                    </w:rPr>
                    <w:t>3</w:t>
                  </w:r>
                </w:p>
              </w:tc>
              <w:tc>
                <w:tcPr>
                  <w:tcW w:w="783" w:type="pct"/>
                  <w:noWrap w:val="0"/>
                  <w:vAlign w:val="center"/>
                </w:tcPr>
                <w:p w14:paraId="61791597">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生活垃圾</w:t>
                  </w:r>
                </w:p>
              </w:tc>
              <w:tc>
                <w:tcPr>
                  <w:tcW w:w="731" w:type="pct"/>
                  <w:noWrap w:val="0"/>
                  <w:vAlign w:val="center"/>
                </w:tcPr>
                <w:p w14:paraId="211709F6">
                  <w:pPr>
                    <w:pStyle w:val="33"/>
                    <w:keepNext w:val="0"/>
                    <w:keepLines w:val="0"/>
                    <w:suppressLineNumbers w:val="0"/>
                    <w:spacing w:before="0" w:beforeAutospacing="0" w:after="0" w:afterAutospacing="0"/>
                    <w:ind w:left="0" w:right="0"/>
                    <w:rPr>
                      <w:rFonts w:hint="eastAsia" w:eastAsia="宋体" w:cs="Times New Roman"/>
                      <w:color w:val="auto"/>
                      <w:lang w:val="en-US" w:eastAsia="zh-CN"/>
                    </w:rPr>
                  </w:pPr>
                  <w:r>
                    <w:rPr>
                      <w:rFonts w:hint="eastAsia" w:cs="Times New Roman"/>
                      <w:color w:val="auto"/>
                      <w:lang w:val="en-US" w:eastAsia="zh-CN"/>
                    </w:rPr>
                    <w:t>/</w:t>
                  </w:r>
                </w:p>
              </w:tc>
              <w:tc>
                <w:tcPr>
                  <w:tcW w:w="606" w:type="pct"/>
                  <w:noWrap w:val="0"/>
                  <w:vAlign w:val="center"/>
                </w:tcPr>
                <w:p w14:paraId="141AA1ED">
                  <w:pPr>
                    <w:pStyle w:val="33"/>
                    <w:keepNext w:val="0"/>
                    <w:keepLines w:val="0"/>
                    <w:suppressLineNumbers w:val="0"/>
                    <w:spacing w:before="0" w:beforeAutospacing="0" w:after="0" w:afterAutospacing="0"/>
                    <w:ind w:left="0" w:right="0"/>
                    <w:rPr>
                      <w:rFonts w:hint="default" w:cs="Times New Roman"/>
                      <w:color w:val="auto"/>
                      <w:highlight w:val="none"/>
                      <w:lang w:val="en-US"/>
                    </w:rPr>
                  </w:pPr>
                  <w:r>
                    <w:rPr>
                      <w:rFonts w:hint="eastAsia" w:cs="Times New Roman"/>
                      <w:color w:val="auto"/>
                      <w:highlight w:val="none"/>
                      <w:lang w:val="en-US" w:eastAsia="zh-CN"/>
                    </w:rPr>
                    <w:t>30</w:t>
                  </w:r>
                </w:p>
              </w:tc>
              <w:tc>
                <w:tcPr>
                  <w:tcW w:w="749" w:type="pct"/>
                  <w:noWrap w:val="0"/>
                  <w:vAlign w:val="center"/>
                </w:tcPr>
                <w:p w14:paraId="0566BE76">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cs="Times New Roman"/>
                      <w:color w:val="auto"/>
                    </w:rPr>
                    <w:t>职工办公生活</w:t>
                  </w:r>
                </w:p>
              </w:tc>
              <w:tc>
                <w:tcPr>
                  <w:tcW w:w="362" w:type="pct"/>
                  <w:noWrap w:val="0"/>
                  <w:vAlign w:val="center"/>
                </w:tcPr>
                <w:p w14:paraId="16634AFC">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固态</w:t>
                  </w:r>
                </w:p>
              </w:tc>
              <w:tc>
                <w:tcPr>
                  <w:tcW w:w="613" w:type="pct"/>
                  <w:noWrap w:val="0"/>
                  <w:vAlign w:val="center"/>
                </w:tcPr>
                <w:p w14:paraId="36F66BE3">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lang w:val="en-US" w:eastAsia="zh-CN"/>
                    </w:rPr>
                    <w:t>生活垃圾</w:t>
                  </w:r>
                </w:p>
              </w:tc>
              <w:tc>
                <w:tcPr>
                  <w:tcW w:w="850" w:type="pct"/>
                  <w:noWrap w:val="0"/>
                  <w:vAlign w:val="center"/>
                </w:tcPr>
                <w:p w14:paraId="0968E6E2">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由环卫部门定期统一清运处理</w:t>
                  </w:r>
                </w:p>
              </w:tc>
            </w:tr>
          </w:tbl>
          <w:p w14:paraId="30EBD62E">
            <w:pPr>
              <w:pStyle w:val="36"/>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危险废物一览表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424"/>
              <w:gridCol w:w="2061"/>
              <w:gridCol w:w="1424"/>
              <w:gridCol w:w="1303"/>
              <w:gridCol w:w="1057"/>
              <w:gridCol w:w="1303"/>
              <w:gridCol w:w="1100"/>
              <w:gridCol w:w="866"/>
              <w:gridCol w:w="2249"/>
            </w:tblGrid>
            <w:tr w14:paraId="63D86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7CC09B1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序号</w:t>
                  </w:r>
                </w:p>
              </w:tc>
              <w:tc>
                <w:tcPr>
                  <w:tcW w:w="528" w:type="pct"/>
                  <w:noWrap w:val="0"/>
                  <w:vAlign w:val="center"/>
                </w:tcPr>
                <w:p w14:paraId="0631207B">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危险废物名称</w:t>
                  </w:r>
                </w:p>
              </w:tc>
              <w:tc>
                <w:tcPr>
                  <w:tcW w:w="764" w:type="pct"/>
                  <w:noWrap w:val="0"/>
                  <w:vAlign w:val="center"/>
                </w:tcPr>
                <w:p w14:paraId="5ED78F39">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危险废物编号</w:t>
                  </w:r>
                </w:p>
              </w:tc>
              <w:tc>
                <w:tcPr>
                  <w:tcW w:w="528" w:type="pct"/>
                  <w:noWrap w:val="0"/>
                  <w:vAlign w:val="center"/>
                </w:tcPr>
                <w:p w14:paraId="580F8AFB">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产生量（t/a）</w:t>
                  </w:r>
                </w:p>
              </w:tc>
              <w:tc>
                <w:tcPr>
                  <w:tcW w:w="483" w:type="pct"/>
                  <w:noWrap w:val="0"/>
                  <w:vAlign w:val="center"/>
                </w:tcPr>
                <w:p w14:paraId="5A14A24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产生工序及装置</w:t>
                  </w:r>
                </w:p>
              </w:tc>
              <w:tc>
                <w:tcPr>
                  <w:tcW w:w="392" w:type="pct"/>
                  <w:noWrap w:val="0"/>
                  <w:vAlign w:val="center"/>
                </w:tcPr>
                <w:p w14:paraId="2D99770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形态</w:t>
                  </w:r>
                </w:p>
              </w:tc>
              <w:tc>
                <w:tcPr>
                  <w:tcW w:w="483" w:type="pct"/>
                  <w:noWrap w:val="0"/>
                  <w:vAlign w:val="center"/>
                </w:tcPr>
                <w:p w14:paraId="757A9D8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主要成分</w:t>
                  </w:r>
                </w:p>
              </w:tc>
              <w:tc>
                <w:tcPr>
                  <w:tcW w:w="408" w:type="pct"/>
                  <w:noWrap w:val="0"/>
                  <w:vAlign w:val="center"/>
                </w:tcPr>
                <w:p w14:paraId="34CACF87">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有害成分</w:t>
                  </w:r>
                </w:p>
              </w:tc>
              <w:tc>
                <w:tcPr>
                  <w:tcW w:w="321" w:type="pct"/>
                  <w:noWrap w:val="0"/>
                  <w:vAlign w:val="center"/>
                </w:tcPr>
                <w:p w14:paraId="66A3E5EF">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危险特性*</w:t>
                  </w:r>
                </w:p>
              </w:tc>
              <w:tc>
                <w:tcPr>
                  <w:tcW w:w="832" w:type="pct"/>
                  <w:noWrap w:val="0"/>
                  <w:vAlign w:val="center"/>
                </w:tcPr>
                <w:p w14:paraId="0D5F0302">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污染防治措施</w:t>
                  </w:r>
                </w:p>
              </w:tc>
            </w:tr>
            <w:tr w14:paraId="4320C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noWrap w:val="0"/>
                  <w:vAlign w:val="center"/>
                </w:tcPr>
                <w:p w14:paraId="61A7D72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1</w:t>
                  </w:r>
                </w:p>
              </w:tc>
              <w:tc>
                <w:tcPr>
                  <w:tcW w:w="528" w:type="pct"/>
                  <w:noWrap w:val="0"/>
                  <w:vAlign w:val="center"/>
                </w:tcPr>
                <w:p w14:paraId="14886B9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废润滑油</w:t>
                  </w:r>
                </w:p>
              </w:tc>
              <w:tc>
                <w:tcPr>
                  <w:tcW w:w="764" w:type="pct"/>
                  <w:noWrap w:val="0"/>
                  <w:vAlign w:val="center"/>
                </w:tcPr>
                <w:p w14:paraId="0BD64F8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HW08</w:t>
                  </w:r>
                  <w:r>
                    <w:rPr>
                      <w:rFonts w:hint="eastAsia" w:cs="Times New Roman"/>
                      <w:color w:val="auto"/>
                      <w:lang w:eastAsia="zh-CN"/>
                    </w:rPr>
                    <w:t>:</w:t>
                  </w:r>
                  <w:r>
                    <w:rPr>
                      <w:rFonts w:hint="eastAsia" w:cs="Times New Roman"/>
                      <w:color w:val="auto"/>
                    </w:rPr>
                    <w:t>900-2</w:t>
                  </w:r>
                  <w:r>
                    <w:rPr>
                      <w:rFonts w:hint="eastAsia" w:cs="Times New Roman"/>
                      <w:color w:val="auto"/>
                      <w:lang w:val="en-US" w:eastAsia="zh-CN"/>
                    </w:rPr>
                    <w:t>17</w:t>
                  </w:r>
                  <w:r>
                    <w:rPr>
                      <w:rFonts w:hint="eastAsia" w:cs="Times New Roman"/>
                      <w:color w:val="auto"/>
                    </w:rPr>
                    <w:t>-08</w:t>
                  </w:r>
                </w:p>
              </w:tc>
              <w:tc>
                <w:tcPr>
                  <w:tcW w:w="528" w:type="pct"/>
                  <w:noWrap w:val="0"/>
                  <w:vAlign w:val="center"/>
                </w:tcPr>
                <w:p w14:paraId="2EC12D6E">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rPr>
                    <w:t>0.0</w:t>
                  </w:r>
                  <w:r>
                    <w:rPr>
                      <w:rFonts w:hint="eastAsia" w:cs="Times New Roman"/>
                      <w:color w:val="auto"/>
                      <w:lang w:val="en-US" w:eastAsia="zh-CN"/>
                    </w:rPr>
                    <w:t>5</w:t>
                  </w:r>
                </w:p>
              </w:tc>
              <w:tc>
                <w:tcPr>
                  <w:tcW w:w="483" w:type="pct"/>
                  <w:vMerge w:val="restart"/>
                  <w:noWrap w:val="0"/>
                  <w:vAlign w:val="center"/>
                </w:tcPr>
                <w:p w14:paraId="2DF71C35">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生产、设备维护、检修</w:t>
                  </w:r>
                </w:p>
              </w:tc>
              <w:tc>
                <w:tcPr>
                  <w:tcW w:w="392" w:type="pct"/>
                  <w:noWrap w:val="0"/>
                  <w:vAlign w:val="center"/>
                </w:tcPr>
                <w:p w14:paraId="68E17B6F">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液态</w:t>
                  </w:r>
                </w:p>
              </w:tc>
              <w:tc>
                <w:tcPr>
                  <w:tcW w:w="483" w:type="pct"/>
                  <w:noWrap w:val="0"/>
                  <w:vAlign w:val="center"/>
                </w:tcPr>
                <w:p w14:paraId="0B511F27">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润滑油</w:t>
                  </w:r>
                </w:p>
              </w:tc>
              <w:tc>
                <w:tcPr>
                  <w:tcW w:w="408" w:type="pct"/>
                  <w:noWrap w:val="0"/>
                  <w:vAlign w:val="center"/>
                </w:tcPr>
                <w:p w14:paraId="69DC699E">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废润滑油</w:t>
                  </w:r>
                </w:p>
              </w:tc>
              <w:tc>
                <w:tcPr>
                  <w:tcW w:w="321" w:type="pct"/>
                  <w:noWrap w:val="0"/>
                  <w:vAlign w:val="center"/>
                </w:tcPr>
                <w:p w14:paraId="27923026">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T</w:t>
                  </w:r>
                  <w:r>
                    <w:rPr>
                      <w:rFonts w:hint="eastAsia" w:cs="Times New Roman"/>
                      <w:color w:val="auto"/>
                      <w:lang w:eastAsia="zh-CN"/>
                    </w:rPr>
                    <w:t xml:space="preserve">, </w:t>
                  </w:r>
                  <w:r>
                    <w:rPr>
                      <w:rFonts w:hint="eastAsia" w:cs="Times New Roman"/>
                      <w:color w:val="auto"/>
                    </w:rPr>
                    <w:t>I</w:t>
                  </w:r>
                </w:p>
              </w:tc>
              <w:tc>
                <w:tcPr>
                  <w:tcW w:w="832" w:type="pct"/>
                  <w:vMerge w:val="restart"/>
                  <w:noWrap w:val="0"/>
                  <w:vAlign w:val="center"/>
                </w:tcPr>
                <w:p w14:paraId="27617E24">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暂存于</w:t>
                  </w:r>
                  <w:r>
                    <w:rPr>
                      <w:rFonts w:hint="eastAsia" w:cs="Times New Roman"/>
                      <w:color w:val="auto"/>
                      <w:lang w:eastAsia="zh-CN"/>
                    </w:rPr>
                    <w:t>危废暂存间</w:t>
                  </w:r>
                  <w:r>
                    <w:rPr>
                      <w:rFonts w:hint="eastAsia" w:cs="Times New Roman"/>
                      <w:color w:val="auto"/>
                    </w:rPr>
                    <w:t>，定期交给有资质的单位处理</w:t>
                  </w:r>
                </w:p>
              </w:tc>
            </w:tr>
            <w:tr w14:paraId="3907A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59" w:type="pct"/>
                  <w:noWrap w:val="0"/>
                  <w:vAlign w:val="center"/>
                </w:tcPr>
                <w:p w14:paraId="28B80B12">
                  <w:pPr>
                    <w:pStyle w:val="33"/>
                    <w:keepNext w:val="0"/>
                    <w:keepLines w:val="0"/>
                    <w:suppressLineNumbers w:val="0"/>
                    <w:bidi w:val="0"/>
                    <w:spacing w:before="0" w:beforeAutospacing="0" w:after="0" w:afterAutospacing="0"/>
                    <w:ind w:left="0" w:right="0"/>
                    <w:rPr>
                      <w:rFonts w:hint="eastAsia" w:eastAsia="宋体" w:cs="Times New Roman"/>
                      <w:color w:val="auto"/>
                      <w:lang w:val="en-US" w:eastAsia="zh-CN"/>
                    </w:rPr>
                  </w:pPr>
                  <w:r>
                    <w:rPr>
                      <w:rFonts w:hint="eastAsia" w:cs="Times New Roman"/>
                      <w:color w:val="auto"/>
                      <w:lang w:val="en-US" w:eastAsia="zh-CN"/>
                    </w:rPr>
                    <w:t>2</w:t>
                  </w:r>
                </w:p>
              </w:tc>
              <w:tc>
                <w:tcPr>
                  <w:tcW w:w="528" w:type="pct"/>
                  <w:noWrap w:val="0"/>
                  <w:vAlign w:val="center"/>
                </w:tcPr>
                <w:p w14:paraId="36F26187">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废油桶</w:t>
                  </w:r>
                </w:p>
              </w:tc>
              <w:tc>
                <w:tcPr>
                  <w:tcW w:w="764" w:type="pct"/>
                  <w:noWrap w:val="0"/>
                  <w:vAlign w:val="center"/>
                </w:tcPr>
                <w:p w14:paraId="19A80191">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HW49</w:t>
                  </w:r>
                  <w:r>
                    <w:rPr>
                      <w:rFonts w:hint="eastAsia" w:cs="Times New Roman"/>
                      <w:color w:val="auto"/>
                      <w:lang w:eastAsia="zh-CN"/>
                    </w:rPr>
                    <w:t>:</w:t>
                  </w:r>
                  <w:r>
                    <w:rPr>
                      <w:rFonts w:hint="eastAsia" w:cs="Times New Roman"/>
                      <w:color w:val="auto"/>
                    </w:rPr>
                    <w:t>900-041-49</w:t>
                  </w:r>
                </w:p>
              </w:tc>
              <w:tc>
                <w:tcPr>
                  <w:tcW w:w="528" w:type="pct"/>
                  <w:noWrap w:val="0"/>
                  <w:vAlign w:val="center"/>
                </w:tcPr>
                <w:p w14:paraId="57528289">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0.01</w:t>
                  </w:r>
                </w:p>
              </w:tc>
              <w:tc>
                <w:tcPr>
                  <w:tcW w:w="483" w:type="pct"/>
                  <w:vMerge w:val="continue"/>
                  <w:noWrap w:val="0"/>
                  <w:vAlign w:val="center"/>
                </w:tcPr>
                <w:p w14:paraId="5141CB63">
                  <w:pPr>
                    <w:pStyle w:val="33"/>
                    <w:keepNext w:val="0"/>
                    <w:keepLines w:val="0"/>
                    <w:suppressLineNumbers w:val="0"/>
                    <w:bidi w:val="0"/>
                    <w:spacing w:before="0" w:beforeAutospacing="0" w:after="0" w:afterAutospacing="0"/>
                    <w:ind w:left="0" w:right="0"/>
                    <w:rPr>
                      <w:rFonts w:hint="eastAsia" w:cs="Times New Roman"/>
                      <w:color w:val="auto"/>
                    </w:rPr>
                  </w:pPr>
                </w:p>
              </w:tc>
              <w:tc>
                <w:tcPr>
                  <w:tcW w:w="392" w:type="pct"/>
                  <w:noWrap w:val="0"/>
                  <w:vAlign w:val="center"/>
                </w:tcPr>
                <w:p w14:paraId="160D9CB0">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固态</w:t>
                  </w:r>
                </w:p>
              </w:tc>
              <w:tc>
                <w:tcPr>
                  <w:tcW w:w="483" w:type="pct"/>
                  <w:noWrap w:val="0"/>
                  <w:vAlign w:val="center"/>
                </w:tcPr>
                <w:p w14:paraId="519E044A">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润滑油</w:t>
                  </w:r>
                </w:p>
              </w:tc>
              <w:tc>
                <w:tcPr>
                  <w:tcW w:w="408" w:type="pct"/>
                  <w:noWrap w:val="0"/>
                  <w:vAlign w:val="center"/>
                </w:tcPr>
                <w:p w14:paraId="55AFF3A7">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废润滑油</w:t>
                  </w:r>
                </w:p>
              </w:tc>
              <w:tc>
                <w:tcPr>
                  <w:tcW w:w="321" w:type="pct"/>
                  <w:noWrap w:val="0"/>
                  <w:vAlign w:val="center"/>
                </w:tcPr>
                <w:p w14:paraId="29293A5F">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T/In</w:t>
                  </w:r>
                </w:p>
              </w:tc>
              <w:tc>
                <w:tcPr>
                  <w:tcW w:w="832" w:type="pct"/>
                  <w:vMerge w:val="continue"/>
                  <w:noWrap w:val="0"/>
                  <w:vAlign w:val="center"/>
                </w:tcPr>
                <w:p w14:paraId="47DF42BF">
                  <w:pPr>
                    <w:pStyle w:val="33"/>
                    <w:keepNext w:val="0"/>
                    <w:keepLines w:val="0"/>
                    <w:suppressLineNumbers w:val="0"/>
                    <w:bidi w:val="0"/>
                    <w:spacing w:before="0" w:beforeAutospacing="0" w:after="0" w:afterAutospacing="0"/>
                    <w:ind w:left="0" w:right="0"/>
                    <w:rPr>
                      <w:rFonts w:hint="eastAsia" w:cs="Times New Roman"/>
                      <w:color w:val="auto"/>
                    </w:rPr>
                  </w:pPr>
                </w:p>
              </w:tc>
            </w:tr>
            <w:tr w14:paraId="64969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9" w:type="pct"/>
                  <w:noWrap w:val="0"/>
                  <w:vAlign w:val="center"/>
                </w:tcPr>
                <w:p w14:paraId="5C5BCF53">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3</w:t>
                  </w:r>
                </w:p>
              </w:tc>
              <w:tc>
                <w:tcPr>
                  <w:tcW w:w="528" w:type="pct"/>
                  <w:noWrap w:val="0"/>
                  <w:vAlign w:val="center"/>
                </w:tcPr>
                <w:p w14:paraId="21B568E4">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含油抹布</w:t>
                  </w:r>
                  <w:r>
                    <w:rPr>
                      <w:rFonts w:hint="eastAsia" w:cs="Times New Roman"/>
                      <w:color w:val="auto"/>
                      <w:lang w:val="en-US" w:eastAsia="zh-CN"/>
                    </w:rPr>
                    <w:t>及手套</w:t>
                  </w:r>
                </w:p>
              </w:tc>
              <w:tc>
                <w:tcPr>
                  <w:tcW w:w="764" w:type="pct"/>
                  <w:noWrap w:val="0"/>
                  <w:vAlign w:val="center"/>
                </w:tcPr>
                <w:p w14:paraId="44F23F48">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HW49</w:t>
                  </w:r>
                  <w:r>
                    <w:rPr>
                      <w:rFonts w:hint="eastAsia" w:cs="Times New Roman"/>
                      <w:color w:val="auto"/>
                      <w:lang w:eastAsia="zh-CN"/>
                    </w:rPr>
                    <w:t>:</w:t>
                  </w:r>
                  <w:r>
                    <w:rPr>
                      <w:rFonts w:hint="eastAsia" w:cs="Times New Roman"/>
                      <w:color w:val="auto"/>
                    </w:rPr>
                    <w:t>900-041-49</w:t>
                  </w:r>
                </w:p>
              </w:tc>
              <w:tc>
                <w:tcPr>
                  <w:tcW w:w="528" w:type="pct"/>
                  <w:noWrap w:val="0"/>
                  <w:vAlign w:val="center"/>
                </w:tcPr>
                <w:p w14:paraId="04745F68">
                  <w:pPr>
                    <w:pStyle w:val="33"/>
                    <w:keepNext w:val="0"/>
                    <w:keepLines w:val="0"/>
                    <w:suppressLineNumbers w:val="0"/>
                    <w:bidi w:val="0"/>
                    <w:spacing w:before="0" w:beforeAutospacing="0" w:after="0" w:afterAutospacing="0"/>
                    <w:ind w:left="0" w:right="0"/>
                    <w:rPr>
                      <w:rFonts w:hint="eastAsia" w:eastAsia="宋体" w:cs="Times New Roman"/>
                      <w:color w:val="auto"/>
                      <w:lang w:val="en-US" w:eastAsia="zh-CN"/>
                    </w:rPr>
                  </w:pPr>
                  <w:r>
                    <w:rPr>
                      <w:rFonts w:hint="eastAsia" w:cs="Times New Roman"/>
                      <w:color w:val="auto"/>
                    </w:rPr>
                    <w:t>0.00</w:t>
                  </w:r>
                  <w:r>
                    <w:rPr>
                      <w:rFonts w:hint="eastAsia" w:cs="Times New Roman"/>
                      <w:color w:val="auto"/>
                      <w:lang w:val="en-US" w:eastAsia="zh-CN"/>
                    </w:rPr>
                    <w:t>2</w:t>
                  </w:r>
                </w:p>
              </w:tc>
              <w:tc>
                <w:tcPr>
                  <w:tcW w:w="483" w:type="pct"/>
                  <w:vMerge w:val="continue"/>
                  <w:noWrap w:val="0"/>
                  <w:vAlign w:val="center"/>
                </w:tcPr>
                <w:p w14:paraId="21B6BBD6">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p>
              </w:tc>
              <w:tc>
                <w:tcPr>
                  <w:tcW w:w="392" w:type="pct"/>
                  <w:noWrap w:val="0"/>
                  <w:vAlign w:val="center"/>
                </w:tcPr>
                <w:p w14:paraId="2C77AFEE">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固态</w:t>
                  </w:r>
                </w:p>
              </w:tc>
              <w:tc>
                <w:tcPr>
                  <w:tcW w:w="483" w:type="pct"/>
                  <w:noWrap w:val="0"/>
                  <w:vAlign w:val="center"/>
                </w:tcPr>
                <w:p w14:paraId="36810822">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润滑油</w:t>
                  </w:r>
                </w:p>
              </w:tc>
              <w:tc>
                <w:tcPr>
                  <w:tcW w:w="408" w:type="pct"/>
                  <w:noWrap w:val="0"/>
                  <w:vAlign w:val="center"/>
                </w:tcPr>
                <w:p w14:paraId="193D2FEF">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rPr>
                    <w:t>废润滑油</w:t>
                  </w:r>
                </w:p>
              </w:tc>
              <w:tc>
                <w:tcPr>
                  <w:tcW w:w="321" w:type="pct"/>
                  <w:noWrap w:val="0"/>
                  <w:vAlign w:val="center"/>
                </w:tcPr>
                <w:p w14:paraId="17A8CAA8">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T/In</w:t>
                  </w:r>
                </w:p>
              </w:tc>
              <w:tc>
                <w:tcPr>
                  <w:tcW w:w="832" w:type="pct"/>
                  <w:vMerge w:val="continue"/>
                  <w:noWrap w:val="0"/>
                  <w:vAlign w:val="center"/>
                </w:tcPr>
                <w:p w14:paraId="51654915">
                  <w:pPr>
                    <w:pStyle w:val="33"/>
                    <w:keepNext w:val="0"/>
                    <w:keepLines w:val="0"/>
                    <w:suppressLineNumbers w:val="0"/>
                    <w:bidi w:val="0"/>
                    <w:spacing w:before="0" w:beforeAutospacing="0" w:after="0" w:afterAutospacing="0"/>
                    <w:ind w:left="0" w:right="0"/>
                    <w:rPr>
                      <w:rFonts w:hint="eastAsia" w:cs="Times New Roman"/>
                      <w:color w:val="auto"/>
                    </w:rPr>
                  </w:pPr>
                </w:p>
              </w:tc>
            </w:tr>
            <w:tr w14:paraId="07400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noWrap w:val="0"/>
                  <w:vAlign w:val="center"/>
                </w:tcPr>
                <w:p w14:paraId="05EB9610">
                  <w:pPr>
                    <w:pStyle w:val="33"/>
                    <w:keepNext w:val="0"/>
                    <w:keepLines w:val="0"/>
                    <w:suppressLineNumbers w:val="0"/>
                    <w:bidi w:val="0"/>
                    <w:spacing w:before="0" w:beforeAutospacing="0" w:after="0" w:afterAutospacing="0"/>
                    <w:ind w:left="0" w:right="0"/>
                    <w:jc w:val="both"/>
                    <w:rPr>
                      <w:rFonts w:hint="eastAsia" w:cs="Times New Roman"/>
                      <w:color w:val="auto"/>
                    </w:rPr>
                  </w:pPr>
                  <w:r>
                    <w:rPr>
                      <w:rFonts w:hint="eastAsia" w:cs="Times New Roman"/>
                      <w:color w:val="auto"/>
                    </w:rPr>
                    <w:t>注*：</w:t>
                  </w:r>
                  <w:r>
                    <w:rPr>
                      <w:rFonts w:hint="default" w:cs="Times New Roman"/>
                      <w:color w:val="auto"/>
                    </w:rPr>
                    <w:t>T</w:t>
                  </w:r>
                  <w:r>
                    <w:rPr>
                      <w:rFonts w:hint="eastAsia" w:cs="Times New Roman"/>
                      <w:color w:val="auto"/>
                    </w:rPr>
                    <w:t>—毒性（</w:t>
                  </w:r>
                  <w:r>
                    <w:rPr>
                      <w:rFonts w:hint="default" w:cs="Times New Roman"/>
                      <w:color w:val="auto"/>
                    </w:rPr>
                    <w:t>Toxicity</w:t>
                  </w:r>
                  <w:r>
                    <w:rPr>
                      <w:rFonts w:hint="eastAsia" w:cs="Times New Roman"/>
                      <w:color w:val="auto"/>
                    </w:rPr>
                    <w:t>），I—易燃性（Ignitability），In—感染性（Infectivity）</w:t>
                  </w:r>
                </w:p>
              </w:tc>
            </w:tr>
          </w:tbl>
          <w:p w14:paraId="7D4A520A">
            <w:pPr>
              <w:pStyle w:val="36"/>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lang w:eastAsia="zh-CN"/>
              </w:rPr>
              <w:t>危废暂存间</w:t>
            </w:r>
            <w:r>
              <w:rPr>
                <w:rFonts w:hint="default" w:cs="Times New Roman"/>
                <w:color w:val="auto"/>
              </w:rPr>
              <w:t>基本情况表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995"/>
              <w:gridCol w:w="1674"/>
              <w:gridCol w:w="2022"/>
              <w:gridCol w:w="1158"/>
              <w:gridCol w:w="1339"/>
              <w:gridCol w:w="1382"/>
              <w:gridCol w:w="1153"/>
              <w:gridCol w:w="1146"/>
            </w:tblGrid>
            <w:tr w14:paraId="41BC1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noWrap w:val="0"/>
                  <w:vAlign w:val="center"/>
                </w:tcPr>
                <w:p w14:paraId="65690C74">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贮存场所（设施）名称</w:t>
                  </w:r>
                </w:p>
              </w:tc>
              <w:tc>
                <w:tcPr>
                  <w:tcW w:w="739" w:type="pct"/>
                  <w:noWrap w:val="0"/>
                  <w:vAlign w:val="center"/>
                </w:tcPr>
                <w:p w14:paraId="12952B86">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危险废物名称</w:t>
                  </w:r>
                </w:p>
              </w:tc>
              <w:tc>
                <w:tcPr>
                  <w:tcW w:w="620" w:type="pct"/>
                  <w:noWrap w:val="0"/>
                  <w:vAlign w:val="center"/>
                </w:tcPr>
                <w:p w14:paraId="7BEA3FC6">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危险废物类别</w:t>
                  </w:r>
                </w:p>
              </w:tc>
              <w:tc>
                <w:tcPr>
                  <w:tcW w:w="749" w:type="pct"/>
                  <w:noWrap w:val="0"/>
                  <w:vAlign w:val="center"/>
                </w:tcPr>
                <w:p w14:paraId="3D6A984C">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危险废物代码</w:t>
                  </w:r>
                </w:p>
              </w:tc>
              <w:tc>
                <w:tcPr>
                  <w:tcW w:w="429" w:type="pct"/>
                  <w:noWrap w:val="0"/>
                  <w:vAlign w:val="center"/>
                </w:tcPr>
                <w:p w14:paraId="52D6C79B">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位置</w:t>
                  </w:r>
                </w:p>
              </w:tc>
              <w:tc>
                <w:tcPr>
                  <w:tcW w:w="496" w:type="pct"/>
                  <w:noWrap w:val="0"/>
                  <w:vAlign w:val="center"/>
                </w:tcPr>
                <w:p w14:paraId="1E2E291C">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占地面积</w:t>
                  </w:r>
                </w:p>
              </w:tc>
              <w:tc>
                <w:tcPr>
                  <w:tcW w:w="512" w:type="pct"/>
                  <w:noWrap w:val="0"/>
                  <w:vAlign w:val="center"/>
                </w:tcPr>
                <w:p w14:paraId="58E51186">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贮存方式</w:t>
                  </w:r>
                </w:p>
              </w:tc>
              <w:tc>
                <w:tcPr>
                  <w:tcW w:w="427" w:type="pct"/>
                  <w:noWrap w:val="0"/>
                  <w:vAlign w:val="center"/>
                </w:tcPr>
                <w:p w14:paraId="03B02F47">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贮存能力</w:t>
                  </w:r>
                </w:p>
              </w:tc>
              <w:tc>
                <w:tcPr>
                  <w:tcW w:w="424" w:type="pct"/>
                  <w:noWrap w:val="0"/>
                  <w:vAlign w:val="center"/>
                </w:tcPr>
                <w:p w14:paraId="5A1F17DD">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贮存周期</w:t>
                  </w:r>
                </w:p>
              </w:tc>
            </w:tr>
            <w:tr w14:paraId="29A4E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restart"/>
                  <w:noWrap w:val="0"/>
                  <w:vAlign w:val="center"/>
                </w:tcPr>
                <w:p w14:paraId="4266584A">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危废暂存间</w:t>
                  </w:r>
                </w:p>
              </w:tc>
              <w:tc>
                <w:tcPr>
                  <w:tcW w:w="739" w:type="pct"/>
                  <w:noWrap w:val="0"/>
                  <w:vAlign w:val="center"/>
                </w:tcPr>
                <w:p w14:paraId="1B2BF664">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cs="Times New Roman"/>
                      <w:color w:val="auto"/>
                    </w:rPr>
                    <w:t>废润滑油</w:t>
                  </w:r>
                </w:p>
              </w:tc>
              <w:tc>
                <w:tcPr>
                  <w:tcW w:w="620" w:type="pct"/>
                  <w:noWrap w:val="0"/>
                  <w:vAlign w:val="center"/>
                </w:tcPr>
                <w:p w14:paraId="0C87D16A">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cs="Times New Roman"/>
                      <w:color w:val="auto"/>
                    </w:rPr>
                    <w:t>HW08</w:t>
                  </w:r>
                </w:p>
              </w:tc>
              <w:tc>
                <w:tcPr>
                  <w:tcW w:w="749" w:type="pct"/>
                  <w:noWrap w:val="0"/>
                  <w:vAlign w:val="center"/>
                </w:tcPr>
                <w:p w14:paraId="30C7E26F">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900-2</w:t>
                  </w:r>
                  <w:r>
                    <w:rPr>
                      <w:rFonts w:hint="eastAsia" w:cs="Times New Roman"/>
                      <w:color w:val="auto"/>
                      <w:lang w:val="en-US" w:eastAsia="zh-CN"/>
                    </w:rPr>
                    <w:t>17</w:t>
                  </w:r>
                  <w:r>
                    <w:rPr>
                      <w:rFonts w:hint="eastAsia" w:cs="Times New Roman"/>
                      <w:color w:val="auto"/>
                    </w:rPr>
                    <w:t>-08</w:t>
                  </w:r>
                </w:p>
              </w:tc>
              <w:tc>
                <w:tcPr>
                  <w:tcW w:w="429" w:type="pct"/>
                  <w:vMerge w:val="restart"/>
                  <w:noWrap w:val="0"/>
                  <w:vAlign w:val="center"/>
                </w:tcPr>
                <w:p w14:paraId="5B13771D">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lang w:val="en-US" w:eastAsia="zh-CN"/>
                    </w:rPr>
                    <w:t>生产</w:t>
                  </w:r>
                  <w:r>
                    <w:rPr>
                      <w:rFonts w:hint="eastAsia" w:cs="Times New Roman"/>
                      <w:color w:val="auto"/>
                    </w:rPr>
                    <w:t>车间</w:t>
                  </w:r>
                  <w:r>
                    <w:rPr>
                      <w:rFonts w:hint="eastAsia" w:cs="Times New Roman"/>
                      <w:color w:val="auto"/>
                      <w:lang w:eastAsia="zh-CN"/>
                    </w:rPr>
                    <w:t>东南角</w:t>
                  </w:r>
                </w:p>
              </w:tc>
              <w:tc>
                <w:tcPr>
                  <w:tcW w:w="496" w:type="pct"/>
                  <w:vMerge w:val="restart"/>
                  <w:noWrap w:val="0"/>
                  <w:vAlign w:val="center"/>
                </w:tcPr>
                <w:p w14:paraId="6BD16754">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lang w:val="en-US" w:eastAsia="zh-CN"/>
                    </w:rPr>
                    <w:t>6</w:t>
                  </w:r>
                  <w:r>
                    <w:rPr>
                      <w:rFonts w:hint="default" w:cs="Times New Roman"/>
                      <w:color w:val="auto"/>
                    </w:rPr>
                    <w:t>m</w:t>
                  </w:r>
                  <w:r>
                    <w:rPr>
                      <w:rFonts w:hint="default" w:cs="Times New Roman"/>
                      <w:color w:val="auto"/>
                      <w:vertAlign w:val="superscript"/>
                    </w:rPr>
                    <w:t>2</w:t>
                  </w:r>
                </w:p>
              </w:tc>
              <w:tc>
                <w:tcPr>
                  <w:tcW w:w="512" w:type="pct"/>
                  <w:vMerge w:val="restart"/>
                  <w:noWrap w:val="0"/>
                  <w:vAlign w:val="center"/>
                </w:tcPr>
                <w:p w14:paraId="5DC2B055">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桶装</w:t>
                  </w:r>
                </w:p>
              </w:tc>
              <w:tc>
                <w:tcPr>
                  <w:tcW w:w="427" w:type="pct"/>
                  <w:vMerge w:val="restart"/>
                  <w:noWrap w:val="0"/>
                  <w:vAlign w:val="center"/>
                </w:tcPr>
                <w:p w14:paraId="257E9F71">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5t</w:t>
                  </w:r>
                </w:p>
              </w:tc>
              <w:tc>
                <w:tcPr>
                  <w:tcW w:w="424" w:type="pct"/>
                  <w:vMerge w:val="restart"/>
                  <w:noWrap w:val="0"/>
                  <w:vAlign w:val="center"/>
                </w:tcPr>
                <w:p w14:paraId="6DC1FF94">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lang w:val="en-US" w:eastAsia="zh-CN"/>
                    </w:rPr>
                    <w:t>一</w:t>
                  </w:r>
                  <w:r>
                    <w:rPr>
                      <w:rFonts w:hint="default" w:cs="Times New Roman"/>
                      <w:color w:val="auto"/>
                    </w:rPr>
                    <w:t>年</w:t>
                  </w:r>
                </w:p>
              </w:tc>
            </w:tr>
            <w:tr w14:paraId="25326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noWrap w:val="0"/>
                  <w:vAlign w:val="center"/>
                </w:tcPr>
                <w:p w14:paraId="7E00FFE9">
                  <w:pPr>
                    <w:pStyle w:val="33"/>
                    <w:keepNext w:val="0"/>
                    <w:keepLines w:val="0"/>
                    <w:suppressLineNumbers w:val="0"/>
                    <w:spacing w:before="0" w:beforeAutospacing="0" w:after="0" w:afterAutospacing="0"/>
                    <w:ind w:left="0" w:right="0"/>
                    <w:rPr>
                      <w:rFonts w:hint="default" w:cs="Times New Roman"/>
                      <w:color w:val="auto"/>
                    </w:rPr>
                  </w:pPr>
                </w:p>
              </w:tc>
              <w:tc>
                <w:tcPr>
                  <w:tcW w:w="739" w:type="pct"/>
                  <w:noWrap w:val="0"/>
                  <w:vAlign w:val="center"/>
                </w:tcPr>
                <w:p w14:paraId="402BD6D1">
                  <w:pPr>
                    <w:pStyle w:val="33"/>
                    <w:keepNext w:val="0"/>
                    <w:keepLines w:val="0"/>
                    <w:suppressLineNumbers w:val="0"/>
                    <w:bidi w:val="0"/>
                    <w:spacing w:before="0" w:beforeAutospacing="0" w:after="0" w:afterAutospacing="0"/>
                    <w:ind w:left="0" w:right="0" w:firstLine="0" w:firstLineChars="0"/>
                    <w:rPr>
                      <w:rFonts w:hint="eastAsia" w:eastAsia="宋体" w:cs="Times New Roman"/>
                      <w:color w:val="auto"/>
                      <w:lang w:eastAsia="zh-CN"/>
                    </w:rPr>
                  </w:pPr>
                  <w:r>
                    <w:rPr>
                      <w:rFonts w:hint="eastAsia" w:cs="Times New Roman"/>
                      <w:color w:val="auto"/>
                      <w:lang w:eastAsia="zh-CN"/>
                    </w:rPr>
                    <w:t>废油桶</w:t>
                  </w:r>
                </w:p>
              </w:tc>
              <w:tc>
                <w:tcPr>
                  <w:tcW w:w="620" w:type="pct"/>
                  <w:noWrap w:val="0"/>
                  <w:vAlign w:val="center"/>
                </w:tcPr>
                <w:p w14:paraId="5228AB4A">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rPr>
                    <w:t>HW49</w:t>
                  </w:r>
                </w:p>
              </w:tc>
              <w:tc>
                <w:tcPr>
                  <w:tcW w:w="749" w:type="pct"/>
                  <w:noWrap w:val="0"/>
                  <w:vAlign w:val="center"/>
                </w:tcPr>
                <w:p w14:paraId="59AA0331">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900-041-49</w:t>
                  </w:r>
                </w:p>
              </w:tc>
              <w:tc>
                <w:tcPr>
                  <w:tcW w:w="429" w:type="pct"/>
                  <w:vMerge w:val="continue"/>
                  <w:noWrap w:val="0"/>
                  <w:vAlign w:val="center"/>
                </w:tcPr>
                <w:p w14:paraId="6E1BA454">
                  <w:pPr>
                    <w:pStyle w:val="33"/>
                    <w:keepNext w:val="0"/>
                    <w:keepLines w:val="0"/>
                    <w:suppressLineNumbers w:val="0"/>
                    <w:spacing w:before="0" w:beforeAutospacing="0" w:after="0" w:afterAutospacing="0"/>
                    <w:ind w:left="0" w:right="0"/>
                    <w:rPr>
                      <w:rFonts w:hint="eastAsia" w:cs="Times New Roman"/>
                      <w:color w:val="auto"/>
                    </w:rPr>
                  </w:pPr>
                </w:p>
              </w:tc>
              <w:tc>
                <w:tcPr>
                  <w:tcW w:w="496" w:type="pct"/>
                  <w:vMerge w:val="continue"/>
                  <w:noWrap w:val="0"/>
                  <w:vAlign w:val="center"/>
                </w:tcPr>
                <w:p w14:paraId="086E1211">
                  <w:pPr>
                    <w:pStyle w:val="33"/>
                    <w:keepNext w:val="0"/>
                    <w:keepLines w:val="0"/>
                    <w:suppressLineNumbers w:val="0"/>
                    <w:spacing w:before="0" w:beforeAutospacing="0" w:after="0" w:afterAutospacing="0"/>
                    <w:ind w:left="0" w:right="0"/>
                    <w:rPr>
                      <w:rFonts w:hint="eastAsia" w:cs="Times New Roman"/>
                      <w:color w:val="auto"/>
                    </w:rPr>
                  </w:pPr>
                </w:p>
              </w:tc>
              <w:tc>
                <w:tcPr>
                  <w:tcW w:w="512" w:type="pct"/>
                  <w:vMerge w:val="continue"/>
                  <w:noWrap w:val="0"/>
                  <w:vAlign w:val="center"/>
                </w:tcPr>
                <w:p w14:paraId="7DC3339A">
                  <w:pPr>
                    <w:pStyle w:val="33"/>
                    <w:keepNext w:val="0"/>
                    <w:keepLines w:val="0"/>
                    <w:suppressLineNumbers w:val="0"/>
                    <w:spacing w:before="0" w:beforeAutospacing="0" w:after="0" w:afterAutospacing="0"/>
                    <w:ind w:left="0" w:right="0"/>
                    <w:rPr>
                      <w:rFonts w:hint="default" w:cs="Times New Roman"/>
                      <w:color w:val="auto"/>
                    </w:rPr>
                  </w:pPr>
                </w:p>
              </w:tc>
              <w:tc>
                <w:tcPr>
                  <w:tcW w:w="427" w:type="pct"/>
                  <w:vMerge w:val="continue"/>
                  <w:noWrap w:val="0"/>
                  <w:vAlign w:val="center"/>
                </w:tcPr>
                <w:p w14:paraId="39CC4E32">
                  <w:pPr>
                    <w:pStyle w:val="33"/>
                    <w:keepNext w:val="0"/>
                    <w:keepLines w:val="0"/>
                    <w:suppressLineNumbers w:val="0"/>
                    <w:spacing w:before="0" w:beforeAutospacing="0" w:after="0" w:afterAutospacing="0"/>
                    <w:ind w:left="0" w:right="0"/>
                    <w:rPr>
                      <w:rFonts w:hint="eastAsia" w:cs="Times New Roman"/>
                      <w:color w:val="auto"/>
                    </w:rPr>
                  </w:pPr>
                </w:p>
              </w:tc>
              <w:tc>
                <w:tcPr>
                  <w:tcW w:w="424" w:type="pct"/>
                  <w:vMerge w:val="continue"/>
                  <w:noWrap w:val="0"/>
                  <w:vAlign w:val="center"/>
                </w:tcPr>
                <w:p w14:paraId="03ECCF29">
                  <w:pPr>
                    <w:pStyle w:val="33"/>
                    <w:keepNext w:val="0"/>
                    <w:keepLines w:val="0"/>
                    <w:suppressLineNumbers w:val="0"/>
                    <w:spacing w:before="0" w:beforeAutospacing="0" w:after="0" w:afterAutospacing="0"/>
                    <w:ind w:left="0" w:right="0"/>
                    <w:rPr>
                      <w:rFonts w:hint="eastAsia" w:cs="Times New Roman"/>
                      <w:color w:val="auto"/>
                    </w:rPr>
                  </w:pPr>
                </w:p>
              </w:tc>
            </w:tr>
            <w:tr w14:paraId="04C36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noWrap w:val="0"/>
                  <w:vAlign w:val="center"/>
                </w:tcPr>
                <w:p w14:paraId="07FB6756">
                  <w:pPr>
                    <w:pStyle w:val="33"/>
                    <w:keepNext w:val="0"/>
                    <w:keepLines w:val="0"/>
                    <w:suppressLineNumbers w:val="0"/>
                    <w:spacing w:before="0" w:beforeAutospacing="0" w:after="0" w:afterAutospacing="0"/>
                    <w:ind w:left="0" w:right="0"/>
                    <w:rPr>
                      <w:rFonts w:hint="default" w:cs="Times New Roman"/>
                      <w:color w:val="auto"/>
                    </w:rPr>
                  </w:pPr>
                </w:p>
              </w:tc>
              <w:tc>
                <w:tcPr>
                  <w:tcW w:w="739" w:type="pct"/>
                  <w:noWrap w:val="0"/>
                  <w:vAlign w:val="center"/>
                </w:tcPr>
                <w:p w14:paraId="2F5196F5">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rPr>
                    <w:t>含油抹布</w:t>
                  </w:r>
                  <w:r>
                    <w:rPr>
                      <w:rFonts w:hint="eastAsia" w:cs="Times New Roman"/>
                      <w:color w:val="auto"/>
                      <w:lang w:val="en-US" w:eastAsia="zh-CN"/>
                    </w:rPr>
                    <w:t>及手套</w:t>
                  </w:r>
                </w:p>
              </w:tc>
              <w:tc>
                <w:tcPr>
                  <w:tcW w:w="620" w:type="pct"/>
                  <w:noWrap w:val="0"/>
                  <w:vAlign w:val="center"/>
                </w:tcPr>
                <w:p w14:paraId="4042C166">
                  <w:pPr>
                    <w:pStyle w:val="33"/>
                    <w:keepNext w:val="0"/>
                    <w:keepLines w:val="0"/>
                    <w:suppressLineNumbers w:val="0"/>
                    <w:bidi w:val="0"/>
                    <w:spacing w:before="0" w:beforeAutospacing="0" w:after="0" w:afterAutospacing="0"/>
                    <w:ind w:left="0" w:right="0" w:firstLine="0" w:firstLineChars="0"/>
                    <w:rPr>
                      <w:rFonts w:hint="eastAsia" w:cs="Times New Roman"/>
                      <w:color w:val="auto"/>
                    </w:rPr>
                  </w:pPr>
                  <w:r>
                    <w:rPr>
                      <w:rFonts w:hint="eastAsia" w:cs="Times New Roman"/>
                      <w:color w:val="auto"/>
                    </w:rPr>
                    <w:t>HW49</w:t>
                  </w:r>
                </w:p>
              </w:tc>
              <w:tc>
                <w:tcPr>
                  <w:tcW w:w="749" w:type="pct"/>
                  <w:noWrap w:val="0"/>
                  <w:vAlign w:val="center"/>
                </w:tcPr>
                <w:p w14:paraId="104500A1">
                  <w:pPr>
                    <w:pStyle w:val="33"/>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900-041-49</w:t>
                  </w:r>
                </w:p>
              </w:tc>
              <w:tc>
                <w:tcPr>
                  <w:tcW w:w="429" w:type="pct"/>
                  <w:vMerge w:val="continue"/>
                  <w:noWrap w:val="0"/>
                  <w:vAlign w:val="center"/>
                </w:tcPr>
                <w:p w14:paraId="06A585F5">
                  <w:pPr>
                    <w:pStyle w:val="33"/>
                    <w:keepNext w:val="0"/>
                    <w:keepLines w:val="0"/>
                    <w:suppressLineNumbers w:val="0"/>
                    <w:spacing w:before="0" w:beforeAutospacing="0" w:after="0" w:afterAutospacing="0"/>
                    <w:ind w:left="0" w:right="0"/>
                    <w:rPr>
                      <w:rFonts w:hint="eastAsia" w:cs="Times New Roman"/>
                      <w:color w:val="auto"/>
                    </w:rPr>
                  </w:pPr>
                </w:p>
              </w:tc>
              <w:tc>
                <w:tcPr>
                  <w:tcW w:w="496" w:type="pct"/>
                  <w:vMerge w:val="continue"/>
                  <w:noWrap w:val="0"/>
                  <w:vAlign w:val="center"/>
                </w:tcPr>
                <w:p w14:paraId="3A8D0752">
                  <w:pPr>
                    <w:pStyle w:val="33"/>
                    <w:keepNext w:val="0"/>
                    <w:keepLines w:val="0"/>
                    <w:suppressLineNumbers w:val="0"/>
                    <w:spacing w:before="0" w:beforeAutospacing="0" w:after="0" w:afterAutospacing="0"/>
                    <w:ind w:left="0" w:right="0"/>
                    <w:rPr>
                      <w:rFonts w:hint="eastAsia" w:cs="Times New Roman"/>
                      <w:color w:val="auto"/>
                    </w:rPr>
                  </w:pPr>
                </w:p>
              </w:tc>
              <w:tc>
                <w:tcPr>
                  <w:tcW w:w="512" w:type="pct"/>
                  <w:vMerge w:val="continue"/>
                  <w:noWrap w:val="0"/>
                  <w:vAlign w:val="center"/>
                </w:tcPr>
                <w:p w14:paraId="0DA0B9F8">
                  <w:pPr>
                    <w:pStyle w:val="33"/>
                    <w:keepNext w:val="0"/>
                    <w:keepLines w:val="0"/>
                    <w:suppressLineNumbers w:val="0"/>
                    <w:spacing w:before="0" w:beforeAutospacing="0" w:after="0" w:afterAutospacing="0"/>
                    <w:ind w:left="0" w:right="0"/>
                    <w:rPr>
                      <w:rFonts w:hint="default" w:cs="Times New Roman"/>
                      <w:color w:val="auto"/>
                    </w:rPr>
                  </w:pPr>
                </w:p>
              </w:tc>
              <w:tc>
                <w:tcPr>
                  <w:tcW w:w="427" w:type="pct"/>
                  <w:vMerge w:val="continue"/>
                  <w:noWrap w:val="0"/>
                  <w:vAlign w:val="center"/>
                </w:tcPr>
                <w:p w14:paraId="3D78DC94">
                  <w:pPr>
                    <w:pStyle w:val="33"/>
                    <w:keepNext w:val="0"/>
                    <w:keepLines w:val="0"/>
                    <w:suppressLineNumbers w:val="0"/>
                    <w:spacing w:before="0" w:beforeAutospacing="0" w:after="0" w:afterAutospacing="0"/>
                    <w:ind w:left="0" w:right="0"/>
                    <w:rPr>
                      <w:rFonts w:hint="eastAsia" w:cs="Times New Roman"/>
                      <w:color w:val="auto"/>
                    </w:rPr>
                  </w:pPr>
                </w:p>
              </w:tc>
              <w:tc>
                <w:tcPr>
                  <w:tcW w:w="424" w:type="pct"/>
                  <w:vMerge w:val="continue"/>
                  <w:noWrap w:val="0"/>
                  <w:vAlign w:val="center"/>
                </w:tcPr>
                <w:p w14:paraId="1E86DB64">
                  <w:pPr>
                    <w:pStyle w:val="33"/>
                    <w:keepNext w:val="0"/>
                    <w:keepLines w:val="0"/>
                    <w:suppressLineNumbers w:val="0"/>
                    <w:spacing w:before="0" w:beforeAutospacing="0" w:after="0" w:afterAutospacing="0"/>
                    <w:ind w:left="0" w:right="0"/>
                    <w:rPr>
                      <w:rFonts w:hint="eastAsia" w:cs="Times New Roman"/>
                      <w:color w:val="auto"/>
                    </w:rPr>
                  </w:pPr>
                </w:p>
              </w:tc>
            </w:tr>
          </w:tbl>
          <w:p w14:paraId="642DD115">
            <w:pPr>
              <w:pStyle w:val="36"/>
              <w:keepNext w:val="0"/>
              <w:keepLines w:val="0"/>
              <w:suppressLineNumbers w:val="0"/>
              <w:spacing w:before="0" w:beforeAutospacing="0" w:after="0" w:afterAutospacing="0"/>
              <w:ind w:left="0" w:right="0"/>
              <w:rPr>
                <w:rFonts w:hint="default" w:cs="Times New Roman"/>
                <w:color w:val="auto"/>
              </w:rPr>
            </w:pPr>
            <w:r>
              <w:rPr>
                <w:rFonts w:hint="eastAsia" w:eastAsia="Times New Roman" w:cs="Times New Roman"/>
                <w:color w:val="auto"/>
              </w:rPr>
              <w:t>一般</w:t>
            </w:r>
            <w:r>
              <w:rPr>
                <w:rFonts w:hint="default" w:eastAsia="Times New Roman" w:cs="Times New Roman"/>
                <w:color w:val="auto"/>
              </w:rPr>
              <w:t>工业固体废物贮存场所</w:t>
            </w:r>
            <w:r>
              <w:rPr>
                <w:rFonts w:hint="default" w:cs="Times New Roman"/>
                <w:color w:val="auto"/>
              </w:rPr>
              <w:t>基本情况表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32"/>
              <w:gridCol w:w="2027"/>
              <w:gridCol w:w="2032"/>
              <w:gridCol w:w="3484"/>
              <w:gridCol w:w="1900"/>
              <w:gridCol w:w="1611"/>
            </w:tblGrid>
            <w:tr w14:paraId="64CA3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pct"/>
                  <w:noWrap w:val="0"/>
                  <w:vAlign w:val="center"/>
                </w:tcPr>
                <w:p w14:paraId="441246E2">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贮存场所（设施）名称</w:t>
                  </w:r>
                </w:p>
              </w:tc>
              <w:tc>
                <w:tcPr>
                  <w:tcW w:w="751" w:type="pct"/>
                  <w:noWrap w:val="0"/>
                  <w:vAlign w:val="center"/>
                </w:tcPr>
                <w:p w14:paraId="5014928C">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位置</w:t>
                  </w:r>
                </w:p>
              </w:tc>
              <w:tc>
                <w:tcPr>
                  <w:tcW w:w="753" w:type="pct"/>
                  <w:noWrap w:val="0"/>
                  <w:vAlign w:val="center"/>
                </w:tcPr>
                <w:p w14:paraId="403C45C2">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占地面积</w:t>
                  </w:r>
                </w:p>
              </w:tc>
              <w:tc>
                <w:tcPr>
                  <w:tcW w:w="1291" w:type="pct"/>
                  <w:noWrap w:val="0"/>
                  <w:vAlign w:val="center"/>
                </w:tcPr>
                <w:p w14:paraId="5B33FC17">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贮存方式</w:t>
                  </w:r>
                </w:p>
              </w:tc>
              <w:tc>
                <w:tcPr>
                  <w:tcW w:w="704" w:type="pct"/>
                  <w:noWrap w:val="0"/>
                  <w:vAlign w:val="center"/>
                </w:tcPr>
                <w:p w14:paraId="642874DC">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贮存能力</w:t>
                  </w:r>
                </w:p>
              </w:tc>
              <w:tc>
                <w:tcPr>
                  <w:tcW w:w="597" w:type="pct"/>
                  <w:noWrap w:val="0"/>
                  <w:vAlign w:val="center"/>
                </w:tcPr>
                <w:p w14:paraId="156BAB8B">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贮存周期</w:t>
                  </w:r>
                </w:p>
              </w:tc>
            </w:tr>
            <w:tr w14:paraId="1FA66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pct"/>
                  <w:noWrap w:val="0"/>
                  <w:vAlign w:val="center"/>
                </w:tcPr>
                <w:p w14:paraId="616E489B">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一般固废间</w:t>
                  </w:r>
                </w:p>
              </w:tc>
              <w:tc>
                <w:tcPr>
                  <w:tcW w:w="751" w:type="pct"/>
                  <w:noWrap w:val="0"/>
                  <w:vAlign w:val="center"/>
                </w:tcPr>
                <w:p w14:paraId="707EF925">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eastAsia="宋体" w:cs="Times New Roman"/>
                      <w:color w:val="auto"/>
                      <w:lang w:val="en-US" w:eastAsia="zh-CN"/>
                    </w:rPr>
                    <w:t>生产车间</w:t>
                  </w:r>
                  <w:r>
                    <w:rPr>
                      <w:rFonts w:hint="eastAsia" w:cs="Times New Roman"/>
                      <w:color w:val="auto"/>
                      <w:lang w:val="en-US" w:eastAsia="zh-CN"/>
                    </w:rPr>
                    <w:t>东南角</w:t>
                  </w:r>
                </w:p>
              </w:tc>
              <w:tc>
                <w:tcPr>
                  <w:tcW w:w="753" w:type="pct"/>
                  <w:noWrap w:val="0"/>
                  <w:vAlign w:val="center"/>
                </w:tcPr>
                <w:p w14:paraId="493FE7E4">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lang w:val="en-US" w:eastAsia="zh-CN"/>
                    </w:rPr>
                    <w:t>20</w:t>
                  </w:r>
                  <w:r>
                    <w:rPr>
                      <w:rFonts w:hint="default" w:cs="Times New Roman"/>
                      <w:color w:val="auto"/>
                    </w:rPr>
                    <w:t>m</w:t>
                  </w:r>
                  <w:r>
                    <w:rPr>
                      <w:rFonts w:hint="default" w:cs="Times New Roman"/>
                      <w:color w:val="auto"/>
                      <w:vertAlign w:val="superscript"/>
                    </w:rPr>
                    <w:t>2</w:t>
                  </w:r>
                </w:p>
              </w:tc>
              <w:tc>
                <w:tcPr>
                  <w:tcW w:w="1291" w:type="pct"/>
                  <w:noWrap w:val="0"/>
                  <w:vAlign w:val="center"/>
                </w:tcPr>
                <w:p w14:paraId="0B4501EB">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采用符合要求的器具盛载，并贴标签</w:t>
                  </w:r>
                  <w:r>
                    <w:rPr>
                      <w:rFonts w:hint="eastAsia" w:cs="Times New Roman"/>
                      <w:color w:val="auto"/>
                    </w:rPr>
                    <w:t>，堆存高度按1.5m计</w:t>
                  </w:r>
                </w:p>
              </w:tc>
              <w:tc>
                <w:tcPr>
                  <w:tcW w:w="704" w:type="pct"/>
                  <w:noWrap w:val="0"/>
                  <w:vAlign w:val="center"/>
                </w:tcPr>
                <w:p w14:paraId="25D60EE3">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lang w:val="en-US" w:eastAsia="zh-CN"/>
                    </w:rPr>
                    <w:t>50</w:t>
                  </w:r>
                  <w:r>
                    <w:rPr>
                      <w:rFonts w:hint="default" w:cs="Times New Roman"/>
                      <w:color w:val="auto"/>
                    </w:rPr>
                    <w:t>t</w:t>
                  </w:r>
                </w:p>
              </w:tc>
              <w:tc>
                <w:tcPr>
                  <w:tcW w:w="597" w:type="pct"/>
                  <w:noWrap w:val="0"/>
                  <w:vAlign w:val="center"/>
                </w:tcPr>
                <w:p w14:paraId="7E221ECF">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lang w:val="en-US" w:eastAsia="zh-CN"/>
                    </w:rPr>
                    <w:t>月</w:t>
                  </w:r>
                </w:p>
              </w:tc>
            </w:tr>
          </w:tbl>
          <w:p w14:paraId="1A2465AE">
            <w:pPr>
              <w:keepNext w:val="0"/>
              <w:keepLines w:val="0"/>
              <w:suppressLineNumbers w:val="0"/>
              <w:bidi w:val="0"/>
              <w:spacing w:before="0" w:beforeAutospacing="0" w:after="0" w:afterAutospacing="0"/>
              <w:ind w:left="0" w:leftChars="0" w:right="0" w:firstLine="0" w:firstLineChars="0"/>
              <w:rPr>
                <w:rFonts w:hint="default" w:cs="Times New Roman"/>
                <w:color w:val="auto"/>
              </w:rPr>
            </w:pPr>
          </w:p>
        </w:tc>
      </w:tr>
    </w:tbl>
    <w:p w14:paraId="588C7463">
      <w:pPr>
        <w:adjustRightInd w:val="0"/>
        <w:snapToGrid w:val="0"/>
        <w:spacing w:line="360" w:lineRule="auto"/>
        <w:rPr>
          <w:rFonts w:hint="eastAsia" w:ascii="宋体" w:cs="宋体"/>
          <w:b/>
          <w:color w:val="auto"/>
          <w:kern w:val="0"/>
          <w:sz w:val="28"/>
          <w:szCs w:val="28"/>
        </w:rPr>
        <w:sectPr>
          <w:pgSz w:w="16840" w:h="11907" w:orient="landscape"/>
          <w:pgMar w:top="1304" w:right="1417" w:bottom="1304"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867"/>
      </w:tblGrid>
      <w:tr w14:paraId="37C2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noWrap w:val="0"/>
            <w:vAlign w:val="top"/>
          </w:tcPr>
          <w:p w14:paraId="21385E9D">
            <w:pPr>
              <w:keepNext w:val="0"/>
              <w:keepLines w:val="0"/>
              <w:suppressLineNumbers w:val="0"/>
              <w:adjustRightInd w:val="0"/>
              <w:snapToGrid w:val="0"/>
              <w:spacing w:before="0" w:beforeAutospacing="0" w:after="0" w:afterAutospacing="0" w:line="360" w:lineRule="auto"/>
              <w:ind w:left="0" w:right="0"/>
              <w:rPr>
                <w:rFonts w:hint="eastAsia" w:ascii="宋体" w:cs="宋体"/>
                <w:b/>
                <w:color w:val="auto"/>
                <w:kern w:val="0"/>
                <w:sz w:val="28"/>
                <w:szCs w:val="28"/>
                <w:vertAlign w:val="baseline"/>
              </w:rPr>
            </w:pPr>
          </w:p>
        </w:tc>
        <w:tc>
          <w:tcPr>
            <w:tcW w:w="8867" w:type="dxa"/>
            <w:noWrap w:val="0"/>
            <w:vAlign w:val="top"/>
          </w:tcPr>
          <w:p w14:paraId="330AA230">
            <w:pPr>
              <w:pStyle w:val="4"/>
              <w:keepNext w:val="0"/>
              <w:keepLines w:val="0"/>
              <w:suppressLineNumbers w:val="0"/>
              <w:bidi w:val="0"/>
              <w:ind w:left="0" w:right="0"/>
              <w:rPr>
                <w:rFonts w:hint="default"/>
                <w:color w:val="auto"/>
              </w:rPr>
            </w:pPr>
            <w:r>
              <w:rPr>
                <w:rFonts w:hint="eastAsia"/>
                <w:color w:val="auto"/>
              </w:rPr>
              <w:t>固体废物影响分析</w:t>
            </w:r>
          </w:p>
          <w:p w14:paraId="74932264">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一般工业固废和危险废物按不同性质分类收集、</w:t>
            </w:r>
            <w:r>
              <w:rPr>
                <w:rFonts w:hint="eastAsia" w:cs="Times New Roman"/>
                <w:color w:val="auto"/>
                <w:lang w:val="en-US" w:eastAsia="zh-CN"/>
              </w:rPr>
              <w:t>分区存放，</w:t>
            </w:r>
            <w:r>
              <w:rPr>
                <w:rFonts w:hint="eastAsia" w:cs="Times New Roman"/>
                <w:color w:val="auto"/>
              </w:rPr>
              <w:t>合理处置。</w:t>
            </w:r>
            <w:r>
              <w:rPr>
                <w:rFonts w:hint="eastAsia" w:cs="Times New Roman"/>
                <w:color w:val="auto"/>
                <w:lang w:eastAsia="zh-CN"/>
              </w:rPr>
              <w:t>不合格品、废包装材料</w:t>
            </w:r>
            <w:r>
              <w:rPr>
                <w:rFonts w:hint="eastAsia" w:cs="Times New Roman"/>
                <w:color w:val="auto"/>
              </w:rPr>
              <w:t>在厂区一般固废贮存间暂存，定期外售综合利用；</w:t>
            </w:r>
            <w:r>
              <w:rPr>
                <w:rFonts w:hint="eastAsia" w:cs="Times New Roman"/>
                <w:color w:val="auto"/>
                <w:lang w:eastAsia="zh-CN"/>
              </w:rPr>
              <w:t>废润滑油、废油桶、含油抹布及手套、废液压油</w:t>
            </w:r>
            <w:r>
              <w:rPr>
                <w:rFonts w:hint="eastAsia" w:cs="Times New Roman"/>
                <w:color w:val="auto"/>
              </w:rPr>
              <w:t>在厂区</w:t>
            </w:r>
            <w:r>
              <w:rPr>
                <w:rFonts w:hint="eastAsia" w:cs="Times New Roman"/>
                <w:color w:val="auto"/>
                <w:lang w:eastAsia="zh-CN"/>
              </w:rPr>
              <w:t>危废暂存间</w:t>
            </w:r>
            <w:r>
              <w:rPr>
                <w:rFonts w:hint="eastAsia" w:cs="Times New Roman"/>
                <w:color w:val="auto"/>
              </w:rPr>
              <w:t>暂存，并委托有资质单位处置</w:t>
            </w:r>
            <w:r>
              <w:rPr>
                <w:rFonts w:hint="eastAsia" w:cs="Times New Roman"/>
                <w:color w:val="auto"/>
                <w:lang w:eastAsia="zh-CN"/>
              </w:rPr>
              <w:t>；</w:t>
            </w:r>
            <w:r>
              <w:rPr>
                <w:rFonts w:hint="eastAsia" w:cs="Times New Roman"/>
                <w:color w:val="auto"/>
              </w:rPr>
              <w:t>职工生活垃圾分类收集，委托区域环卫部门统一清运处理。</w:t>
            </w:r>
          </w:p>
          <w:p w14:paraId="761AF04B">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通过采取上述处理措施，项目产生的固体废物均可得到妥善处理，不会对周围环境产生不良影响。</w:t>
            </w:r>
          </w:p>
          <w:p w14:paraId="21742C6A">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危险废物暂存场所环境影响分析</w:t>
            </w:r>
          </w:p>
          <w:p w14:paraId="57B37E6A">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本项目危废暂存场所应</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lang w:eastAsia="zh-CN"/>
              </w:rPr>
              <w:t>《危险废物贮存污染控制标准》(GB18597-2023)的要求进行建设，采取必要的防风、防晒、防雨、防漏、防渗、防腐以及其他环境污染防治措施。</w:t>
            </w:r>
            <w:r>
              <w:rPr>
                <w:rFonts w:hint="eastAsia" w:ascii="Times New Roman" w:hAnsi="Times New Roman" w:eastAsia="宋体" w:cs="Times New Roman"/>
                <w:color w:val="auto"/>
                <w:sz w:val="24"/>
                <w:szCs w:val="24"/>
                <w:highlight w:val="none"/>
                <w:lang w:eastAsia="zh-CN"/>
              </w:rPr>
              <w:t>具体要求如下：</w:t>
            </w:r>
          </w:p>
          <w:p w14:paraId="2AD1E6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1）危险废物暂存间污染防治措施应满足以下要求：</w:t>
            </w:r>
          </w:p>
          <w:p w14:paraId="26DC9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lang w:val="en-US" w:eastAsia="zh-CN"/>
              </w:rPr>
              <w:t>①</w:t>
            </w:r>
            <w:r>
              <w:rPr>
                <w:rFonts w:hint="eastAsia" w:ascii="Times New Roman" w:hAnsi="Times New Roman" w:eastAsia="宋体" w:cs="Times New Roman"/>
                <w:color w:val="auto"/>
                <w:sz w:val="24"/>
                <w:szCs w:val="24"/>
                <w:lang w:val="en-US" w:eastAsia="zh-CN"/>
              </w:rPr>
              <w:t>贮存设施或贮存分区内地面、墙面</w:t>
            </w:r>
            <w:r>
              <w:rPr>
                <w:rFonts w:hint="eastAsia" w:cs="Times New Roman"/>
                <w:color w:val="auto"/>
                <w:sz w:val="24"/>
                <w:szCs w:val="24"/>
                <w:lang w:val="en-US" w:eastAsia="zh-CN"/>
              </w:rPr>
              <w:t>裙角</w:t>
            </w:r>
            <w:r>
              <w:rPr>
                <w:rFonts w:hint="eastAsia" w:ascii="Times New Roman" w:hAnsi="Times New Roman" w:eastAsia="宋体" w:cs="Times New Roman"/>
                <w:color w:val="auto"/>
                <w:sz w:val="24"/>
                <w:szCs w:val="24"/>
                <w:lang w:val="en-US" w:eastAsia="zh-CN"/>
              </w:rPr>
              <w:t>、堵截泄漏的围堰、接触危险废物的隔板和墙体等应采用坚固的材料建造，表面无裂缝。</w:t>
            </w:r>
          </w:p>
          <w:p w14:paraId="59B7F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eastAsia" w:ascii="宋体" w:hAnsi="宋体" w:eastAsia="宋体" w:cs="宋体"/>
                <w:color w:val="auto"/>
                <w:sz w:val="24"/>
                <w:szCs w:val="24"/>
                <w:lang w:val="en-US" w:eastAsia="zh-CN"/>
              </w:rPr>
              <w:t>②</w:t>
            </w:r>
            <w:r>
              <w:rPr>
                <w:rFonts w:hint="eastAsia" w:ascii="Times New Roman" w:hAnsi="Times New Roman" w:eastAsia="宋体" w:cs="Times New Roman"/>
                <w:color w:val="auto"/>
                <w:sz w:val="24"/>
                <w:szCs w:val="24"/>
                <w:lang w:val="en-US" w:eastAsia="zh-CN"/>
              </w:rPr>
              <w:t xml:space="preserve">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w:t>
            </w:r>
            <w:r>
              <w:rPr>
                <w:rFonts w:hint="default" w:ascii="Times New Roman" w:hAnsi="Times New Roman" w:eastAsia="宋体" w:cs="Times New Roman"/>
                <w:color w:val="auto"/>
                <w:sz w:val="24"/>
                <w:szCs w:val="24"/>
                <w:lang w:val="en-US" w:eastAsia="zh-CN"/>
              </w:rPr>
              <w:t xml:space="preserve">1 m </w:t>
            </w:r>
            <w:r>
              <w:rPr>
                <w:rFonts w:hint="eastAsia" w:ascii="Times New Roman" w:hAnsi="Times New Roman" w:eastAsia="宋体" w:cs="Times New Roman"/>
                <w:color w:val="auto"/>
                <w:sz w:val="24"/>
                <w:szCs w:val="24"/>
                <w:lang w:val="en-US" w:eastAsia="zh-CN"/>
              </w:rPr>
              <w:t xml:space="preserve">厚黏土层（渗透系数不大于 </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 xml:space="preserve"> -7 </w:t>
            </w:r>
            <w:r>
              <w:rPr>
                <w:rFonts w:hint="default" w:ascii="Times New Roman" w:hAnsi="Times New Roman" w:eastAsia="宋体" w:cs="Times New Roman"/>
                <w:color w:val="auto"/>
                <w:sz w:val="24"/>
                <w:szCs w:val="24"/>
                <w:lang w:val="en-US" w:eastAsia="zh-CN"/>
              </w:rPr>
              <w:t>cm/s</w:t>
            </w:r>
            <w:r>
              <w:rPr>
                <w:rFonts w:hint="eastAsia" w:ascii="Times New Roman" w:hAnsi="Times New Roman" w:eastAsia="宋体" w:cs="Times New Roman"/>
                <w:color w:val="auto"/>
                <w:sz w:val="24"/>
                <w:szCs w:val="24"/>
                <w:lang w:val="en-US" w:eastAsia="zh-CN"/>
              </w:rPr>
              <w:t>），或至少</w:t>
            </w:r>
            <w:r>
              <w:rPr>
                <w:rFonts w:hint="default" w:ascii="Times New Roman" w:hAnsi="Times New Roman" w:eastAsia="宋体" w:cs="Times New Roman"/>
                <w:color w:val="auto"/>
                <w:sz w:val="24"/>
                <w:szCs w:val="24"/>
                <w:lang w:val="en-US" w:eastAsia="zh-CN"/>
              </w:rPr>
              <w:t xml:space="preserve">2 mm </w:t>
            </w:r>
            <w:r>
              <w:rPr>
                <w:rFonts w:hint="eastAsia" w:ascii="Times New Roman" w:hAnsi="Times New Roman" w:eastAsia="宋体" w:cs="Times New Roman"/>
                <w:color w:val="auto"/>
                <w:sz w:val="24"/>
                <w:szCs w:val="24"/>
                <w:lang w:val="en-US" w:eastAsia="zh-CN"/>
              </w:rPr>
              <w:t xml:space="preserve">厚高密度聚乙烯膜等人工防渗材料（渗透系数不大于 </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 xml:space="preserve"> -10</w:t>
            </w:r>
            <w:r>
              <w:rPr>
                <w:rFonts w:hint="default" w:ascii="Times New Roman" w:hAnsi="Times New Roman" w:eastAsia="宋体" w:cs="Times New Roman"/>
                <w:color w:val="auto"/>
                <w:sz w:val="24"/>
                <w:szCs w:val="24"/>
                <w:lang w:val="en-US" w:eastAsia="zh-CN"/>
              </w:rPr>
              <w:t xml:space="preserve"> cm/s</w:t>
            </w:r>
            <w:r>
              <w:rPr>
                <w:rFonts w:hint="eastAsia" w:ascii="Times New Roman" w:hAnsi="Times New Roman" w:eastAsia="宋体" w:cs="Times New Roman"/>
                <w:color w:val="auto"/>
                <w:sz w:val="24"/>
                <w:szCs w:val="24"/>
                <w:lang w:val="en-US" w:eastAsia="zh-CN"/>
              </w:rPr>
              <w:t xml:space="preserve">），或其他防渗性能等效的材料。 </w:t>
            </w:r>
          </w:p>
          <w:p w14:paraId="3FA8B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lang w:val="en-US" w:eastAsia="zh-CN"/>
              </w:rPr>
              <w:t>③</w:t>
            </w:r>
            <w:r>
              <w:rPr>
                <w:rFonts w:hint="eastAsia" w:ascii="Times New Roman" w:hAnsi="Times New Roman" w:eastAsia="宋体" w:cs="Times New Roman"/>
                <w:color w:val="auto"/>
                <w:sz w:val="24"/>
                <w:szCs w:val="24"/>
                <w:lang w:val="en-US" w:eastAsia="zh-CN"/>
              </w:rPr>
              <w:t xml:space="preserve">同一贮存设施宜采用相同的防渗、防腐工艺（包括防渗、防腐结构或材料），防渗、防腐材料应覆盖所有可能与废物及其渗滤液、渗漏液等接触的构筑物表面；采用不同防渗、防腐工艺应分别建设贮存分区。 </w:t>
            </w:r>
          </w:p>
          <w:p w14:paraId="6120C7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auto"/>
                <w:kern w:val="24"/>
                <w:sz w:val="24"/>
                <w:szCs w:val="24"/>
              </w:rPr>
            </w:pPr>
            <w:r>
              <w:rPr>
                <w:rFonts w:hint="default" w:cs="Times New Roman"/>
                <w:color w:val="auto"/>
                <w:sz w:val="24"/>
                <w:szCs w:val="24"/>
              </w:rPr>
              <w:t>本项目</w:t>
            </w:r>
            <w:r>
              <w:rPr>
                <w:rFonts w:hint="default" w:cs="Times New Roman"/>
                <w:color w:val="auto"/>
                <w:kern w:val="24"/>
                <w:sz w:val="24"/>
                <w:szCs w:val="24"/>
              </w:rPr>
              <w:t>危险废物暂存场所应按照</w:t>
            </w:r>
            <w:r>
              <w:rPr>
                <w:rFonts w:hint="default" w:ascii="Times New Roman" w:hAnsi="Times New Roman" w:eastAsia="宋体" w:cs="Times New Roman"/>
                <w:color w:val="auto"/>
                <w:sz w:val="24"/>
                <w:szCs w:val="24"/>
                <w:lang w:eastAsia="zh-CN"/>
              </w:rPr>
              <w:t>《危险废物贮存污染控制标准》(GB18597-2023)</w:t>
            </w:r>
            <w:r>
              <w:rPr>
                <w:rFonts w:hint="default" w:cs="Times New Roman"/>
                <w:color w:val="auto"/>
                <w:kern w:val="24"/>
                <w:sz w:val="24"/>
                <w:szCs w:val="24"/>
              </w:rPr>
              <w:t>的规定设置，通过规范设置危废暂存场所，可以保障危险废物暂存过程对周边环境不产生影响。</w:t>
            </w:r>
          </w:p>
          <w:p w14:paraId="355DB90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)委托利用或者处置的环境影响分析</w:t>
            </w:r>
          </w:p>
          <w:p w14:paraId="090424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auto"/>
                <w:sz w:val="24"/>
                <w:szCs w:val="24"/>
              </w:rPr>
            </w:pPr>
            <w:r>
              <w:rPr>
                <w:rFonts w:hint="default" w:cs="Times New Roman"/>
                <w:color w:val="auto"/>
                <w:sz w:val="24"/>
                <w:szCs w:val="24"/>
              </w:rPr>
              <w:t>本项目危险废物委托有资质单位处置，要求建设单位在项目与有处理资质的单位签订委托处理协议，定期委托处理。建设单位应优先与</w:t>
            </w:r>
            <w:r>
              <w:rPr>
                <w:rFonts w:hint="eastAsia" w:cs="Times New Roman"/>
                <w:color w:val="auto"/>
                <w:sz w:val="24"/>
                <w:szCs w:val="24"/>
                <w:lang w:eastAsia="zh-CN"/>
              </w:rPr>
              <w:t>福清</w:t>
            </w:r>
            <w:r>
              <w:rPr>
                <w:rFonts w:hint="default" w:cs="Times New Roman"/>
                <w:color w:val="auto"/>
                <w:sz w:val="24"/>
                <w:szCs w:val="24"/>
              </w:rPr>
              <w:t>及周边地区范围内的危废处置单位签订委托处置协议，委托资质单位处理后，项目产生的危险废物将对周边环境不会产生影响。</w:t>
            </w:r>
          </w:p>
          <w:p w14:paraId="6E6561B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固体废物运输过程的环境影响分析</w:t>
            </w:r>
          </w:p>
          <w:p w14:paraId="78F8BB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auto"/>
                <w:sz w:val="24"/>
                <w:szCs w:val="24"/>
                <w:lang w:val="zh-CN"/>
              </w:rPr>
            </w:pPr>
            <w:r>
              <w:rPr>
                <w:rFonts w:hint="default" w:cs="Times New Roman"/>
                <w:color w:val="auto"/>
                <w:sz w:val="24"/>
                <w:szCs w:val="24"/>
                <w:lang w:val="zh-CN"/>
              </w:rPr>
              <w:t>厂区内</w:t>
            </w:r>
            <w:r>
              <w:rPr>
                <w:rFonts w:hint="eastAsia" w:cs="Times New Roman"/>
                <w:color w:val="auto"/>
                <w:sz w:val="24"/>
                <w:szCs w:val="24"/>
                <w:lang w:val="zh-CN"/>
              </w:rPr>
              <w:t>生产</w:t>
            </w:r>
            <w:r>
              <w:rPr>
                <w:rFonts w:hint="default" w:cs="Times New Roman"/>
                <w:color w:val="auto"/>
                <w:sz w:val="24"/>
                <w:szCs w:val="24"/>
                <w:lang w:val="zh-CN"/>
              </w:rPr>
              <w:t>工艺环节运输到贮存场所可能产生散落、泄漏所引起的环境影响项目产生的危废从产生点到暂存场所运输过程中不遗漏、散落，厂区将制定严格的危险废物转运制度，正常情况下不会对厂区内部及厂区以外的环境产生不利影响。在事故状态下，可能导致危险废物转运过程散落，可能对厂区土壤以及地下水</w:t>
            </w:r>
            <w:r>
              <w:rPr>
                <w:rFonts w:hint="eastAsia" w:cs="Times New Roman"/>
                <w:color w:val="auto"/>
                <w:sz w:val="24"/>
                <w:szCs w:val="24"/>
                <w:lang w:val="zh-CN"/>
              </w:rPr>
              <w:t>产生</w:t>
            </w:r>
            <w:r>
              <w:rPr>
                <w:rFonts w:hint="default" w:cs="Times New Roman"/>
                <w:color w:val="auto"/>
                <w:sz w:val="24"/>
                <w:szCs w:val="24"/>
                <w:lang w:val="zh-CN"/>
              </w:rPr>
              <w:t>一定影响。</w:t>
            </w:r>
          </w:p>
          <w:p w14:paraId="18248D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b/>
                <w:bCs/>
                <w:color w:val="auto"/>
                <w:sz w:val="24"/>
                <w:szCs w:val="24"/>
                <w:lang w:val="zh-CN"/>
              </w:rPr>
            </w:pPr>
            <w:r>
              <w:rPr>
                <w:rFonts w:hint="eastAsia" w:cs="Times New Roman"/>
                <w:b/>
                <w:bCs/>
                <w:color w:val="auto"/>
                <w:sz w:val="24"/>
                <w:highlight w:val="none"/>
                <w:lang w:val="en-US" w:eastAsia="zh-CN"/>
              </w:rPr>
              <w:t>(4)</w:t>
            </w:r>
            <w:r>
              <w:rPr>
                <w:rFonts w:hint="default" w:cs="Times New Roman"/>
                <w:b/>
                <w:bCs/>
                <w:color w:val="auto"/>
                <w:sz w:val="24"/>
                <w:szCs w:val="24"/>
                <w:lang w:val="zh-CN"/>
              </w:rPr>
              <w:t>运输沿线环境敏感点的环境影响</w:t>
            </w:r>
          </w:p>
          <w:p w14:paraId="64753F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color w:val="auto"/>
                <w:sz w:val="24"/>
                <w:szCs w:val="24"/>
                <w:lang w:val="zh-CN"/>
              </w:rPr>
            </w:pPr>
            <w:r>
              <w:rPr>
                <w:rFonts w:hint="default" w:cs="Times New Roman"/>
                <w:color w:val="auto"/>
                <w:sz w:val="24"/>
                <w:szCs w:val="24"/>
                <w:lang w:val="zh-CN"/>
              </w:rPr>
              <w:t>厂外运输由获得危险货物运输资质的单位承担，采用公路运输，按照《道路危险货物运输管理规定》(</w:t>
            </w:r>
            <w:r>
              <w:rPr>
                <w:rFonts w:hint="eastAsia" w:cs="Times New Roman"/>
                <w:color w:val="auto"/>
                <w:sz w:val="24"/>
                <w:szCs w:val="24"/>
                <w:lang w:val="zh-CN"/>
              </w:rPr>
              <w:t>交通运输部</w:t>
            </w:r>
            <w:r>
              <w:rPr>
                <w:rFonts w:hint="default" w:cs="Times New Roman"/>
                <w:color w:val="auto"/>
                <w:sz w:val="24"/>
                <w:szCs w:val="24"/>
                <w:lang w:val="zh-CN"/>
              </w:rPr>
              <w:t>令2013年第2号)、JT617以及JT618相关要求执行制定了运输路线。</w:t>
            </w:r>
          </w:p>
          <w:p w14:paraId="0858B0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 xml:space="preserve">(5)危险废物贮存设施的运行环境管理要求 </w:t>
            </w:r>
          </w:p>
          <w:p w14:paraId="2B60B9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rPr>
            </w:pPr>
            <w:r>
              <w:rPr>
                <w:rFonts w:hint="eastAsia" w:ascii="宋体" w:hAnsi="宋体" w:eastAsia="宋体" w:cs="宋体"/>
                <w:color w:val="auto"/>
                <w:sz w:val="24"/>
                <w:szCs w:val="24"/>
                <w:lang w:val="en-US" w:eastAsia="zh-CN"/>
              </w:rPr>
              <w:t>①</w:t>
            </w:r>
            <w:r>
              <w:rPr>
                <w:rFonts w:hint="eastAsia" w:ascii="Times New Roman" w:hAnsi="Times New Roman" w:eastAsia="宋体" w:cs="Times New Roman"/>
                <w:color w:val="auto"/>
                <w:kern w:val="24"/>
                <w:sz w:val="24"/>
                <w:szCs w:val="24"/>
                <w:lang w:val="en-US" w:eastAsia="zh-CN"/>
              </w:rPr>
              <w:t xml:space="preserve">危险废物存入贮存设施前应对危险废物类别和特性与危险废物标签等危险废物识别标志的一致性进行核验，不一致的或类别、特性不明的不应存入。 </w:t>
            </w:r>
          </w:p>
          <w:p w14:paraId="31057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rPr>
            </w:pPr>
            <w:r>
              <w:rPr>
                <w:rFonts w:hint="eastAsia" w:ascii="宋体" w:hAnsi="宋体" w:eastAsia="宋体" w:cs="宋体"/>
                <w:color w:val="auto"/>
                <w:sz w:val="24"/>
                <w:szCs w:val="24"/>
                <w:lang w:val="en-US" w:eastAsia="zh-CN"/>
              </w:rPr>
              <w:t>②</w:t>
            </w:r>
            <w:r>
              <w:rPr>
                <w:rFonts w:hint="eastAsia" w:ascii="Times New Roman" w:hAnsi="Times New Roman" w:eastAsia="宋体" w:cs="Times New Roman"/>
                <w:color w:val="auto"/>
                <w:kern w:val="24"/>
                <w:sz w:val="24"/>
                <w:szCs w:val="24"/>
                <w:lang w:val="en-US" w:eastAsia="zh-CN"/>
              </w:rPr>
              <w:t>应定期检查危险废物的贮存状况，及时清理贮存设施地面，更换破损泄漏的危险废物贮存容器和包装物，保证堆存危险废物的防雨、防风、防扬尘等设施功能完好，</w:t>
            </w:r>
            <w:r>
              <w:rPr>
                <w:rFonts w:hint="eastAsia" w:ascii="Times New Roman" w:hAnsi="Times New Roman" w:eastAsia="宋体" w:cs="Times New Roman"/>
                <w:color w:val="auto"/>
                <w:kern w:val="24"/>
                <w:sz w:val="24"/>
                <w:szCs w:val="24"/>
                <w:highlight w:val="none"/>
                <w:lang w:val="en-US" w:eastAsia="zh-CN"/>
              </w:rPr>
              <w:t>危废间的门除</w:t>
            </w:r>
            <w:r>
              <w:rPr>
                <w:rFonts w:hint="eastAsia" w:cs="Times New Roman"/>
                <w:color w:val="auto"/>
                <w:kern w:val="24"/>
                <w:sz w:val="24"/>
                <w:szCs w:val="24"/>
                <w:highlight w:val="none"/>
                <w:lang w:val="en-US" w:eastAsia="zh-CN"/>
              </w:rPr>
              <w:t>出入口</w:t>
            </w:r>
            <w:r>
              <w:rPr>
                <w:rFonts w:hint="eastAsia" w:ascii="Times New Roman" w:hAnsi="Times New Roman" w:eastAsia="宋体" w:cs="Times New Roman"/>
                <w:color w:val="auto"/>
                <w:kern w:val="24"/>
                <w:sz w:val="24"/>
                <w:szCs w:val="24"/>
                <w:highlight w:val="none"/>
                <w:lang w:val="en-US" w:eastAsia="zh-CN"/>
              </w:rPr>
              <w:t>外，应保持关闭状态</w:t>
            </w:r>
            <w:r>
              <w:rPr>
                <w:rFonts w:hint="eastAsia" w:ascii="Times New Roman" w:hAnsi="Times New Roman" w:eastAsia="宋体" w:cs="Times New Roman"/>
                <w:color w:val="auto"/>
                <w:sz w:val="24"/>
                <w:szCs w:val="24"/>
                <w:highlight w:val="none"/>
                <w:lang w:val="en-US" w:eastAsia="zh-CN"/>
              </w:rPr>
              <w:t>。</w:t>
            </w:r>
          </w:p>
          <w:p w14:paraId="75499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rPr>
            </w:pPr>
            <w:r>
              <w:rPr>
                <w:rFonts w:hint="eastAsia" w:ascii="宋体" w:hAnsi="宋体" w:eastAsia="宋体" w:cs="宋体"/>
                <w:color w:val="auto"/>
                <w:sz w:val="24"/>
                <w:szCs w:val="24"/>
                <w:lang w:val="en-US" w:eastAsia="zh-CN"/>
              </w:rPr>
              <w:t>③</w:t>
            </w:r>
            <w:r>
              <w:rPr>
                <w:rFonts w:hint="eastAsia" w:ascii="Times New Roman" w:hAnsi="Times New Roman" w:eastAsia="宋体" w:cs="Times New Roman"/>
                <w:color w:val="auto"/>
                <w:kern w:val="24"/>
                <w:sz w:val="24"/>
                <w:szCs w:val="24"/>
                <w:lang w:val="en-US" w:eastAsia="zh-CN"/>
              </w:rPr>
              <w:t>作业设备及车辆等结束作业离开贮存设施时，应对其残留的危险废物进行清理，清理的废物应收集处理。</w:t>
            </w:r>
          </w:p>
          <w:p w14:paraId="7AD0B2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rPr>
            </w:pPr>
            <w:r>
              <w:rPr>
                <w:rFonts w:hint="eastAsia" w:ascii="宋体" w:hAnsi="宋体" w:eastAsia="宋体" w:cs="宋体"/>
                <w:color w:val="auto"/>
                <w:kern w:val="24"/>
                <w:sz w:val="24"/>
                <w:szCs w:val="24"/>
                <w:lang w:val="en-US" w:eastAsia="zh-CN"/>
              </w:rPr>
              <w:t>④</w:t>
            </w:r>
            <w:r>
              <w:rPr>
                <w:rFonts w:hint="eastAsia" w:ascii="Times New Roman" w:hAnsi="Times New Roman" w:eastAsia="宋体" w:cs="Times New Roman"/>
                <w:color w:val="auto"/>
                <w:kern w:val="24"/>
                <w:sz w:val="24"/>
                <w:szCs w:val="24"/>
                <w:lang w:val="en-US" w:eastAsia="zh-CN"/>
              </w:rPr>
              <w:t xml:space="preserve">贮存设施运行期间，应按国家有关标准和规定建立危险废物管理台账并保存。 </w:t>
            </w:r>
          </w:p>
          <w:p w14:paraId="075CC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rPr>
            </w:pPr>
            <w:r>
              <w:rPr>
                <w:rFonts w:hint="eastAsia" w:ascii="宋体" w:hAnsi="宋体" w:eastAsia="宋体" w:cs="宋体"/>
                <w:color w:val="auto"/>
                <w:kern w:val="24"/>
                <w:sz w:val="24"/>
                <w:szCs w:val="24"/>
                <w:lang w:val="en-US" w:eastAsia="zh-CN"/>
              </w:rPr>
              <w:t>⑤</w:t>
            </w:r>
            <w:r>
              <w:rPr>
                <w:rFonts w:hint="eastAsia" w:ascii="Times New Roman" w:hAnsi="Times New Roman" w:eastAsia="宋体" w:cs="Times New Roman"/>
                <w:color w:val="auto"/>
                <w:kern w:val="24"/>
                <w:sz w:val="24"/>
                <w:szCs w:val="24"/>
                <w:lang w:val="en-US" w:eastAsia="zh-CN"/>
              </w:rPr>
              <w:t xml:space="preserve">贮存设施所有者或运营者应建立贮存设施环境管理制度、管理人员岗位职责制度、设施运行操作制度、人员岗位培训制度等。 </w:t>
            </w:r>
          </w:p>
          <w:p w14:paraId="313D6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4"/>
                <w:sz w:val="24"/>
                <w:szCs w:val="24"/>
              </w:rPr>
            </w:pPr>
            <w:r>
              <w:rPr>
                <w:rFonts w:hint="eastAsia" w:ascii="宋体" w:hAnsi="宋体" w:eastAsia="宋体" w:cs="宋体"/>
                <w:color w:val="auto"/>
                <w:kern w:val="24"/>
                <w:sz w:val="24"/>
                <w:szCs w:val="24"/>
                <w:lang w:val="en-US" w:eastAsia="zh-CN"/>
              </w:rPr>
              <w:t>⑥</w:t>
            </w:r>
            <w:r>
              <w:rPr>
                <w:rFonts w:hint="eastAsia" w:ascii="Times New Roman" w:hAnsi="Times New Roman" w:eastAsia="宋体" w:cs="Times New Roman"/>
                <w:color w:val="auto"/>
                <w:kern w:val="24"/>
                <w:sz w:val="24"/>
                <w:szCs w:val="24"/>
                <w:lang w:val="en-US" w:eastAsia="zh-CN"/>
              </w:rPr>
              <w:t xml:space="preserve"> 贮存设施所有者或运营者应建立贮存设施全部档案，包括设计、施工、验收、运行、监测和环境应急等，应按国家有关档案管理的法律法规进行整理和归档。</w:t>
            </w:r>
          </w:p>
          <w:p w14:paraId="50CCB6D0">
            <w:pPr>
              <w:pStyle w:val="4"/>
              <w:keepNext w:val="0"/>
              <w:keepLines w:val="0"/>
              <w:suppressLineNumbers w:val="0"/>
              <w:ind w:left="0" w:right="0"/>
              <w:rPr>
                <w:rFonts w:hint="eastAsia"/>
                <w:color w:val="auto"/>
              </w:rPr>
            </w:pPr>
            <w:r>
              <w:rPr>
                <w:rFonts w:hint="eastAsia"/>
                <w:color w:val="auto"/>
              </w:rPr>
              <w:t>管理要求</w:t>
            </w:r>
          </w:p>
          <w:p w14:paraId="005FBB59">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w:t>
            </w:r>
            <w:r>
              <w:rPr>
                <w:rFonts w:hint="default" w:cs="Times New Roman"/>
                <w:color w:val="auto"/>
              </w:rPr>
              <w:t>1</w:t>
            </w:r>
            <w:r>
              <w:rPr>
                <w:rFonts w:hint="eastAsia" w:cs="Times New Roman"/>
                <w:color w:val="auto"/>
              </w:rPr>
              <w:t>）</w:t>
            </w:r>
            <w:r>
              <w:rPr>
                <w:rFonts w:hint="default" w:cs="Times New Roman"/>
                <w:color w:val="auto"/>
              </w:rPr>
              <w:t>生活垃圾</w:t>
            </w:r>
          </w:p>
          <w:p w14:paraId="545AACFE">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生活垃圾极易腐败发臭，必须定点收集，及时清运或处理。在厂区设置一些垃圾桶。厂区配备专职的清洁人员和必要的工具，负责清扫厂区，维持清洁卫生，生活垃圾收集后</w:t>
            </w:r>
            <w:r>
              <w:rPr>
                <w:rFonts w:hint="eastAsia" w:cs="Times New Roman"/>
                <w:color w:val="auto"/>
              </w:rPr>
              <w:t>委托区域环卫部门统一清运处理</w:t>
            </w:r>
            <w:r>
              <w:rPr>
                <w:rFonts w:hint="default" w:cs="Times New Roman"/>
                <w:color w:val="auto"/>
              </w:rPr>
              <w:t>。</w:t>
            </w:r>
          </w:p>
          <w:p w14:paraId="7754A774">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（2）一般工业固体废物</w:t>
            </w:r>
          </w:p>
          <w:p w14:paraId="26347B90">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项目设置1间一般工业固废贮存间，位于</w:t>
            </w:r>
            <w:r>
              <w:rPr>
                <w:rFonts w:hint="eastAsia" w:cs="Times New Roman"/>
                <w:color w:val="auto"/>
                <w:lang w:eastAsia="zh-CN"/>
              </w:rPr>
              <w:t>车间东南角</w:t>
            </w:r>
            <w:r>
              <w:rPr>
                <w:rFonts w:hint="eastAsia" w:cs="Times New Roman"/>
                <w:color w:val="auto"/>
              </w:rPr>
              <w:t>，面积约</w:t>
            </w:r>
            <w:r>
              <w:rPr>
                <w:rFonts w:hint="eastAsia" w:cs="Times New Roman"/>
                <w:color w:val="auto"/>
                <w:lang w:val="en-US" w:eastAsia="zh-CN"/>
              </w:rPr>
              <w:t>20</w:t>
            </w:r>
            <w:r>
              <w:rPr>
                <w:rFonts w:hint="eastAsia" w:cs="Times New Roman"/>
                <w:color w:val="auto"/>
              </w:rPr>
              <w:t>m</w:t>
            </w:r>
            <w:r>
              <w:rPr>
                <w:rFonts w:hint="eastAsia" w:cs="Times New Roman"/>
                <w:color w:val="auto"/>
                <w:vertAlign w:val="superscript"/>
              </w:rPr>
              <w:t>2</w:t>
            </w:r>
            <w:r>
              <w:rPr>
                <w:rFonts w:hint="eastAsia" w:cs="Times New Roman"/>
                <w:color w:val="auto"/>
                <w:lang w:eastAsia="zh-CN"/>
              </w:rPr>
              <w:t>。项目产生的不合格品、废包装材料</w:t>
            </w:r>
            <w:r>
              <w:rPr>
                <w:rFonts w:hint="eastAsia" w:cs="Times New Roman"/>
                <w:color w:val="auto"/>
              </w:rPr>
              <w:t>分类收集</w:t>
            </w:r>
            <w:r>
              <w:rPr>
                <w:rFonts w:hint="eastAsia" w:cs="Times New Roman"/>
                <w:color w:val="auto"/>
                <w:lang w:eastAsia="zh-CN"/>
              </w:rPr>
              <w:t>，</w:t>
            </w:r>
            <w:r>
              <w:rPr>
                <w:rFonts w:hint="eastAsia" w:cs="Times New Roman"/>
                <w:color w:val="auto"/>
                <w:lang w:val="en-US" w:eastAsia="zh-CN"/>
              </w:rPr>
              <w:t>暂存于一般工业固废贮存间，定期外售综合利用。一般工业固废每月转运一次，项目一般工业固废贮存间可以满足贮存需求。</w:t>
            </w:r>
          </w:p>
          <w:p w14:paraId="667505F8">
            <w:pPr>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rPr>
              <w:t>本评价要求项目产生的一般工业固废应按《一般工业固体废物贮存和填埋污染控制标准》（GB18599-2020）中要求进行规范化的处理处置，并做好防风、防雨、防晒、防渗漏等措施</w:t>
            </w:r>
            <w:r>
              <w:rPr>
                <w:rFonts w:hint="eastAsia" w:cs="Times New Roman"/>
                <w:color w:val="auto"/>
                <w:lang w:eastAsia="zh-CN"/>
              </w:rPr>
              <w:t>。</w:t>
            </w:r>
          </w:p>
          <w:p w14:paraId="76046A5C">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（3）危险废物</w:t>
            </w:r>
          </w:p>
          <w:p w14:paraId="6DC68BC6">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本项目产生的</w:t>
            </w:r>
            <w:r>
              <w:rPr>
                <w:rFonts w:hint="eastAsia" w:cs="Times New Roman"/>
                <w:color w:val="auto"/>
                <w:lang w:eastAsia="zh-CN"/>
              </w:rPr>
              <w:t>废润滑油、废</w:t>
            </w:r>
            <w:r>
              <w:rPr>
                <w:rFonts w:hint="eastAsia" w:cs="Times New Roman"/>
                <w:color w:val="auto"/>
                <w:lang w:val="en-US" w:eastAsia="zh-CN"/>
              </w:rPr>
              <w:t>油</w:t>
            </w:r>
            <w:r>
              <w:rPr>
                <w:rFonts w:hint="eastAsia" w:cs="Times New Roman"/>
                <w:color w:val="auto"/>
                <w:lang w:eastAsia="zh-CN"/>
              </w:rPr>
              <w:t>桶、含油抹布及手套</w:t>
            </w:r>
            <w:r>
              <w:rPr>
                <w:rFonts w:hint="eastAsia" w:cs="Times New Roman"/>
                <w:color w:val="auto"/>
              </w:rPr>
              <w:t>分类收集、</w:t>
            </w:r>
            <w:r>
              <w:rPr>
                <w:rFonts w:hint="eastAsia" w:cs="Times New Roman"/>
                <w:color w:val="auto"/>
                <w:lang w:val="en-US" w:eastAsia="zh-CN"/>
              </w:rPr>
              <w:t>分区存放，</w:t>
            </w:r>
            <w:r>
              <w:rPr>
                <w:rFonts w:hint="eastAsia" w:cs="Times New Roman"/>
                <w:color w:val="auto"/>
              </w:rPr>
              <w:t>暂存于</w:t>
            </w:r>
            <w:r>
              <w:rPr>
                <w:rFonts w:hint="eastAsia" w:cs="Times New Roman"/>
                <w:color w:val="auto"/>
                <w:lang w:eastAsia="zh-CN"/>
              </w:rPr>
              <w:t>危废暂存间</w:t>
            </w:r>
            <w:r>
              <w:rPr>
                <w:rFonts w:hint="eastAsia" w:cs="Times New Roman"/>
                <w:color w:val="auto"/>
              </w:rPr>
              <w:t>，交由有资质单位定期收运处置。</w:t>
            </w:r>
          </w:p>
          <w:p w14:paraId="1C041FE9">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rPr>
              <w:t>项目设置1间</w:t>
            </w:r>
            <w:r>
              <w:rPr>
                <w:rFonts w:hint="eastAsia" w:cs="Times New Roman"/>
                <w:color w:val="auto"/>
                <w:lang w:eastAsia="zh-CN"/>
              </w:rPr>
              <w:t>危废间</w:t>
            </w:r>
            <w:r>
              <w:rPr>
                <w:rFonts w:hint="eastAsia" w:cs="Times New Roman"/>
                <w:color w:val="auto"/>
              </w:rPr>
              <w:t>，位于</w:t>
            </w:r>
            <w:r>
              <w:rPr>
                <w:rFonts w:hint="eastAsia" w:cs="Times New Roman"/>
                <w:color w:val="auto"/>
                <w:lang w:eastAsia="zh-CN"/>
              </w:rPr>
              <w:t>车间东南角</w:t>
            </w:r>
            <w:r>
              <w:rPr>
                <w:rFonts w:hint="eastAsia" w:cs="Times New Roman"/>
                <w:color w:val="auto"/>
              </w:rPr>
              <w:t>，面积约</w:t>
            </w:r>
            <w:r>
              <w:rPr>
                <w:rFonts w:hint="eastAsia" w:cs="Times New Roman"/>
                <w:color w:val="auto"/>
                <w:lang w:val="en-US" w:eastAsia="zh-CN"/>
              </w:rPr>
              <w:t>6</w:t>
            </w:r>
            <w:r>
              <w:rPr>
                <w:rFonts w:hint="eastAsia" w:cs="Times New Roman"/>
                <w:color w:val="auto"/>
              </w:rPr>
              <w:t>m</w:t>
            </w:r>
            <w:r>
              <w:rPr>
                <w:rFonts w:hint="eastAsia" w:cs="Times New Roman"/>
                <w:color w:val="auto"/>
                <w:vertAlign w:val="superscript"/>
              </w:rPr>
              <w:t>2</w:t>
            </w:r>
            <w:r>
              <w:rPr>
                <w:rFonts w:hint="eastAsia" w:cs="Times New Roman"/>
                <w:color w:val="auto"/>
                <w:vertAlign w:val="baseline"/>
                <w:lang w:eastAsia="zh-CN"/>
              </w:rPr>
              <w:t>，</w:t>
            </w:r>
            <w:r>
              <w:rPr>
                <w:rFonts w:hint="eastAsia" w:cs="Times New Roman"/>
                <w:color w:val="auto"/>
                <w:lang w:val="en-US" w:eastAsia="zh-CN"/>
              </w:rPr>
              <w:t>项目</w:t>
            </w:r>
            <w:r>
              <w:rPr>
                <w:rFonts w:hint="eastAsia" w:cs="Times New Roman"/>
                <w:color w:val="auto"/>
                <w:lang w:eastAsia="zh-CN"/>
              </w:rPr>
              <w:t>废润滑油、废</w:t>
            </w:r>
            <w:r>
              <w:rPr>
                <w:rFonts w:hint="eastAsia" w:cs="Times New Roman"/>
                <w:color w:val="auto"/>
                <w:lang w:val="en-US" w:eastAsia="zh-CN"/>
              </w:rPr>
              <w:t>油</w:t>
            </w:r>
            <w:r>
              <w:rPr>
                <w:rFonts w:hint="eastAsia" w:cs="Times New Roman"/>
                <w:color w:val="auto"/>
                <w:lang w:eastAsia="zh-CN"/>
              </w:rPr>
              <w:t>桶、含油抹布及手套、</w:t>
            </w:r>
            <w:r>
              <w:rPr>
                <w:rFonts w:hint="eastAsia" w:cs="Times New Roman"/>
                <w:color w:val="auto"/>
                <w:lang w:val="en-US" w:eastAsia="zh-CN"/>
              </w:rPr>
              <w:t>废液压油产生量共约0.062t/a，每年转运一次，则单次贮存0.062t，项目危废暂存间可以满足贮存需求。</w:t>
            </w:r>
          </w:p>
          <w:p w14:paraId="33DC263E">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本评价要求项目产生的</w:t>
            </w:r>
            <w:r>
              <w:rPr>
                <w:rFonts w:hint="eastAsia" w:cs="Times New Roman"/>
                <w:color w:val="auto"/>
                <w:lang w:val="en-US" w:eastAsia="zh-CN"/>
              </w:rPr>
              <w:t>危险废物</w:t>
            </w:r>
            <w:r>
              <w:rPr>
                <w:rFonts w:hint="eastAsia" w:cs="Times New Roman"/>
                <w:color w:val="auto"/>
              </w:rPr>
              <w:t>应按《危险废物贮存污染控制标准》（GB18597-2023）的有关规定贮存</w:t>
            </w:r>
            <w:r>
              <w:rPr>
                <w:rFonts w:hint="eastAsia" w:cs="Times New Roman"/>
                <w:color w:val="auto"/>
                <w:lang w:eastAsia="zh-CN"/>
              </w:rPr>
              <w:t>，</w:t>
            </w:r>
            <w:r>
              <w:rPr>
                <w:rFonts w:hint="eastAsia" w:ascii="Times New Roman" w:hAnsi="Times New Roman" w:eastAsia="宋体" w:cs="Times New Roman"/>
                <w:color w:val="auto"/>
                <w:kern w:val="0"/>
                <w:sz w:val="24"/>
              </w:rPr>
              <w:t>转运</w:t>
            </w:r>
            <w:r>
              <w:rPr>
                <w:rFonts w:hint="eastAsia" w:ascii="Times New Roman" w:hAnsi="Times New Roman" w:eastAsia="宋体" w:cs="Times New Roman"/>
                <w:color w:val="auto"/>
                <w:kern w:val="0"/>
                <w:sz w:val="24"/>
                <w:lang w:val="en-US" w:eastAsia="zh-CN"/>
              </w:rPr>
              <w:t>应按</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危险废物转移管理办法</w:t>
            </w:r>
            <w:r>
              <w:rPr>
                <w:rFonts w:hint="eastAsia" w:ascii="Times New Roman" w:hAnsi="Times New Roman" w:eastAsia="宋体" w:cs="Times New Roman"/>
                <w:color w:val="auto"/>
                <w:kern w:val="0"/>
                <w:sz w:val="24"/>
                <w:lang w:eastAsia="zh-CN"/>
              </w:rPr>
              <w:t>》（生态环境部公安部交通运输部令第23号）</w:t>
            </w:r>
            <w:r>
              <w:rPr>
                <w:rFonts w:hint="eastAsia" w:ascii="Times New Roman" w:hAnsi="Times New Roman" w:eastAsia="宋体" w:cs="Times New Roman"/>
                <w:color w:val="auto"/>
                <w:kern w:val="0"/>
                <w:sz w:val="24"/>
                <w:lang w:val="en-US" w:eastAsia="zh-CN"/>
              </w:rPr>
              <w:t>有关规定</w:t>
            </w:r>
            <w:r>
              <w:rPr>
                <w:rFonts w:hint="eastAsia" w:cs="Times New Roman"/>
                <w:color w:val="auto"/>
              </w:rPr>
              <w:t>。</w:t>
            </w:r>
          </w:p>
          <w:p w14:paraId="57DA35BF">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1）危废暂存管理需按以下要求进行：</w:t>
            </w:r>
          </w:p>
          <w:p w14:paraId="59D9A13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lang w:eastAsia="zh-CN"/>
              </w:rPr>
              <w:t>危废暂存间</w:t>
            </w:r>
            <w:r>
              <w:rPr>
                <w:rFonts w:hint="eastAsia" w:cs="Times New Roman"/>
                <w:color w:val="auto"/>
              </w:rPr>
              <w:t>应做好防渗要求，</w:t>
            </w:r>
            <w:r>
              <w:rPr>
                <w:rFonts w:hint="eastAsia" w:cs="Times New Roman"/>
                <w:color w:val="auto"/>
                <w:lang w:eastAsia="zh-CN"/>
              </w:rPr>
              <w:t>危废暂存间</w:t>
            </w:r>
            <w:r>
              <w:rPr>
                <w:rFonts w:hint="eastAsia" w:cs="Times New Roman"/>
                <w:color w:val="auto"/>
              </w:rPr>
              <w:t>内的各类危险废物应分类存放，建设单位应加强危险废物的管理，注意台账的完善，定期对</w:t>
            </w:r>
            <w:r>
              <w:rPr>
                <w:rFonts w:hint="eastAsia" w:cs="Times New Roman"/>
                <w:color w:val="auto"/>
                <w:lang w:eastAsia="zh-CN"/>
              </w:rPr>
              <w:t>危废暂存间</w:t>
            </w:r>
            <w:r>
              <w:rPr>
                <w:rFonts w:hint="eastAsia" w:cs="Times New Roman"/>
                <w:color w:val="auto"/>
              </w:rPr>
              <w:t>进行检查维修。还应按照《危险废物贮存污染控制标准》（GB18597-2023）及修改单的要求进行贮存，贮存应符合下列要求：</w:t>
            </w:r>
          </w:p>
          <w:p w14:paraId="385F7AB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A.必须将危险废物装入密闭容器内，并确保完好无损；</w:t>
            </w:r>
          </w:p>
          <w:p w14:paraId="6FD4A2D7">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B.装载危险废物的容器及材质要满足相应的强度要求；</w:t>
            </w:r>
          </w:p>
          <w:p w14:paraId="338A090C">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C.应当使用符合标准的容器盛装危险废物；</w:t>
            </w:r>
          </w:p>
          <w:p w14:paraId="5155CB0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D.盛装危险废物的容器材质要与危险废物相容（不相互反应）；</w:t>
            </w:r>
          </w:p>
          <w:p w14:paraId="0705D6C5">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E.盛装危险废物的容器上必须粘贴符合标准的标签。</w:t>
            </w:r>
          </w:p>
          <w:p w14:paraId="16A0E890">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流转管理要求：企业必须对危险固废进行申报登记，制定定期外运制度，并对危险废物的流向和最终处置进行跟踪，确保固废得到有效处置，禁止在转移过程中将危险废物排放至环境中。</w:t>
            </w:r>
          </w:p>
          <w:p w14:paraId="6E8E4229">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2）本项目危险废物转移全过程环境管理如下：</w:t>
            </w:r>
          </w:p>
          <w:p w14:paraId="1E24EF71">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目前，福建省已建立福建省固体废物环境监管平台，危险废物已实行网上电子联单管理，企业运营过程产生的危险废物应按管理平台流程填报，主要流程包括：</w:t>
            </w:r>
          </w:p>
          <w:p w14:paraId="5138E89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A.产生单位填写电子联单。转移当天，产生单位登录省固废平台填报转移信息，即电子联单第一部分内容，确定无误后保存提交，并打印加盖公章，交付危险废物运输单位核实验收并随车携带。</w:t>
            </w:r>
          </w:p>
          <w:p w14:paraId="47CE8350">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B.接收单位填写电子联单并完成审核。危险废物运至接收单位后，运输单位将随车携带的纸质联单交接收单位，接收单位对危险废物核实验收，确认转移信息无误后，当天登录省固废平台填写电子联单第二部分和第三部分内容并确认提交。发现联单第一部分转移信息有误的，退回产生单位修改重新提交确认。</w:t>
            </w:r>
          </w:p>
          <w:p w14:paraId="3858539D">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C.打印电子联单并盖章存档备查。电子联单确认完毕后，产生单位打印一式5份纸质联单，产生单位和接收单位分别盖章，产生单位、接收单位、运输单位、产生地环保分局和接受地生态环境局各存一份备查。发生转移12天内由产生单位将联单报送所在地环保分局，并附上对应过磅单。</w:t>
            </w:r>
          </w:p>
          <w:p w14:paraId="26103005">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D.环保分局核查并汇总上报市局。各环保分局对省固废平台电子联单、企业报送的纸质联单和过磅单进行核对，确认无误后于每月15日前汇总上月的危废转移情况报送市生态环境局（危险废物管理—危险废物转移管理—转移联单管理—联单查询—导出）。</w:t>
            </w:r>
          </w:p>
          <w:p w14:paraId="082D04E6">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45E76F2A">
            <w:pPr>
              <w:pStyle w:val="4"/>
              <w:keepNext w:val="0"/>
              <w:keepLines w:val="0"/>
              <w:suppressLineNumbers w:val="0"/>
              <w:bidi w:val="0"/>
              <w:ind w:left="0" w:right="0"/>
              <w:rPr>
                <w:rFonts w:hint="default"/>
                <w:color w:val="auto"/>
              </w:rPr>
            </w:pPr>
            <w:r>
              <w:rPr>
                <w:rFonts w:hint="eastAsia"/>
                <w:color w:val="auto"/>
              </w:rPr>
              <w:t>小结</w:t>
            </w:r>
          </w:p>
          <w:p w14:paraId="0F3790DE">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在建设单位严格按照上述要求执行的前提下，本项目固体废物处置措施合理，去向明确，固体废物处置率达到100%，只要采取合理有效的防范措施，防止固体废物对环境造成二次污染，固体废物不会对周围环境产生不利影响，处理措施可行。</w:t>
            </w:r>
          </w:p>
          <w:p w14:paraId="652DF4F6">
            <w:pPr>
              <w:pStyle w:val="3"/>
              <w:keepNext w:val="0"/>
              <w:keepLines w:val="0"/>
              <w:suppressLineNumbers w:val="0"/>
              <w:bidi w:val="0"/>
              <w:ind w:left="0" w:right="0"/>
              <w:rPr>
                <w:rFonts w:hint="default"/>
                <w:color w:val="auto"/>
              </w:rPr>
            </w:pPr>
            <w:r>
              <w:rPr>
                <w:rFonts w:hint="eastAsia"/>
                <w:color w:val="auto"/>
              </w:rPr>
              <w:t>地下水、土壤</w:t>
            </w:r>
          </w:p>
          <w:p w14:paraId="3903038D">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（1）污染源、污染物类型和污染途径分析</w:t>
            </w:r>
          </w:p>
          <w:p w14:paraId="3A97436D">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本项目地下水和土壤污染源、污染物类型、污染途径及可能受影响环境目标见下表所示。</w:t>
            </w:r>
          </w:p>
          <w:p w14:paraId="5BBD0F3A">
            <w:pPr>
              <w:pStyle w:val="36"/>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本项目地下水和土壤污染源及途径识别一览表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440"/>
              <w:gridCol w:w="2547"/>
              <w:gridCol w:w="1385"/>
              <w:gridCol w:w="2491"/>
            </w:tblGrid>
            <w:tr w14:paraId="2D1FD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39" w:type="dxa"/>
                  <w:noWrap w:val="0"/>
                  <w:vAlign w:val="center"/>
                </w:tcPr>
                <w:p w14:paraId="622F1C1C">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序号</w:t>
                  </w:r>
                </w:p>
              </w:tc>
              <w:tc>
                <w:tcPr>
                  <w:tcW w:w="1350" w:type="dxa"/>
                  <w:noWrap w:val="0"/>
                  <w:vAlign w:val="center"/>
                </w:tcPr>
                <w:p w14:paraId="0A9A31AC">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所属单元</w:t>
                  </w:r>
                </w:p>
              </w:tc>
              <w:tc>
                <w:tcPr>
                  <w:tcW w:w="2388" w:type="dxa"/>
                  <w:noWrap w:val="0"/>
                  <w:vAlign w:val="center"/>
                </w:tcPr>
                <w:p w14:paraId="34C94A12">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污染源</w:t>
                  </w:r>
                </w:p>
              </w:tc>
              <w:tc>
                <w:tcPr>
                  <w:tcW w:w="1298" w:type="dxa"/>
                  <w:noWrap w:val="0"/>
                  <w:vAlign w:val="center"/>
                </w:tcPr>
                <w:p w14:paraId="71D2A034">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污染类型</w:t>
                  </w:r>
                </w:p>
              </w:tc>
              <w:tc>
                <w:tcPr>
                  <w:tcW w:w="2335" w:type="dxa"/>
                  <w:noWrap w:val="0"/>
                  <w:vAlign w:val="center"/>
                </w:tcPr>
                <w:p w14:paraId="76F363E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污染途径</w:t>
                  </w:r>
                </w:p>
              </w:tc>
            </w:tr>
            <w:tr w14:paraId="2768F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230428EB">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1</w:t>
                  </w:r>
                </w:p>
              </w:tc>
              <w:tc>
                <w:tcPr>
                  <w:tcW w:w="1350" w:type="dxa"/>
                  <w:noWrap w:val="0"/>
                  <w:vAlign w:val="center"/>
                </w:tcPr>
                <w:p w14:paraId="7BF46ACE">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危废暂存间</w:t>
                  </w:r>
                </w:p>
              </w:tc>
              <w:tc>
                <w:tcPr>
                  <w:tcW w:w="2388" w:type="dxa"/>
                  <w:noWrap w:val="0"/>
                  <w:vAlign w:val="center"/>
                </w:tcPr>
                <w:p w14:paraId="41A80576">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eastAsia="zh-CN"/>
                    </w:rPr>
                    <w:t>废润滑油、废油桶、含油抹布及手套</w:t>
                  </w:r>
                </w:p>
              </w:tc>
              <w:tc>
                <w:tcPr>
                  <w:tcW w:w="1298" w:type="dxa"/>
                  <w:noWrap w:val="0"/>
                  <w:vAlign w:val="center"/>
                </w:tcPr>
                <w:p w14:paraId="6457BF36">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泄漏</w:t>
                  </w:r>
                </w:p>
              </w:tc>
              <w:tc>
                <w:tcPr>
                  <w:tcW w:w="2335" w:type="dxa"/>
                  <w:noWrap w:val="0"/>
                  <w:vAlign w:val="center"/>
                </w:tcPr>
                <w:p w14:paraId="3E05ADBE">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垂直入渗</w:t>
                  </w:r>
                </w:p>
              </w:tc>
            </w:tr>
          </w:tbl>
          <w:p w14:paraId="40B20E67">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（2）影响分析</w:t>
            </w:r>
          </w:p>
          <w:p w14:paraId="771D2E2E">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cs="Times New Roman"/>
                <w:color w:val="auto"/>
              </w:rPr>
              <w:t>根据</w:t>
            </w:r>
            <w:r>
              <w:rPr>
                <w:rFonts w:hint="default" w:cs="Times New Roman"/>
                <w:color w:val="auto"/>
              </w:rPr>
              <w:t>《环境影响评价技术导则土壤环境（试行）》（HJ964-2018）</w:t>
            </w:r>
            <w:r>
              <w:rPr>
                <w:rFonts w:hint="eastAsia" w:cs="Times New Roman"/>
                <w:color w:val="auto"/>
              </w:rPr>
              <w:t>，本项目土壤环</w:t>
            </w:r>
            <w:r>
              <w:rPr>
                <w:rFonts w:hint="default" w:ascii="Times New Roman" w:hAnsi="Times New Roman" w:cs="Times New Roman"/>
                <w:color w:val="auto"/>
              </w:rPr>
              <w:t>境影响可不开展土壤环境影响评价。本项目建设对土壤环境影响小。</w:t>
            </w:r>
          </w:p>
          <w:p w14:paraId="763CAF94">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对照《环境影响评价技术导则地下水环境》（HJ610-2016）附录A（地下水环境影响评价行业分类表），本项目属于</w:t>
            </w:r>
            <w:r>
              <w:rPr>
                <w:rFonts w:hint="default" w:ascii="Times New Roman" w:hAnsi="Times New Roman" w:eastAsia="宋体" w:cs="Times New Roman"/>
                <w:color w:val="000000" w:themeColor="text1"/>
                <w:szCs w:val="24"/>
                <w:lang w:bidi="th-TH"/>
                <w14:textFill>
                  <w14:solidFill>
                    <w14:schemeClr w14:val="tx1"/>
                  </w14:solidFill>
                </w14:textFill>
              </w:rPr>
              <w:t>“</w:t>
            </w:r>
            <w:r>
              <w:rPr>
                <w:rFonts w:hint="eastAsia" w:cs="Times New Roman"/>
                <w:color w:val="000000" w:themeColor="text1"/>
                <w:szCs w:val="24"/>
                <w:lang w:eastAsia="zh-CN" w:bidi="th-TH"/>
                <w14:textFill>
                  <w14:solidFill>
                    <w14:schemeClr w14:val="tx1"/>
                  </w14:solidFill>
                </w14:textFill>
              </w:rPr>
              <w:t>汽车、摩托制造</w:t>
            </w:r>
            <w:r>
              <w:rPr>
                <w:rFonts w:hint="default" w:ascii="Times New Roman" w:hAnsi="Times New Roman" w:eastAsia="宋体" w:cs="Times New Roman"/>
                <w:color w:val="000000" w:themeColor="text1"/>
                <w:szCs w:val="24"/>
                <w:lang w:bidi="th-TH"/>
                <w14:textFill>
                  <w14:solidFill>
                    <w14:schemeClr w14:val="tx1"/>
                  </w14:solidFill>
                </w14:textFill>
              </w:rPr>
              <w:t>”，本项目编制环境影响报告表，为Ⅳ类建设项目</w:t>
            </w:r>
            <w:r>
              <w:rPr>
                <w:rFonts w:hint="eastAsia" w:ascii="Times New Roman" w:hAnsi="Times New Roman" w:eastAsia="宋体" w:cs="Times New Roman"/>
                <w:color w:val="000000" w:themeColor="text1"/>
                <w:szCs w:val="24"/>
                <w:lang w:eastAsia="zh-CN" w:bidi="th-TH"/>
                <w14:textFill>
                  <w14:solidFill>
                    <w14:schemeClr w14:val="tx1"/>
                  </w14:solidFill>
                </w14:textFill>
              </w:rPr>
              <w:t>，可</w:t>
            </w:r>
            <w:r>
              <w:rPr>
                <w:rFonts w:hint="default" w:ascii="Times New Roman" w:hAnsi="Times New Roman" w:cs="Times New Roman"/>
                <w:color w:val="auto"/>
              </w:rPr>
              <w:t>不开展地下水环境影响评价。</w:t>
            </w:r>
          </w:p>
          <w:p w14:paraId="168DA442">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w:t>
            </w:r>
            <w:r>
              <w:rPr>
                <w:rFonts w:hint="eastAsia" w:cs="Times New Roman"/>
                <w:color w:val="auto"/>
                <w:lang w:val="en-US" w:eastAsia="zh-CN"/>
              </w:rPr>
              <w:t>3</w:t>
            </w:r>
            <w:r>
              <w:rPr>
                <w:rFonts w:hint="eastAsia" w:cs="Times New Roman"/>
                <w:color w:val="auto"/>
              </w:rPr>
              <w:t>）地下水、土壤污染防治措施</w:t>
            </w:r>
          </w:p>
          <w:p w14:paraId="4880A949">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①源头控制措施</w:t>
            </w:r>
          </w:p>
          <w:p w14:paraId="33E4CD55">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本项目主要的污染方式为废水及润滑油、</w:t>
            </w:r>
            <w:r>
              <w:rPr>
                <w:rFonts w:hint="eastAsia" w:cs="Times New Roman"/>
                <w:color w:val="auto"/>
                <w:lang w:eastAsia="zh-CN"/>
              </w:rPr>
              <w:t>废润滑油、废油桶、含油抹布及手套</w:t>
            </w:r>
            <w:r>
              <w:rPr>
                <w:rFonts w:hint="eastAsia" w:cs="Times New Roman"/>
                <w:color w:val="auto"/>
              </w:rPr>
              <w:t>泄漏。严格按照国家相关规范要求，对管道、设备及相关构筑物采取相应的措施，以防止和降低污染物的跑、冒、滴、漏、渗，将污染物泄漏的环境风险事故降低到最低程度，做到“早发现、早处理”。</w:t>
            </w:r>
          </w:p>
          <w:p w14:paraId="3BADC5A8">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切实贯彻执行“预防为主、防治结合”的方针，所有场地全部硬化和密封，严禁下渗污染。按“先地下、后地上，先基础、后主体”的原则，通过规划布局调整结构来控制污染</w:t>
            </w:r>
            <w:r>
              <w:rPr>
                <w:rFonts w:hint="eastAsia" w:cs="Times New Roman"/>
                <w:color w:val="auto"/>
                <w:lang w:eastAsia="zh-CN"/>
              </w:rPr>
              <w:t>，</w:t>
            </w:r>
            <w:r>
              <w:rPr>
                <w:rFonts w:hint="eastAsia" w:cs="Times New Roman"/>
                <w:color w:val="auto"/>
              </w:rPr>
              <w:t>对控制新污染源的产生有重要的作用。</w:t>
            </w:r>
          </w:p>
          <w:p w14:paraId="563612DE">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②分区防控措施</w:t>
            </w:r>
          </w:p>
          <w:p w14:paraId="0670F2C8">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结合建设项目各生产设备、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标准要求。重点做好</w:t>
            </w:r>
            <w:r>
              <w:rPr>
                <w:rFonts w:hint="eastAsia" w:cs="Times New Roman"/>
                <w:color w:val="auto"/>
                <w:lang w:eastAsia="zh-CN"/>
              </w:rPr>
              <w:t>危废暂存间</w:t>
            </w:r>
            <w:r>
              <w:rPr>
                <w:rFonts w:hint="eastAsia" w:cs="Times New Roman"/>
                <w:color w:val="auto"/>
              </w:rPr>
              <w:t>等防渗漏措施。</w:t>
            </w:r>
          </w:p>
          <w:p w14:paraId="6F463CAC">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根据厂区可能泄漏至地面区域污染物的性质和生产单元的构筑方式，将全厂划分为重点防渗区、一般防渗区及简单防渗区。</w:t>
            </w:r>
          </w:p>
          <w:p w14:paraId="31168FE8">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A</w:t>
            </w:r>
            <w:r>
              <w:rPr>
                <w:rFonts w:hint="eastAsia" w:cs="Times New Roman"/>
                <w:color w:val="auto"/>
                <w:lang w:eastAsia="zh-CN"/>
              </w:rPr>
              <w:t>.</w:t>
            </w:r>
            <w:r>
              <w:rPr>
                <w:rFonts w:hint="default" w:cs="Times New Roman"/>
                <w:color w:val="auto"/>
              </w:rPr>
              <w:t>重点防渗区</w:t>
            </w:r>
          </w:p>
          <w:p w14:paraId="3B136ED2">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本项目重点防渗区主要包括：</w:t>
            </w:r>
            <w:r>
              <w:rPr>
                <w:rFonts w:hint="eastAsia" w:cs="Times New Roman"/>
                <w:color w:val="auto"/>
                <w:lang w:eastAsia="zh-CN"/>
              </w:rPr>
              <w:t>危废暂存间</w:t>
            </w:r>
            <w:r>
              <w:rPr>
                <w:rFonts w:hint="default" w:cs="Times New Roman"/>
                <w:color w:val="auto"/>
              </w:rPr>
              <w:t>。</w:t>
            </w:r>
            <w:r>
              <w:rPr>
                <w:rFonts w:hint="eastAsia" w:cs="Times New Roman"/>
                <w:color w:val="auto"/>
              </w:rPr>
              <w:t>根据《环境影响评价技术导则地下水环境》（HJ610-2016）表7，“重点防渗区”的防渗技术要满足以下要求：等效黏土防渗层Mb≥6.0m，K≤1×10</w:t>
            </w:r>
            <w:r>
              <w:rPr>
                <w:rFonts w:hint="eastAsia" w:cs="Times New Roman"/>
                <w:color w:val="auto"/>
                <w:vertAlign w:val="superscript"/>
              </w:rPr>
              <w:t>-7</w:t>
            </w:r>
            <w:r>
              <w:rPr>
                <w:rFonts w:hint="eastAsia" w:cs="Times New Roman"/>
                <w:color w:val="auto"/>
              </w:rPr>
              <w:t>cm/s；或参照《危险废物填埋场污染控制标准》（GB18598-20</w:t>
            </w:r>
            <w:r>
              <w:rPr>
                <w:rFonts w:hint="eastAsia" w:cs="Times New Roman"/>
                <w:color w:val="auto"/>
                <w:lang w:val="en-US" w:eastAsia="zh-CN"/>
              </w:rPr>
              <w:t>19</w:t>
            </w:r>
            <w:r>
              <w:rPr>
                <w:rFonts w:hint="eastAsia" w:cs="Times New Roman"/>
                <w:color w:val="auto"/>
              </w:rPr>
              <w:t>）执行。</w:t>
            </w:r>
          </w:p>
          <w:p w14:paraId="4C0AD83E">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B</w:t>
            </w:r>
            <w:r>
              <w:rPr>
                <w:rFonts w:hint="eastAsia" w:cs="Times New Roman"/>
                <w:color w:val="auto"/>
                <w:lang w:eastAsia="zh-CN"/>
              </w:rPr>
              <w:t>.</w:t>
            </w:r>
            <w:r>
              <w:rPr>
                <w:rFonts w:hint="default" w:cs="Times New Roman"/>
                <w:color w:val="auto"/>
              </w:rPr>
              <w:t>一般防渗区</w:t>
            </w:r>
          </w:p>
          <w:p w14:paraId="4C1395C1">
            <w:pPr>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本项目一般防渗区主要包括：</w:t>
            </w:r>
            <w:r>
              <w:rPr>
                <w:rFonts w:hint="eastAsia" w:cs="Times New Roman"/>
                <w:color w:val="auto"/>
                <w:lang w:eastAsia="zh-CN"/>
              </w:rPr>
              <w:t>主要生产区、</w:t>
            </w:r>
            <w:r>
              <w:rPr>
                <w:rFonts w:hint="eastAsia" w:cs="Times New Roman"/>
                <w:color w:val="auto"/>
                <w:lang w:val="en-US" w:eastAsia="zh-CN"/>
              </w:rPr>
              <w:t>一般固废区</w:t>
            </w:r>
            <w:r>
              <w:rPr>
                <w:rFonts w:hint="default" w:cs="Times New Roman"/>
                <w:color w:val="auto"/>
              </w:rPr>
              <w:t>。</w:t>
            </w:r>
            <w:r>
              <w:rPr>
                <w:rFonts w:hint="eastAsia" w:cs="Times New Roman"/>
                <w:color w:val="auto"/>
              </w:rPr>
              <w:t>根据《环境影响评价技术导则地下水环境》（HJ610-2016）表7，“一般防渗区”的防渗技术要满足以下要求：等效黏土防渗层Mb≥1.5m，K≤1×10</w:t>
            </w:r>
            <w:r>
              <w:rPr>
                <w:rFonts w:hint="eastAsia" w:cs="Times New Roman"/>
                <w:color w:val="auto"/>
                <w:vertAlign w:val="superscript"/>
              </w:rPr>
              <w:t>-7</w:t>
            </w:r>
            <w:r>
              <w:rPr>
                <w:rFonts w:hint="eastAsia" w:cs="Times New Roman"/>
                <w:color w:val="auto"/>
              </w:rPr>
              <w:t>cm/s；或参照</w:t>
            </w:r>
            <w:r>
              <w:rPr>
                <w:rFonts w:hint="eastAsia" w:cs="Times New Roman"/>
                <w:color w:val="auto"/>
                <w:lang w:eastAsia="zh-CN"/>
              </w:rPr>
              <w:t>《</w:t>
            </w:r>
            <w:r>
              <w:rPr>
                <w:rFonts w:hint="eastAsia" w:cs="Times New Roman"/>
                <w:color w:val="auto"/>
              </w:rPr>
              <w:t>生活垃圾填埋场污染控制标准</w:t>
            </w:r>
            <w:r>
              <w:rPr>
                <w:rFonts w:hint="eastAsia" w:cs="Times New Roman"/>
                <w:color w:val="auto"/>
                <w:lang w:eastAsia="zh-CN"/>
              </w:rPr>
              <w:t>》</w:t>
            </w:r>
            <w:r>
              <w:rPr>
                <w:rFonts w:hint="eastAsia" w:cs="Times New Roman"/>
                <w:color w:val="auto"/>
              </w:rPr>
              <w:t>（GB16889-2024）执行。</w:t>
            </w:r>
          </w:p>
          <w:p w14:paraId="34B7F92D">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C</w:t>
            </w:r>
            <w:r>
              <w:rPr>
                <w:rFonts w:hint="eastAsia" w:cs="Times New Roman"/>
                <w:color w:val="auto"/>
                <w:lang w:eastAsia="zh-CN"/>
              </w:rPr>
              <w:t>.</w:t>
            </w:r>
            <w:r>
              <w:rPr>
                <w:rFonts w:hint="default" w:cs="Times New Roman"/>
                <w:color w:val="auto"/>
              </w:rPr>
              <w:t>简单防渗区</w:t>
            </w:r>
          </w:p>
          <w:p w14:paraId="6488A2D6">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除重点防渗区和一般防渗区以外的区域，采用一般地面硬化措施。</w:t>
            </w:r>
          </w:p>
          <w:p w14:paraId="52513151">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③跟踪监测</w:t>
            </w:r>
          </w:p>
          <w:p w14:paraId="24E90333">
            <w:pPr>
              <w:keepNext w:val="0"/>
              <w:keepLines w:val="0"/>
              <w:suppressLineNumbers w:val="0"/>
              <w:spacing w:before="0" w:beforeAutospacing="0" w:after="0" w:afterAutospacing="0" w:line="360" w:lineRule="auto"/>
              <w:ind w:left="0" w:right="0" w:firstLine="480"/>
              <w:rPr>
                <w:rFonts w:hint="eastAsia" w:cs="Times New Roman"/>
                <w:color w:val="auto"/>
                <w:sz w:val="24"/>
              </w:rPr>
            </w:pPr>
            <w:r>
              <w:rPr>
                <w:rFonts w:hint="eastAsia" w:cs="Times New Roman"/>
                <w:color w:val="auto"/>
                <w:sz w:val="24"/>
              </w:rPr>
              <w:t>本项目日常活动无需开展土壤及地下水环境质量跟踪监测，在发生疑似土壤污染事故时，有针对性</w:t>
            </w:r>
            <w:r>
              <w:rPr>
                <w:rFonts w:hint="eastAsia" w:cs="Times New Roman"/>
                <w:color w:val="auto"/>
                <w:sz w:val="24"/>
                <w:lang w:eastAsia="zh-CN"/>
              </w:rPr>
              <w:t>地</w:t>
            </w:r>
            <w:r>
              <w:rPr>
                <w:rFonts w:hint="eastAsia" w:cs="Times New Roman"/>
                <w:color w:val="auto"/>
                <w:sz w:val="24"/>
              </w:rPr>
              <w:t>开展应急监测。建设单位不具备自主监测能力，需委托资质单位进行监测。当突发环境事件时，与</w:t>
            </w:r>
            <w:r>
              <w:rPr>
                <w:rFonts w:hint="eastAsia" w:cs="Times New Roman"/>
                <w:color w:val="auto"/>
                <w:sz w:val="24"/>
                <w:lang w:val="en-US" w:eastAsia="zh-CN"/>
              </w:rPr>
              <w:t>有</w:t>
            </w:r>
            <w:r>
              <w:rPr>
                <w:rFonts w:hint="eastAsia" w:cs="Times New Roman"/>
                <w:color w:val="auto"/>
                <w:sz w:val="24"/>
              </w:rPr>
              <w:t>资质监测单位联系，请求技术支援，安排应急监测。根据《突发环境事件应急监测技术规范》（HJ589-2010），以事故地点为中心，按一定间隔的圆形布点采样，并根据污染物的特性在不同深度采样，同时采集对照样品。采样频次主要依据现场污染状况确定，根据已知污染物确定主要监测项目。</w:t>
            </w:r>
          </w:p>
          <w:p w14:paraId="296E21F4">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rPr>
            </w:pPr>
            <w:r>
              <w:rPr>
                <w:rFonts w:hint="default" w:cs="Times New Roman"/>
                <w:color w:val="auto"/>
                <w:sz w:val="24"/>
              </w:rPr>
              <w:t>综上所述，在采取</w:t>
            </w:r>
            <w:r>
              <w:rPr>
                <w:rFonts w:hint="eastAsia" w:cs="Times New Roman"/>
                <w:color w:val="auto"/>
                <w:sz w:val="24"/>
              </w:rPr>
              <w:t>以上</w:t>
            </w:r>
            <w:r>
              <w:rPr>
                <w:rFonts w:hint="default" w:cs="Times New Roman"/>
                <w:color w:val="auto"/>
                <w:sz w:val="24"/>
              </w:rPr>
              <w:t>措施后项目</w:t>
            </w:r>
            <w:r>
              <w:rPr>
                <w:rFonts w:hint="eastAsia" w:cs="Times New Roman"/>
                <w:color w:val="auto"/>
                <w:sz w:val="24"/>
              </w:rPr>
              <w:t>建设</w:t>
            </w:r>
            <w:r>
              <w:rPr>
                <w:rFonts w:hint="default" w:cs="Times New Roman"/>
                <w:color w:val="auto"/>
                <w:sz w:val="24"/>
              </w:rPr>
              <w:t>对区域地下水</w:t>
            </w:r>
            <w:r>
              <w:rPr>
                <w:rFonts w:hint="eastAsia" w:cs="Times New Roman"/>
                <w:color w:val="auto"/>
                <w:sz w:val="24"/>
              </w:rPr>
              <w:t>、土壤环境</w:t>
            </w:r>
            <w:r>
              <w:rPr>
                <w:rFonts w:hint="default" w:cs="Times New Roman"/>
                <w:color w:val="auto"/>
                <w:sz w:val="24"/>
              </w:rPr>
              <w:t>影响</w:t>
            </w:r>
            <w:r>
              <w:rPr>
                <w:rFonts w:hint="eastAsia" w:cs="Times New Roman"/>
                <w:color w:val="auto"/>
                <w:sz w:val="24"/>
              </w:rPr>
              <w:t>较小</w:t>
            </w:r>
            <w:r>
              <w:rPr>
                <w:rFonts w:hint="default" w:cs="Times New Roman"/>
                <w:color w:val="auto"/>
                <w:sz w:val="24"/>
              </w:rPr>
              <w:t>。</w:t>
            </w:r>
          </w:p>
          <w:p w14:paraId="5EF5544A">
            <w:pPr>
              <w:pStyle w:val="3"/>
              <w:keepNext w:val="0"/>
              <w:keepLines w:val="0"/>
              <w:suppressLineNumbers w:val="0"/>
              <w:ind w:left="0" w:right="0"/>
              <w:rPr>
                <w:rFonts w:hint="eastAsia"/>
                <w:color w:val="auto"/>
              </w:rPr>
            </w:pPr>
            <w:r>
              <w:rPr>
                <w:rFonts w:hint="eastAsia"/>
                <w:color w:val="auto"/>
              </w:rPr>
              <w:t>生态</w:t>
            </w:r>
          </w:p>
          <w:p w14:paraId="1C4C06B2">
            <w:pPr>
              <w:keepNext w:val="0"/>
              <w:keepLines w:val="0"/>
              <w:suppressLineNumbers w:val="0"/>
              <w:spacing w:before="0" w:beforeAutospacing="0" w:after="0" w:afterAutospacing="0"/>
              <w:ind w:left="0" w:right="0" w:firstLine="480"/>
              <w:rPr>
                <w:rFonts w:hint="eastAsia" w:cs="Times New Roman"/>
                <w:color w:val="auto"/>
              </w:rPr>
            </w:pPr>
            <w:r>
              <w:rPr>
                <w:rFonts w:hint="default" w:cs="Times New Roman"/>
                <w:color w:val="auto"/>
              </w:rPr>
              <w:t>本项目</w:t>
            </w:r>
            <w:r>
              <w:rPr>
                <w:rFonts w:hint="eastAsia" w:cs="Times New Roman"/>
                <w:color w:val="auto"/>
              </w:rPr>
              <w:t>位于</w:t>
            </w:r>
            <w:r>
              <w:rPr>
                <w:rFonts w:hint="eastAsia" w:cs="Times New Roman"/>
                <w:bCs/>
                <w:color w:val="auto"/>
                <w:sz w:val="24"/>
                <w:lang w:val="en-US" w:eastAsia="zh-CN"/>
              </w:rPr>
              <w:t>福州胜金电器企业有限公司厂区内</w:t>
            </w:r>
            <w:r>
              <w:rPr>
                <w:rFonts w:hint="eastAsia" w:cs="Times New Roman"/>
                <w:color w:val="auto"/>
              </w:rPr>
              <w:t>，</w:t>
            </w:r>
            <w:r>
              <w:rPr>
                <w:rFonts w:hint="eastAsia" w:cs="Times New Roman"/>
                <w:color w:val="auto"/>
                <w:lang w:val="en-US" w:eastAsia="zh-CN"/>
              </w:rPr>
              <w:t>租赁厂房</w:t>
            </w:r>
            <w:r>
              <w:rPr>
                <w:rFonts w:hint="eastAsia" w:cs="Times New Roman"/>
                <w:color w:val="auto"/>
              </w:rPr>
              <w:t>面积</w:t>
            </w:r>
            <w:r>
              <w:rPr>
                <w:rFonts w:hint="eastAsia" w:cs="Times New Roman"/>
                <w:color w:val="auto"/>
                <w:sz w:val="24"/>
                <w:lang w:eastAsia="zh-CN"/>
              </w:rPr>
              <w:t>12000</w:t>
            </w:r>
            <w:r>
              <w:rPr>
                <w:rFonts w:hint="eastAsia" w:cs="Times New Roman"/>
                <w:color w:val="auto"/>
              </w:rPr>
              <w:t>m</w:t>
            </w:r>
            <w:r>
              <w:rPr>
                <w:rFonts w:hint="eastAsia" w:cs="Times New Roman"/>
                <w:color w:val="auto"/>
                <w:vertAlign w:val="superscript"/>
              </w:rPr>
              <w:t>2</w:t>
            </w:r>
            <w:r>
              <w:rPr>
                <w:rFonts w:hint="eastAsia" w:cs="Times New Roman"/>
                <w:color w:val="auto"/>
              </w:rPr>
              <w:t>。</w:t>
            </w:r>
            <w:r>
              <w:rPr>
                <w:rFonts w:hint="default" w:cs="Times New Roman"/>
                <w:color w:val="auto"/>
              </w:rPr>
              <w:t>根据调查，</w:t>
            </w:r>
            <w:r>
              <w:rPr>
                <w:rFonts w:hint="eastAsia" w:cs="Times New Roman"/>
                <w:color w:val="auto"/>
                <w:lang w:val="zh-CN"/>
              </w:rPr>
              <w:t>项目用地范围内无生态环境保护目标</w:t>
            </w:r>
            <w:r>
              <w:rPr>
                <w:rFonts w:hint="eastAsia" w:cs="Times New Roman"/>
                <w:color w:val="auto"/>
              </w:rPr>
              <w:t>，因此不进行生态影响分析。</w:t>
            </w:r>
          </w:p>
          <w:p w14:paraId="60982068">
            <w:pPr>
              <w:pStyle w:val="3"/>
              <w:keepNext w:val="0"/>
              <w:keepLines w:val="0"/>
              <w:suppressLineNumbers w:val="0"/>
              <w:bidi w:val="0"/>
              <w:ind w:left="0" w:right="0"/>
              <w:rPr>
                <w:rFonts w:hint="default"/>
                <w:color w:val="auto"/>
              </w:rPr>
            </w:pPr>
            <w:r>
              <w:rPr>
                <w:rFonts w:hint="eastAsia"/>
                <w:color w:val="auto"/>
              </w:rPr>
              <w:t>环境风险</w:t>
            </w:r>
          </w:p>
          <w:p w14:paraId="6540A822">
            <w:pPr>
              <w:pStyle w:val="4"/>
              <w:keepNext w:val="0"/>
              <w:keepLines w:val="0"/>
              <w:suppressLineNumbers w:val="0"/>
              <w:ind w:left="0" w:right="0"/>
              <w:rPr>
                <w:rFonts w:hint="default"/>
                <w:color w:val="auto"/>
              </w:rPr>
            </w:pPr>
            <w:r>
              <w:rPr>
                <w:rFonts w:hint="eastAsia"/>
                <w:color w:val="auto"/>
              </w:rPr>
              <w:t>评价依据</w:t>
            </w:r>
          </w:p>
          <w:p w14:paraId="2F17A040">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（1）风险调查</w:t>
            </w:r>
          </w:p>
          <w:p w14:paraId="436B3327">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①</w:t>
            </w:r>
            <w:r>
              <w:rPr>
                <w:rFonts w:hint="default" w:cs="Times New Roman"/>
                <w:color w:val="auto"/>
              </w:rPr>
              <w:t>风险物质识别</w:t>
            </w:r>
          </w:p>
          <w:p w14:paraId="051D8768">
            <w:pPr>
              <w:keepNext w:val="0"/>
              <w:keepLines w:val="0"/>
              <w:suppressLineNumbers w:val="0"/>
              <w:spacing w:before="0" w:beforeAutospacing="0" w:after="0" w:afterAutospacing="0"/>
              <w:ind w:left="0" w:right="0" w:firstLine="480"/>
              <w:rPr>
                <w:rFonts w:hint="eastAsia" w:cs="Times New Roman"/>
                <w:color w:val="auto"/>
                <w:lang w:val="en-US" w:eastAsia="zh-CN"/>
              </w:rPr>
            </w:pPr>
            <w:r>
              <w:rPr>
                <w:rFonts w:hint="eastAsia" w:cs="Times New Roman"/>
                <w:color w:val="auto"/>
              </w:rPr>
              <w:t>根据《建设项目环境风险评价技术导则》（HJ169-2018）附录B，本项目生产过程所使用的原辅材料中涉及环境风险物质的主要为润滑油</w:t>
            </w:r>
            <w:r>
              <w:rPr>
                <w:rFonts w:hint="eastAsia" w:cs="Times New Roman"/>
                <w:color w:val="auto"/>
                <w:lang w:val="en-US" w:eastAsia="zh-CN"/>
              </w:rPr>
              <w:t>、危险废物（</w:t>
            </w:r>
            <w:r>
              <w:rPr>
                <w:rFonts w:hint="eastAsia" w:cs="Times New Roman"/>
                <w:color w:val="auto"/>
                <w:lang w:eastAsia="zh-CN"/>
              </w:rPr>
              <w:t>废润滑油、废油桶、含油抹布及手套</w:t>
            </w:r>
            <w:r>
              <w:rPr>
                <w:rFonts w:hint="eastAsia" w:cs="Times New Roman"/>
                <w:color w:val="auto"/>
                <w:lang w:val="en-US" w:eastAsia="zh-CN"/>
              </w:rPr>
              <w:t>）。</w:t>
            </w:r>
          </w:p>
          <w:p w14:paraId="292BABD2">
            <w:pPr>
              <w:keepNext w:val="0"/>
              <w:keepLines w:val="0"/>
              <w:suppressLineNumbers w:val="0"/>
              <w:spacing w:before="0" w:beforeAutospacing="0" w:after="0" w:afterAutospacing="0"/>
              <w:ind w:left="0" w:leftChars="0" w:right="0" w:firstLine="0" w:firstLineChars="0"/>
              <w:rPr>
                <w:rFonts w:hint="eastAsia" w:cs="Times New Roman"/>
                <w:color w:val="auto"/>
                <w:lang w:val="en-US" w:eastAsia="zh-CN"/>
              </w:rPr>
            </w:pPr>
          </w:p>
          <w:p w14:paraId="38313213">
            <w:pPr>
              <w:pStyle w:val="36"/>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项目</w:t>
            </w:r>
            <w:r>
              <w:rPr>
                <w:rFonts w:hint="eastAsia" w:cs="Times New Roman"/>
                <w:color w:val="auto"/>
              </w:rPr>
              <w:t>风险物质调查表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55"/>
              <w:gridCol w:w="1552"/>
              <w:gridCol w:w="1408"/>
              <w:gridCol w:w="2039"/>
              <w:gridCol w:w="1590"/>
            </w:tblGrid>
            <w:tr w14:paraId="0B1911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88" w:type="pct"/>
                  <w:noWrap w:val="0"/>
                  <w:vAlign w:val="center"/>
                </w:tcPr>
                <w:p w14:paraId="6C08EEF5">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物质名称</w:t>
                  </w:r>
                </w:p>
              </w:tc>
              <w:tc>
                <w:tcPr>
                  <w:tcW w:w="897" w:type="pct"/>
                  <w:noWrap w:val="0"/>
                  <w:vAlign w:val="center"/>
                </w:tcPr>
                <w:p w14:paraId="2410E74C">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最大储存量t</w:t>
                  </w:r>
                </w:p>
              </w:tc>
              <w:tc>
                <w:tcPr>
                  <w:tcW w:w="814" w:type="pct"/>
                  <w:noWrap w:val="0"/>
                  <w:vAlign w:val="center"/>
                </w:tcPr>
                <w:p w14:paraId="79866596">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储存方式</w:t>
                  </w:r>
                </w:p>
              </w:tc>
              <w:tc>
                <w:tcPr>
                  <w:tcW w:w="1179" w:type="pct"/>
                  <w:noWrap w:val="0"/>
                  <w:vAlign w:val="center"/>
                </w:tcPr>
                <w:p w14:paraId="75885953">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主要成分</w:t>
                  </w:r>
                </w:p>
              </w:tc>
              <w:tc>
                <w:tcPr>
                  <w:tcW w:w="919" w:type="pct"/>
                  <w:noWrap w:val="0"/>
                  <w:vAlign w:val="center"/>
                </w:tcPr>
                <w:p w14:paraId="5CE09B5D">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储存场所</w:t>
                  </w:r>
                </w:p>
              </w:tc>
            </w:tr>
            <w:tr w14:paraId="1F71AB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88" w:type="pct"/>
                  <w:noWrap w:val="0"/>
                  <w:vAlign w:val="center"/>
                </w:tcPr>
                <w:p w14:paraId="04D913EE">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cs="Times New Roman"/>
                      <w:color w:val="auto"/>
                    </w:rPr>
                    <w:t>润滑油</w:t>
                  </w:r>
                </w:p>
              </w:tc>
              <w:tc>
                <w:tcPr>
                  <w:tcW w:w="897" w:type="pct"/>
                  <w:noWrap w:val="0"/>
                  <w:vAlign w:val="center"/>
                </w:tcPr>
                <w:p w14:paraId="5159D1DD">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rPr>
                    <w:t>0.</w:t>
                  </w:r>
                  <w:r>
                    <w:rPr>
                      <w:rFonts w:hint="eastAsia" w:cs="Times New Roman"/>
                      <w:color w:val="auto"/>
                      <w:lang w:val="en-US" w:eastAsia="zh-CN"/>
                    </w:rPr>
                    <w:t>2</w:t>
                  </w:r>
                </w:p>
              </w:tc>
              <w:tc>
                <w:tcPr>
                  <w:tcW w:w="814" w:type="pct"/>
                  <w:noWrap w:val="0"/>
                  <w:vAlign w:val="center"/>
                </w:tcPr>
                <w:p w14:paraId="39D766F4">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桶装</w:t>
                  </w:r>
                </w:p>
              </w:tc>
              <w:tc>
                <w:tcPr>
                  <w:tcW w:w="1179" w:type="pct"/>
                  <w:noWrap w:val="0"/>
                  <w:vAlign w:val="center"/>
                </w:tcPr>
                <w:p w14:paraId="6BC5347F">
                  <w:pPr>
                    <w:pStyle w:val="33"/>
                    <w:keepNext w:val="0"/>
                    <w:keepLines w:val="0"/>
                    <w:suppressLineNumbers w:val="0"/>
                    <w:spacing w:before="0" w:beforeAutospacing="0" w:after="0" w:afterAutospacing="0"/>
                    <w:ind w:left="0" w:right="0"/>
                    <w:rPr>
                      <w:rFonts w:hint="eastAsia" w:eastAsia="宋体" w:cs="Times New Roman"/>
                      <w:color w:val="auto"/>
                      <w:lang w:eastAsia="zh-CN"/>
                    </w:rPr>
                  </w:pPr>
                  <w:r>
                    <w:rPr>
                      <w:rFonts w:hint="eastAsia" w:cs="Times New Roman"/>
                      <w:color w:val="auto"/>
                    </w:rPr>
                    <w:t>润滑油</w:t>
                  </w:r>
                </w:p>
              </w:tc>
              <w:tc>
                <w:tcPr>
                  <w:tcW w:w="919" w:type="pct"/>
                  <w:noWrap w:val="0"/>
                  <w:vAlign w:val="center"/>
                </w:tcPr>
                <w:p w14:paraId="03A5FF9F">
                  <w:pPr>
                    <w:pStyle w:val="33"/>
                    <w:keepNext w:val="0"/>
                    <w:keepLines w:val="0"/>
                    <w:suppressLineNumbers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生产车间</w:t>
                  </w:r>
                </w:p>
              </w:tc>
            </w:tr>
          </w:tbl>
          <w:p w14:paraId="0EF1A982">
            <w:pPr>
              <w:keepNext w:val="0"/>
              <w:keepLines w:val="0"/>
              <w:suppressLineNumbers w:val="0"/>
              <w:spacing w:before="0" w:beforeAutospacing="0" w:after="0" w:afterAutospacing="0"/>
              <w:ind w:left="0" w:right="0" w:firstLine="480"/>
              <w:rPr>
                <w:rFonts w:hint="default" w:cs="Times New Roman"/>
                <w:color w:val="auto"/>
              </w:rPr>
            </w:pPr>
            <w:r>
              <w:rPr>
                <w:rFonts w:hint="eastAsia" w:cs="Times New Roman"/>
                <w:color w:val="auto"/>
              </w:rPr>
              <w:t>②主要风险单元识别</w:t>
            </w:r>
          </w:p>
          <w:p w14:paraId="0B508321">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主要风险单元详见表4.</w:t>
            </w:r>
            <w:r>
              <w:rPr>
                <w:rFonts w:hint="eastAsia" w:cs="Times New Roman"/>
                <w:color w:val="auto"/>
                <w:lang w:val="en-US" w:eastAsia="zh-CN"/>
              </w:rPr>
              <w:t>7</w:t>
            </w:r>
            <w:r>
              <w:rPr>
                <w:rFonts w:hint="eastAsia" w:cs="Times New Roman"/>
                <w:color w:val="auto"/>
              </w:rPr>
              <w:t>-2。</w:t>
            </w:r>
          </w:p>
          <w:p w14:paraId="5F8C6C2E">
            <w:pPr>
              <w:pStyle w:val="36"/>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风险单元识别表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0"/>
              <w:gridCol w:w="1547"/>
              <w:gridCol w:w="2287"/>
              <w:gridCol w:w="3814"/>
            </w:tblGrid>
            <w:tr w14:paraId="584F1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noWrap w:val="0"/>
                  <w:vAlign w:val="center"/>
                </w:tcPr>
                <w:p w14:paraId="047F7C12">
                  <w:pPr>
                    <w:pStyle w:val="33"/>
                    <w:keepNext w:val="0"/>
                    <w:keepLines w:val="0"/>
                    <w:suppressLineNumbers w:val="0"/>
                    <w:bidi w:val="0"/>
                    <w:spacing w:before="0" w:beforeAutospacing="0" w:after="0" w:afterAutospacing="0"/>
                    <w:ind w:left="0" w:right="0"/>
                    <w:rPr>
                      <w:rFonts w:hint="default"/>
                    </w:rPr>
                  </w:pPr>
                  <w:r>
                    <w:rPr>
                      <w:rFonts w:hint="eastAsia"/>
                    </w:rPr>
                    <w:t>序号</w:t>
                  </w:r>
                </w:p>
              </w:tc>
              <w:tc>
                <w:tcPr>
                  <w:tcW w:w="894" w:type="pct"/>
                  <w:noWrap w:val="0"/>
                  <w:vAlign w:val="center"/>
                </w:tcPr>
                <w:p w14:paraId="746D5ED9">
                  <w:pPr>
                    <w:pStyle w:val="33"/>
                    <w:keepNext w:val="0"/>
                    <w:keepLines w:val="0"/>
                    <w:suppressLineNumbers w:val="0"/>
                    <w:bidi w:val="0"/>
                    <w:spacing w:before="0" w:beforeAutospacing="0" w:after="0" w:afterAutospacing="0"/>
                    <w:ind w:left="0" w:right="0"/>
                    <w:rPr>
                      <w:rFonts w:hint="default"/>
                    </w:rPr>
                  </w:pPr>
                  <w:r>
                    <w:rPr>
                      <w:rFonts w:hint="eastAsia"/>
                    </w:rPr>
                    <w:t>风险单元</w:t>
                  </w:r>
                </w:p>
              </w:tc>
              <w:tc>
                <w:tcPr>
                  <w:tcW w:w="1322" w:type="pct"/>
                  <w:noWrap w:val="0"/>
                  <w:vAlign w:val="center"/>
                </w:tcPr>
                <w:p w14:paraId="44183ADD">
                  <w:pPr>
                    <w:pStyle w:val="33"/>
                    <w:keepNext w:val="0"/>
                    <w:keepLines w:val="0"/>
                    <w:suppressLineNumbers w:val="0"/>
                    <w:bidi w:val="0"/>
                    <w:spacing w:before="0" w:beforeAutospacing="0" w:after="0" w:afterAutospacing="0"/>
                    <w:ind w:left="0" w:right="0"/>
                    <w:rPr>
                      <w:rFonts w:hint="default"/>
                    </w:rPr>
                  </w:pPr>
                  <w:r>
                    <w:rPr>
                      <w:rFonts w:hint="eastAsia"/>
                    </w:rPr>
                    <w:t>事故类型</w:t>
                  </w:r>
                </w:p>
              </w:tc>
              <w:tc>
                <w:tcPr>
                  <w:tcW w:w="2204" w:type="pct"/>
                  <w:shd w:val="clear" w:color="auto" w:fill="auto"/>
                  <w:noWrap w:val="0"/>
                  <w:vAlign w:val="center"/>
                </w:tcPr>
                <w:p w14:paraId="72972CFB">
                  <w:pPr>
                    <w:pStyle w:val="33"/>
                    <w:keepNext w:val="0"/>
                    <w:keepLines w:val="0"/>
                    <w:suppressLineNumbers w:val="0"/>
                    <w:bidi w:val="0"/>
                    <w:spacing w:before="0" w:beforeAutospacing="0" w:after="0" w:afterAutospacing="0"/>
                    <w:ind w:left="0" w:right="0"/>
                    <w:rPr>
                      <w:rFonts w:hint="default"/>
                      <w:lang w:val="en-US" w:eastAsia="zh-CN"/>
                    </w:rPr>
                  </w:pPr>
                  <w:r>
                    <w:rPr>
                      <w:rFonts w:hint="default"/>
                    </w:rPr>
                    <w:t>风险物质向环境转移的可能途径</w:t>
                  </w:r>
                </w:p>
              </w:tc>
            </w:tr>
            <w:tr w14:paraId="5D616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noWrap w:val="0"/>
                  <w:vAlign w:val="center"/>
                </w:tcPr>
                <w:p w14:paraId="2815E6EC">
                  <w:pPr>
                    <w:pStyle w:val="33"/>
                    <w:keepNext w:val="0"/>
                    <w:keepLines w:val="0"/>
                    <w:suppressLineNumbers w:val="0"/>
                    <w:bidi w:val="0"/>
                    <w:spacing w:before="0" w:beforeAutospacing="0" w:after="0" w:afterAutospacing="0"/>
                    <w:ind w:left="0" w:right="0"/>
                    <w:rPr>
                      <w:rFonts w:hint="default"/>
                    </w:rPr>
                  </w:pPr>
                  <w:r>
                    <w:rPr>
                      <w:rFonts w:hint="eastAsia"/>
                    </w:rPr>
                    <w:t>1</w:t>
                  </w:r>
                </w:p>
              </w:tc>
              <w:tc>
                <w:tcPr>
                  <w:tcW w:w="894" w:type="pct"/>
                  <w:noWrap w:val="0"/>
                  <w:vAlign w:val="center"/>
                </w:tcPr>
                <w:p w14:paraId="6D122A53">
                  <w:pPr>
                    <w:pStyle w:val="33"/>
                    <w:keepNext w:val="0"/>
                    <w:keepLines w:val="0"/>
                    <w:suppressLineNumbers w:val="0"/>
                    <w:bidi w:val="0"/>
                    <w:spacing w:before="0" w:beforeAutospacing="0" w:after="0" w:afterAutospacing="0"/>
                    <w:ind w:left="0" w:right="0"/>
                    <w:rPr>
                      <w:rFonts w:hint="default"/>
                    </w:rPr>
                  </w:pPr>
                  <w:r>
                    <w:rPr>
                      <w:rFonts w:hint="eastAsia"/>
                    </w:rPr>
                    <w:t>生产车间</w:t>
                  </w:r>
                </w:p>
              </w:tc>
              <w:tc>
                <w:tcPr>
                  <w:tcW w:w="1322" w:type="pct"/>
                  <w:noWrap w:val="0"/>
                  <w:vAlign w:val="center"/>
                </w:tcPr>
                <w:p w14:paraId="3781F7E4">
                  <w:pPr>
                    <w:pStyle w:val="33"/>
                    <w:keepNext w:val="0"/>
                    <w:keepLines w:val="0"/>
                    <w:suppressLineNumbers w:val="0"/>
                    <w:bidi w:val="0"/>
                    <w:spacing w:before="0" w:beforeAutospacing="0" w:after="0" w:afterAutospacing="0"/>
                    <w:ind w:left="0" w:right="0"/>
                    <w:rPr>
                      <w:rFonts w:hint="default"/>
                    </w:rPr>
                  </w:pPr>
                  <w:r>
                    <w:rPr>
                      <w:rFonts w:hint="default"/>
                    </w:rPr>
                    <w:t>电线短路、静电火花等，遇明火或高热发生火灾事故</w:t>
                  </w:r>
                </w:p>
              </w:tc>
              <w:tc>
                <w:tcPr>
                  <w:tcW w:w="2204" w:type="pct"/>
                  <w:noWrap w:val="0"/>
                  <w:vAlign w:val="center"/>
                </w:tcPr>
                <w:p w14:paraId="20509E09">
                  <w:pPr>
                    <w:pStyle w:val="33"/>
                    <w:keepNext w:val="0"/>
                    <w:keepLines w:val="0"/>
                    <w:suppressLineNumbers w:val="0"/>
                    <w:bidi w:val="0"/>
                    <w:spacing w:before="0" w:beforeAutospacing="0" w:after="0" w:afterAutospacing="0"/>
                    <w:ind w:left="0" w:right="0"/>
                    <w:rPr>
                      <w:rFonts w:hint="eastAsia"/>
                      <w:lang w:val="en-US" w:eastAsia="zh-CN"/>
                    </w:rPr>
                  </w:pPr>
                  <w:r>
                    <w:rPr>
                      <w:rFonts w:hint="default"/>
                    </w:rPr>
                    <w:t>火灾产生的热辐射、浓烟、有害气体等直接进入环境，火灾扑救过</w:t>
                  </w:r>
                  <w:r>
                    <w:rPr>
                      <w:rFonts w:hint="eastAsia"/>
                      <w:lang w:eastAsia="zh-CN"/>
                    </w:rPr>
                    <w:t>程中</w:t>
                  </w:r>
                  <w:r>
                    <w:rPr>
                      <w:rFonts w:hint="default"/>
                    </w:rPr>
                    <w:t>产生的消防废水</w:t>
                  </w:r>
                  <w:r>
                    <w:rPr>
                      <w:rFonts w:hint="eastAsia"/>
                      <w:lang w:eastAsia="zh-CN"/>
                    </w:rPr>
                    <w:t>直接排入周边水体</w:t>
                  </w:r>
                </w:p>
              </w:tc>
            </w:tr>
            <w:tr w14:paraId="05A7D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noWrap w:val="0"/>
                  <w:vAlign w:val="center"/>
                </w:tcPr>
                <w:p w14:paraId="27A0E939">
                  <w:pPr>
                    <w:pStyle w:val="33"/>
                    <w:keepNext w:val="0"/>
                    <w:keepLines w:val="0"/>
                    <w:suppressLineNumbers w:val="0"/>
                    <w:bidi w:val="0"/>
                    <w:spacing w:before="0" w:beforeAutospacing="0" w:after="0" w:afterAutospacing="0"/>
                    <w:ind w:left="0" w:right="0"/>
                    <w:rPr>
                      <w:rFonts w:hint="default"/>
                    </w:rPr>
                  </w:pPr>
                  <w:r>
                    <w:rPr>
                      <w:rFonts w:hint="eastAsia"/>
                    </w:rPr>
                    <w:t>2</w:t>
                  </w:r>
                </w:p>
              </w:tc>
              <w:tc>
                <w:tcPr>
                  <w:tcW w:w="894" w:type="pct"/>
                  <w:noWrap w:val="0"/>
                  <w:vAlign w:val="center"/>
                </w:tcPr>
                <w:p w14:paraId="2FCAA2E8">
                  <w:pPr>
                    <w:pStyle w:val="33"/>
                    <w:keepNext w:val="0"/>
                    <w:keepLines w:val="0"/>
                    <w:suppressLineNumbers w:val="0"/>
                    <w:bidi w:val="0"/>
                    <w:spacing w:before="0" w:beforeAutospacing="0" w:after="0" w:afterAutospacing="0"/>
                    <w:ind w:left="0" w:right="0"/>
                    <w:rPr>
                      <w:rFonts w:hint="eastAsia"/>
                      <w:lang w:eastAsia="zh-CN"/>
                    </w:rPr>
                  </w:pPr>
                  <w:r>
                    <w:rPr>
                      <w:rFonts w:hint="eastAsia"/>
                      <w:lang w:eastAsia="zh-CN"/>
                    </w:rPr>
                    <w:t>危废暂存点</w:t>
                  </w:r>
                </w:p>
              </w:tc>
              <w:tc>
                <w:tcPr>
                  <w:tcW w:w="1322" w:type="pct"/>
                  <w:noWrap w:val="0"/>
                  <w:vAlign w:val="center"/>
                </w:tcPr>
                <w:p w14:paraId="2CA635A4">
                  <w:pPr>
                    <w:pStyle w:val="33"/>
                    <w:keepNext w:val="0"/>
                    <w:keepLines w:val="0"/>
                    <w:suppressLineNumbers w:val="0"/>
                    <w:bidi w:val="0"/>
                    <w:spacing w:before="0" w:beforeAutospacing="0" w:after="0" w:afterAutospacing="0"/>
                    <w:ind w:left="0" w:right="0"/>
                    <w:rPr>
                      <w:rFonts w:hint="eastAsia"/>
                      <w:lang w:eastAsia="zh-CN"/>
                    </w:rPr>
                  </w:pPr>
                  <w:r>
                    <w:rPr>
                      <w:rFonts w:hint="eastAsia"/>
                    </w:rPr>
                    <w:t>危险废物</w:t>
                  </w:r>
                  <w:r>
                    <w:rPr>
                      <w:rFonts w:hint="eastAsia"/>
                      <w:lang w:eastAsia="zh-CN"/>
                    </w:rPr>
                    <w:t>泄漏</w:t>
                  </w:r>
                </w:p>
              </w:tc>
              <w:tc>
                <w:tcPr>
                  <w:tcW w:w="2204" w:type="pct"/>
                  <w:noWrap w:val="0"/>
                  <w:vAlign w:val="center"/>
                </w:tcPr>
                <w:p w14:paraId="43755631">
                  <w:pPr>
                    <w:pStyle w:val="33"/>
                    <w:keepNext w:val="0"/>
                    <w:keepLines w:val="0"/>
                    <w:suppressLineNumbers w:val="0"/>
                    <w:bidi w:val="0"/>
                    <w:spacing w:before="0" w:beforeAutospacing="0" w:after="0" w:afterAutospacing="0"/>
                    <w:ind w:left="0" w:right="0"/>
                    <w:rPr>
                      <w:rFonts w:hint="default"/>
                    </w:rPr>
                  </w:pPr>
                  <w:r>
                    <w:rPr>
                      <w:rFonts w:hint="eastAsia"/>
                      <w:lang w:eastAsia="zh-CN"/>
                    </w:rPr>
                    <w:t>废润滑油、废油桶、含油抹布及手套、废液压油泄漏</w:t>
                  </w:r>
                  <w:r>
                    <w:rPr>
                      <w:rFonts w:hint="default"/>
                    </w:rPr>
                    <w:t>渗入土壤及排入周边水体</w:t>
                  </w:r>
                </w:p>
              </w:tc>
            </w:tr>
          </w:tbl>
          <w:p w14:paraId="32873D45">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由上表可知，主要风险单元为生产车间、</w:t>
            </w:r>
            <w:r>
              <w:rPr>
                <w:rFonts w:hint="eastAsia" w:cs="Times New Roman"/>
                <w:color w:val="auto"/>
                <w:lang w:eastAsia="zh-CN"/>
              </w:rPr>
              <w:t>危废暂存点</w:t>
            </w:r>
            <w:r>
              <w:rPr>
                <w:rFonts w:hint="eastAsia" w:cs="Times New Roman"/>
                <w:color w:val="auto"/>
              </w:rPr>
              <w:t>，存在</w:t>
            </w:r>
            <w:r>
              <w:rPr>
                <w:rFonts w:hint="eastAsia" w:cs="Times New Roman"/>
                <w:color w:val="auto"/>
                <w:lang w:eastAsia="zh-CN"/>
              </w:rPr>
              <w:t>泄漏</w:t>
            </w:r>
            <w:r>
              <w:rPr>
                <w:rFonts w:hint="eastAsia" w:cs="Times New Roman"/>
                <w:color w:val="auto"/>
              </w:rPr>
              <w:t>及火灾的风险事故。</w:t>
            </w:r>
          </w:p>
          <w:p w14:paraId="3F674A1D">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（2）</w:t>
            </w:r>
            <w:r>
              <w:rPr>
                <w:rFonts w:hint="eastAsia" w:cs="Times New Roman"/>
                <w:color w:val="auto"/>
              </w:rPr>
              <w:t>风</w:t>
            </w:r>
            <w:r>
              <w:rPr>
                <w:rFonts w:hint="default" w:cs="Times New Roman"/>
                <w:color w:val="auto"/>
              </w:rPr>
              <w:t>险潜势初判</w:t>
            </w:r>
          </w:p>
          <w:p w14:paraId="15C5839C">
            <w:pPr>
              <w:keepNext w:val="0"/>
              <w:keepLines w:val="0"/>
              <w:suppressLineNumbers w:val="0"/>
              <w:spacing w:before="0" w:beforeAutospacing="0" w:after="0" w:afterAutospacing="0"/>
              <w:ind w:left="0" w:right="0" w:firstLine="480"/>
              <w:rPr>
                <w:rFonts w:hint="default" w:cs="Times New Roman"/>
                <w:color w:val="auto"/>
              </w:rPr>
            </w:pPr>
            <w:r>
              <w:rPr>
                <w:rFonts w:hint="default" w:cs="Times New Roman"/>
                <w:color w:val="auto"/>
              </w:rPr>
              <w:t>根据《建设项目环境风险评价技术导则》（HJ169－2018）附录C，Q按下式进行计算：</w:t>
            </w:r>
          </w:p>
          <w:p w14:paraId="5EFF07A1">
            <w:pPr>
              <w:keepNext w:val="0"/>
              <w:keepLines w:val="0"/>
              <w:suppressLineNumbers w:val="0"/>
              <w:autoSpaceDE w:val="0"/>
              <w:autoSpaceDN w:val="0"/>
              <w:adjustRightInd w:val="0"/>
              <w:spacing w:before="0" w:beforeAutospacing="0" w:after="0" w:afterAutospacing="0"/>
              <w:ind w:left="0" w:right="0" w:firstLine="480"/>
              <w:jc w:val="center"/>
              <w:rPr>
                <w:rFonts w:hint="default" w:cs="Times New Roman"/>
                <w:color w:val="auto"/>
              </w:rPr>
            </w:pPr>
            <m:oMathPara>
              <m:oMath>
                <m:r>
                  <m:rPr>
                    <m:sty m:val="p"/>
                  </m:rPr>
                  <w:rPr>
                    <w:rFonts w:hint="default" w:ascii="Cambria Math" w:hAnsi="Cambria Math" w:cs="Times New Roman"/>
                    <w:color w:val="auto"/>
                  </w:rPr>
                  <m:t>Q=</m:t>
                </m:r>
                <m:f>
                  <m:fPr>
                    <m:ctrlPr>
                      <w:rPr>
                        <w:rFonts w:hint="default" w:ascii="Cambria Math" w:hAnsi="Cambria Math" w:cs="Times New Roman"/>
                        <w:color w:val="auto"/>
                      </w:rPr>
                    </m:ctrlPr>
                  </m:fPr>
                  <m:num>
                    <m:r>
                      <m:rPr/>
                      <w:rPr>
                        <w:rFonts w:hint="default" w:ascii="Cambria Math" w:hAnsi="Cambria Math" w:cs="Times New Roman"/>
                        <w:color w:val="auto"/>
                      </w:rPr>
                      <m:t>q1</m:t>
                    </m:r>
                    <m:ctrlPr>
                      <w:rPr>
                        <w:rFonts w:hint="default" w:ascii="Cambria Math" w:hAnsi="Cambria Math" w:cs="Times New Roman"/>
                        <w:color w:val="auto"/>
                      </w:rPr>
                    </m:ctrlPr>
                  </m:num>
                  <m:den>
                    <m:r>
                      <m:rPr/>
                      <w:rPr>
                        <w:rFonts w:hint="default" w:ascii="Cambria Math" w:hAnsi="Cambria Math" w:cs="Times New Roman"/>
                        <w:color w:val="auto"/>
                      </w:rPr>
                      <m:t>Q1</m:t>
                    </m:r>
                    <m:ctrlPr>
                      <w:rPr>
                        <w:rFonts w:hint="default" w:ascii="Cambria Math" w:hAnsi="Cambria Math" w:cs="Times New Roman"/>
                        <w:color w:val="auto"/>
                      </w:rPr>
                    </m:ctrlPr>
                  </m:den>
                </m:f>
                <m:r>
                  <m:rPr/>
                  <w:rPr>
                    <w:rFonts w:hint="default" w:ascii="Cambria Math" w:hAnsi="Cambria Math" w:cs="Times New Roman"/>
                    <w:color w:val="auto"/>
                  </w:rPr>
                  <m:t>+</m:t>
                </m:r>
                <m:f>
                  <m:fPr>
                    <m:ctrlPr>
                      <w:rPr>
                        <w:rFonts w:hint="default" w:ascii="Cambria Math" w:hAnsi="Cambria Math" w:cs="Times New Roman"/>
                        <w:i/>
                        <w:color w:val="auto"/>
                      </w:rPr>
                    </m:ctrlPr>
                  </m:fPr>
                  <m:num>
                    <m:r>
                      <m:rPr>
                        <m:sty m:val="p"/>
                      </m:rPr>
                      <w:rPr>
                        <w:rFonts w:hint="default" w:ascii="Cambria Math" w:hAnsi="Cambria Math" w:cs="Times New Roman"/>
                        <w:color w:val="auto"/>
                      </w:rPr>
                      <m:t>q2</m:t>
                    </m:r>
                    <m:ctrlPr>
                      <w:rPr>
                        <w:rFonts w:hint="default" w:ascii="Cambria Math" w:hAnsi="Cambria Math" w:cs="Times New Roman"/>
                        <w:i/>
                        <w:color w:val="auto"/>
                      </w:rPr>
                    </m:ctrlPr>
                  </m:num>
                  <m:den>
                    <m:r>
                      <m:rPr/>
                      <w:rPr>
                        <w:rFonts w:hint="default" w:ascii="Cambria Math" w:hAnsi="Cambria Math" w:cs="Times New Roman"/>
                        <w:color w:val="auto"/>
                      </w:rPr>
                      <m:t>Q2</m:t>
                    </m:r>
                    <m:ctrlPr>
                      <w:rPr>
                        <w:rFonts w:hint="default" w:ascii="Cambria Math" w:hAnsi="Cambria Math" w:cs="Times New Roman"/>
                        <w:i/>
                        <w:color w:val="auto"/>
                      </w:rPr>
                    </m:ctrlPr>
                  </m:den>
                </m:f>
                <m:r>
                  <m:rPr/>
                  <w:rPr>
                    <w:rFonts w:hint="default" w:ascii="Cambria Math" w:hAnsi="Cambria Math" w:cs="Times New Roman"/>
                    <w:color w:val="auto"/>
                  </w:rPr>
                  <m:t>+…</m:t>
                </m:r>
                <m:f>
                  <m:fPr>
                    <m:ctrlPr>
                      <w:rPr>
                        <w:rFonts w:hint="default" w:ascii="Cambria Math" w:hAnsi="Cambria Math" w:cs="Times New Roman"/>
                        <w:color w:val="auto"/>
                      </w:rPr>
                    </m:ctrlPr>
                  </m:fPr>
                  <m:num>
                    <m:r>
                      <m:rPr/>
                      <w:rPr>
                        <w:rFonts w:hint="default" w:ascii="Cambria Math" w:hAnsi="Cambria Math" w:cs="Times New Roman"/>
                        <w:color w:val="auto"/>
                      </w:rPr>
                      <m:t>qn</m:t>
                    </m:r>
                    <m:ctrlPr>
                      <w:rPr>
                        <w:rFonts w:hint="default" w:ascii="Cambria Math" w:hAnsi="Cambria Math" w:cs="Times New Roman"/>
                        <w:color w:val="auto"/>
                      </w:rPr>
                    </m:ctrlPr>
                  </m:num>
                  <m:den>
                    <m:r>
                      <m:rPr/>
                      <w:rPr>
                        <w:rFonts w:hint="default" w:ascii="Cambria Math" w:hAnsi="Cambria Math" w:cs="Times New Roman"/>
                        <w:color w:val="auto"/>
                      </w:rPr>
                      <m:t>Qn</m:t>
                    </m:r>
                    <m:ctrlPr>
                      <w:rPr>
                        <w:rFonts w:hint="default" w:ascii="Cambria Math" w:hAnsi="Cambria Math" w:cs="Times New Roman"/>
                        <w:color w:val="auto"/>
                      </w:rPr>
                    </m:ctrlPr>
                  </m:den>
                </m:f>
              </m:oMath>
            </m:oMathPara>
          </w:p>
          <w:p w14:paraId="4D99EF81">
            <w:pPr>
              <w:keepNext w:val="0"/>
              <w:keepLines w:val="0"/>
              <w:suppressLineNumbers w:val="0"/>
              <w:autoSpaceDE w:val="0"/>
              <w:autoSpaceDN w:val="0"/>
              <w:adjustRightInd w:val="0"/>
              <w:spacing w:before="0" w:beforeAutospacing="0" w:after="0" w:afterAutospacing="0"/>
              <w:ind w:left="0" w:right="0" w:firstLine="480"/>
              <w:jc w:val="left"/>
              <w:rPr>
                <w:rFonts w:hint="default" w:cs="Times New Roman"/>
                <w:color w:val="auto"/>
              </w:rPr>
            </w:pPr>
            <w:r>
              <w:rPr>
                <w:rFonts w:hint="default" w:cs="Times New Roman"/>
                <w:color w:val="auto"/>
              </w:rPr>
              <w:t>式中：q1，q2……qn—每种危险物质的最大存在量，t；</w:t>
            </w:r>
          </w:p>
          <w:p w14:paraId="07F61A6D">
            <w:pPr>
              <w:keepNext w:val="0"/>
              <w:keepLines w:val="0"/>
              <w:suppressLineNumbers w:val="0"/>
              <w:autoSpaceDE w:val="0"/>
              <w:autoSpaceDN w:val="0"/>
              <w:adjustRightInd w:val="0"/>
              <w:spacing w:before="0" w:beforeAutospacing="0" w:after="0" w:afterAutospacing="0"/>
              <w:ind w:left="0" w:right="0" w:firstLine="480"/>
              <w:jc w:val="left"/>
              <w:rPr>
                <w:rFonts w:hint="default" w:cs="Times New Roman"/>
                <w:color w:val="auto"/>
              </w:rPr>
            </w:pPr>
            <w:r>
              <w:rPr>
                <w:rFonts w:hint="default" w:cs="Times New Roman"/>
                <w:color w:val="auto"/>
              </w:rPr>
              <w:t>Q1，Q2……Qn—每种危险物质的临界量，t；</w:t>
            </w:r>
          </w:p>
          <w:p w14:paraId="6E4F6561">
            <w:pPr>
              <w:keepNext w:val="0"/>
              <w:keepLines w:val="0"/>
              <w:suppressLineNumbers w:val="0"/>
              <w:autoSpaceDE w:val="0"/>
              <w:autoSpaceDN w:val="0"/>
              <w:adjustRightInd w:val="0"/>
              <w:spacing w:before="0" w:beforeAutospacing="0" w:after="0" w:afterAutospacing="0"/>
              <w:ind w:left="0" w:right="0" w:firstLine="480"/>
              <w:jc w:val="left"/>
              <w:rPr>
                <w:rFonts w:hint="default" w:cs="Times New Roman"/>
                <w:color w:val="auto"/>
              </w:rPr>
            </w:pPr>
            <w:r>
              <w:rPr>
                <w:rFonts w:hint="default" w:cs="Times New Roman"/>
                <w:color w:val="auto"/>
              </w:rPr>
              <w:t>当Q＜1时，该项目环境风险潜势为</w:t>
            </w:r>
            <w:r>
              <w:rPr>
                <w:rFonts w:hint="eastAsia" w:cs="Times New Roman"/>
                <w:color w:val="auto"/>
              </w:rPr>
              <w:t>I</w:t>
            </w:r>
            <w:r>
              <w:rPr>
                <w:rFonts w:hint="default" w:cs="Times New Roman"/>
                <w:color w:val="auto"/>
              </w:rPr>
              <w:t>。</w:t>
            </w:r>
          </w:p>
          <w:p w14:paraId="446CFC34">
            <w:pPr>
              <w:keepNext w:val="0"/>
              <w:keepLines w:val="0"/>
              <w:suppressLineNumbers w:val="0"/>
              <w:autoSpaceDE w:val="0"/>
              <w:autoSpaceDN w:val="0"/>
              <w:adjustRightInd w:val="0"/>
              <w:spacing w:before="0" w:beforeAutospacing="0" w:after="0" w:afterAutospacing="0"/>
              <w:ind w:left="0" w:right="0" w:firstLine="480"/>
              <w:jc w:val="left"/>
              <w:rPr>
                <w:rFonts w:hint="default" w:cs="Times New Roman"/>
                <w:color w:val="auto"/>
              </w:rPr>
            </w:pPr>
            <w:r>
              <w:rPr>
                <w:rFonts w:hint="default" w:cs="Times New Roman"/>
                <w:color w:val="auto"/>
              </w:rPr>
              <w:t>当Q≥1时，将Q值划分为：（1）1≤Q＜10；（2）10≤Q＜100；（3）Q≥100。</w:t>
            </w:r>
          </w:p>
          <w:p w14:paraId="584C9987">
            <w:pPr>
              <w:pStyle w:val="36"/>
              <w:keepNext w:val="0"/>
              <w:keepLines w:val="0"/>
              <w:suppressLineNumbers w:val="0"/>
              <w:spacing w:before="48" w:beforeAutospacing="0" w:after="0" w:afterAutospacing="0"/>
              <w:ind w:left="0" w:right="0"/>
              <w:rPr>
                <w:rFonts w:hint="eastAsia" w:cs="Times New Roman"/>
                <w:color w:val="auto"/>
              </w:rPr>
            </w:pPr>
            <w:r>
              <w:rPr>
                <w:rFonts w:hint="eastAsia" w:cs="Times New Roman"/>
                <w:color w:val="auto"/>
              </w:rPr>
              <w:t>建设项目</w:t>
            </w:r>
            <w:r>
              <w:rPr>
                <w:rFonts w:hint="default" w:cs="Times New Roman"/>
                <w:color w:val="auto"/>
              </w:rPr>
              <w:t>Q</w:t>
            </w:r>
            <w:r>
              <w:rPr>
                <w:rFonts w:hint="eastAsia" w:cs="Times New Roman"/>
                <w:color w:val="auto"/>
              </w:rPr>
              <w:t>值确定表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7"/>
              <w:gridCol w:w="2160"/>
              <w:gridCol w:w="1266"/>
              <w:gridCol w:w="1459"/>
              <w:gridCol w:w="1487"/>
              <w:gridCol w:w="1435"/>
            </w:tblGrid>
            <w:tr w14:paraId="526643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4" w:type="pct"/>
                  <w:noWrap w:val="0"/>
                  <w:vAlign w:val="center"/>
                </w:tcPr>
                <w:p w14:paraId="5B4104A9">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序号</w:t>
                  </w:r>
                </w:p>
              </w:tc>
              <w:tc>
                <w:tcPr>
                  <w:tcW w:w="1249" w:type="pct"/>
                  <w:noWrap w:val="0"/>
                  <w:vAlign w:val="center"/>
                </w:tcPr>
                <w:p w14:paraId="048001D1">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危险物质名称</w:t>
                  </w:r>
                </w:p>
              </w:tc>
              <w:tc>
                <w:tcPr>
                  <w:tcW w:w="732" w:type="pct"/>
                  <w:noWrap w:val="0"/>
                  <w:vAlign w:val="center"/>
                </w:tcPr>
                <w:p w14:paraId="2068959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CAS号</w:t>
                  </w:r>
                </w:p>
              </w:tc>
              <w:tc>
                <w:tcPr>
                  <w:tcW w:w="844" w:type="pct"/>
                  <w:noWrap w:val="0"/>
                  <w:vAlign w:val="center"/>
                </w:tcPr>
                <w:p w14:paraId="1D7C4DC3">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最大存在总量</w:t>
                  </w:r>
                  <w:r>
                    <w:rPr>
                      <w:rFonts w:hint="eastAsia" w:cs="Times New Roman"/>
                      <w:color w:val="auto"/>
                    </w:rPr>
                    <w:t>（</w:t>
                  </w:r>
                  <w:r>
                    <w:rPr>
                      <w:rFonts w:hint="default" w:cs="Times New Roman"/>
                      <w:color w:val="auto"/>
                    </w:rPr>
                    <w:t>qn/t</w:t>
                  </w:r>
                  <w:r>
                    <w:rPr>
                      <w:rFonts w:hint="eastAsia" w:cs="Times New Roman"/>
                      <w:color w:val="auto"/>
                    </w:rPr>
                    <w:t>）</w:t>
                  </w:r>
                </w:p>
              </w:tc>
              <w:tc>
                <w:tcPr>
                  <w:tcW w:w="859" w:type="pct"/>
                  <w:noWrap w:val="0"/>
                  <w:vAlign w:val="center"/>
                </w:tcPr>
                <w:p w14:paraId="0956C009">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临界量</w:t>
                  </w:r>
                  <w:r>
                    <w:rPr>
                      <w:rFonts w:hint="eastAsia" w:cs="Times New Roman"/>
                      <w:color w:val="auto"/>
                    </w:rPr>
                    <w:t>（</w:t>
                  </w:r>
                  <w:r>
                    <w:rPr>
                      <w:rFonts w:hint="default" w:cs="Times New Roman"/>
                      <w:color w:val="auto"/>
                    </w:rPr>
                    <w:t>Qn/t</w:t>
                  </w:r>
                  <w:r>
                    <w:rPr>
                      <w:rFonts w:hint="eastAsia" w:cs="Times New Roman"/>
                      <w:color w:val="auto"/>
                    </w:rPr>
                    <w:t>）</w:t>
                  </w:r>
                </w:p>
              </w:tc>
              <w:tc>
                <w:tcPr>
                  <w:tcW w:w="830" w:type="pct"/>
                  <w:noWrap w:val="0"/>
                  <w:vAlign w:val="center"/>
                </w:tcPr>
                <w:p w14:paraId="319FC94F">
                  <w:pPr>
                    <w:pStyle w:val="33"/>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Q</w:t>
                  </w:r>
                  <w:r>
                    <w:rPr>
                      <w:rFonts w:hint="eastAsia" w:cs="Times New Roman"/>
                      <w:color w:val="auto"/>
                      <w:lang w:eastAsia="zh-CN"/>
                    </w:rPr>
                    <w:t>(</w:t>
                  </w:r>
                  <w:r>
                    <w:rPr>
                      <w:rFonts w:hint="default" w:cs="Times New Roman"/>
                      <w:color w:val="auto"/>
                    </w:rPr>
                    <w:t>qn/Qn</w:t>
                  </w:r>
                  <w:r>
                    <w:rPr>
                      <w:rFonts w:hint="eastAsia" w:cs="Times New Roman"/>
                      <w:color w:val="auto"/>
                      <w:lang w:eastAsia="zh-CN"/>
                    </w:rPr>
                    <w:t>)</w:t>
                  </w:r>
                </w:p>
              </w:tc>
            </w:tr>
            <w:tr w14:paraId="235309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4" w:type="pct"/>
                  <w:noWrap w:val="0"/>
                  <w:vAlign w:val="center"/>
                </w:tcPr>
                <w:p w14:paraId="2407E5A5">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cs="Times New Roman"/>
                      <w:color w:val="auto"/>
                    </w:rPr>
                    <w:t>1</w:t>
                  </w:r>
                </w:p>
              </w:tc>
              <w:tc>
                <w:tcPr>
                  <w:tcW w:w="1249" w:type="pct"/>
                  <w:noWrap w:val="0"/>
                  <w:vAlign w:val="center"/>
                </w:tcPr>
                <w:p w14:paraId="2E56E96E">
                  <w:pPr>
                    <w:pStyle w:val="33"/>
                    <w:keepNext w:val="0"/>
                    <w:keepLines w:val="0"/>
                    <w:suppressLineNumbers w:val="0"/>
                    <w:spacing w:before="0" w:beforeAutospacing="0" w:after="0" w:afterAutospacing="0"/>
                    <w:ind w:left="0" w:right="0"/>
                    <w:rPr>
                      <w:rFonts w:hint="default" w:cs="Times New Roman"/>
                      <w:color w:val="auto"/>
                      <w:lang w:val="en-US"/>
                    </w:rPr>
                  </w:pPr>
                  <w:r>
                    <w:rPr>
                      <w:rFonts w:hint="eastAsia" w:cs="Times New Roman"/>
                      <w:color w:val="auto"/>
                      <w:lang w:val="en-US" w:eastAsia="zh-CN"/>
                    </w:rPr>
                    <w:t>润滑油、液压油</w:t>
                  </w:r>
                </w:p>
              </w:tc>
              <w:tc>
                <w:tcPr>
                  <w:tcW w:w="732" w:type="pct"/>
                  <w:noWrap w:val="0"/>
                  <w:vAlign w:val="center"/>
                </w:tcPr>
                <w:p w14:paraId="2C4F1D89">
                  <w:pPr>
                    <w:pStyle w:val="33"/>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lang w:val="en-US" w:eastAsia="zh-CN"/>
                    </w:rPr>
                    <w:t>/</w:t>
                  </w:r>
                </w:p>
              </w:tc>
              <w:tc>
                <w:tcPr>
                  <w:tcW w:w="844" w:type="pct"/>
                  <w:noWrap w:val="0"/>
                  <w:vAlign w:val="center"/>
                </w:tcPr>
                <w:p w14:paraId="2B6F2055">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0.2</w:t>
                  </w:r>
                </w:p>
              </w:tc>
              <w:tc>
                <w:tcPr>
                  <w:tcW w:w="859" w:type="pct"/>
                  <w:noWrap w:val="0"/>
                  <w:vAlign w:val="center"/>
                </w:tcPr>
                <w:p w14:paraId="3F2C39C6">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2500</w:t>
                  </w:r>
                </w:p>
              </w:tc>
              <w:tc>
                <w:tcPr>
                  <w:tcW w:w="830" w:type="pct"/>
                  <w:noWrap w:val="0"/>
                  <w:vAlign w:val="center"/>
                </w:tcPr>
                <w:p w14:paraId="5291B779">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0.00008</w:t>
                  </w:r>
                </w:p>
              </w:tc>
            </w:tr>
            <w:tr w14:paraId="2B2905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69" w:type="pct"/>
                  <w:gridSpan w:val="5"/>
                  <w:noWrap w:val="0"/>
                  <w:vAlign w:val="center"/>
                </w:tcPr>
                <w:p w14:paraId="35039148">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合计</w:t>
                  </w:r>
                </w:p>
              </w:tc>
              <w:tc>
                <w:tcPr>
                  <w:tcW w:w="830" w:type="pct"/>
                  <w:noWrap w:val="0"/>
                  <w:vAlign w:val="center"/>
                </w:tcPr>
                <w:p w14:paraId="465A0D91">
                  <w:pPr>
                    <w:pStyle w:val="33"/>
                    <w:keepNext w:val="0"/>
                    <w:keepLines w:val="0"/>
                    <w:suppressLineNumbers w:val="0"/>
                    <w:bidi w:val="0"/>
                    <w:spacing w:before="0" w:beforeAutospacing="0" w:after="0" w:afterAutospacing="0"/>
                    <w:ind w:left="0" w:right="0"/>
                    <w:rPr>
                      <w:rFonts w:hint="default" w:cs="Times New Roman"/>
                      <w:color w:val="auto"/>
                      <w:lang w:val="en-US"/>
                    </w:rPr>
                  </w:pPr>
                  <w:r>
                    <w:rPr>
                      <w:rFonts w:hint="eastAsia" w:cs="Times New Roman"/>
                      <w:color w:val="auto"/>
                      <w:lang w:val="en-US" w:eastAsia="zh-CN"/>
                    </w:rPr>
                    <w:t>0.00008</w:t>
                  </w:r>
                </w:p>
              </w:tc>
            </w:tr>
          </w:tbl>
          <w:p w14:paraId="232590F0">
            <w:pPr>
              <w:keepNext w:val="0"/>
              <w:keepLines w:val="0"/>
              <w:suppressLineNumbers w:val="0"/>
              <w:spacing w:before="0" w:beforeAutospacing="0" w:after="0" w:afterAutospacing="0"/>
              <w:ind w:left="0" w:right="0" w:firstLine="480"/>
              <w:jc w:val="left"/>
              <w:rPr>
                <w:rFonts w:hint="eastAsia" w:cs="Times New Roman"/>
                <w:color w:val="auto"/>
              </w:rPr>
            </w:pPr>
            <w:r>
              <w:rPr>
                <w:rFonts w:hint="eastAsia" w:cs="Times New Roman"/>
                <w:color w:val="auto"/>
              </w:rPr>
              <w:t>本项目Q=</w:t>
            </w:r>
            <w:r>
              <w:rPr>
                <w:rFonts w:hint="eastAsia" w:cs="Times New Roman"/>
                <w:color w:val="auto"/>
                <w:lang w:val="en-US" w:eastAsia="zh-CN"/>
              </w:rPr>
              <w:t>0.00008</w:t>
            </w:r>
            <w:r>
              <w:rPr>
                <w:rFonts w:hint="eastAsia" w:cs="Times New Roman"/>
                <w:color w:val="auto"/>
              </w:rPr>
              <w:t>＜1，环境风险潜势为I</w:t>
            </w:r>
            <w:r>
              <w:rPr>
                <w:rFonts w:hint="default" w:cs="Times New Roman"/>
                <w:color w:val="auto"/>
              </w:rPr>
              <w:t>。</w:t>
            </w:r>
            <w:r>
              <w:rPr>
                <w:rFonts w:hint="eastAsia" w:cs="Times New Roman"/>
                <w:color w:val="auto"/>
              </w:rPr>
              <w:t>根据</w:t>
            </w:r>
            <w:r>
              <w:rPr>
                <w:rFonts w:hint="default" w:cs="Times New Roman"/>
                <w:color w:val="auto"/>
              </w:rPr>
              <w:t>《建设项目环境风险评价技术导则》（HJ169－2018）环境风险潜势为</w:t>
            </w:r>
            <w:r>
              <w:rPr>
                <w:rFonts w:hint="default" w:cs="Times New Roman"/>
                <w:color w:val="auto"/>
              </w:rPr>
              <w:fldChar w:fldCharType="begin"/>
            </w:r>
            <w:r>
              <w:rPr>
                <w:rFonts w:hint="default" w:cs="Times New Roman"/>
                <w:color w:val="auto"/>
              </w:rPr>
              <w:instrText xml:space="preserve">=1\*ROMAN</w:instrText>
            </w:r>
            <w:r>
              <w:rPr>
                <w:rFonts w:hint="default" w:cs="Times New Roman"/>
                <w:color w:val="auto"/>
              </w:rPr>
              <w:fldChar w:fldCharType="separate"/>
            </w:r>
            <w:r>
              <w:rPr>
                <w:rFonts w:hint="default" w:cs="Times New Roman"/>
                <w:color w:val="auto"/>
              </w:rPr>
              <w:t>I</w:t>
            </w:r>
            <w:r>
              <w:rPr>
                <w:rFonts w:hint="default" w:cs="Times New Roman"/>
                <w:color w:val="auto"/>
              </w:rPr>
              <w:fldChar w:fldCharType="end"/>
            </w:r>
            <w:r>
              <w:rPr>
                <w:rFonts w:hint="eastAsia" w:cs="Times New Roman"/>
                <w:color w:val="auto"/>
              </w:rPr>
              <w:t>，进行简单分析。</w:t>
            </w:r>
          </w:p>
          <w:p w14:paraId="7769B88C">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w:t>
            </w:r>
            <w:r>
              <w:rPr>
                <w:rFonts w:hint="eastAsia" w:cs="Times New Roman"/>
                <w:color w:val="auto"/>
                <w:lang w:val="en-US" w:eastAsia="zh-CN"/>
              </w:rPr>
              <w:t>3</w:t>
            </w:r>
            <w:r>
              <w:rPr>
                <w:rFonts w:hint="default" w:cs="Times New Roman"/>
                <w:color w:val="auto"/>
              </w:rPr>
              <w:t>）可能影响途径</w:t>
            </w:r>
          </w:p>
          <w:p w14:paraId="6CB5B6FE">
            <w:pPr>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通过对风险物质类型、风险源、有害物质识别可能影响的途径，识别结果详见表</w:t>
            </w:r>
            <w:r>
              <w:rPr>
                <w:rFonts w:hint="eastAsia" w:cs="Times New Roman"/>
                <w:color w:val="auto"/>
                <w:lang w:val="en-US" w:eastAsia="zh-CN"/>
              </w:rPr>
              <w:t>4.7-4</w:t>
            </w:r>
            <w:r>
              <w:rPr>
                <w:rFonts w:hint="default" w:cs="Times New Roman"/>
                <w:color w:val="auto"/>
              </w:rPr>
              <w:t>。</w:t>
            </w:r>
          </w:p>
          <w:p w14:paraId="007C51B1">
            <w:pPr>
              <w:pStyle w:val="36"/>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项目风险物质影响途径一览表</w:t>
            </w:r>
          </w:p>
          <w:tbl>
            <w:tblPr>
              <w:tblStyle w:val="23"/>
              <w:tblW w:w="499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29"/>
              <w:gridCol w:w="1228"/>
              <w:gridCol w:w="1250"/>
              <w:gridCol w:w="1838"/>
              <w:gridCol w:w="3699"/>
            </w:tblGrid>
            <w:tr w14:paraId="00B645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4" w:type="pct"/>
                  <w:tcBorders>
                    <w:tl2br w:val="nil"/>
                    <w:tr2bl w:val="nil"/>
                  </w:tcBorders>
                  <w:noWrap w:val="0"/>
                  <w:vAlign w:val="center"/>
                </w:tcPr>
                <w:p w14:paraId="5B1BBC93">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序号</w:t>
                  </w:r>
                </w:p>
              </w:tc>
              <w:tc>
                <w:tcPr>
                  <w:tcW w:w="710" w:type="pct"/>
                  <w:tcBorders>
                    <w:tl2br w:val="nil"/>
                    <w:tr2bl w:val="nil"/>
                  </w:tcBorders>
                  <w:noWrap w:val="0"/>
                  <w:vAlign w:val="center"/>
                </w:tcPr>
                <w:p w14:paraId="31A0D16E">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危险单元</w:t>
                  </w:r>
                </w:p>
              </w:tc>
              <w:tc>
                <w:tcPr>
                  <w:tcW w:w="723" w:type="pct"/>
                  <w:tcBorders>
                    <w:tl2br w:val="nil"/>
                    <w:tr2bl w:val="nil"/>
                  </w:tcBorders>
                  <w:noWrap w:val="0"/>
                  <w:vAlign w:val="center"/>
                </w:tcPr>
                <w:p w14:paraId="0A9C9EA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有害物质</w:t>
                  </w:r>
                </w:p>
              </w:tc>
              <w:tc>
                <w:tcPr>
                  <w:tcW w:w="1063" w:type="pct"/>
                  <w:tcBorders>
                    <w:tl2br w:val="nil"/>
                    <w:tr2bl w:val="nil"/>
                  </w:tcBorders>
                  <w:noWrap w:val="0"/>
                  <w:vAlign w:val="center"/>
                </w:tcPr>
                <w:p w14:paraId="63F2B104">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环境风险类型</w:t>
                  </w:r>
                </w:p>
              </w:tc>
              <w:tc>
                <w:tcPr>
                  <w:tcW w:w="2139" w:type="pct"/>
                  <w:tcBorders>
                    <w:tl2br w:val="nil"/>
                    <w:tr2bl w:val="nil"/>
                  </w:tcBorders>
                  <w:noWrap w:val="0"/>
                  <w:vAlign w:val="center"/>
                </w:tcPr>
                <w:p w14:paraId="006609FC">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环境影响途径</w:t>
                  </w:r>
                </w:p>
              </w:tc>
            </w:tr>
            <w:tr w14:paraId="2EA5EE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4" w:type="pct"/>
                  <w:tcBorders>
                    <w:tl2br w:val="nil"/>
                    <w:tr2bl w:val="nil"/>
                  </w:tcBorders>
                  <w:noWrap w:val="0"/>
                  <w:vAlign w:val="center"/>
                </w:tcPr>
                <w:p w14:paraId="39B6618F">
                  <w:pPr>
                    <w:pStyle w:val="33"/>
                    <w:keepNext w:val="0"/>
                    <w:keepLines w:val="0"/>
                    <w:suppressLineNumbers w:val="0"/>
                    <w:bidi w:val="0"/>
                    <w:spacing w:before="0" w:beforeAutospacing="0" w:after="0" w:afterAutospacing="0"/>
                    <w:ind w:left="0" w:right="0"/>
                    <w:rPr>
                      <w:rFonts w:hint="eastAsia" w:eastAsia="宋体" w:cs="Times New Roman"/>
                      <w:color w:val="auto"/>
                      <w:lang w:val="en-US" w:eastAsia="zh-CN"/>
                    </w:rPr>
                  </w:pPr>
                  <w:r>
                    <w:rPr>
                      <w:rFonts w:hint="eastAsia" w:cs="Times New Roman"/>
                      <w:color w:val="auto"/>
                      <w:lang w:val="en-US" w:eastAsia="zh-CN"/>
                    </w:rPr>
                    <w:t>1</w:t>
                  </w:r>
                </w:p>
              </w:tc>
              <w:tc>
                <w:tcPr>
                  <w:tcW w:w="710" w:type="pct"/>
                  <w:tcBorders>
                    <w:tl2br w:val="nil"/>
                    <w:tr2bl w:val="nil"/>
                  </w:tcBorders>
                  <w:noWrap w:val="0"/>
                  <w:vAlign w:val="center"/>
                </w:tcPr>
                <w:p w14:paraId="36C70C15">
                  <w:pPr>
                    <w:pStyle w:val="33"/>
                    <w:keepNext w:val="0"/>
                    <w:keepLines w:val="0"/>
                    <w:suppressLineNumbers w:val="0"/>
                    <w:bidi w:val="0"/>
                    <w:spacing w:before="0" w:beforeAutospacing="0" w:after="0" w:afterAutospacing="0"/>
                    <w:ind w:left="0" w:right="0"/>
                    <w:rPr>
                      <w:rFonts w:hint="default" w:cs="Times New Roman"/>
                      <w:color w:val="auto"/>
                      <w:lang w:val="en-US"/>
                    </w:rPr>
                  </w:pPr>
                  <w:r>
                    <w:rPr>
                      <w:rFonts w:hint="eastAsia" w:cs="Times New Roman"/>
                      <w:color w:val="auto"/>
                      <w:lang w:eastAsia="zh-CN"/>
                    </w:rPr>
                    <w:t>危废暂存间</w:t>
                  </w:r>
                </w:p>
              </w:tc>
              <w:tc>
                <w:tcPr>
                  <w:tcW w:w="723" w:type="pct"/>
                  <w:tcBorders>
                    <w:tl2br w:val="nil"/>
                    <w:tr2bl w:val="nil"/>
                  </w:tcBorders>
                  <w:noWrap w:val="0"/>
                  <w:vAlign w:val="center"/>
                </w:tcPr>
                <w:p w14:paraId="53EF121A">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废润滑油、</w:t>
                  </w:r>
                </w:p>
                <w:p w14:paraId="0E6FF661">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废润滑油桶、含油抹布及废手套</w:t>
                  </w:r>
                </w:p>
              </w:tc>
              <w:tc>
                <w:tcPr>
                  <w:tcW w:w="1063" w:type="pct"/>
                  <w:tcBorders>
                    <w:tl2br w:val="nil"/>
                    <w:tr2bl w:val="nil"/>
                  </w:tcBorders>
                  <w:noWrap w:val="0"/>
                  <w:vAlign w:val="center"/>
                </w:tcPr>
                <w:p w14:paraId="3E4244DC">
                  <w:pPr>
                    <w:pStyle w:val="33"/>
                    <w:keepNext w:val="0"/>
                    <w:keepLines w:val="0"/>
                    <w:suppressLineNumbers w:val="0"/>
                    <w:bidi w:val="0"/>
                    <w:spacing w:before="0" w:beforeAutospacing="0" w:after="0" w:afterAutospacing="0"/>
                    <w:ind w:left="0" w:right="0"/>
                    <w:rPr>
                      <w:rFonts w:hint="default" w:cs="Times New Roman"/>
                      <w:color w:val="auto"/>
                      <w:lang w:val="en-US"/>
                    </w:rPr>
                  </w:pPr>
                  <w:r>
                    <w:rPr>
                      <w:rFonts w:hint="eastAsia" w:cs="Times New Roman"/>
                      <w:color w:val="auto"/>
                      <w:lang w:eastAsia="zh-CN"/>
                    </w:rPr>
                    <w:t>危险废物</w:t>
                  </w:r>
                  <w:r>
                    <w:rPr>
                      <w:rFonts w:hint="default" w:cs="Times New Roman"/>
                      <w:color w:val="auto"/>
                    </w:rPr>
                    <w:t>泄漏、火灾等引发的伴生/次生污染物排放</w:t>
                  </w:r>
                </w:p>
              </w:tc>
              <w:tc>
                <w:tcPr>
                  <w:tcW w:w="2139" w:type="pct"/>
                  <w:tcBorders>
                    <w:tl2br w:val="nil"/>
                    <w:tr2bl w:val="nil"/>
                  </w:tcBorders>
                  <w:noWrap w:val="0"/>
                  <w:vAlign w:val="center"/>
                </w:tcPr>
                <w:p w14:paraId="0DE8187E">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eastAsia="zh-CN"/>
                    </w:rPr>
                    <w:t>危险废物</w:t>
                  </w:r>
                  <w:r>
                    <w:rPr>
                      <w:rFonts w:hint="default" w:cs="Times New Roman"/>
                      <w:color w:val="auto"/>
                    </w:rPr>
                    <w:t>泄漏、火灾等引发的伴生/次生污染物排放，通过挥发、扩散、漫流、下渗等对周围大气、地表水、地下水和土壤环境造成影响</w:t>
                  </w:r>
                </w:p>
              </w:tc>
            </w:tr>
            <w:tr w14:paraId="78D32D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64" w:type="pct"/>
                  <w:tcBorders>
                    <w:tl2br w:val="nil"/>
                    <w:tr2bl w:val="nil"/>
                  </w:tcBorders>
                  <w:noWrap w:val="0"/>
                  <w:vAlign w:val="center"/>
                </w:tcPr>
                <w:p w14:paraId="475CA459">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2</w:t>
                  </w:r>
                </w:p>
              </w:tc>
              <w:tc>
                <w:tcPr>
                  <w:tcW w:w="710" w:type="pct"/>
                  <w:tcBorders>
                    <w:tl2br w:val="nil"/>
                    <w:tr2bl w:val="nil"/>
                  </w:tcBorders>
                  <w:noWrap w:val="0"/>
                  <w:vAlign w:val="center"/>
                </w:tcPr>
                <w:p w14:paraId="1BECC6AE">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生产车间</w:t>
                  </w:r>
                </w:p>
              </w:tc>
              <w:tc>
                <w:tcPr>
                  <w:tcW w:w="723" w:type="pct"/>
                  <w:tcBorders>
                    <w:tl2br w:val="nil"/>
                    <w:tr2bl w:val="nil"/>
                  </w:tcBorders>
                  <w:noWrap w:val="0"/>
                  <w:vAlign w:val="center"/>
                </w:tcPr>
                <w:p w14:paraId="4D8D87FF">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润滑油</w:t>
                  </w:r>
                </w:p>
              </w:tc>
              <w:tc>
                <w:tcPr>
                  <w:tcW w:w="1063" w:type="pct"/>
                  <w:tcBorders>
                    <w:tl2br w:val="nil"/>
                    <w:tr2bl w:val="nil"/>
                  </w:tcBorders>
                  <w:noWrap w:val="0"/>
                  <w:vAlign w:val="center"/>
                </w:tcPr>
                <w:p w14:paraId="0DF83E27">
                  <w:pPr>
                    <w:pStyle w:val="33"/>
                    <w:keepNext w:val="0"/>
                    <w:keepLines w:val="0"/>
                    <w:suppressLineNumbers w:val="0"/>
                    <w:bidi w:val="0"/>
                    <w:spacing w:before="0" w:beforeAutospacing="0" w:after="0" w:afterAutospacing="0"/>
                    <w:ind w:left="0" w:right="0" w:firstLine="0" w:firstLineChars="0"/>
                    <w:rPr>
                      <w:rFonts w:hint="eastAsia" w:cs="Times New Roman"/>
                      <w:color w:val="auto"/>
                      <w:lang w:eastAsia="zh-CN"/>
                    </w:rPr>
                  </w:pPr>
                  <w:r>
                    <w:rPr>
                      <w:rFonts w:hint="eastAsia" w:cs="Times New Roman"/>
                      <w:color w:val="auto"/>
                      <w:lang w:val="en-US" w:eastAsia="zh-CN"/>
                    </w:rPr>
                    <w:t>润滑油</w:t>
                  </w:r>
                  <w:r>
                    <w:rPr>
                      <w:rFonts w:hint="default" w:cs="Times New Roman"/>
                      <w:color w:val="auto"/>
                    </w:rPr>
                    <w:t>泄漏、火灾等引发的伴生/次生污染物排放</w:t>
                  </w:r>
                </w:p>
              </w:tc>
              <w:tc>
                <w:tcPr>
                  <w:tcW w:w="2139" w:type="pct"/>
                  <w:tcBorders>
                    <w:tl2br w:val="nil"/>
                    <w:tr2bl w:val="nil"/>
                  </w:tcBorders>
                  <w:noWrap w:val="0"/>
                  <w:vAlign w:val="center"/>
                </w:tcPr>
                <w:p w14:paraId="4650EFBB">
                  <w:pPr>
                    <w:pStyle w:val="33"/>
                    <w:keepNext w:val="0"/>
                    <w:keepLines w:val="0"/>
                    <w:suppressLineNumbers w:val="0"/>
                    <w:bidi w:val="0"/>
                    <w:spacing w:before="0" w:beforeAutospacing="0" w:after="0" w:afterAutospacing="0"/>
                    <w:ind w:left="0" w:right="0" w:firstLine="0" w:firstLineChars="0"/>
                    <w:rPr>
                      <w:rFonts w:hint="eastAsia" w:cs="Times New Roman"/>
                      <w:color w:val="auto"/>
                      <w:lang w:eastAsia="zh-CN"/>
                    </w:rPr>
                  </w:pPr>
                  <w:r>
                    <w:rPr>
                      <w:rFonts w:hint="eastAsia" w:cs="Times New Roman"/>
                      <w:color w:val="auto"/>
                      <w:lang w:val="en-US" w:eastAsia="zh-CN"/>
                    </w:rPr>
                    <w:t>润滑油</w:t>
                  </w:r>
                  <w:r>
                    <w:rPr>
                      <w:rFonts w:hint="default" w:cs="Times New Roman"/>
                      <w:color w:val="auto"/>
                    </w:rPr>
                    <w:t>泄漏、火灾等引发的伴生/次生污染物排放，通过挥发、扩散、漫流、下渗等对周围大气、地表水、地下水和土壤环境造成影响</w:t>
                  </w:r>
                </w:p>
              </w:tc>
            </w:tr>
          </w:tbl>
          <w:p w14:paraId="304D7ACF">
            <w:pPr>
              <w:pStyle w:val="4"/>
              <w:keepNext w:val="0"/>
              <w:keepLines w:val="0"/>
              <w:suppressLineNumbers w:val="0"/>
              <w:bidi w:val="0"/>
              <w:ind w:left="0" w:right="0"/>
              <w:rPr>
                <w:rFonts w:hint="default"/>
                <w:color w:val="auto"/>
              </w:rPr>
            </w:pPr>
            <w:r>
              <w:rPr>
                <w:rFonts w:hint="default"/>
                <w:color w:val="auto"/>
              </w:rPr>
              <w:t>环境风险分析</w:t>
            </w:r>
          </w:p>
          <w:p w14:paraId="4C2A5285">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①火灾事故：若项目遇上</w:t>
            </w:r>
            <w:r>
              <w:rPr>
                <w:rFonts w:hint="eastAsia" w:cs="Times New Roman"/>
                <w:color w:val="auto"/>
                <w:lang w:eastAsia="zh-CN"/>
              </w:rPr>
              <w:t>原辅材料</w:t>
            </w:r>
            <w:r>
              <w:rPr>
                <w:rFonts w:hint="eastAsia" w:cs="Times New Roman"/>
                <w:color w:val="auto"/>
              </w:rPr>
              <w:t>遭遇明火、电线短路、设备故障等事故，如控制不当可能引发较大火灾事故，造成较大的财产损失；同时火灾产生的烟气具有一定毒性，可能对下风向的群</w:t>
            </w:r>
            <w:r>
              <w:rPr>
                <w:rFonts w:hint="eastAsia" w:cs="Times New Roman"/>
                <w:color w:val="auto"/>
                <w:lang w:eastAsia="zh-CN"/>
              </w:rPr>
              <w:t>众和</w:t>
            </w:r>
            <w:r>
              <w:rPr>
                <w:rFonts w:hint="eastAsia" w:cs="Times New Roman"/>
                <w:color w:val="auto"/>
              </w:rPr>
              <w:t>居民健康造成影响；在火灾爆炸事故的扑救过程中，会产生大量的次生消防废水，如果这部分废水得不到有效控制，将对闽江水质造成影响。</w:t>
            </w:r>
          </w:p>
          <w:p w14:paraId="138EDE2B">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③</w:t>
            </w:r>
            <w:r>
              <w:rPr>
                <w:rFonts w:hint="eastAsia" w:cs="Times New Roman"/>
                <w:color w:val="auto"/>
                <w:lang w:val="en-US" w:eastAsia="zh-CN"/>
              </w:rPr>
              <w:t>油类</w:t>
            </w:r>
            <w:r>
              <w:rPr>
                <w:rFonts w:hint="eastAsia" w:cs="Times New Roman"/>
                <w:color w:val="auto"/>
              </w:rPr>
              <w:t>泄漏事故：若</w:t>
            </w:r>
            <w:r>
              <w:rPr>
                <w:rFonts w:hint="eastAsia" w:cs="Times New Roman"/>
                <w:color w:val="auto"/>
                <w:lang w:val="en-US" w:eastAsia="zh-CN"/>
              </w:rPr>
              <w:t>润滑油、危废暂存间废油</w:t>
            </w:r>
            <w:r>
              <w:rPr>
                <w:rFonts w:hint="eastAsia" w:cs="Times New Roman"/>
                <w:color w:val="auto"/>
              </w:rPr>
              <w:t>发生破损或人为操作不当，有可能泄漏，对周边大气、地表水、地下水及土壤造成影响。</w:t>
            </w:r>
          </w:p>
          <w:p w14:paraId="4BA98B4C">
            <w:pPr>
              <w:pStyle w:val="4"/>
              <w:keepNext w:val="0"/>
              <w:keepLines w:val="0"/>
              <w:suppressLineNumbers w:val="0"/>
              <w:bidi w:val="0"/>
              <w:ind w:left="0" w:right="0"/>
              <w:rPr>
                <w:rFonts w:hint="default"/>
                <w:color w:val="auto"/>
              </w:rPr>
            </w:pPr>
            <w:r>
              <w:rPr>
                <w:rFonts w:hint="eastAsia"/>
                <w:color w:val="auto"/>
              </w:rPr>
              <w:t>环境风险防范措施</w:t>
            </w:r>
          </w:p>
          <w:p w14:paraId="0913FD21">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w:t>
            </w:r>
            <w:r>
              <w:rPr>
                <w:rFonts w:hint="eastAsia" w:cs="Times New Roman"/>
                <w:color w:val="auto"/>
                <w:lang w:val="en-US" w:eastAsia="zh-CN"/>
              </w:rPr>
              <w:t>1</w:t>
            </w:r>
            <w:r>
              <w:rPr>
                <w:rFonts w:hint="eastAsia" w:cs="Times New Roman"/>
                <w:color w:val="auto"/>
              </w:rPr>
              <w:t>）危废防范措施</w:t>
            </w:r>
          </w:p>
          <w:p w14:paraId="3F71CFC8">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项目在生产过程中产生的危废（</w:t>
            </w:r>
            <w:r>
              <w:rPr>
                <w:rFonts w:hint="eastAsia" w:cs="Times New Roman"/>
                <w:color w:val="auto"/>
                <w:lang w:eastAsia="zh-CN"/>
              </w:rPr>
              <w:t>废润滑油、废油桶、含油抹布及手套</w:t>
            </w:r>
            <w:r>
              <w:rPr>
                <w:rFonts w:hint="eastAsia" w:cs="Times New Roman"/>
                <w:color w:val="auto"/>
              </w:rPr>
              <w:t>）具有易燃性或毒性，项目应做好相关的风险防范措施及应急措施，以</w:t>
            </w:r>
            <w:r>
              <w:rPr>
                <w:rFonts w:hint="eastAsia" w:cs="Times New Roman"/>
                <w:color w:val="auto"/>
                <w:lang w:eastAsia="zh-CN"/>
              </w:rPr>
              <w:t>防止</w:t>
            </w:r>
            <w:r>
              <w:rPr>
                <w:rFonts w:hint="eastAsia" w:cs="Times New Roman"/>
                <w:color w:val="auto"/>
              </w:rPr>
              <w:t>风险发生对车间工作人员及周边环境造成影响，具体措施如下：</w:t>
            </w:r>
          </w:p>
          <w:p w14:paraId="6A3C13B0">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①项目在生产过程中产生的危废应及时收集，妥善保管；放置于专用的</w:t>
            </w:r>
            <w:r>
              <w:rPr>
                <w:rFonts w:hint="eastAsia" w:cs="Times New Roman"/>
                <w:color w:val="auto"/>
                <w:lang w:eastAsia="zh-CN"/>
              </w:rPr>
              <w:t>危废点</w:t>
            </w:r>
            <w:r>
              <w:rPr>
                <w:rFonts w:hint="eastAsia" w:cs="Times New Roman"/>
                <w:color w:val="auto"/>
              </w:rPr>
              <w:t>，并保持通风阴凉；</w:t>
            </w:r>
          </w:p>
          <w:p w14:paraId="060555AD">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②远离火种、热源，工作场所禁止吸烟等；</w:t>
            </w:r>
          </w:p>
          <w:p w14:paraId="26D15BF9">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③配备相应品种的消防器材，进行各种日常的、定期的、专业的防火安全检查；</w:t>
            </w:r>
          </w:p>
          <w:p w14:paraId="1E64D452">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④委托有资质的单位处置，并做到专车专用，并标有相关标志。</w:t>
            </w:r>
          </w:p>
          <w:p w14:paraId="7F7AD7C8">
            <w:pPr>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rPr>
              <w:t>⑤</w:t>
            </w:r>
            <w:r>
              <w:rPr>
                <w:rFonts w:hint="eastAsia" w:cs="Times New Roman"/>
                <w:color w:val="auto"/>
                <w:lang w:eastAsia="zh-CN"/>
              </w:rPr>
              <w:t>危废间</w:t>
            </w:r>
            <w:r>
              <w:rPr>
                <w:rFonts w:hint="eastAsia" w:cs="Times New Roman"/>
                <w:color w:val="auto"/>
              </w:rPr>
              <w:t>应按《危险废物填埋场污染控制标准》（GB18598-20</w:t>
            </w:r>
            <w:r>
              <w:rPr>
                <w:rFonts w:hint="eastAsia" w:cs="Times New Roman"/>
                <w:color w:val="auto"/>
                <w:lang w:val="en-US" w:eastAsia="zh-CN"/>
              </w:rPr>
              <w:t>19</w:t>
            </w:r>
            <w:r>
              <w:rPr>
                <w:rFonts w:hint="eastAsia" w:cs="Times New Roman"/>
                <w:color w:val="auto"/>
              </w:rPr>
              <w:t>）进行防渗防漏处理。</w:t>
            </w:r>
            <w:r>
              <w:rPr>
                <w:rFonts w:hint="eastAsia" w:cs="Times New Roman"/>
                <w:color w:val="auto"/>
                <w:lang w:eastAsia="zh-CN"/>
              </w:rPr>
              <w:t>危废间</w:t>
            </w:r>
            <w:r>
              <w:rPr>
                <w:rFonts w:hint="eastAsia" w:cs="Times New Roman"/>
                <w:color w:val="auto"/>
              </w:rPr>
              <w:t>应防渗，设置围堰收容泄漏物，防止废油泄漏至车间外；收集桶下方设置托盘，防止跑冒滴漏</w:t>
            </w:r>
            <w:r>
              <w:rPr>
                <w:rFonts w:hint="eastAsia" w:cs="Times New Roman"/>
                <w:color w:val="auto"/>
                <w:lang w:eastAsia="zh-CN"/>
              </w:rPr>
              <w:t>。</w:t>
            </w:r>
          </w:p>
          <w:p w14:paraId="632302ED">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w:t>
            </w:r>
            <w:r>
              <w:rPr>
                <w:rFonts w:hint="eastAsia" w:cs="Times New Roman"/>
                <w:color w:val="auto"/>
                <w:lang w:val="en-US" w:eastAsia="zh-CN"/>
              </w:rPr>
              <w:t>2</w:t>
            </w:r>
            <w:r>
              <w:rPr>
                <w:rFonts w:hint="eastAsia" w:cs="Times New Roman"/>
                <w:color w:val="auto"/>
              </w:rPr>
              <w:t>）火灾防范措施</w:t>
            </w:r>
          </w:p>
          <w:p w14:paraId="78039B4F">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①消除和控制明火源，有醒目的严禁烟火标志，严禁动火吸烟；进入危险区的人员，按规定登记，严禁携带火柴、打火机等。</w:t>
            </w:r>
          </w:p>
          <w:p w14:paraId="2F80AEF9">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②防止电气火花，采取有效措施防止电气线路和</w:t>
            </w:r>
            <w:r>
              <w:rPr>
                <w:rFonts w:hint="eastAsia" w:cs="Times New Roman"/>
                <w:color w:val="auto"/>
                <w:lang w:eastAsia="zh-CN"/>
              </w:rPr>
              <w:t>电气设备</w:t>
            </w:r>
            <w:r>
              <w:rPr>
                <w:rFonts w:hint="eastAsia" w:cs="Times New Roman"/>
                <w:color w:val="auto"/>
              </w:rPr>
              <w:t>在开关断开、接触不良、短路、漏电时产生火花，防止静电放电火花；采取防雷接地措施，防止雷电放电火花。</w:t>
            </w:r>
          </w:p>
          <w:p w14:paraId="05C97A34">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③建立应急救援组织或者配备应急救援人员，配备必要的应急救援器材、设备，对消防措施定期检查，保证消防措施的有效性，并定期组织演练。</w:t>
            </w:r>
            <w:r>
              <w:rPr>
                <w:rFonts w:hint="eastAsia" w:cs="Times New Roman"/>
                <w:color w:val="auto"/>
                <w:lang w:val="en-US" w:eastAsia="zh-CN"/>
              </w:rPr>
              <w:t>项目</w:t>
            </w:r>
            <w:r>
              <w:rPr>
                <w:rFonts w:hint="eastAsia" w:cs="Times New Roman"/>
                <w:color w:val="auto"/>
              </w:rPr>
              <w:t>设置现场疏散指示标志和应急照明灯。</w:t>
            </w:r>
          </w:p>
          <w:p w14:paraId="2AC5C6C4">
            <w:pPr>
              <w:keepNext w:val="0"/>
              <w:keepLines w:val="0"/>
              <w:suppressLineNumbers w:val="0"/>
              <w:spacing w:before="0" w:beforeAutospacing="0" w:after="0" w:afterAutospacing="0"/>
              <w:ind w:left="0" w:right="0" w:firstLine="480"/>
              <w:rPr>
                <w:rFonts w:hint="eastAsia" w:cs="Times New Roman"/>
                <w:color w:val="auto"/>
              </w:rPr>
            </w:pPr>
            <w:r>
              <w:rPr>
                <w:rFonts w:hint="eastAsia" w:cs="Times New Roman"/>
                <w:color w:val="auto"/>
              </w:rPr>
              <w:t>④加强职工的安全教育和培训，推行持证上岗。一是对消防理论知识的培训，二是加强消防技能的训练。掌握必要的消防设备使用、</w:t>
            </w:r>
            <w:r>
              <w:rPr>
                <w:rFonts w:hint="eastAsia" w:cs="Times New Roman"/>
                <w:color w:val="auto"/>
                <w:lang w:eastAsia="zh-CN"/>
              </w:rPr>
              <w:t>检修</w:t>
            </w:r>
            <w:r>
              <w:rPr>
                <w:rFonts w:hint="eastAsia" w:cs="Times New Roman"/>
                <w:color w:val="auto"/>
              </w:rPr>
              <w:t>保养方面的知识，在必要的时候能够发挥所配备的消防设施的作用，发挥出处理初期火灾事故的能力。</w:t>
            </w:r>
          </w:p>
          <w:p w14:paraId="42427075">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w:t>
            </w:r>
            <w:r>
              <w:rPr>
                <w:rFonts w:hint="eastAsia" w:cs="Times New Roman"/>
                <w:color w:val="auto"/>
                <w:lang w:val="en-US" w:eastAsia="zh-CN"/>
              </w:rPr>
              <w:t>3</w:t>
            </w:r>
            <w:r>
              <w:rPr>
                <w:rFonts w:hint="eastAsia" w:cs="Times New Roman"/>
                <w:color w:val="auto"/>
              </w:rPr>
              <w:t>）</w:t>
            </w:r>
            <w:r>
              <w:rPr>
                <w:rFonts w:hint="eastAsia" w:cs="Times New Roman"/>
                <w:color w:val="auto"/>
                <w:lang w:val="en-US" w:eastAsia="zh-CN"/>
              </w:rPr>
              <w:t>管理</w:t>
            </w:r>
            <w:r>
              <w:rPr>
                <w:rFonts w:hint="eastAsia" w:cs="Times New Roman"/>
                <w:color w:val="auto"/>
              </w:rPr>
              <w:t>防范措施</w:t>
            </w:r>
          </w:p>
          <w:p w14:paraId="12AFE536">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①设计上拟采取的防范措施</w:t>
            </w:r>
          </w:p>
          <w:p w14:paraId="58B20FE3">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生产装置采用先进合理、安全可靠的工艺流程，从根本上提高装置的安全性，防止和减少事故的发生；工艺管线的设计、安装均考虑热应力变化、管线的振动及蠕变、密封防泄漏等多种因素，并采取设置膨胀节及固定管架等安全措施。</w:t>
            </w:r>
          </w:p>
          <w:p w14:paraId="60BA0BA4">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eastAsia="zh-CN"/>
              </w:rPr>
              <w:t>②</w:t>
            </w:r>
            <w:r>
              <w:rPr>
                <w:rFonts w:hint="eastAsia" w:cs="Times New Roman"/>
                <w:color w:val="auto"/>
              </w:rPr>
              <w:t>实施现场巡回</w:t>
            </w:r>
            <w:r>
              <w:rPr>
                <w:rFonts w:hint="eastAsia" w:cs="Times New Roman"/>
                <w:color w:val="auto"/>
                <w:lang w:eastAsia="zh-CN"/>
              </w:rPr>
              <w:t>检查</w:t>
            </w:r>
            <w:r>
              <w:rPr>
                <w:rFonts w:hint="eastAsia" w:cs="Times New Roman"/>
                <w:color w:val="auto"/>
              </w:rPr>
              <w:t>制度</w:t>
            </w:r>
          </w:p>
          <w:p w14:paraId="2FA986A1">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定期检修设备，发现问题及时更换零部件，排除事故隐患，防止跑、冒、滴、漏。检修时需切断原料源，并由专人监护，检修时按规定的要求进行。</w:t>
            </w:r>
          </w:p>
          <w:p w14:paraId="3292EF98">
            <w:pPr>
              <w:keepNext w:val="0"/>
              <w:keepLines w:val="0"/>
              <w:widowControl/>
              <w:suppressLineNumbers w:val="0"/>
              <w:spacing w:before="0" w:beforeAutospacing="0" w:after="0" w:afterAutospacing="0" w:line="360" w:lineRule="auto"/>
              <w:ind w:left="0" w:right="0" w:firstLine="480" w:firstLineChars="200"/>
              <w:rPr>
                <w:rFonts w:hint="eastAsia" w:cs="Times New Roman"/>
                <w:color w:val="auto"/>
              </w:rPr>
            </w:pPr>
            <w:r>
              <w:rPr>
                <w:rFonts w:hint="eastAsia"/>
                <w:color w:val="auto"/>
                <w:lang w:eastAsia="zh-CN"/>
              </w:rPr>
              <w:t>③</w:t>
            </w:r>
            <w:r>
              <w:rPr>
                <w:rFonts w:hint="eastAsia" w:cs="Times New Roman"/>
                <w:color w:val="auto"/>
              </w:rPr>
              <w:t>风险管理要求</w:t>
            </w:r>
          </w:p>
          <w:p w14:paraId="27ECC90D">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制定安全责任制、各项安全管理制度、操作规程、安全技术规程和各种设备维修保养和设备管理制度。加强现场管理，狠抓劳动纪律，同时经常对职工进行思想教育、工艺操作、设备操作训练，使职工能熟练掌握所在岗位和所在环境中的各个要素，了解常见的扑火、中毒等自救能力，互相救助的一些常识。</w:t>
            </w:r>
          </w:p>
          <w:p w14:paraId="76F421B5">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建立巡回检查制度，发现问题及时上报</w:t>
            </w:r>
            <w:r>
              <w:rPr>
                <w:rFonts w:hint="eastAsia" w:cs="Times New Roman"/>
                <w:color w:val="auto"/>
                <w:lang w:eastAsia="zh-CN"/>
              </w:rPr>
              <w:t>并</w:t>
            </w:r>
            <w:r>
              <w:rPr>
                <w:rFonts w:hint="eastAsia" w:cs="Times New Roman"/>
                <w:color w:val="auto"/>
              </w:rPr>
              <w:t>责令负责部门限期整改到位，复查合格，记录在案。加强对职工的劳动保护用品的使用和发放，为职工配备所</w:t>
            </w:r>
            <w:r>
              <w:rPr>
                <w:rFonts w:hint="eastAsia" w:cs="Times New Roman"/>
                <w:color w:val="auto"/>
                <w:lang w:eastAsia="zh-CN"/>
              </w:rPr>
              <w:t>需</w:t>
            </w:r>
            <w:r>
              <w:rPr>
                <w:rFonts w:hint="eastAsia" w:cs="Times New Roman"/>
                <w:color w:val="auto"/>
              </w:rPr>
              <w:t>的防护用品和急救用品。</w:t>
            </w:r>
          </w:p>
          <w:p w14:paraId="647AEBAE">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综上所述，项目营运过程中存在着一定的环境风险，但只要加强管理，建立健全相应的风险防范管理、应急措施，并在管理及运行中认真落实工程安全措施、消防措施及评价所提出的风险防范、管理措施，制定相应的事故应急预案，则其在营运</w:t>
            </w:r>
            <w:r>
              <w:rPr>
                <w:rFonts w:hint="eastAsia" w:cs="Times New Roman"/>
                <w:color w:val="auto"/>
                <w:lang w:eastAsia="zh-CN"/>
              </w:rPr>
              <w:t>期间</w:t>
            </w:r>
            <w:r>
              <w:rPr>
                <w:rFonts w:hint="eastAsia" w:cs="Times New Roman"/>
                <w:color w:val="auto"/>
              </w:rPr>
              <w:t>的环境风险可接受，并且其环境风险事故隐患可降至最低。</w:t>
            </w:r>
          </w:p>
          <w:p w14:paraId="61BD76D4">
            <w:pPr>
              <w:pStyle w:val="36"/>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建设项目环境风险简单分析内容表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1195"/>
              <w:gridCol w:w="1955"/>
              <w:gridCol w:w="1090"/>
              <w:gridCol w:w="1934"/>
            </w:tblGrid>
            <w:tr w14:paraId="4772F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6FB1926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建设项目名称</w:t>
                  </w:r>
                </w:p>
              </w:tc>
              <w:tc>
                <w:tcPr>
                  <w:tcW w:w="3569" w:type="pct"/>
                  <w:gridSpan w:val="4"/>
                  <w:noWrap w:val="0"/>
                  <w:vAlign w:val="center"/>
                </w:tcPr>
                <w:p w14:paraId="69AA78AE">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郑州精益达汽车零部件有限公司座椅加工项目</w:t>
                  </w:r>
                </w:p>
              </w:tc>
            </w:tr>
            <w:tr w14:paraId="09D8F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608BF258">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建设地点</w:t>
                  </w:r>
                </w:p>
              </w:tc>
              <w:tc>
                <w:tcPr>
                  <w:tcW w:w="3569" w:type="pct"/>
                  <w:gridSpan w:val="4"/>
                  <w:noWrap w:val="0"/>
                  <w:vAlign w:val="center"/>
                </w:tcPr>
                <w:p w14:paraId="4230F56E">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福建省福州市闽侯县青口镇东台村</w:t>
                  </w:r>
                </w:p>
              </w:tc>
            </w:tr>
            <w:tr w14:paraId="72851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00A2F434">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地理坐标</w:t>
                  </w:r>
                </w:p>
              </w:tc>
              <w:tc>
                <w:tcPr>
                  <w:tcW w:w="691" w:type="pct"/>
                  <w:noWrap w:val="0"/>
                  <w:vAlign w:val="center"/>
                </w:tcPr>
                <w:p w14:paraId="0AED8040">
                  <w:pPr>
                    <w:pStyle w:val="33"/>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经度</w:t>
                  </w:r>
                </w:p>
              </w:tc>
              <w:tc>
                <w:tcPr>
                  <w:tcW w:w="1130" w:type="pct"/>
                  <w:noWrap w:val="0"/>
                  <w:vAlign w:val="center"/>
                </w:tcPr>
                <w:p w14:paraId="5B29D650">
                  <w:pPr>
                    <w:pStyle w:val="33"/>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119°36'06.4099"</w:t>
                  </w:r>
                </w:p>
              </w:tc>
              <w:tc>
                <w:tcPr>
                  <w:tcW w:w="630" w:type="pct"/>
                  <w:noWrap w:val="0"/>
                  <w:vAlign w:val="center"/>
                </w:tcPr>
                <w:p w14:paraId="5696314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纬度</w:t>
                  </w:r>
                </w:p>
              </w:tc>
              <w:tc>
                <w:tcPr>
                  <w:tcW w:w="1116" w:type="pct"/>
                  <w:noWrap w:val="0"/>
                  <w:vAlign w:val="center"/>
                </w:tcPr>
                <w:p w14:paraId="3045F62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26°08'21.3444"</w:t>
                  </w:r>
                </w:p>
              </w:tc>
            </w:tr>
            <w:tr w14:paraId="111C5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77345693">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主要危险物质及分布</w:t>
                  </w:r>
                </w:p>
              </w:tc>
              <w:tc>
                <w:tcPr>
                  <w:tcW w:w="3569" w:type="pct"/>
                  <w:gridSpan w:val="4"/>
                  <w:noWrap w:val="0"/>
                  <w:vAlign w:val="center"/>
                </w:tcPr>
                <w:p w14:paraId="3E62AA86">
                  <w:pPr>
                    <w:pStyle w:val="33"/>
                    <w:keepNext w:val="0"/>
                    <w:keepLines w:val="0"/>
                    <w:suppressLineNumbers w:val="0"/>
                    <w:bidi w:val="0"/>
                    <w:spacing w:before="0" w:beforeAutospacing="0" w:after="0" w:afterAutospacing="0"/>
                    <w:ind w:left="0" w:right="0"/>
                    <w:jc w:val="left"/>
                    <w:rPr>
                      <w:rFonts w:hint="eastAsia" w:cs="Times New Roman"/>
                      <w:color w:val="auto"/>
                      <w:lang w:val="en-US" w:eastAsia="zh-CN"/>
                    </w:rPr>
                  </w:pPr>
                  <w:r>
                    <w:rPr>
                      <w:rFonts w:hint="eastAsia" w:cs="Times New Roman"/>
                      <w:color w:val="auto"/>
                    </w:rPr>
                    <w:t>主要危险物质：润滑油</w:t>
                  </w:r>
                  <w:r>
                    <w:rPr>
                      <w:rFonts w:hint="eastAsia" w:cs="Times New Roman"/>
                      <w:color w:val="auto"/>
                      <w:lang w:val="en-US" w:eastAsia="zh-CN"/>
                    </w:rPr>
                    <w:t>；</w:t>
                  </w:r>
                </w:p>
                <w:p w14:paraId="4AAB7465">
                  <w:pPr>
                    <w:pStyle w:val="33"/>
                    <w:keepNext w:val="0"/>
                    <w:keepLines w:val="0"/>
                    <w:suppressLineNumbers w:val="0"/>
                    <w:bidi w:val="0"/>
                    <w:spacing w:before="0" w:beforeAutospacing="0" w:after="0" w:afterAutospacing="0"/>
                    <w:ind w:left="0" w:right="0"/>
                    <w:jc w:val="left"/>
                    <w:rPr>
                      <w:rFonts w:hint="default" w:cs="Times New Roman"/>
                      <w:color w:val="auto"/>
                    </w:rPr>
                  </w:pPr>
                  <w:r>
                    <w:rPr>
                      <w:rFonts w:hint="eastAsia" w:cs="Times New Roman"/>
                      <w:color w:val="auto"/>
                    </w:rPr>
                    <w:t>分布：</w:t>
                  </w:r>
                  <w:r>
                    <w:rPr>
                      <w:rFonts w:hint="eastAsia" w:cs="Times New Roman"/>
                      <w:color w:val="auto"/>
                      <w:lang w:val="en-US" w:eastAsia="zh-CN"/>
                    </w:rPr>
                    <w:t>生产车间</w:t>
                  </w:r>
                  <w:r>
                    <w:rPr>
                      <w:rFonts w:hint="eastAsia" w:cs="Times New Roman"/>
                      <w:color w:val="auto"/>
                    </w:rPr>
                    <w:t>。</w:t>
                  </w:r>
                </w:p>
              </w:tc>
            </w:tr>
            <w:tr w14:paraId="7DC9F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4442085F">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环境影响途径及危害后果（大气、地表水、地下水等）</w:t>
                  </w:r>
                </w:p>
              </w:tc>
              <w:tc>
                <w:tcPr>
                  <w:tcW w:w="3569" w:type="pct"/>
                  <w:gridSpan w:val="4"/>
                  <w:noWrap w:val="0"/>
                  <w:vAlign w:val="center"/>
                </w:tcPr>
                <w:p w14:paraId="20FCE045">
                  <w:pPr>
                    <w:pStyle w:val="33"/>
                    <w:keepNext w:val="0"/>
                    <w:keepLines w:val="0"/>
                    <w:suppressLineNumbers w:val="0"/>
                    <w:bidi w:val="0"/>
                    <w:spacing w:before="0" w:beforeAutospacing="0" w:after="0" w:afterAutospacing="0"/>
                    <w:ind w:left="0" w:right="0"/>
                    <w:jc w:val="left"/>
                    <w:rPr>
                      <w:rFonts w:hint="default" w:cs="Times New Roman"/>
                      <w:color w:val="auto"/>
                    </w:rPr>
                  </w:pPr>
                  <w:r>
                    <w:rPr>
                      <w:rFonts w:hint="eastAsia" w:cs="Times New Roman"/>
                      <w:color w:val="auto"/>
                      <w:lang w:val="en-US" w:eastAsia="zh-CN"/>
                    </w:rPr>
                    <w:t>风险</w:t>
                  </w:r>
                  <w:r>
                    <w:rPr>
                      <w:rFonts w:hint="eastAsia" w:cs="Times New Roman"/>
                      <w:color w:val="auto"/>
                    </w:rPr>
                    <w:t>物质泄漏可能通过下渗污染土壤和地下水，</w:t>
                  </w:r>
                  <w:r>
                    <w:rPr>
                      <w:rFonts w:hint="eastAsia" w:cs="Times New Roman"/>
                      <w:color w:val="auto"/>
                      <w:lang w:eastAsia="zh-CN"/>
                    </w:rPr>
                    <w:t>液化石油气</w:t>
                  </w:r>
                  <w:r>
                    <w:rPr>
                      <w:rFonts w:hint="eastAsia" w:cs="Times New Roman"/>
                      <w:color w:val="auto"/>
                    </w:rPr>
                    <w:t>泄漏会进入大气环境；火灾产生的主要污染物CO可能污染周边大气环境，消防废水可能通过地表径流进入地表水。</w:t>
                  </w:r>
                </w:p>
              </w:tc>
            </w:tr>
            <w:tr w14:paraId="244DA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59CCBA15">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风险防范措施要求</w:t>
                  </w:r>
                </w:p>
              </w:tc>
              <w:tc>
                <w:tcPr>
                  <w:tcW w:w="3569" w:type="pct"/>
                  <w:gridSpan w:val="4"/>
                  <w:noWrap w:val="0"/>
                  <w:vAlign w:val="center"/>
                </w:tcPr>
                <w:p w14:paraId="14FB3264">
                  <w:pPr>
                    <w:pStyle w:val="33"/>
                    <w:keepNext w:val="0"/>
                    <w:keepLines w:val="0"/>
                    <w:suppressLineNumbers w:val="0"/>
                    <w:bidi w:val="0"/>
                    <w:spacing w:before="0" w:beforeAutospacing="0" w:after="0" w:afterAutospacing="0"/>
                    <w:ind w:left="0" w:right="0"/>
                    <w:jc w:val="left"/>
                    <w:rPr>
                      <w:rFonts w:hint="default" w:cs="Times New Roman"/>
                      <w:color w:val="auto"/>
                    </w:rPr>
                  </w:pPr>
                  <w:r>
                    <w:rPr>
                      <w:rFonts w:hint="eastAsia" w:cs="Times New Roman"/>
                      <w:color w:val="auto"/>
                      <w:lang w:eastAsia="zh-CN"/>
                    </w:rPr>
                    <w:t>危废暂存间</w:t>
                  </w:r>
                  <w:r>
                    <w:rPr>
                      <w:rFonts w:hint="eastAsia" w:cs="Times New Roman"/>
                      <w:color w:val="auto"/>
                    </w:rPr>
                    <w:t>做好防渗措施；配备一定数量消防设备和应急物资；加强</w:t>
                  </w:r>
                  <w:r>
                    <w:rPr>
                      <w:rFonts w:hint="eastAsia" w:cs="Times New Roman"/>
                      <w:color w:val="auto"/>
                      <w:lang w:val="en-US" w:eastAsia="zh-CN"/>
                    </w:rPr>
                    <w:t>润滑油</w:t>
                  </w:r>
                  <w:r>
                    <w:rPr>
                      <w:rFonts w:hint="eastAsia" w:cs="Times New Roman"/>
                      <w:color w:val="auto"/>
                    </w:rPr>
                    <w:t>的储存、运输管理，制定相应的应急管理制度及应急预案，并加强应急演练和区域</w:t>
                  </w:r>
                  <w:r>
                    <w:rPr>
                      <w:rFonts w:hint="eastAsia" w:cs="Times New Roman"/>
                      <w:color w:val="auto"/>
                      <w:lang w:eastAsia="zh-CN"/>
                    </w:rPr>
                    <w:t>联动</w:t>
                  </w:r>
                  <w:r>
                    <w:rPr>
                      <w:rFonts w:hint="eastAsia" w:cs="Times New Roman"/>
                      <w:color w:val="auto"/>
                    </w:rPr>
                    <w:t>。</w:t>
                  </w:r>
                </w:p>
              </w:tc>
            </w:tr>
            <w:tr w14:paraId="23714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0" w:type="pct"/>
                  <w:noWrap w:val="0"/>
                  <w:vAlign w:val="center"/>
                </w:tcPr>
                <w:p w14:paraId="067D8CC5">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填表说明（列出项目相关信息及评价说明）</w:t>
                  </w:r>
                </w:p>
              </w:tc>
              <w:tc>
                <w:tcPr>
                  <w:tcW w:w="3569" w:type="pct"/>
                  <w:gridSpan w:val="4"/>
                  <w:noWrap w:val="0"/>
                  <w:vAlign w:val="center"/>
                </w:tcPr>
                <w:p w14:paraId="1B78BD9B">
                  <w:pPr>
                    <w:pStyle w:val="33"/>
                    <w:keepNext w:val="0"/>
                    <w:keepLines w:val="0"/>
                    <w:suppressLineNumbers w:val="0"/>
                    <w:bidi w:val="0"/>
                    <w:spacing w:before="0" w:beforeAutospacing="0" w:after="0" w:afterAutospacing="0"/>
                    <w:ind w:left="0" w:right="0"/>
                    <w:jc w:val="left"/>
                    <w:rPr>
                      <w:rFonts w:hint="eastAsia" w:cs="Times New Roman"/>
                      <w:color w:val="auto"/>
                    </w:rPr>
                  </w:pPr>
                  <w:r>
                    <w:rPr>
                      <w:rFonts w:hint="eastAsia" w:cs="Times New Roman"/>
                      <w:color w:val="auto"/>
                    </w:rPr>
                    <w:t>本项目危险物质数量与临界量的比值＜1，环境风险潜势为Ⅰ，环境风险评价工作等级为简单分析。</w:t>
                  </w:r>
                </w:p>
                <w:p w14:paraId="0397088F">
                  <w:pPr>
                    <w:pStyle w:val="33"/>
                    <w:keepNext w:val="0"/>
                    <w:keepLines w:val="0"/>
                    <w:suppressLineNumbers w:val="0"/>
                    <w:bidi w:val="0"/>
                    <w:spacing w:before="0" w:beforeAutospacing="0" w:after="0" w:afterAutospacing="0"/>
                    <w:ind w:left="0" w:right="0"/>
                    <w:jc w:val="left"/>
                    <w:rPr>
                      <w:rFonts w:hint="default" w:cs="Times New Roman"/>
                      <w:color w:val="auto"/>
                    </w:rPr>
                  </w:pPr>
                  <w:r>
                    <w:rPr>
                      <w:rFonts w:hint="eastAsia" w:cs="Times New Roman"/>
                      <w:color w:val="auto"/>
                    </w:rPr>
                    <w:t>在严格采取各项风险防范措施及完善应急预案并加强演练和区域应急联动前提下，环境风险可控。</w:t>
                  </w:r>
                </w:p>
              </w:tc>
            </w:tr>
          </w:tbl>
          <w:p w14:paraId="0B8C8BF6">
            <w:pPr>
              <w:pStyle w:val="3"/>
              <w:keepLines w:val="0"/>
              <w:suppressLineNumbers w:val="0"/>
              <w:tabs>
                <w:tab w:val="left" w:pos="0"/>
              </w:tabs>
              <w:bidi w:val="0"/>
              <w:ind w:right="0"/>
              <w:rPr>
                <w:rFonts w:hint="default"/>
              </w:rPr>
            </w:pPr>
            <w:r>
              <w:rPr>
                <w:rFonts w:hint="default"/>
              </w:rPr>
              <w:t xml:space="preserve">环保投资估算 </w:t>
            </w:r>
          </w:p>
          <w:p w14:paraId="6FF791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本项目环保投资估算具体明细见表4.</w:t>
            </w:r>
            <w:r>
              <w:rPr>
                <w:rFonts w:hint="eastAsia" w:ascii="Times New Roman" w:hAnsi="Times New Roman" w:cs="Times New Roman"/>
                <w:color w:val="000000" w:themeColor="text1"/>
                <w:kern w:val="0"/>
                <w:sz w:val="24"/>
                <w:lang w:val="en-US" w:eastAsia="zh-CN"/>
                <w14:textFill>
                  <w14:solidFill>
                    <w14:schemeClr w14:val="tx1"/>
                  </w14:solidFill>
                </w14:textFill>
              </w:rPr>
              <w:t>8</w:t>
            </w:r>
            <w:r>
              <w:rPr>
                <w:rFonts w:hint="default" w:ascii="Times New Roman" w:hAnsi="Times New Roman" w:cs="Times New Roman"/>
                <w:color w:val="000000" w:themeColor="text1"/>
                <w:kern w:val="0"/>
                <w:sz w:val="24"/>
                <w14:textFill>
                  <w14:solidFill>
                    <w14:schemeClr w14:val="tx1"/>
                  </w14:solidFill>
                </w14:textFill>
              </w:rPr>
              <w:t>-1。</w:t>
            </w:r>
          </w:p>
          <w:p w14:paraId="4D2092D1">
            <w:pPr>
              <w:pStyle w:val="36"/>
              <w:keepNext w:val="0"/>
              <w:keepLines w:val="0"/>
              <w:suppressLineNumbers w:val="0"/>
              <w:bidi w:val="0"/>
              <w:spacing w:beforeAutospacing="0" w:after="0" w:afterAutospacing="0"/>
              <w:ind w:left="0" w:right="0"/>
              <w:rPr>
                <w:rFonts w:hint="default"/>
                <w:lang w:val="en-US" w:eastAsia="zh-CN"/>
              </w:rPr>
            </w:pPr>
            <w:r>
              <w:rPr>
                <w:rFonts w:hint="default"/>
              </w:rPr>
              <w:t>环保措施投资明细表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06"/>
              <w:gridCol w:w="1578"/>
              <w:gridCol w:w="4285"/>
              <w:gridCol w:w="2079"/>
            </w:tblGrid>
            <w:tr w14:paraId="78B405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8" w:type="pct"/>
                  <w:noWrap w:val="0"/>
                  <w:vAlign w:val="center"/>
                </w:tcPr>
                <w:p w14:paraId="545059D7">
                  <w:pPr>
                    <w:pStyle w:val="47"/>
                    <w:keepNext w:val="0"/>
                    <w:keepLines w:val="0"/>
                    <w:suppressLineNumbers w:val="0"/>
                    <w:bidi w:val="0"/>
                    <w:spacing w:before="0" w:beforeAutospacing="0" w:after="0" w:afterAutospacing="0"/>
                    <w:ind w:left="0" w:right="0"/>
                    <w:rPr>
                      <w:rFonts w:hint="default"/>
                    </w:rPr>
                  </w:pPr>
                  <w:r>
                    <w:rPr>
                      <w:rFonts w:hint="default"/>
                    </w:rPr>
                    <w:t>序号</w:t>
                  </w:r>
                </w:p>
              </w:tc>
              <w:tc>
                <w:tcPr>
                  <w:tcW w:w="912" w:type="pct"/>
                  <w:noWrap w:val="0"/>
                  <w:vAlign w:val="center"/>
                </w:tcPr>
                <w:p w14:paraId="59EDA16F">
                  <w:pPr>
                    <w:pStyle w:val="47"/>
                    <w:keepNext w:val="0"/>
                    <w:keepLines w:val="0"/>
                    <w:suppressLineNumbers w:val="0"/>
                    <w:bidi w:val="0"/>
                    <w:spacing w:before="0" w:beforeAutospacing="0" w:after="0" w:afterAutospacing="0"/>
                    <w:ind w:left="0" w:right="0"/>
                    <w:rPr>
                      <w:rFonts w:hint="default"/>
                    </w:rPr>
                  </w:pPr>
                  <w:r>
                    <w:rPr>
                      <w:rFonts w:hint="default"/>
                    </w:rPr>
                    <w:t>污染源</w:t>
                  </w:r>
                </w:p>
              </w:tc>
              <w:tc>
                <w:tcPr>
                  <w:tcW w:w="2477" w:type="pct"/>
                  <w:noWrap w:val="0"/>
                  <w:vAlign w:val="center"/>
                </w:tcPr>
                <w:p w14:paraId="642DA5CE">
                  <w:pPr>
                    <w:pStyle w:val="47"/>
                    <w:keepNext w:val="0"/>
                    <w:keepLines w:val="0"/>
                    <w:suppressLineNumbers w:val="0"/>
                    <w:bidi w:val="0"/>
                    <w:spacing w:before="0" w:beforeAutospacing="0" w:after="0" w:afterAutospacing="0"/>
                    <w:ind w:left="0" w:right="0"/>
                    <w:rPr>
                      <w:rFonts w:hint="default"/>
                    </w:rPr>
                  </w:pPr>
                  <w:r>
                    <w:rPr>
                      <w:rFonts w:hint="default"/>
                    </w:rPr>
                    <w:t>治理措施或设施</w:t>
                  </w:r>
                </w:p>
              </w:tc>
              <w:tc>
                <w:tcPr>
                  <w:tcW w:w="1202" w:type="pct"/>
                  <w:noWrap w:val="0"/>
                  <w:vAlign w:val="center"/>
                </w:tcPr>
                <w:p w14:paraId="2F3CD029">
                  <w:pPr>
                    <w:pStyle w:val="47"/>
                    <w:keepNext w:val="0"/>
                    <w:keepLines w:val="0"/>
                    <w:suppressLineNumbers w:val="0"/>
                    <w:bidi w:val="0"/>
                    <w:spacing w:before="0" w:beforeAutospacing="0" w:after="0" w:afterAutospacing="0"/>
                    <w:ind w:left="0" w:right="0"/>
                    <w:rPr>
                      <w:rFonts w:hint="eastAsia" w:eastAsia="宋体"/>
                      <w:lang w:eastAsia="zh-CN"/>
                    </w:rPr>
                  </w:pPr>
                  <w:r>
                    <w:rPr>
                      <w:rFonts w:hint="default"/>
                    </w:rPr>
                    <w:t>投资金额</w:t>
                  </w:r>
                  <w:r>
                    <w:rPr>
                      <w:rFonts w:hint="eastAsia"/>
                      <w:lang w:eastAsia="zh-CN"/>
                    </w:rPr>
                    <w:t>（万元）</w:t>
                  </w:r>
                </w:p>
              </w:tc>
            </w:tr>
            <w:tr w14:paraId="42B186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8" w:type="pct"/>
                  <w:noWrap w:val="0"/>
                  <w:vAlign w:val="center"/>
                </w:tcPr>
                <w:p w14:paraId="7876251C">
                  <w:pPr>
                    <w:pStyle w:val="47"/>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912" w:type="pct"/>
                  <w:noWrap w:val="0"/>
                  <w:vAlign w:val="center"/>
                </w:tcPr>
                <w:p w14:paraId="6CF8D107">
                  <w:pPr>
                    <w:pStyle w:val="47"/>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废水</w:t>
                  </w:r>
                </w:p>
              </w:tc>
              <w:tc>
                <w:tcPr>
                  <w:tcW w:w="2477" w:type="pct"/>
                  <w:noWrap w:val="0"/>
                  <w:vAlign w:val="center"/>
                </w:tcPr>
                <w:p w14:paraId="2F3D515F">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生活依托厂区内已建化粪池处理后排入市政污水管网</w:t>
                  </w:r>
                </w:p>
              </w:tc>
              <w:tc>
                <w:tcPr>
                  <w:tcW w:w="1202" w:type="pct"/>
                  <w:noWrap w:val="0"/>
                  <w:vAlign w:val="center"/>
                </w:tcPr>
                <w:p w14:paraId="17AF893D">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r w14:paraId="28A4B8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8" w:type="pct"/>
                  <w:noWrap w:val="0"/>
                  <w:vAlign w:val="center"/>
                </w:tcPr>
                <w:p w14:paraId="1C978AA9">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912" w:type="pct"/>
                  <w:noWrap w:val="0"/>
                  <w:vAlign w:val="center"/>
                </w:tcPr>
                <w:p w14:paraId="453CEF73">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废气</w:t>
                  </w:r>
                </w:p>
              </w:tc>
              <w:tc>
                <w:tcPr>
                  <w:tcW w:w="2477" w:type="pct"/>
                  <w:noWrap w:val="0"/>
                  <w:vAlign w:val="center"/>
                </w:tcPr>
                <w:p w14:paraId="3D966898">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1202" w:type="pct"/>
                  <w:noWrap w:val="0"/>
                  <w:vAlign w:val="center"/>
                </w:tcPr>
                <w:p w14:paraId="1E419EC0">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r w14:paraId="3A6797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8" w:type="pct"/>
                  <w:noWrap w:val="0"/>
                  <w:vAlign w:val="center"/>
                </w:tcPr>
                <w:p w14:paraId="6F08384B">
                  <w:pPr>
                    <w:pStyle w:val="47"/>
                    <w:keepNext w:val="0"/>
                    <w:keepLines w:val="0"/>
                    <w:suppressLineNumbers w:val="0"/>
                    <w:bidi w:val="0"/>
                    <w:spacing w:before="0" w:beforeAutospacing="0" w:after="0" w:afterAutospacing="0"/>
                    <w:ind w:left="0" w:right="0"/>
                    <w:rPr>
                      <w:rFonts w:hint="default"/>
                      <w:lang w:eastAsia="zh-CN"/>
                    </w:rPr>
                  </w:pPr>
                  <w:r>
                    <w:rPr>
                      <w:rFonts w:hint="eastAsia"/>
                      <w:lang w:val="en-US" w:eastAsia="zh-CN"/>
                    </w:rPr>
                    <w:t>3</w:t>
                  </w:r>
                </w:p>
              </w:tc>
              <w:tc>
                <w:tcPr>
                  <w:tcW w:w="912" w:type="pct"/>
                  <w:noWrap w:val="0"/>
                  <w:vAlign w:val="center"/>
                </w:tcPr>
                <w:p w14:paraId="705BFF7C">
                  <w:pPr>
                    <w:pStyle w:val="47"/>
                    <w:keepNext w:val="0"/>
                    <w:keepLines w:val="0"/>
                    <w:suppressLineNumbers w:val="0"/>
                    <w:bidi w:val="0"/>
                    <w:spacing w:before="0" w:beforeAutospacing="0" w:after="0" w:afterAutospacing="0"/>
                    <w:ind w:left="0" w:right="0"/>
                    <w:rPr>
                      <w:rFonts w:hint="default"/>
                    </w:rPr>
                  </w:pPr>
                  <w:r>
                    <w:rPr>
                      <w:rFonts w:hint="default"/>
                    </w:rPr>
                    <w:t>噪声</w:t>
                  </w:r>
                </w:p>
              </w:tc>
              <w:tc>
                <w:tcPr>
                  <w:tcW w:w="2477" w:type="pct"/>
                  <w:noWrap w:val="0"/>
                  <w:vAlign w:val="center"/>
                </w:tcPr>
                <w:p w14:paraId="60624348">
                  <w:pPr>
                    <w:pStyle w:val="47"/>
                    <w:keepNext w:val="0"/>
                    <w:keepLines w:val="0"/>
                    <w:suppressLineNumbers w:val="0"/>
                    <w:bidi w:val="0"/>
                    <w:spacing w:before="0" w:beforeAutospacing="0" w:after="0" w:afterAutospacing="0"/>
                    <w:ind w:left="0" w:right="0"/>
                    <w:rPr>
                      <w:rFonts w:hint="default"/>
                    </w:rPr>
                  </w:pPr>
                  <w:r>
                    <w:rPr>
                      <w:rFonts w:hint="default"/>
                    </w:rPr>
                    <w:t>厂房隔声、设备基础设置减振垫等综合降噪措施</w:t>
                  </w:r>
                </w:p>
              </w:tc>
              <w:tc>
                <w:tcPr>
                  <w:tcW w:w="1202" w:type="pct"/>
                  <w:noWrap w:val="0"/>
                  <w:vAlign w:val="center"/>
                </w:tcPr>
                <w:p w14:paraId="29060F84">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w:t>
                  </w:r>
                </w:p>
              </w:tc>
            </w:tr>
            <w:tr w14:paraId="545333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8" w:type="pct"/>
                  <w:noWrap w:val="0"/>
                  <w:vAlign w:val="center"/>
                </w:tcPr>
                <w:p w14:paraId="4342790E">
                  <w:pPr>
                    <w:pStyle w:val="47"/>
                    <w:keepNext w:val="0"/>
                    <w:keepLines w:val="0"/>
                    <w:suppressLineNumbers w:val="0"/>
                    <w:bidi w:val="0"/>
                    <w:spacing w:before="0" w:beforeAutospacing="0" w:after="0" w:afterAutospacing="0"/>
                    <w:ind w:left="0" w:right="0"/>
                    <w:rPr>
                      <w:rFonts w:hint="default"/>
                      <w:lang w:eastAsia="zh-CN"/>
                    </w:rPr>
                  </w:pPr>
                  <w:r>
                    <w:rPr>
                      <w:rFonts w:hint="eastAsia"/>
                      <w:lang w:val="en-US" w:eastAsia="zh-CN"/>
                    </w:rPr>
                    <w:t>4</w:t>
                  </w:r>
                </w:p>
              </w:tc>
              <w:tc>
                <w:tcPr>
                  <w:tcW w:w="912" w:type="pct"/>
                  <w:noWrap w:val="0"/>
                  <w:vAlign w:val="center"/>
                </w:tcPr>
                <w:p w14:paraId="2713566F">
                  <w:pPr>
                    <w:pStyle w:val="47"/>
                    <w:keepNext w:val="0"/>
                    <w:keepLines w:val="0"/>
                    <w:suppressLineNumbers w:val="0"/>
                    <w:bidi w:val="0"/>
                    <w:spacing w:before="0" w:beforeAutospacing="0" w:after="0" w:afterAutospacing="0"/>
                    <w:ind w:left="0" w:right="0"/>
                    <w:rPr>
                      <w:rFonts w:hint="default"/>
                    </w:rPr>
                  </w:pPr>
                  <w:r>
                    <w:rPr>
                      <w:rFonts w:hint="default"/>
                    </w:rPr>
                    <w:t>固体废物</w:t>
                  </w:r>
                </w:p>
              </w:tc>
              <w:tc>
                <w:tcPr>
                  <w:tcW w:w="2477" w:type="pct"/>
                  <w:noWrap w:val="0"/>
                  <w:vAlign w:val="center"/>
                </w:tcPr>
                <w:p w14:paraId="7BB946EE">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一般固废暂存间建设、危废间建设、危废处置协议等</w:t>
                  </w:r>
                </w:p>
              </w:tc>
              <w:tc>
                <w:tcPr>
                  <w:tcW w:w="1202" w:type="pct"/>
                  <w:noWrap w:val="0"/>
                  <w:vAlign w:val="center"/>
                </w:tcPr>
                <w:p w14:paraId="22705C77">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w:t>
                  </w:r>
                </w:p>
              </w:tc>
            </w:tr>
            <w:tr w14:paraId="76EEDB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97" w:type="pct"/>
                  <w:gridSpan w:val="3"/>
                  <w:noWrap w:val="0"/>
                  <w:vAlign w:val="center"/>
                </w:tcPr>
                <w:p w14:paraId="603AF417">
                  <w:pPr>
                    <w:pStyle w:val="47"/>
                    <w:keepNext w:val="0"/>
                    <w:keepLines w:val="0"/>
                    <w:suppressLineNumbers w:val="0"/>
                    <w:bidi w:val="0"/>
                    <w:spacing w:before="0" w:beforeAutospacing="0" w:after="0" w:afterAutospacing="0"/>
                    <w:ind w:left="0" w:right="0"/>
                    <w:rPr>
                      <w:rFonts w:hint="default"/>
                    </w:rPr>
                  </w:pPr>
                  <w:r>
                    <w:rPr>
                      <w:rFonts w:hint="default"/>
                    </w:rPr>
                    <w:t>合  计</w:t>
                  </w:r>
                </w:p>
              </w:tc>
              <w:tc>
                <w:tcPr>
                  <w:tcW w:w="1202" w:type="pct"/>
                  <w:noWrap w:val="0"/>
                  <w:vAlign w:val="center"/>
                </w:tcPr>
                <w:p w14:paraId="67F8E2B2">
                  <w:pPr>
                    <w:pStyle w:val="4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16</w:t>
                  </w:r>
                </w:p>
              </w:tc>
            </w:tr>
          </w:tbl>
          <w:p w14:paraId="5C6552C5">
            <w:pPr>
              <w:keepNext w:val="0"/>
              <w:keepLines w:val="0"/>
              <w:suppressLineNumbers w:val="0"/>
              <w:bidi w:val="0"/>
              <w:spacing w:before="0" w:beforeAutospacing="0" w:after="0" w:afterAutospacing="0"/>
              <w:ind w:left="0" w:right="0"/>
              <w:rPr>
                <w:rFonts w:hint="eastAsia" w:cs="Times New Roman"/>
                <w:color w:val="auto"/>
              </w:rPr>
            </w:pPr>
          </w:p>
          <w:p w14:paraId="3D838A5D">
            <w:pPr>
              <w:keepNext w:val="0"/>
              <w:keepLines w:val="0"/>
              <w:suppressLineNumbers w:val="0"/>
              <w:adjustRightInd w:val="0"/>
              <w:snapToGrid w:val="0"/>
              <w:spacing w:before="0" w:beforeAutospacing="0" w:after="0" w:afterAutospacing="0" w:line="360" w:lineRule="auto"/>
              <w:ind w:left="0" w:right="0"/>
              <w:rPr>
                <w:rFonts w:hint="eastAsia" w:cs="Times New Roman"/>
                <w:bCs/>
                <w:color w:val="auto"/>
                <w:spacing w:val="-10"/>
                <w:szCs w:val="21"/>
                <w:lang w:val="en-US" w:eastAsia="zh-CN"/>
              </w:rPr>
            </w:pPr>
          </w:p>
        </w:tc>
      </w:tr>
    </w:tbl>
    <w:p w14:paraId="69BC09FD">
      <w:pPr>
        <w:adjustRightInd w:val="0"/>
        <w:snapToGrid w:val="0"/>
        <w:spacing w:line="360" w:lineRule="auto"/>
        <w:rPr>
          <w:rFonts w:hint="eastAsia" w:ascii="宋体" w:cs="宋体"/>
          <w:b/>
          <w:color w:val="auto"/>
          <w:kern w:val="0"/>
          <w:sz w:val="28"/>
          <w:szCs w:val="28"/>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759AE4D0">
      <w:pPr>
        <w:pStyle w:val="2"/>
        <w:bidi w:val="0"/>
        <w:rPr>
          <w:color w:val="auto"/>
        </w:rPr>
      </w:pPr>
      <w:bookmarkStart w:id="8" w:name="_Hlk54167917"/>
      <w:bookmarkStart w:id="9" w:name="_Toc6413"/>
      <w:r>
        <w:rPr>
          <w:rFonts w:hint="eastAsia"/>
          <w:color w:val="auto"/>
        </w:rPr>
        <w:t>环境保护措施监督检查清单</w:t>
      </w:r>
      <w:bookmarkEnd w:id="8"/>
      <w:bookmarkEnd w:id="9"/>
    </w:p>
    <w:tbl>
      <w:tblPr>
        <w:tblStyle w:val="23"/>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582"/>
        <w:gridCol w:w="1448"/>
        <w:gridCol w:w="2237"/>
        <w:gridCol w:w="2742"/>
      </w:tblGrid>
      <w:tr w14:paraId="1BD84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tcBorders>
              <w:tl2br w:val="single" w:color="auto" w:sz="4" w:space="0"/>
            </w:tcBorders>
            <w:noWrap w:val="0"/>
            <w:vAlign w:val="top"/>
          </w:tcPr>
          <w:p w14:paraId="26B2B4B6">
            <w:pPr>
              <w:pStyle w:val="33"/>
              <w:keepNext w:val="0"/>
              <w:keepLines w:val="0"/>
              <w:suppressLineNumbers w:val="0"/>
              <w:bidi w:val="0"/>
              <w:spacing w:before="0" w:beforeAutospacing="0" w:after="0" w:afterAutospacing="0"/>
              <w:ind w:left="0" w:right="0"/>
              <w:jc w:val="right"/>
              <w:rPr>
                <w:rFonts w:hint="default" w:cs="Times New Roman"/>
                <w:color w:val="auto"/>
              </w:rPr>
            </w:pPr>
            <w:r>
              <w:rPr>
                <w:rFonts w:hint="default" w:cs="Times New Roman"/>
                <w:color w:val="auto"/>
              </w:rPr>
              <w:t>内容</w:t>
            </w:r>
          </w:p>
          <w:p w14:paraId="60AE4557">
            <w:pPr>
              <w:pStyle w:val="33"/>
              <w:keepNext w:val="0"/>
              <w:keepLines w:val="0"/>
              <w:suppressLineNumbers w:val="0"/>
              <w:bidi w:val="0"/>
              <w:spacing w:before="0" w:beforeAutospacing="0" w:after="0" w:afterAutospacing="0"/>
              <w:ind w:left="0" w:right="0"/>
              <w:rPr>
                <w:rFonts w:hint="default" w:cs="Times New Roman"/>
                <w:color w:val="auto"/>
              </w:rPr>
            </w:pPr>
          </w:p>
          <w:p w14:paraId="4AB0BCE1">
            <w:pPr>
              <w:pStyle w:val="33"/>
              <w:keepNext w:val="0"/>
              <w:keepLines w:val="0"/>
              <w:suppressLineNumbers w:val="0"/>
              <w:bidi w:val="0"/>
              <w:spacing w:before="0" w:beforeAutospacing="0" w:after="0" w:afterAutospacing="0"/>
              <w:ind w:left="0" w:right="0"/>
              <w:jc w:val="both"/>
              <w:rPr>
                <w:rFonts w:hint="default" w:cs="Times New Roman"/>
                <w:color w:val="auto"/>
              </w:rPr>
            </w:pPr>
            <w:r>
              <w:rPr>
                <w:rFonts w:hint="default" w:cs="Times New Roman"/>
                <w:color w:val="auto"/>
              </w:rPr>
              <w:t>要素</w:t>
            </w:r>
          </w:p>
        </w:tc>
        <w:tc>
          <w:tcPr>
            <w:tcW w:w="852" w:type="pct"/>
            <w:noWrap w:val="0"/>
            <w:vAlign w:val="center"/>
          </w:tcPr>
          <w:p w14:paraId="6BDA5FF8">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排放口</w:t>
            </w:r>
            <w:r>
              <w:rPr>
                <w:rFonts w:hint="eastAsia" w:cs="Times New Roman"/>
                <w:color w:val="auto"/>
              </w:rPr>
              <w:t>（</w:t>
            </w:r>
            <w:r>
              <w:rPr>
                <w:rFonts w:hint="default" w:cs="Times New Roman"/>
                <w:color w:val="auto"/>
              </w:rPr>
              <w:t>编号、名称</w:t>
            </w:r>
            <w:r>
              <w:rPr>
                <w:rFonts w:hint="eastAsia" w:cs="Times New Roman"/>
                <w:color w:val="auto"/>
              </w:rPr>
              <w:t>）</w:t>
            </w:r>
            <w:r>
              <w:rPr>
                <w:rFonts w:hint="default" w:cs="Times New Roman"/>
                <w:color w:val="auto"/>
              </w:rPr>
              <w:t>/污染源</w:t>
            </w:r>
          </w:p>
        </w:tc>
        <w:tc>
          <w:tcPr>
            <w:tcW w:w="780" w:type="pct"/>
            <w:noWrap w:val="0"/>
            <w:vAlign w:val="center"/>
          </w:tcPr>
          <w:p w14:paraId="4F2D22F0">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污染物项目</w:t>
            </w:r>
          </w:p>
        </w:tc>
        <w:tc>
          <w:tcPr>
            <w:tcW w:w="1205" w:type="pct"/>
            <w:noWrap w:val="0"/>
            <w:vAlign w:val="center"/>
          </w:tcPr>
          <w:p w14:paraId="66D10ED5">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环境保护措施</w:t>
            </w:r>
          </w:p>
        </w:tc>
        <w:tc>
          <w:tcPr>
            <w:tcW w:w="1476" w:type="pct"/>
            <w:noWrap w:val="0"/>
            <w:vAlign w:val="center"/>
          </w:tcPr>
          <w:p w14:paraId="07339170">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执行标准</w:t>
            </w:r>
          </w:p>
        </w:tc>
      </w:tr>
      <w:tr w14:paraId="6869E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5AD2A147">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水环境</w:t>
            </w:r>
          </w:p>
        </w:tc>
        <w:tc>
          <w:tcPr>
            <w:tcW w:w="852" w:type="pct"/>
            <w:noWrap w:val="0"/>
            <w:vAlign w:val="center"/>
          </w:tcPr>
          <w:p w14:paraId="06F09BA1">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生活污水</w:t>
            </w:r>
          </w:p>
        </w:tc>
        <w:tc>
          <w:tcPr>
            <w:tcW w:w="780" w:type="pct"/>
            <w:noWrap w:val="0"/>
            <w:vAlign w:val="center"/>
          </w:tcPr>
          <w:p w14:paraId="7C1D2F22">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pH、</w:t>
            </w:r>
            <w:r>
              <w:rPr>
                <w:rFonts w:hint="eastAsia" w:cs="Times New Roman"/>
                <w:color w:val="auto"/>
              </w:rPr>
              <w:t>COD、BOD</w:t>
            </w:r>
            <w:r>
              <w:rPr>
                <w:rFonts w:hint="eastAsia" w:cs="Times New Roman"/>
                <w:color w:val="auto"/>
                <w:vertAlign w:val="subscript"/>
              </w:rPr>
              <w:t>5</w:t>
            </w:r>
            <w:r>
              <w:rPr>
                <w:rFonts w:hint="eastAsia" w:cs="Times New Roman"/>
                <w:color w:val="auto"/>
              </w:rPr>
              <w:t>、SS、氨氮</w:t>
            </w:r>
          </w:p>
        </w:tc>
        <w:tc>
          <w:tcPr>
            <w:tcW w:w="1205" w:type="pct"/>
            <w:noWrap w:val="0"/>
            <w:vAlign w:val="center"/>
          </w:tcPr>
          <w:p w14:paraId="2A5258B6">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生活污水经</w:t>
            </w:r>
            <w:r>
              <w:rPr>
                <w:rFonts w:hint="eastAsia" w:cs="Times New Roman"/>
                <w:color w:val="auto"/>
                <w:lang w:val="en-US" w:eastAsia="zh-CN"/>
              </w:rPr>
              <w:t>出租方已建</w:t>
            </w:r>
            <w:r>
              <w:rPr>
                <w:rFonts w:hint="eastAsia" w:cs="Times New Roman"/>
                <w:color w:val="auto"/>
              </w:rPr>
              <w:t>化粪池处理后</w:t>
            </w:r>
            <w:r>
              <w:rPr>
                <w:rFonts w:hint="eastAsia" w:cs="Times New Roman"/>
                <w:color w:val="auto"/>
                <w:lang w:eastAsia="zh-CN"/>
              </w:rPr>
              <w:t>通过市政污水管网排入</w:t>
            </w:r>
            <w:r>
              <w:rPr>
                <w:rFonts w:hint="eastAsia" w:cs="Times New Roman"/>
                <w:color w:val="auto"/>
                <w:lang w:val="en-US" w:eastAsia="zh-CN"/>
              </w:rPr>
              <w:t>青口汽车工业开发区污水处理厂处理</w:t>
            </w:r>
          </w:p>
        </w:tc>
        <w:tc>
          <w:tcPr>
            <w:tcW w:w="1476" w:type="pct"/>
            <w:noWrap w:val="0"/>
            <w:vAlign w:val="center"/>
          </w:tcPr>
          <w:p w14:paraId="0EA29BEA">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《污水综合排放标准》（GB8978-1996）表4</w:t>
            </w:r>
            <w:r>
              <w:rPr>
                <w:rFonts w:hint="eastAsia" w:cs="Times New Roman"/>
                <w:color w:val="auto"/>
              </w:rPr>
              <w:t>中</w:t>
            </w:r>
            <w:r>
              <w:rPr>
                <w:rFonts w:hint="default" w:cs="Times New Roman"/>
                <w:color w:val="auto"/>
              </w:rPr>
              <w:t>三级标准</w:t>
            </w:r>
            <w:r>
              <w:rPr>
                <w:rFonts w:hint="eastAsia" w:cs="Times New Roman"/>
                <w:color w:val="auto"/>
              </w:rPr>
              <w:t>（氨氮参照《污水排入城镇下水道水质标准》（GB/T31962-2015）</w:t>
            </w:r>
            <w:r>
              <w:rPr>
                <w:rFonts w:hint="eastAsia" w:cs="Times New Roman"/>
                <w:color w:val="auto"/>
                <w:lang w:val="en-US" w:eastAsia="zh-CN"/>
              </w:rPr>
              <w:t>表1中</w:t>
            </w:r>
            <w:r>
              <w:rPr>
                <w:rFonts w:hint="eastAsia" w:cs="Times New Roman"/>
                <w:color w:val="auto"/>
              </w:rPr>
              <w:t>B等级</w:t>
            </w:r>
            <w:r>
              <w:rPr>
                <w:rFonts w:hint="eastAsia" w:cs="Times New Roman"/>
                <w:color w:val="auto"/>
                <w:lang w:val="en-US" w:eastAsia="zh-CN"/>
              </w:rPr>
              <w:t>标准</w:t>
            </w:r>
            <w:r>
              <w:rPr>
                <w:rFonts w:hint="eastAsia" w:cs="Times New Roman"/>
                <w:color w:val="auto"/>
              </w:rPr>
              <w:t>）</w:t>
            </w:r>
            <w:r>
              <w:rPr>
                <w:rFonts w:hint="eastAsia" w:cs="Times New Roman"/>
                <w:color w:val="auto"/>
                <w:lang w:eastAsia="zh-CN"/>
              </w:rPr>
              <w:t>；</w:t>
            </w:r>
            <w:r>
              <w:rPr>
                <w:rFonts w:hint="eastAsia" w:cs="Times New Roman"/>
                <w:color w:val="auto"/>
              </w:rPr>
              <w:t>COD≤500mg/L、BOD</w:t>
            </w:r>
            <w:r>
              <w:rPr>
                <w:rFonts w:hint="eastAsia" w:cs="Times New Roman"/>
                <w:color w:val="auto"/>
                <w:vertAlign w:val="subscript"/>
              </w:rPr>
              <w:t>5</w:t>
            </w:r>
            <w:r>
              <w:rPr>
                <w:rFonts w:hint="eastAsia" w:cs="Times New Roman"/>
                <w:color w:val="auto"/>
              </w:rPr>
              <w:t>≤</w:t>
            </w:r>
            <w:r>
              <w:rPr>
                <w:rFonts w:hint="eastAsia" w:cs="Times New Roman"/>
                <w:color w:val="auto"/>
                <w:lang w:val="en-US" w:eastAsia="zh-CN"/>
              </w:rPr>
              <w:t>30</w:t>
            </w:r>
            <w:r>
              <w:rPr>
                <w:rFonts w:hint="eastAsia" w:cs="Times New Roman"/>
                <w:color w:val="auto"/>
              </w:rPr>
              <w:t>0mg/L、SS≤</w:t>
            </w:r>
            <w:r>
              <w:rPr>
                <w:rFonts w:hint="eastAsia" w:cs="Times New Roman"/>
                <w:color w:val="auto"/>
                <w:lang w:val="en-US" w:eastAsia="zh-CN"/>
              </w:rPr>
              <w:t>4</w:t>
            </w:r>
            <w:r>
              <w:rPr>
                <w:rFonts w:hint="eastAsia" w:cs="Times New Roman"/>
                <w:color w:val="auto"/>
              </w:rPr>
              <w:t>00mg/L、氨氮≤45mg/L</w:t>
            </w:r>
          </w:p>
        </w:tc>
      </w:tr>
      <w:tr w14:paraId="3D834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85" w:type="pct"/>
            <w:vMerge w:val="restart"/>
            <w:noWrap w:val="0"/>
            <w:vAlign w:val="center"/>
          </w:tcPr>
          <w:p w14:paraId="0BF3EC4E">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大气环境</w:t>
            </w:r>
          </w:p>
        </w:tc>
        <w:tc>
          <w:tcPr>
            <w:tcW w:w="852" w:type="pct"/>
            <w:noWrap w:val="0"/>
            <w:vAlign w:val="center"/>
          </w:tcPr>
          <w:p w14:paraId="4B862722">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厂界</w:t>
            </w:r>
          </w:p>
        </w:tc>
        <w:tc>
          <w:tcPr>
            <w:tcW w:w="780" w:type="pct"/>
            <w:noWrap w:val="0"/>
            <w:vAlign w:val="center"/>
          </w:tcPr>
          <w:p w14:paraId="3348EFD7">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非甲烷总烃</w:t>
            </w:r>
          </w:p>
        </w:tc>
        <w:tc>
          <w:tcPr>
            <w:tcW w:w="1205" w:type="pct"/>
            <w:vMerge w:val="restart"/>
            <w:noWrap w:val="0"/>
            <w:vAlign w:val="center"/>
          </w:tcPr>
          <w:p w14:paraId="6B2DD7A6">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000000" w:themeColor="text1"/>
                <w:spacing w:val="0"/>
                <w:kern w:val="0"/>
                <w:sz w:val="21"/>
                <w:szCs w:val="21"/>
                <w:highlight w:val="none"/>
                <w:lang w:val="en-US" w:eastAsia="zh-CN" w:bidi="he-IL"/>
                <w14:textFill>
                  <w14:solidFill>
                    <w14:schemeClr w14:val="tx1"/>
                  </w14:solidFill>
                </w14:textFill>
              </w:rPr>
              <w:t>运营期间生产车间仅保留必要的出入口敞开，减少废气无组织排放</w:t>
            </w:r>
          </w:p>
        </w:tc>
        <w:tc>
          <w:tcPr>
            <w:tcW w:w="1476" w:type="pct"/>
            <w:noWrap w:val="0"/>
            <w:vAlign w:val="center"/>
          </w:tcPr>
          <w:p w14:paraId="1DDD8D12">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olor w:val="000000" w:themeColor="text1"/>
                <w:sz w:val="21"/>
                <w:szCs w:val="21"/>
                <w:lang w:eastAsia="zh-CN"/>
                <w14:textFill>
                  <w14:solidFill>
                    <w14:schemeClr w14:val="tx1"/>
                  </w14:solidFill>
                </w14:textFill>
              </w:rPr>
              <w:t>非甲烷总烃</w:t>
            </w:r>
            <w:r>
              <w:rPr>
                <w:rFonts w:hint="default"/>
                <w:color w:val="000000" w:themeColor="text1"/>
                <w:sz w:val="21"/>
                <w:szCs w:val="21"/>
                <w14:textFill>
                  <w14:solidFill>
                    <w14:schemeClr w14:val="tx1"/>
                  </w14:solidFill>
                </w14:textFill>
              </w:rPr>
              <w:t>满足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工业企业挥发性有机物排放标准》(DB35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178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-2018)中表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企业边界监控点浓度限值</w:t>
            </w:r>
            <w:r>
              <w:rPr>
                <w:rFonts w:hint="eastAsia"/>
                <w:color w:val="000000" w:themeColor="text1"/>
                <w:sz w:val="21"/>
                <w:szCs w:val="21"/>
                <w:lang w:eastAsia="zh-CN"/>
                <w14:textFill>
                  <w14:solidFill>
                    <w14:schemeClr w14:val="tx1"/>
                  </w14:solidFill>
                </w14:textFill>
              </w:rPr>
              <w:t>，</w:t>
            </w:r>
            <w:r>
              <w:rPr>
                <w:rFonts w:hint="default"/>
                <w:color w:val="000000" w:themeColor="text1"/>
                <w:sz w:val="21"/>
                <w:szCs w:val="21"/>
                <w14:textFill>
                  <w14:solidFill>
                    <w14:schemeClr w14:val="tx1"/>
                  </w14:solidFill>
                </w14:textFill>
              </w:rPr>
              <w:t>即非甲烷总烃≤2.0mg/m</w:t>
            </w:r>
            <w:r>
              <w:rPr>
                <w:rFonts w:hint="default"/>
                <w:color w:val="000000" w:themeColor="text1"/>
                <w:sz w:val="21"/>
                <w:szCs w:val="21"/>
                <w:vertAlign w:val="superscript"/>
                <w14:textFill>
                  <w14:solidFill>
                    <w14:schemeClr w14:val="tx1"/>
                  </w14:solidFill>
                </w14:textFill>
              </w:rPr>
              <w:t>3</w:t>
            </w:r>
          </w:p>
        </w:tc>
      </w:tr>
      <w:tr w14:paraId="74F7A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noWrap w:val="0"/>
            <w:vAlign w:val="center"/>
          </w:tcPr>
          <w:p w14:paraId="24619569">
            <w:pPr>
              <w:pStyle w:val="33"/>
              <w:keepNext w:val="0"/>
              <w:keepLines w:val="0"/>
              <w:suppressLineNumbers w:val="0"/>
              <w:bidi w:val="0"/>
              <w:spacing w:before="0" w:beforeAutospacing="0" w:after="0" w:afterAutospacing="0"/>
              <w:ind w:left="0" w:right="0"/>
              <w:rPr>
                <w:rFonts w:hint="eastAsia" w:cs="Times New Roman"/>
                <w:color w:val="auto"/>
                <w:lang w:eastAsia="zh-CN"/>
              </w:rPr>
            </w:pPr>
          </w:p>
        </w:tc>
        <w:tc>
          <w:tcPr>
            <w:tcW w:w="852" w:type="pct"/>
            <w:noWrap w:val="0"/>
            <w:vAlign w:val="center"/>
          </w:tcPr>
          <w:p w14:paraId="49D989D1">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厂区内</w:t>
            </w:r>
          </w:p>
        </w:tc>
        <w:tc>
          <w:tcPr>
            <w:tcW w:w="780" w:type="pct"/>
            <w:noWrap w:val="0"/>
            <w:vAlign w:val="center"/>
          </w:tcPr>
          <w:p w14:paraId="7FCAF289">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eastAsia="zh-CN"/>
              </w:rPr>
              <w:t>非甲烷总烃</w:t>
            </w:r>
          </w:p>
        </w:tc>
        <w:tc>
          <w:tcPr>
            <w:tcW w:w="1205" w:type="pct"/>
            <w:vMerge w:val="continue"/>
            <w:noWrap w:val="0"/>
            <w:vAlign w:val="center"/>
          </w:tcPr>
          <w:p w14:paraId="3B12FD23">
            <w:pPr>
              <w:pStyle w:val="33"/>
              <w:keepNext w:val="0"/>
              <w:keepLines w:val="0"/>
              <w:suppressLineNumbers w:val="0"/>
              <w:bidi w:val="0"/>
              <w:spacing w:before="0" w:beforeAutospacing="0" w:after="0" w:afterAutospacing="0"/>
              <w:ind w:left="0" w:right="0"/>
              <w:rPr>
                <w:rFonts w:hint="eastAsia" w:cs="Times New Roman"/>
                <w:color w:val="auto"/>
              </w:rPr>
            </w:pPr>
          </w:p>
        </w:tc>
        <w:tc>
          <w:tcPr>
            <w:tcW w:w="1476" w:type="pct"/>
            <w:noWrap w:val="0"/>
            <w:vAlign w:val="center"/>
          </w:tcPr>
          <w:p w14:paraId="5260E4BA">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14:textFill>
                  <w14:solidFill>
                    <w14:schemeClr w14:val="tx1"/>
                  </w14:solidFill>
                </w14:textFill>
              </w:rPr>
              <w:t>企业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监控点1h平均浓度值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工业企业挥发性有机物排放标准》(DB35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178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-2018)中表</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厂区内监控点浓度限值</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即</w:t>
            </w:r>
            <w:r>
              <w:rPr>
                <w:rFonts w:hint="eastAsia" w:cs="Times New Roman"/>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；厂区内监控点任意一次浓度值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满足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《挥发性有机物无组织排放控制标准》(GB37822-2019)中附录A表A.1标准限值</w:t>
            </w:r>
            <w:r>
              <w:rPr>
                <w:rFonts w:hint="eastAsia" w:cs="Times New Roman"/>
                <w:color w:val="000000" w:themeColor="text1"/>
                <w:sz w:val="21"/>
                <w:szCs w:val="21"/>
                <w:highlight w:val="none"/>
                <w:lang w:val="en-US" w:eastAsia="zh-CN"/>
                <w14:textFill>
                  <w14:solidFill>
                    <w14:schemeClr w14:val="tx1"/>
                  </w14:solidFill>
                </w14:textFill>
              </w:rPr>
              <w:t>，即非甲烷总烃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3D01E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1620EC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声环境</w:t>
            </w:r>
          </w:p>
        </w:tc>
        <w:tc>
          <w:tcPr>
            <w:tcW w:w="852" w:type="pct"/>
            <w:noWrap w:val="0"/>
            <w:vAlign w:val="center"/>
          </w:tcPr>
          <w:p w14:paraId="621165D9">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eastAsia="zh-CN"/>
              </w:rPr>
              <w:t>厂界</w:t>
            </w:r>
          </w:p>
        </w:tc>
        <w:tc>
          <w:tcPr>
            <w:tcW w:w="780" w:type="pct"/>
            <w:noWrap w:val="0"/>
            <w:vAlign w:val="center"/>
          </w:tcPr>
          <w:p w14:paraId="209FDFDA">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噪声</w:t>
            </w:r>
          </w:p>
        </w:tc>
        <w:tc>
          <w:tcPr>
            <w:tcW w:w="1205" w:type="pct"/>
            <w:noWrap w:val="0"/>
            <w:vAlign w:val="center"/>
          </w:tcPr>
          <w:p w14:paraId="094538B0">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选用低噪声设备，优化车间布局，采取基础减振、厂房隔声等综合降噪措施；加强厂内运输车辆管理</w:t>
            </w:r>
          </w:p>
        </w:tc>
        <w:tc>
          <w:tcPr>
            <w:tcW w:w="1476" w:type="pct"/>
            <w:noWrap w:val="0"/>
            <w:vAlign w:val="center"/>
          </w:tcPr>
          <w:p w14:paraId="5B981116">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default" w:cs="Times New Roman"/>
                <w:color w:val="FF0000"/>
              </w:rPr>
              <w:t>《工业企业厂界环境噪声排放标准》（GB12348-2008）</w:t>
            </w:r>
            <w:r>
              <w:rPr>
                <w:rFonts w:hint="eastAsia" w:cs="Times New Roman"/>
                <w:color w:val="FF0000"/>
                <w:lang w:val="en-US" w:eastAsia="zh-CN"/>
              </w:rPr>
              <w:t>表1</w:t>
            </w:r>
            <w:r>
              <w:rPr>
                <w:rFonts w:hint="default" w:cs="Times New Roman"/>
                <w:color w:val="FF0000"/>
              </w:rPr>
              <w:t>中</w:t>
            </w:r>
            <w:r>
              <w:rPr>
                <w:rFonts w:hint="eastAsia" w:cs="Times New Roman"/>
                <w:color w:val="FF0000"/>
                <w:lang w:val="en-US" w:eastAsia="zh-CN"/>
              </w:rPr>
              <w:t>2</w:t>
            </w:r>
            <w:r>
              <w:rPr>
                <w:rFonts w:hint="default" w:cs="Times New Roman"/>
                <w:color w:val="FF0000"/>
              </w:rPr>
              <w:t>类标准</w:t>
            </w:r>
            <w:r>
              <w:rPr>
                <w:rFonts w:hint="eastAsia" w:cs="Times New Roman"/>
                <w:color w:val="FF0000"/>
                <w:lang w:eastAsia="zh-CN"/>
              </w:rPr>
              <w:t>；昼间≤</w:t>
            </w:r>
            <w:r>
              <w:rPr>
                <w:rFonts w:hint="eastAsia" w:cs="Times New Roman"/>
                <w:color w:val="FF0000"/>
                <w:lang w:val="en-US" w:eastAsia="zh-CN"/>
              </w:rPr>
              <w:t>60dB(A)、夜间</w:t>
            </w:r>
            <w:r>
              <w:rPr>
                <w:rFonts w:hint="eastAsia" w:cs="Times New Roman"/>
                <w:color w:val="FF0000"/>
                <w:lang w:eastAsia="zh-CN"/>
              </w:rPr>
              <w:t>≤</w:t>
            </w:r>
            <w:r>
              <w:rPr>
                <w:rFonts w:hint="eastAsia" w:cs="Times New Roman"/>
                <w:color w:val="FF0000"/>
                <w:lang w:val="en-US" w:eastAsia="zh-CN"/>
              </w:rPr>
              <w:t>50dB(A)</w:t>
            </w:r>
          </w:p>
        </w:tc>
      </w:tr>
      <w:tr w14:paraId="3D93D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14:paraId="1E6E7619">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电磁辐射</w:t>
            </w:r>
          </w:p>
        </w:tc>
        <w:tc>
          <w:tcPr>
            <w:tcW w:w="852" w:type="pct"/>
            <w:noWrap w:val="0"/>
            <w:vAlign w:val="center"/>
          </w:tcPr>
          <w:p w14:paraId="4ED7C3C0">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w:t>
            </w:r>
          </w:p>
        </w:tc>
        <w:tc>
          <w:tcPr>
            <w:tcW w:w="780" w:type="pct"/>
            <w:noWrap w:val="0"/>
            <w:vAlign w:val="center"/>
          </w:tcPr>
          <w:p w14:paraId="09863E7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w:t>
            </w:r>
          </w:p>
        </w:tc>
        <w:tc>
          <w:tcPr>
            <w:tcW w:w="1205" w:type="pct"/>
            <w:noWrap w:val="0"/>
            <w:vAlign w:val="center"/>
          </w:tcPr>
          <w:p w14:paraId="05D479D0">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w:t>
            </w:r>
          </w:p>
        </w:tc>
        <w:tc>
          <w:tcPr>
            <w:tcW w:w="1476" w:type="pct"/>
            <w:noWrap w:val="0"/>
            <w:vAlign w:val="center"/>
          </w:tcPr>
          <w:p w14:paraId="2BFEC23C">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w:t>
            </w:r>
          </w:p>
        </w:tc>
      </w:tr>
      <w:tr w14:paraId="002D9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85" w:type="pct"/>
            <w:noWrap w:val="0"/>
            <w:vAlign w:val="center"/>
          </w:tcPr>
          <w:p w14:paraId="750B623A">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固体废物</w:t>
            </w:r>
          </w:p>
        </w:tc>
        <w:tc>
          <w:tcPr>
            <w:tcW w:w="4314" w:type="pct"/>
            <w:gridSpan w:val="4"/>
            <w:noWrap w:val="0"/>
            <w:vAlign w:val="center"/>
          </w:tcPr>
          <w:p w14:paraId="34802FA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auto"/>
                <w:sz w:val="24"/>
                <w:szCs w:val="24"/>
              </w:rPr>
            </w:pPr>
            <w:r>
              <w:rPr>
                <w:rFonts w:hint="eastAsia" w:cs="Times New Roman"/>
                <w:color w:val="auto"/>
                <w:sz w:val="24"/>
                <w:szCs w:val="24"/>
              </w:rPr>
              <w:t>一般固废和危险废物按不同性质分类收集、合理处置。</w:t>
            </w:r>
          </w:p>
          <w:p w14:paraId="1373FBF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auto"/>
                <w:sz w:val="24"/>
                <w:szCs w:val="24"/>
              </w:rPr>
            </w:pPr>
            <w:r>
              <w:rPr>
                <w:rFonts w:hint="eastAsia" w:ascii="Times New Roman" w:hAnsi="Times New Roman" w:eastAsia="宋体" w:cs="Times New Roman"/>
                <w:color w:val="auto"/>
                <w:sz w:val="24"/>
                <w:szCs w:val="24"/>
                <w:lang w:val="en-US" w:eastAsia="zh-CN"/>
              </w:rPr>
              <w:t>①</w:t>
            </w:r>
            <w:r>
              <w:rPr>
                <w:rFonts w:hint="eastAsia" w:cs="Times New Roman"/>
                <w:color w:val="auto"/>
                <w:sz w:val="24"/>
                <w:szCs w:val="24"/>
              </w:rPr>
              <w:t>设一般固废贮存间1间，</w:t>
            </w:r>
            <w:r>
              <w:rPr>
                <w:rFonts w:hint="eastAsia" w:cs="Times New Roman"/>
                <w:color w:val="auto"/>
                <w:sz w:val="24"/>
                <w:szCs w:val="24"/>
                <w:lang w:val="en-US" w:eastAsia="zh-CN"/>
              </w:rPr>
              <w:t>面积20m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eastAsia" w:cs="Times New Roman"/>
                <w:color w:val="auto"/>
                <w:sz w:val="24"/>
                <w:szCs w:val="24"/>
                <w:lang w:eastAsia="zh-CN"/>
              </w:rPr>
              <w:t>不合格品、废包装材料</w:t>
            </w:r>
            <w:r>
              <w:rPr>
                <w:rFonts w:hint="eastAsia" w:cs="Times New Roman"/>
                <w:color w:val="auto"/>
                <w:sz w:val="24"/>
                <w:szCs w:val="24"/>
              </w:rPr>
              <w:t>定期外售综合利用；</w:t>
            </w:r>
          </w:p>
          <w:p w14:paraId="3023A93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auto"/>
                <w:sz w:val="24"/>
                <w:szCs w:val="24"/>
              </w:rPr>
            </w:pPr>
            <w:r>
              <w:rPr>
                <w:rFonts w:hint="eastAsia" w:cs="Times New Roman"/>
                <w:color w:val="auto"/>
                <w:sz w:val="24"/>
                <w:szCs w:val="24"/>
                <w:lang w:val="en-US" w:eastAsia="zh-CN"/>
              </w:rPr>
              <w:t>②</w:t>
            </w:r>
            <w:r>
              <w:rPr>
                <w:rFonts w:hint="eastAsia" w:cs="Times New Roman"/>
                <w:color w:val="auto"/>
                <w:sz w:val="24"/>
                <w:szCs w:val="24"/>
              </w:rPr>
              <w:t>设</w:t>
            </w:r>
            <w:r>
              <w:rPr>
                <w:rFonts w:hint="eastAsia" w:cs="Times New Roman"/>
                <w:color w:val="auto"/>
                <w:sz w:val="24"/>
                <w:szCs w:val="24"/>
                <w:lang w:eastAsia="zh-CN"/>
              </w:rPr>
              <w:t>危废暂存间</w:t>
            </w:r>
            <w:r>
              <w:rPr>
                <w:rFonts w:hint="eastAsia" w:cs="Times New Roman"/>
                <w:color w:val="auto"/>
                <w:sz w:val="24"/>
                <w:szCs w:val="24"/>
              </w:rPr>
              <w:t>1</w:t>
            </w:r>
            <w:r>
              <w:rPr>
                <w:rFonts w:hint="eastAsia" w:cs="Times New Roman"/>
                <w:color w:val="auto"/>
                <w:sz w:val="24"/>
                <w:szCs w:val="24"/>
                <w:lang w:val="en-US" w:eastAsia="zh-CN"/>
              </w:rPr>
              <w:t>个</w:t>
            </w:r>
            <w:r>
              <w:rPr>
                <w:rFonts w:hint="eastAsia" w:cs="Times New Roman"/>
                <w:color w:val="auto"/>
                <w:sz w:val="24"/>
                <w:szCs w:val="24"/>
              </w:rPr>
              <w:t>，</w:t>
            </w:r>
            <w:r>
              <w:rPr>
                <w:rFonts w:hint="eastAsia" w:cs="Times New Roman"/>
                <w:color w:val="auto"/>
                <w:sz w:val="24"/>
                <w:szCs w:val="24"/>
                <w:lang w:val="en-US" w:eastAsia="zh-CN"/>
              </w:rPr>
              <w:t>面积6m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eastAsia" w:cs="Times New Roman"/>
                <w:color w:val="auto"/>
                <w:sz w:val="24"/>
                <w:szCs w:val="24"/>
                <w:lang w:eastAsia="zh-CN"/>
              </w:rPr>
              <w:t>废润滑油、废油桶、含油抹布及手套</w:t>
            </w:r>
            <w:r>
              <w:rPr>
                <w:rFonts w:hint="eastAsia" w:cs="Times New Roman"/>
                <w:color w:val="auto"/>
                <w:sz w:val="24"/>
                <w:szCs w:val="24"/>
              </w:rPr>
              <w:t>委托有资质单位处置；</w:t>
            </w:r>
          </w:p>
          <w:p w14:paraId="5D2385D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auto"/>
                <w:sz w:val="24"/>
                <w:szCs w:val="24"/>
              </w:rPr>
            </w:pPr>
            <w:r>
              <w:rPr>
                <w:rFonts w:hint="eastAsia" w:cs="Times New Roman"/>
                <w:color w:val="auto"/>
                <w:sz w:val="24"/>
                <w:szCs w:val="24"/>
                <w:lang w:val="en-US" w:eastAsia="zh-CN"/>
              </w:rPr>
              <w:t>③</w:t>
            </w:r>
            <w:r>
              <w:rPr>
                <w:rFonts w:hint="eastAsia" w:cs="Times New Roman"/>
                <w:color w:val="auto"/>
                <w:sz w:val="24"/>
                <w:szCs w:val="24"/>
              </w:rPr>
              <w:t>生活垃圾委托环卫部门统一清运处理。</w:t>
            </w:r>
          </w:p>
        </w:tc>
      </w:tr>
      <w:tr w14:paraId="74B7D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5" w:type="pct"/>
            <w:noWrap w:val="0"/>
            <w:vAlign w:val="center"/>
          </w:tcPr>
          <w:p w14:paraId="6EA46F25">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土壤及地下水污染防治措施</w:t>
            </w:r>
          </w:p>
        </w:tc>
        <w:tc>
          <w:tcPr>
            <w:tcW w:w="4314" w:type="pct"/>
            <w:gridSpan w:val="4"/>
            <w:noWrap w:val="0"/>
            <w:vAlign w:val="center"/>
          </w:tcPr>
          <w:p w14:paraId="6C24904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cs="Times New Roman"/>
                <w:color w:val="auto"/>
              </w:rPr>
            </w:pPr>
            <w:r>
              <w:rPr>
                <w:rFonts w:hint="eastAsia" w:cs="Times New Roman"/>
                <w:color w:val="auto"/>
                <w:sz w:val="24"/>
                <w:szCs w:val="24"/>
              </w:rPr>
              <w:t>分区防渗，重点防渗区主要包括：</w:t>
            </w:r>
            <w:r>
              <w:rPr>
                <w:rFonts w:hint="eastAsia" w:cs="Times New Roman"/>
                <w:color w:val="auto"/>
                <w:sz w:val="24"/>
                <w:szCs w:val="24"/>
                <w:lang w:eastAsia="zh-CN"/>
              </w:rPr>
              <w:t>危废暂存间</w:t>
            </w:r>
            <w:r>
              <w:rPr>
                <w:rFonts w:hint="eastAsia" w:cs="Times New Roman"/>
                <w:color w:val="auto"/>
                <w:sz w:val="24"/>
                <w:szCs w:val="24"/>
              </w:rPr>
              <w:t>，重点防渗区应等效黏土防渗层Mb≥6.0m，K≤1×10</w:t>
            </w:r>
            <w:r>
              <w:rPr>
                <w:rFonts w:hint="eastAsia" w:cs="Times New Roman"/>
                <w:color w:val="auto"/>
                <w:sz w:val="24"/>
                <w:szCs w:val="24"/>
                <w:vertAlign w:val="superscript"/>
              </w:rPr>
              <w:t>-7</w:t>
            </w:r>
            <w:r>
              <w:rPr>
                <w:rFonts w:hint="eastAsia" w:cs="Times New Roman"/>
                <w:color w:val="auto"/>
                <w:sz w:val="24"/>
                <w:szCs w:val="24"/>
              </w:rPr>
              <w:t>cm/s；或参照GB18598执行；一般防渗区主要包括：</w:t>
            </w:r>
            <w:r>
              <w:rPr>
                <w:rFonts w:hint="eastAsia" w:cs="Times New Roman"/>
                <w:color w:val="auto"/>
                <w:sz w:val="24"/>
                <w:szCs w:val="24"/>
                <w:lang w:val="en-US" w:eastAsia="zh-CN"/>
              </w:rPr>
              <w:t>生产车间</w:t>
            </w:r>
            <w:r>
              <w:rPr>
                <w:rFonts w:hint="eastAsia" w:cs="Times New Roman"/>
                <w:color w:val="auto"/>
                <w:sz w:val="24"/>
                <w:szCs w:val="24"/>
              </w:rPr>
              <w:t>，一般防渗区应等效黏土防渗层Mb≥1.5m，K≤1×10</w:t>
            </w:r>
            <w:r>
              <w:rPr>
                <w:rFonts w:hint="eastAsia" w:cs="Times New Roman"/>
                <w:color w:val="auto"/>
                <w:sz w:val="24"/>
                <w:szCs w:val="24"/>
                <w:vertAlign w:val="superscript"/>
              </w:rPr>
              <w:t>-7</w:t>
            </w:r>
            <w:r>
              <w:rPr>
                <w:rFonts w:hint="eastAsia" w:cs="Times New Roman"/>
                <w:color w:val="auto"/>
                <w:sz w:val="24"/>
                <w:szCs w:val="24"/>
              </w:rPr>
              <w:t>cm/s；或参照GB16889执行；除重点防渗区和一般防渗区以外的区域，采用一般地面硬化措施。</w:t>
            </w:r>
          </w:p>
        </w:tc>
      </w:tr>
      <w:tr w14:paraId="4E84B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85" w:type="pct"/>
            <w:noWrap w:val="0"/>
            <w:vAlign w:val="center"/>
          </w:tcPr>
          <w:p w14:paraId="6C12ADEF">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生态保护措施</w:t>
            </w:r>
          </w:p>
        </w:tc>
        <w:tc>
          <w:tcPr>
            <w:tcW w:w="4314" w:type="pct"/>
            <w:gridSpan w:val="4"/>
            <w:noWrap w:val="0"/>
            <w:vAlign w:val="center"/>
          </w:tcPr>
          <w:p w14:paraId="310C6B04">
            <w:pPr>
              <w:pStyle w:val="33"/>
              <w:keepNext w:val="0"/>
              <w:keepLines w:val="0"/>
              <w:suppressLineNumbers w:val="0"/>
              <w:bidi w:val="0"/>
              <w:spacing w:before="0" w:beforeAutospacing="0" w:after="0" w:afterAutospacing="0"/>
              <w:ind w:left="0" w:right="0"/>
              <w:jc w:val="left"/>
              <w:rPr>
                <w:rFonts w:hint="eastAsia" w:eastAsia="宋体" w:cs="Times New Roman"/>
                <w:color w:val="auto"/>
                <w:lang w:eastAsia="zh-CN"/>
              </w:rPr>
            </w:pPr>
            <w:r>
              <w:rPr>
                <w:rFonts w:hint="eastAsia" w:cs="Times New Roman"/>
                <w:color w:val="auto"/>
                <w:lang w:val="en-US" w:eastAsia="zh-CN"/>
              </w:rPr>
              <w:t>/</w:t>
            </w:r>
          </w:p>
        </w:tc>
      </w:tr>
      <w:tr w14:paraId="27B18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14:paraId="34712EE5">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环境风险防范措施</w:t>
            </w:r>
          </w:p>
        </w:tc>
        <w:tc>
          <w:tcPr>
            <w:tcW w:w="4314" w:type="pct"/>
            <w:gridSpan w:val="4"/>
            <w:noWrap w:val="0"/>
            <w:vAlign w:val="center"/>
          </w:tcPr>
          <w:p w14:paraId="18D26329">
            <w:pPr>
              <w:pStyle w:val="33"/>
              <w:keepNext w:val="0"/>
              <w:keepLines w:val="0"/>
              <w:suppressLineNumbers w:val="0"/>
              <w:bidi w:val="0"/>
              <w:spacing w:before="0" w:beforeAutospacing="0" w:after="0" w:afterAutospacing="0" w:line="360" w:lineRule="auto"/>
              <w:ind w:left="0" w:right="0"/>
              <w:jc w:val="left"/>
              <w:rPr>
                <w:rFonts w:hint="eastAsia" w:cs="Times New Roman"/>
                <w:color w:val="auto"/>
                <w:sz w:val="24"/>
                <w:szCs w:val="24"/>
              </w:rPr>
            </w:pPr>
            <w:r>
              <w:rPr>
                <w:rFonts w:hint="eastAsia" w:cs="Times New Roman"/>
                <w:color w:val="auto"/>
                <w:sz w:val="24"/>
                <w:szCs w:val="24"/>
                <w:lang w:eastAsia="zh-CN"/>
              </w:rPr>
              <w:t>1.</w:t>
            </w:r>
            <w:r>
              <w:rPr>
                <w:rFonts w:hint="eastAsia" w:cs="Times New Roman"/>
                <w:color w:val="auto"/>
                <w:sz w:val="24"/>
                <w:szCs w:val="24"/>
              </w:rPr>
              <w:t>火灾防范措施：正确配备灭火器材、消防沙桶等消防设备；严格动用明火、各种电热器和能引起电火花的电气设备，储罐区外应挂“严禁烟火”的警告牌，定期检查完好性。</w:t>
            </w:r>
          </w:p>
          <w:p w14:paraId="4DF4CAC2">
            <w:pPr>
              <w:pStyle w:val="33"/>
              <w:keepNext w:val="0"/>
              <w:keepLines w:val="0"/>
              <w:suppressLineNumbers w:val="0"/>
              <w:bidi w:val="0"/>
              <w:spacing w:before="0" w:beforeAutospacing="0" w:after="0" w:afterAutospacing="0" w:line="360" w:lineRule="auto"/>
              <w:ind w:left="0" w:right="0"/>
              <w:jc w:val="left"/>
              <w:rPr>
                <w:rFonts w:hint="eastAsia" w:cs="Times New Roman"/>
                <w:color w:val="auto"/>
                <w:sz w:val="24"/>
                <w:szCs w:val="24"/>
              </w:rPr>
            </w:pPr>
            <w:r>
              <w:rPr>
                <w:rFonts w:hint="eastAsia" w:cs="Times New Roman"/>
                <w:color w:val="auto"/>
                <w:sz w:val="24"/>
                <w:szCs w:val="24"/>
                <w:lang w:eastAsia="zh-CN"/>
              </w:rPr>
              <w:t>2.</w:t>
            </w:r>
            <w:r>
              <w:rPr>
                <w:rFonts w:hint="eastAsia" w:cs="Times New Roman"/>
                <w:color w:val="auto"/>
                <w:sz w:val="24"/>
                <w:szCs w:val="24"/>
              </w:rPr>
              <w:t>厂区建立健全完善的安全管理、风险管理制度。</w:t>
            </w:r>
          </w:p>
          <w:p w14:paraId="625E47DA">
            <w:pPr>
              <w:pStyle w:val="33"/>
              <w:keepNext w:val="0"/>
              <w:keepLines w:val="0"/>
              <w:suppressLineNumbers w:val="0"/>
              <w:bidi w:val="0"/>
              <w:spacing w:before="0" w:beforeAutospacing="0" w:after="0" w:afterAutospacing="0" w:line="360" w:lineRule="auto"/>
              <w:ind w:left="0" w:right="0"/>
              <w:jc w:val="left"/>
              <w:rPr>
                <w:rFonts w:hint="default" w:cs="Times New Roman"/>
                <w:color w:val="auto"/>
              </w:rPr>
            </w:pPr>
            <w:r>
              <w:rPr>
                <w:rFonts w:hint="eastAsia" w:cs="Times New Roman"/>
                <w:color w:val="auto"/>
                <w:sz w:val="24"/>
                <w:szCs w:val="24"/>
                <w:lang w:eastAsia="zh-CN"/>
              </w:rPr>
              <w:t>3.</w:t>
            </w:r>
            <w:r>
              <w:rPr>
                <w:rFonts w:hint="eastAsia" w:cs="Times New Roman"/>
                <w:color w:val="auto"/>
                <w:sz w:val="24"/>
                <w:szCs w:val="24"/>
              </w:rPr>
              <w:t>编制突发环境事件应急预案，并向生态环境部门备案，按照相关要求完善风险防范措施，定期安排人员培训与演练。</w:t>
            </w:r>
          </w:p>
        </w:tc>
      </w:tr>
      <w:tr w14:paraId="5E3C5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noWrap w:val="0"/>
            <w:vAlign w:val="center"/>
          </w:tcPr>
          <w:p w14:paraId="3217E4EB">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其他环境管理要求</w:t>
            </w:r>
          </w:p>
        </w:tc>
        <w:tc>
          <w:tcPr>
            <w:tcW w:w="4314" w:type="pct"/>
            <w:gridSpan w:val="4"/>
            <w:noWrap w:val="0"/>
            <w:vAlign w:val="center"/>
          </w:tcPr>
          <w:p w14:paraId="6DF61F61">
            <w:pPr>
              <w:keepNext w:val="0"/>
              <w:keepLines w:val="0"/>
              <w:suppressLineNumbers w:val="0"/>
              <w:spacing w:before="0" w:beforeAutospacing="0" w:after="0" w:afterAutospacing="0" w:line="360" w:lineRule="auto"/>
              <w:ind w:left="0" w:right="0"/>
              <w:jc w:val="left"/>
              <w:rPr>
                <w:rFonts w:hint="eastAsia" w:cs="Times New Roman"/>
                <w:color w:val="auto"/>
              </w:rPr>
            </w:pPr>
            <w:r>
              <w:rPr>
                <w:rFonts w:hint="eastAsia" w:cs="Times New Roman"/>
                <w:color w:val="auto"/>
              </w:rPr>
              <w:t>①排污口规范化</w:t>
            </w:r>
          </w:p>
          <w:p w14:paraId="6AED5505">
            <w:pPr>
              <w:keepNext w:val="0"/>
              <w:keepLines w:val="0"/>
              <w:suppressLineNumbers w:val="0"/>
              <w:bidi w:val="0"/>
              <w:spacing w:before="0" w:beforeAutospacing="0" w:after="0" w:afterAutospacing="0"/>
              <w:ind w:left="0" w:right="0"/>
              <w:rPr>
                <w:rFonts w:hint="eastAsia"/>
              </w:rPr>
            </w:pPr>
            <w:r>
              <w:rPr>
                <w:rFonts w:hint="eastAsia"/>
              </w:rPr>
              <w:t>建设单位应如实填写《中华人民共和国规范化排污口标志登记证》的有关内容，由环保主管部门签发登记证。建设单位应</w:t>
            </w:r>
            <w:r>
              <w:rPr>
                <w:rFonts w:hint="eastAsia"/>
                <w:lang w:eastAsia="zh-CN"/>
              </w:rPr>
              <w:t>将</w:t>
            </w:r>
            <w:r>
              <w:rPr>
                <w:rFonts w:hint="eastAsia"/>
              </w:rPr>
              <w:t>排污口情况如排污口的性质、编号、排污口的位置以及主要排放的污染物的种类、数量、浓度、排放规律、排放去向以及污染治理设施的运行情况建档管理，并报送环保主管部门备案。建设单位应在排放口处设立或挂上标志牌，标志牌注明污染物名称以警示周围群众，执行《环境图形标准排污口（源）》</w:t>
            </w:r>
            <w:r>
              <w:rPr>
                <w:rFonts w:hint="eastAsia"/>
                <w:lang w:eastAsia="zh-CN"/>
              </w:rPr>
              <w:t>（</w:t>
            </w:r>
            <w:r>
              <w:rPr>
                <w:rFonts w:hint="eastAsia"/>
              </w:rPr>
              <w:t>GB15563.1-1995</w:t>
            </w:r>
            <w:r>
              <w:rPr>
                <w:rFonts w:hint="eastAsia"/>
                <w:lang w:eastAsia="zh-CN"/>
              </w:rPr>
              <w:t>）</w:t>
            </w:r>
            <w:r>
              <w:rPr>
                <w:rFonts w:hint="eastAsia"/>
              </w:rPr>
              <w:t>，</w:t>
            </w:r>
            <w:r>
              <w:rPr>
                <w:rFonts w:hint="default"/>
              </w:rPr>
              <w:t>危险废物识别标志</w:t>
            </w:r>
            <w:r>
              <w:rPr>
                <w:rFonts w:hint="eastAsia"/>
                <w:lang w:val="en-US" w:eastAsia="zh-CN"/>
              </w:rPr>
              <w:t>执行</w:t>
            </w:r>
            <w:r>
              <w:rPr>
                <w:rFonts w:hint="default"/>
              </w:rPr>
              <w:t>《危险废物识别标志设置技术规范》（HJ1276-2022）</w:t>
            </w:r>
            <w:r>
              <w:rPr>
                <w:rFonts w:hint="eastAsia"/>
              </w:rPr>
              <w:t>见表5.1-1。</w:t>
            </w:r>
          </w:p>
          <w:p w14:paraId="18201A6F">
            <w:pPr>
              <w:pStyle w:val="36"/>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排污口图形符号</w:t>
            </w:r>
            <w:r>
              <w:rPr>
                <w:rFonts w:hint="eastAsia" w:cs="Times New Roman"/>
                <w:color w:val="auto"/>
              </w:rPr>
              <w:t>（</w:t>
            </w:r>
            <w:r>
              <w:rPr>
                <w:rFonts w:hint="default" w:cs="Times New Roman"/>
                <w:color w:val="auto"/>
              </w:rPr>
              <w:t>提示标志</w:t>
            </w:r>
            <w:r>
              <w:rPr>
                <w:rFonts w:hint="eastAsia" w:cs="Times New Roman"/>
                <w:color w:val="auto"/>
              </w:rPr>
              <w:t>）</w:t>
            </w:r>
            <w:r>
              <w:rPr>
                <w:rFonts w:hint="default" w:cs="Times New Roman"/>
                <w:color w:val="auto"/>
              </w:rPr>
              <w:t>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67"/>
              <w:gridCol w:w="1331"/>
              <w:gridCol w:w="1283"/>
              <w:gridCol w:w="1404"/>
              <w:gridCol w:w="1287"/>
            </w:tblGrid>
            <w:tr w14:paraId="155C5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5748AB0C">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项目</w:t>
                  </w:r>
                </w:p>
              </w:tc>
              <w:tc>
                <w:tcPr>
                  <w:tcW w:w="877" w:type="pct"/>
                  <w:noWrap w:val="0"/>
                  <w:vAlign w:val="center"/>
                </w:tcPr>
                <w:p w14:paraId="45083D30">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污水排放口</w:t>
                  </w:r>
                </w:p>
              </w:tc>
              <w:tc>
                <w:tcPr>
                  <w:tcW w:w="854" w:type="pct"/>
                  <w:noWrap w:val="0"/>
                  <w:vAlign w:val="center"/>
                </w:tcPr>
                <w:p w14:paraId="48D70F8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废气排放口</w:t>
                  </w:r>
                </w:p>
              </w:tc>
              <w:tc>
                <w:tcPr>
                  <w:tcW w:w="823" w:type="pct"/>
                  <w:noWrap w:val="0"/>
                  <w:vAlign w:val="center"/>
                </w:tcPr>
                <w:p w14:paraId="429C825A">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噪声排放源</w:t>
                  </w:r>
                </w:p>
              </w:tc>
              <w:tc>
                <w:tcPr>
                  <w:tcW w:w="901" w:type="pct"/>
                  <w:noWrap w:val="0"/>
                  <w:vAlign w:val="center"/>
                </w:tcPr>
                <w:p w14:paraId="4BD6E698">
                  <w:pPr>
                    <w:pStyle w:val="33"/>
                    <w:keepNext w:val="0"/>
                    <w:keepLines w:val="0"/>
                    <w:suppressLineNumbers w:val="0"/>
                    <w:spacing w:before="0" w:beforeAutospacing="0" w:after="0" w:afterAutospacing="0"/>
                    <w:ind w:left="0" w:right="0"/>
                    <w:rPr>
                      <w:rFonts w:hint="default" w:cs="Times New Roman"/>
                      <w:color w:val="auto"/>
                      <w:lang w:val="en-GB"/>
                    </w:rPr>
                  </w:pPr>
                  <w:r>
                    <w:rPr>
                      <w:rFonts w:hint="default" w:cs="Times New Roman"/>
                      <w:color w:val="auto"/>
                    </w:rPr>
                    <w:t>一般性固体废物</w:t>
                  </w:r>
                </w:p>
              </w:tc>
              <w:tc>
                <w:tcPr>
                  <w:tcW w:w="826" w:type="pct"/>
                  <w:noWrap w:val="0"/>
                  <w:vAlign w:val="center"/>
                </w:tcPr>
                <w:p w14:paraId="28416E19">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危险废物</w:t>
                  </w:r>
                </w:p>
              </w:tc>
            </w:tr>
            <w:tr w14:paraId="67183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6615A8B9">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图形符号</w:t>
                  </w:r>
                </w:p>
              </w:tc>
              <w:tc>
                <w:tcPr>
                  <w:tcW w:w="877" w:type="pct"/>
                  <w:noWrap w:val="0"/>
                  <w:vAlign w:val="center"/>
                </w:tcPr>
                <w:p w14:paraId="1B6A3245">
                  <w:pPr>
                    <w:pStyle w:val="33"/>
                    <w:keepNext w:val="0"/>
                    <w:keepLines w:val="0"/>
                    <w:suppressLineNumbers w:val="0"/>
                    <w:spacing w:before="0" w:beforeAutospacing="0" w:after="0" w:afterAutospacing="0"/>
                    <w:ind w:left="0" w:right="0"/>
                    <w:rPr>
                      <w:rFonts w:hint="default" w:cs="Times New Roman"/>
                      <w:color w:val="auto"/>
                      <w:lang w:val="en-GB"/>
                    </w:rPr>
                  </w:pPr>
                  <w:r>
                    <w:rPr>
                      <w:rFonts w:hint="default" w:cs="Times New Roman"/>
                      <w:color w:val="auto"/>
                    </w:rPr>
                    <w:drawing>
                      <wp:inline distT="0" distB="0" distL="114300" distR="114300">
                        <wp:extent cx="684530" cy="684530"/>
                        <wp:effectExtent l="0" t="0" r="1270" b="1270"/>
                        <wp:docPr id="183" name="图片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63" descr="1"/>
                                <pic:cNvPicPr>
                                  <a:picLocks noChangeAspect="1"/>
                                </pic:cNvPicPr>
                              </pic:nvPicPr>
                              <pic:blipFill>
                                <a:blip r:embed="rId19"/>
                                <a:stretch>
                                  <a:fillRect/>
                                </a:stretch>
                              </pic:blipFill>
                              <pic:spPr>
                                <a:xfrm>
                                  <a:off x="0" y="0"/>
                                  <a:ext cx="684530" cy="684530"/>
                                </a:xfrm>
                                <a:prstGeom prst="rect">
                                  <a:avLst/>
                                </a:prstGeom>
                                <a:noFill/>
                                <a:ln>
                                  <a:noFill/>
                                </a:ln>
                              </pic:spPr>
                            </pic:pic>
                          </a:graphicData>
                        </a:graphic>
                      </wp:inline>
                    </w:drawing>
                  </w:r>
                </w:p>
              </w:tc>
              <w:tc>
                <w:tcPr>
                  <w:tcW w:w="854" w:type="pct"/>
                  <w:noWrap w:val="0"/>
                  <w:vAlign w:val="center"/>
                </w:tcPr>
                <w:p w14:paraId="7378A007">
                  <w:pPr>
                    <w:pStyle w:val="33"/>
                    <w:keepNext w:val="0"/>
                    <w:keepLines w:val="0"/>
                    <w:suppressLineNumbers w:val="0"/>
                    <w:spacing w:before="0" w:beforeAutospacing="0" w:after="0" w:afterAutospacing="0"/>
                    <w:ind w:left="0" w:right="0"/>
                    <w:rPr>
                      <w:rFonts w:hint="default" w:cs="Times New Roman"/>
                      <w:color w:val="auto"/>
                      <w:lang w:val="en-GB"/>
                    </w:rPr>
                  </w:pPr>
                  <w:r>
                    <w:rPr>
                      <w:rFonts w:hint="default" w:cs="Times New Roman"/>
                      <w:color w:val="auto"/>
                    </w:rPr>
                    <w:drawing>
                      <wp:inline distT="0" distB="0" distL="114300" distR="114300">
                        <wp:extent cx="685800" cy="685800"/>
                        <wp:effectExtent l="0" t="0" r="0" b="0"/>
                        <wp:docPr id="184" name="图片 16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4" descr="点击看大图及详细资料"/>
                                <pic:cNvPicPr>
                                  <a:picLocks noChangeAspect="1"/>
                                </pic:cNvPicPr>
                              </pic:nvPicPr>
                              <pic:blipFill>
                                <a:blip r:embed="rId20"/>
                                <a:stretch>
                                  <a:fillRect/>
                                </a:stretch>
                              </pic:blipFill>
                              <pic:spPr>
                                <a:xfrm>
                                  <a:off x="0" y="0"/>
                                  <a:ext cx="685800" cy="685800"/>
                                </a:xfrm>
                                <a:prstGeom prst="rect">
                                  <a:avLst/>
                                </a:prstGeom>
                                <a:noFill/>
                                <a:ln>
                                  <a:noFill/>
                                </a:ln>
                              </pic:spPr>
                            </pic:pic>
                          </a:graphicData>
                        </a:graphic>
                      </wp:inline>
                    </w:drawing>
                  </w:r>
                </w:p>
              </w:tc>
              <w:tc>
                <w:tcPr>
                  <w:tcW w:w="823" w:type="pct"/>
                  <w:noWrap w:val="0"/>
                  <w:vAlign w:val="center"/>
                </w:tcPr>
                <w:p w14:paraId="1D538BDC">
                  <w:pPr>
                    <w:pStyle w:val="33"/>
                    <w:keepNext w:val="0"/>
                    <w:keepLines w:val="0"/>
                    <w:suppressLineNumbers w:val="0"/>
                    <w:spacing w:before="0" w:beforeAutospacing="0" w:after="0" w:afterAutospacing="0"/>
                    <w:ind w:left="0" w:right="0"/>
                    <w:rPr>
                      <w:rFonts w:hint="default" w:cs="Times New Roman"/>
                      <w:color w:val="auto"/>
                      <w:lang w:val="en-GB"/>
                    </w:rPr>
                  </w:pPr>
                  <w:r>
                    <w:rPr>
                      <w:rFonts w:hint="default" w:cs="Times New Roman"/>
                      <w:color w:val="auto"/>
                    </w:rPr>
                    <w:drawing>
                      <wp:inline distT="0" distB="0" distL="114300" distR="114300">
                        <wp:extent cx="685800" cy="685800"/>
                        <wp:effectExtent l="0" t="0" r="0" b="0"/>
                        <wp:docPr id="185" name="图片 16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5" descr="点击看大图及详细资料"/>
                                <pic:cNvPicPr>
                                  <a:picLocks noChangeAspect="1"/>
                                </pic:cNvPicPr>
                              </pic:nvPicPr>
                              <pic:blipFill>
                                <a:blip r:embed="rId21"/>
                                <a:stretch>
                                  <a:fillRect/>
                                </a:stretch>
                              </pic:blipFill>
                              <pic:spPr>
                                <a:xfrm>
                                  <a:off x="0" y="0"/>
                                  <a:ext cx="685800" cy="685800"/>
                                </a:xfrm>
                                <a:prstGeom prst="rect">
                                  <a:avLst/>
                                </a:prstGeom>
                                <a:noFill/>
                                <a:ln>
                                  <a:noFill/>
                                </a:ln>
                              </pic:spPr>
                            </pic:pic>
                          </a:graphicData>
                        </a:graphic>
                      </wp:inline>
                    </w:drawing>
                  </w:r>
                </w:p>
              </w:tc>
              <w:tc>
                <w:tcPr>
                  <w:tcW w:w="901" w:type="pct"/>
                  <w:noWrap w:val="0"/>
                  <w:vAlign w:val="center"/>
                </w:tcPr>
                <w:p w14:paraId="32F1F07C">
                  <w:pPr>
                    <w:pStyle w:val="33"/>
                    <w:keepNext w:val="0"/>
                    <w:keepLines w:val="0"/>
                    <w:suppressLineNumbers w:val="0"/>
                    <w:spacing w:before="0" w:beforeAutospacing="0" w:after="0" w:afterAutospacing="0"/>
                    <w:ind w:left="0" w:right="0"/>
                    <w:rPr>
                      <w:rFonts w:hint="default" w:cs="Times New Roman"/>
                      <w:color w:val="auto"/>
                      <w:lang w:val="en-GB"/>
                    </w:rPr>
                  </w:pPr>
                  <w:r>
                    <w:rPr>
                      <w:rFonts w:hint="default" w:cs="Times New Roman"/>
                      <w:color w:val="auto"/>
                    </w:rPr>
                    <w:drawing>
                      <wp:inline distT="0" distB="0" distL="114300" distR="114300">
                        <wp:extent cx="770890" cy="685800"/>
                        <wp:effectExtent l="0" t="0" r="10160" b="0"/>
                        <wp:docPr id="186" name="图片 166" descr="一般固废"/>
                        <wp:cNvGraphicFramePr/>
                        <a:graphic xmlns:a="http://schemas.openxmlformats.org/drawingml/2006/main">
                          <a:graphicData uri="http://schemas.openxmlformats.org/drawingml/2006/picture">
                            <pic:pic xmlns:pic="http://schemas.openxmlformats.org/drawingml/2006/picture">
                              <pic:nvPicPr>
                                <pic:cNvPr id="186" name="图片 166" descr="一般固废"/>
                                <pic:cNvPicPr preferRelativeResize="0"/>
                              </pic:nvPicPr>
                              <pic:blipFill>
                                <a:blip r:embed="rId22"/>
                                <a:stretch>
                                  <a:fillRect/>
                                </a:stretch>
                              </pic:blipFill>
                              <pic:spPr>
                                <a:xfrm>
                                  <a:off x="0" y="0"/>
                                  <a:ext cx="770890" cy="685800"/>
                                </a:xfrm>
                                <a:prstGeom prst="rect">
                                  <a:avLst/>
                                </a:prstGeom>
                                <a:noFill/>
                                <a:ln>
                                  <a:noFill/>
                                </a:ln>
                              </pic:spPr>
                            </pic:pic>
                          </a:graphicData>
                        </a:graphic>
                      </wp:inline>
                    </w:drawing>
                  </w:r>
                </w:p>
              </w:tc>
              <w:tc>
                <w:tcPr>
                  <w:tcW w:w="826" w:type="pct"/>
                  <w:noWrap w:val="0"/>
                  <w:vAlign w:val="center"/>
                </w:tcPr>
                <w:p w14:paraId="796F491E">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drawing>
                      <wp:inline distT="0" distB="0" distL="114300" distR="114300">
                        <wp:extent cx="791845" cy="666750"/>
                        <wp:effectExtent l="0" t="0" r="8255" b="0"/>
                        <wp:docPr id="18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67"/>
                                <pic:cNvPicPr>
                                  <a:picLocks noChangeAspect="1"/>
                                </pic:cNvPicPr>
                              </pic:nvPicPr>
                              <pic:blipFill>
                                <a:blip r:embed="rId23"/>
                                <a:stretch>
                                  <a:fillRect/>
                                </a:stretch>
                              </pic:blipFill>
                              <pic:spPr>
                                <a:xfrm>
                                  <a:off x="0" y="0"/>
                                  <a:ext cx="791845" cy="666750"/>
                                </a:xfrm>
                                <a:prstGeom prst="rect">
                                  <a:avLst/>
                                </a:prstGeom>
                                <a:noFill/>
                                <a:ln>
                                  <a:noFill/>
                                </a:ln>
                              </pic:spPr>
                            </pic:pic>
                          </a:graphicData>
                        </a:graphic>
                      </wp:inline>
                    </w:drawing>
                  </w:r>
                </w:p>
              </w:tc>
            </w:tr>
            <w:tr w14:paraId="1A45B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55931A5D">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形状</w:t>
                  </w:r>
                </w:p>
              </w:tc>
              <w:tc>
                <w:tcPr>
                  <w:tcW w:w="877" w:type="pct"/>
                  <w:noWrap w:val="0"/>
                  <w:vAlign w:val="center"/>
                </w:tcPr>
                <w:p w14:paraId="33E672D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正方形边框</w:t>
                  </w:r>
                </w:p>
              </w:tc>
              <w:tc>
                <w:tcPr>
                  <w:tcW w:w="854" w:type="pct"/>
                  <w:noWrap w:val="0"/>
                  <w:vAlign w:val="center"/>
                </w:tcPr>
                <w:p w14:paraId="7C051B96">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正方形边框</w:t>
                  </w:r>
                </w:p>
              </w:tc>
              <w:tc>
                <w:tcPr>
                  <w:tcW w:w="823" w:type="pct"/>
                  <w:noWrap w:val="0"/>
                  <w:vAlign w:val="center"/>
                </w:tcPr>
                <w:p w14:paraId="61EF882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正方形边框</w:t>
                  </w:r>
                </w:p>
              </w:tc>
              <w:tc>
                <w:tcPr>
                  <w:tcW w:w="901" w:type="pct"/>
                  <w:noWrap w:val="0"/>
                  <w:vAlign w:val="center"/>
                </w:tcPr>
                <w:p w14:paraId="6A2B5F7F">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三角形边框</w:t>
                  </w:r>
                </w:p>
              </w:tc>
              <w:tc>
                <w:tcPr>
                  <w:tcW w:w="826" w:type="pct"/>
                  <w:noWrap w:val="0"/>
                  <w:vAlign w:val="center"/>
                </w:tcPr>
                <w:p w14:paraId="1667AB5B">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三角形边框</w:t>
                  </w:r>
                </w:p>
              </w:tc>
            </w:tr>
            <w:tr w14:paraId="11EA7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085F89A8">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背景颜色</w:t>
                  </w:r>
                </w:p>
              </w:tc>
              <w:tc>
                <w:tcPr>
                  <w:tcW w:w="877" w:type="pct"/>
                  <w:noWrap w:val="0"/>
                  <w:vAlign w:val="center"/>
                </w:tcPr>
                <w:p w14:paraId="7535C3F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绿色</w:t>
                  </w:r>
                </w:p>
              </w:tc>
              <w:tc>
                <w:tcPr>
                  <w:tcW w:w="854" w:type="pct"/>
                  <w:noWrap w:val="0"/>
                  <w:vAlign w:val="center"/>
                </w:tcPr>
                <w:p w14:paraId="0EFBB4D2">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绿色</w:t>
                  </w:r>
                </w:p>
              </w:tc>
              <w:tc>
                <w:tcPr>
                  <w:tcW w:w="823" w:type="pct"/>
                  <w:noWrap w:val="0"/>
                  <w:vAlign w:val="center"/>
                </w:tcPr>
                <w:p w14:paraId="2E99608E">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绿色</w:t>
                  </w:r>
                </w:p>
              </w:tc>
              <w:tc>
                <w:tcPr>
                  <w:tcW w:w="901" w:type="pct"/>
                  <w:noWrap w:val="0"/>
                  <w:vAlign w:val="center"/>
                </w:tcPr>
                <w:p w14:paraId="3A0E917F">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黄色</w:t>
                  </w:r>
                </w:p>
              </w:tc>
              <w:tc>
                <w:tcPr>
                  <w:tcW w:w="826" w:type="pct"/>
                  <w:noWrap w:val="0"/>
                  <w:vAlign w:val="center"/>
                </w:tcPr>
                <w:p w14:paraId="2C915667">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黄色</w:t>
                  </w:r>
                </w:p>
              </w:tc>
            </w:tr>
            <w:tr w14:paraId="27801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 w:type="pct"/>
                  <w:noWrap w:val="0"/>
                  <w:vAlign w:val="center"/>
                </w:tcPr>
                <w:p w14:paraId="13537959">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图形颜色</w:t>
                  </w:r>
                </w:p>
              </w:tc>
              <w:tc>
                <w:tcPr>
                  <w:tcW w:w="877" w:type="pct"/>
                  <w:noWrap w:val="0"/>
                  <w:vAlign w:val="center"/>
                </w:tcPr>
                <w:p w14:paraId="563F2C63">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白色</w:t>
                  </w:r>
                </w:p>
              </w:tc>
              <w:tc>
                <w:tcPr>
                  <w:tcW w:w="854" w:type="pct"/>
                  <w:noWrap w:val="0"/>
                  <w:vAlign w:val="center"/>
                </w:tcPr>
                <w:p w14:paraId="43AA6532">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白色</w:t>
                  </w:r>
                </w:p>
              </w:tc>
              <w:tc>
                <w:tcPr>
                  <w:tcW w:w="823" w:type="pct"/>
                  <w:noWrap w:val="0"/>
                  <w:vAlign w:val="center"/>
                </w:tcPr>
                <w:p w14:paraId="782688DB">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白色</w:t>
                  </w:r>
                </w:p>
              </w:tc>
              <w:tc>
                <w:tcPr>
                  <w:tcW w:w="901" w:type="pct"/>
                  <w:noWrap w:val="0"/>
                  <w:vAlign w:val="center"/>
                </w:tcPr>
                <w:p w14:paraId="13B8F4F9">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黑色</w:t>
                  </w:r>
                </w:p>
              </w:tc>
              <w:tc>
                <w:tcPr>
                  <w:tcW w:w="826" w:type="pct"/>
                  <w:noWrap w:val="0"/>
                  <w:vAlign w:val="center"/>
                </w:tcPr>
                <w:p w14:paraId="4C59C9B4">
                  <w:pPr>
                    <w:pStyle w:val="33"/>
                    <w:keepNext w:val="0"/>
                    <w:keepLines w:val="0"/>
                    <w:suppressLineNumbers w:val="0"/>
                    <w:spacing w:before="0" w:beforeAutospacing="0" w:after="0" w:afterAutospacing="0"/>
                    <w:ind w:left="0" w:right="0"/>
                    <w:rPr>
                      <w:rFonts w:hint="default" w:cs="Times New Roman"/>
                      <w:color w:val="auto"/>
                    </w:rPr>
                  </w:pPr>
                  <w:r>
                    <w:rPr>
                      <w:rFonts w:hint="default" w:cs="Times New Roman"/>
                      <w:color w:val="auto"/>
                    </w:rPr>
                    <w:t>黑色</w:t>
                  </w:r>
                </w:p>
              </w:tc>
            </w:tr>
          </w:tbl>
          <w:p w14:paraId="1559B94C">
            <w:pPr>
              <w:keepNext w:val="0"/>
              <w:keepLines w:val="0"/>
              <w:suppressLineNumbers w:val="0"/>
              <w:spacing w:before="0" w:beforeAutospacing="0" w:after="0" w:afterAutospacing="0" w:line="360" w:lineRule="auto"/>
              <w:ind w:left="0" w:right="0"/>
              <w:jc w:val="left"/>
              <w:rPr>
                <w:rFonts w:hint="default" w:cs="Times New Roman"/>
                <w:color w:val="auto"/>
              </w:rPr>
            </w:pPr>
            <w:r>
              <w:rPr>
                <w:rFonts w:hint="eastAsia" w:cs="Times New Roman"/>
                <w:color w:val="auto"/>
              </w:rPr>
              <w:t>②</w:t>
            </w:r>
            <w:r>
              <w:rPr>
                <w:rFonts w:hint="default" w:cs="Times New Roman"/>
                <w:color w:val="auto"/>
              </w:rPr>
              <w:t>竣工环境保护验收</w:t>
            </w:r>
          </w:p>
          <w:p w14:paraId="0C29FDDA">
            <w:pPr>
              <w:keepNext w:val="0"/>
              <w:keepLines w:val="0"/>
              <w:suppressLineNumbers w:val="0"/>
              <w:spacing w:before="0" w:beforeAutospacing="0" w:after="0" w:afterAutospacing="0" w:line="360" w:lineRule="auto"/>
              <w:ind w:left="0" w:right="0"/>
              <w:jc w:val="left"/>
              <w:rPr>
                <w:rFonts w:hint="eastAsia" w:cs="Times New Roman"/>
                <w:color w:val="auto"/>
              </w:rPr>
            </w:pPr>
            <w:r>
              <w:rPr>
                <w:rFonts w:hint="eastAsia" w:cs="Times New Roman"/>
                <w:color w:val="auto"/>
              </w:rPr>
              <w:t>根据《国务院关于修改〈建设项目环境保护管理条例〉的决定》（中华人民共和国国务院令第682号</w:t>
            </w:r>
            <w:r>
              <w:rPr>
                <w:rFonts w:hint="eastAsia" w:cs="Times New Roman"/>
                <w:color w:val="auto"/>
                <w:lang w:eastAsia="zh-CN"/>
              </w:rPr>
              <w:t>）</w:t>
            </w:r>
            <w:r>
              <w:rPr>
                <w:rFonts w:hint="eastAsia" w:cs="Times New Roman"/>
                <w:color w:val="auto"/>
              </w:rPr>
              <w:t>，“编制环境影响报告书、环境影响报告表的建设项目竣工后，建设单位应当按照国务院环境保护行政主管部门规定的标准和程序，对配套建设的环境保护设施进行验收，编制验收报告。”</w:t>
            </w:r>
          </w:p>
          <w:p w14:paraId="43556601">
            <w:pPr>
              <w:keepNext w:val="0"/>
              <w:keepLines w:val="0"/>
              <w:suppressLineNumbers w:val="0"/>
              <w:spacing w:before="0" w:beforeAutospacing="0" w:after="0" w:afterAutospacing="0" w:line="360" w:lineRule="auto"/>
              <w:ind w:left="0" w:right="0"/>
              <w:jc w:val="left"/>
              <w:rPr>
                <w:rFonts w:hint="eastAsia" w:cs="Times New Roman"/>
                <w:color w:val="auto"/>
              </w:rPr>
            </w:pPr>
            <w:r>
              <w:rPr>
                <w:rFonts w:hint="eastAsia" w:cs="Times New Roman"/>
                <w:color w:val="auto"/>
              </w:rPr>
              <w:t>根据《关于发布〈建设项目竣工环境保护验收暂行办法〉的公告》（国环规环评〔2017〕4号），“编制环境影响报告书、环境影响报告表的建设项目，其配套建设的环境保护设施经验收合格，方可投入生产或者使用；未经验收或者验收不合格的，不得投入生产或者使用。”</w:t>
            </w:r>
          </w:p>
          <w:p w14:paraId="6134D387">
            <w:pPr>
              <w:keepNext w:val="0"/>
              <w:keepLines w:val="0"/>
              <w:suppressLineNumbers w:val="0"/>
              <w:spacing w:before="0" w:beforeAutospacing="0" w:after="0" w:afterAutospacing="0" w:line="360" w:lineRule="auto"/>
              <w:ind w:left="0" w:right="0"/>
              <w:jc w:val="left"/>
              <w:rPr>
                <w:rFonts w:hint="default" w:cs="Times New Roman"/>
                <w:color w:val="auto"/>
              </w:rPr>
            </w:pPr>
            <w:r>
              <w:rPr>
                <w:rFonts w:hint="eastAsia" w:cs="Times New Roman"/>
                <w:color w:val="auto"/>
              </w:rPr>
              <w:t>因此，项目建成后三个月内，建设单位应根据相关法律法规及技术指南进行环保设施竣工自主验收</w:t>
            </w:r>
            <w:r>
              <w:rPr>
                <w:rFonts w:hint="default" w:cs="Times New Roman"/>
                <w:color w:val="auto"/>
              </w:rPr>
              <w:t>。</w:t>
            </w:r>
          </w:p>
          <w:p w14:paraId="68A75D80">
            <w:pPr>
              <w:keepNext w:val="0"/>
              <w:keepLines w:val="0"/>
              <w:suppressLineNumbers w:val="0"/>
              <w:spacing w:before="0" w:beforeAutospacing="0" w:after="0" w:afterAutospacing="0" w:line="360" w:lineRule="auto"/>
              <w:ind w:left="0" w:right="0"/>
              <w:jc w:val="left"/>
              <w:rPr>
                <w:rFonts w:hint="default" w:cs="Times New Roman"/>
                <w:color w:val="auto"/>
              </w:rPr>
            </w:pPr>
            <w:r>
              <w:rPr>
                <w:rFonts w:hint="eastAsia" w:cs="Times New Roman"/>
                <w:color w:val="auto"/>
              </w:rPr>
              <w:t>③</w:t>
            </w:r>
            <w:r>
              <w:rPr>
                <w:rFonts w:hint="default" w:cs="Times New Roman"/>
                <w:color w:val="auto"/>
              </w:rPr>
              <w:t>排污许可管理要求</w:t>
            </w:r>
          </w:p>
          <w:p w14:paraId="32957436">
            <w:pPr>
              <w:keepNext w:val="0"/>
              <w:keepLines w:val="0"/>
              <w:suppressLineNumbers w:val="0"/>
              <w:spacing w:before="0" w:beforeAutospacing="0" w:after="0" w:afterAutospacing="0" w:line="360" w:lineRule="auto"/>
              <w:ind w:left="0" w:right="0"/>
              <w:jc w:val="left"/>
              <w:rPr>
                <w:rFonts w:hint="eastAsia" w:cs="Times New Roman"/>
                <w:color w:val="auto"/>
              </w:rPr>
            </w:pPr>
            <w:r>
              <w:rPr>
                <w:rFonts w:hint="eastAsia" w:cs="Times New Roman"/>
                <w:color w:val="auto"/>
              </w:rPr>
              <w:t>根据已于2021年3月1日起实施的《排污许可管理条例》，企业应在试生产前申请并取得“排污许可证”。根据《固定污染源排污许可分类管理名录（2019年版）》，本项目实行“</w:t>
            </w:r>
            <w:r>
              <w:rPr>
                <w:rFonts w:hint="eastAsia" w:cs="Times New Roman"/>
                <w:color w:val="auto"/>
                <w:lang w:val="en-US" w:eastAsia="zh-CN"/>
              </w:rPr>
              <w:t>登记</w:t>
            </w:r>
            <w:r>
              <w:rPr>
                <w:rFonts w:hint="eastAsia" w:cs="Times New Roman"/>
                <w:color w:val="auto"/>
              </w:rPr>
              <w:t>”。</w:t>
            </w:r>
          </w:p>
          <w:p w14:paraId="06EE1433">
            <w:pPr>
              <w:pStyle w:val="36"/>
              <w:keepNext w:val="0"/>
              <w:keepLines w:val="0"/>
              <w:suppressLineNumbers w:val="0"/>
              <w:spacing w:before="0" w:beforeAutospacing="0" w:after="0" w:afterAutospacing="0"/>
              <w:ind w:left="0" w:right="0"/>
              <w:rPr>
                <w:rFonts w:hint="eastAsia" w:cs="Times New Roman"/>
                <w:color w:val="auto"/>
              </w:rPr>
            </w:pPr>
            <w:r>
              <w:rPr>
                <w:rFonts w:hint="default" w:cs="Times New Roman"/>
                <w:color w:val="auto"/>
              </w:rPr>
              <w:t>固定污染源排污许可分类管理名录</w:t>
            </w:r>
          </w:p>
          <w:tbl>
            <w:tblPr>
              <w:tblStyle w:val="2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88"/>
              <w:gridCol w:w="1232"/>
              <w:gridCol w:w="3459"/>
              <w:gridCol w:w="1114"/>
            </w:tblGrid>
            <w:tr w14:paraId="7217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op w:val="single" w:color="auto" w:sz="12" w:space="0"/>
                    <w:left w:val="nil"/>
                    <w:bottom w:val="single" w:color="auto" w:sz="4" w:space="0"/>
                  </w:tcBorders>
                  <w:shd w:val="clear" w:color="auto" w:fill="auto"/>
                  <w:noWrap w:val="0"/>
                  <w:vAlign w:val="center"/>
                </w:tcPr>
                <w:p w14:paraId="27D665FC">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序号</w:t>
                  </w:r>
                </w:p>
              </w:tc>
              <w:tc>
                <w:tcPr>
                  <w:tcW w:w="829" w:type="pct"/>
                  <w:tcBorders>
                    <w:top w:val="single" w:color="auto" w:sz="12" w:space="0"/>
                    <w:left w:val="single" w:color="auto" w:sz="4" w:space="0"/>
                    <w:bottom w:val="single" w:color="auto" w:sz="4" w:space="0"/>
                  </w:tcBorders>
                  <w:shd w:val="clear" w:color="auto" w:fill="auto"/>
                  <w:noWrap w:val="0"/>
                  <w:vAlign w:val="center"/>
                </w:tcPr>
                <w:p w14:paraId="289DBB4A">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行业类别</w:t>
                  </w:r>
                </w:p>
              </w:tc>
              <w:tc>
                <w:tcPr>
                  <w:tcW w:w="793" w:type="pct"/>
                  <w:tcBorders>
                    <w:top w:val="single" w:color="auto" w:sz="12" w:space="0"/>
                    <w:bottom w:val="single" w:color="auto" w:sz="4" w:space="0"/>
                  </w:tcBorders>
                  <w:shd w:val="clear" w:color="auto" w:fill="auto"/>
                  <w:noWrap w:val="0"/>
                  <w:vAlign w:val="center"/>
                </w:tcPr>
                <w:p w14:paraId="69CB4A76">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重点管理</w:t>
                  </w:r>
                </w:p>
              </w:tc>
              <w:tc>
                <w:tcPr>
                  <w:tcW w:w="2226" w:type="pct"/>
                  <w:tcBorders>
                    <w:top w:val="single" w:color="auto" w:sz="12" w:space="0"/>
                    <w:bottom w:val="single" w:color="auto" w:sz="4" w:space="0"/>
                  </w:tcBorders>
                  <w:shd w:val="clear" w:color="auto" w:fill="auto"/>
                  <w:noWrap w:val="0"/>
                  <w:vAlign w:val="center"/>
                </w:tcPr>
                <w:p w14:paraId="604DEEC9">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简化管理</w:t>
                  </w:r>
                </w:p>
              </w:tc>
              <w:tc>
                <w:tcPr>
                  <w:tcW w:w="714" w:type="pct"/>
                  <w:tcBorders>
                    <w:top w:val="single" w:color="auto" w:sz="12" w:space="0"/>
                    <w:bottom w:val="single" w:color="auto" w:sz="4" w:space="0"/>
                    <w:right w:val="nil"/>
                  </w:tcBorders>
                  <w:shd w:val="clear" w:color="auto" w:fill="D7D7D7" w:themeFill="background1" w:themeFillShade="D8"/>
                  <w:noWrap w:val="0"/>
                  <w:vAlign w:val="center"/>
                </w:tcPr>
                <w:p w14:paraId="38DC77FE">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登记管理</w:t>
                  </w:r>
                </w:p>
              </w:tc>
            </w:tr>
            <w:tr w14:paraId="16AD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4" w:space="0"/>
                    <w:right w:val="nil"/>
                  </w:tcBorders>
                  <w:shd w:val="clear" w:color="auto" w:fill="D7D7D7" w:themeFill="background1" w:themeFillShade="D8"/>
                  <w:noWrap w:val="0"/>
                  <w:vAlign w:val="center"/>
                </w:tcPr>
                <w:p w14:paraId="068E5B2E">
                  <w:pPr>
                    <w:pStyle w:val="33"/>
                    <w:keepNext w:val="0"/>
                    <w:keepLines w:val="0"/>
                    <w:suppressLineNumbers w:val="0"/>
                    <w:bidi w:val="0"/>
                    <w:spacing w:before="0" w:beforeAutospacing="0" w:after="0" w:afterAutospacing="0"/>
                    <w:ind w:left="0" w:right="0"/>
                    <w:jc w:val="both"/>
                    <w:rPr>
                      <w:rFonts w:hint="default"/>
                      <w:lang w:val="en-US" w:eastAsia="zh-CN"/>
                    </w:rPr>
                  </w:pPr>
                  <w:r>
                    <w:rPr>
                      <w:rFonts w:hint="eastAsia"/>
                      <w:lang w:eastAsia="zh-CN"/>
                    </w:rPr>
                    <w:t>三十一、汽车制造业</w:t>
                  </w:r>
                  <w:r>
                    <w:rPr>
                      <w:rFonts w:hint="eastAsia"/>
                      <w:lang w:val="en-US" w:eastAsia="zh-CN"/>
                    </w:rPr>
                    <w:t xml:space="preserve"> 36</w:t>
                  </w:r>
                </w:p>
              </w:tc>
            </w:tr>
            <w:tr w14:paraId="758A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op w:val="single" w:color="auto" w:sz="4" w:space="0"/>
                    <w:left w:val="nil"/>
                    <w:bottom w:val="single" w:color="auto" w:sz="4" w:space="0"/>
                  </w:tcBorders>
                  <w:shd w:val="clear" w:color="auto" w:fill="auto"/>
                  <w:noWrap w:val="0"/>
                  <w:vAlign w:val="center"/>
                </w:tcPr>
                <w:p w14:paraId="7AECC21B">
                  <w:pPr>
                    <w:pStyle w:val="3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85</w:t>
                  </w:r>
                </w:p>
              </w:tc>
              <w:tc>
                <w:tcPr>
                  <w:tcW w:w="829" w:type="pct"/>
                  <w:tcBorders>
                    <w:top w:val="single" w:color="auto" w:sz="4" w:space="0"/>
                    <w:left w:val="single" w:color="auto" w:sz="4" w:space="0"/>
                    <w:bottom w:val="single" w:color="auto" w:sz="4" w:space="0"/>
                  </w:tcBorders>
                  <w:shd w:val="clear" w:color="auto" w:fill="auto"/>
                  <w:noWrap w:val="0"/>
                  <w:vAlign w:val="center"/>
                </w:tcPr>
                <w:p w14:paraId="2D374B2C">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汽车零部件及配件制造367</w:t>
                  </w:r>
                </w:p>
              </w:tc>
              <w:tc>
                <w:tcPr>
                  <w:tcW w:w="793" w:type="pct"/>
                  <w:tcBorders>
                    <w:top w:val="single" w:color="auto" w:sz="4" w:space="0"/>
                    <w:bottom w:val="single" w:color="auto" w:sz="4" w:space="0"/>
                  </w:tcBorders>
                  <w:shd w:val="clear" w:color="auto" w:fill="auto"/>
                  <w:noWrap w:val="0"/>
                  <w:vAlign w:val="center"/>
                </w:tcPr>
                <w:p w14:paraId="3000C386">
                  <w:pPr>
                    <w:pStyle w:val="33"/>
                    <w:keepNext w:val="0"/>
                    <w:keepLines w:val="0"/>
                    <w:suppressLineNumbers w:val="0"/>
                    <w:bidi w:val="0"/>
                    <w:spacing w:before="0" w:beforeAutospacing="0" w:after="0" w:afterAutospacing="0"/>
                    <w:ind w:left="0" w:right="0"/>
                    <w:rPr>
                      <w:rFonts w:hint="default"/>
                      <w:lang w:val="en-US" w:eastAsia="zh-CN"/>
                    </w:rPr>
                  </w:pPr>
                  <w:r>
                    <w:rPr>
                      <w:rFonts w:hint="eastAsia"/>
                    </w:rPr>
                    <w:t>纳入重点排污单位名录的</w:t>
                  </w:r>
                </w:p>
              </w:tc>
              <w:tc>
                <w:tcPr>
                  <w:tcW w:w="2226" w:type="pct"/>
                  <w:tcBorders>
                    <w:top w:val="single" w:color="auto" w:sz="4" w:space="0"/>
                    <w:bottom w:val="single" w:color="auto" w:sz="4" w:space="0"/>
                  </w:tcBorders>
                  <w:shd w:val="clear" w:color="auto" w:fill="auto"/>
                  <w:noWrap w:val="0"/>
                  <w:vAlign w:val="center"/>
                </w:tcPr>
                <w:p w14:paraId="44E0B131">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714" w:type="pct"/>
                  <w:tcBorders>
                    <w:top w:val="single" w:color="auto" w:sz="4" w:space="0"/>
                    <w:bottom w:val="single" w:color="auto" w:sz="4" w:space="0"/>
                    <w:right w:val="nil"/>
                  </w:tcBorders>
                  <w:shd w:val="clear" w:color="auto" w:fill="D7D7D7" w:themeFill="background1" w:themeFillShade="D8"/>
                  <w:noWrap w:val="0"/>
                  <w:vAlign w:val="center"/>
                </w:tcPr>
                <w:p w14:paraId="25842A9F">
                  <w:pPr>
                    <w:pStyle w:val="3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其他*</w:t>
                  </w:r>
                </w:p>
              </w:tc>
            </w:tr>
          </w:tbl>
          <w:p w14:paraId="568DBCB9">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④</w:t>
            </w:r>
            <w:r>
              <w:rPr>
                <w:rFonts w:hint="eastAsia" w:cs="Times New Roman"/>
                <w:color w:val="auto"/>
              </w:rPr>
              <w:t>环境管理要求</w:t>
            </w:r>
          </w:p>
          <w:p w14:paraId="4D570B41">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项目运营期环境管理主要内容包括：</w:t>
            </w:r>
          </w:p>
          <w:p w14:paraId="13A99646">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（1）贯彻执行试运行期建立的环保工作机构和工作制度以及监视性监测制度，并不断总结经验提高管理水平。</w:t>
            </w:r>
          </w:p>
          <w:p w14:paraId="45455AFE">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（2）提高员工对环境保护工作的认识，加强环保意识教育。</w:t>
            </w:r>
          </w:p>
          <w:p w14:paraId="7BE5CC7A">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（3）对技术工作进行上岗前的环保知识法规教育及操作规程的培训，使各项环保设施的操作规范化，保证环保设施的正常运转。</w:t>
            </w:r>
          </w:p>
          <w:p w14:paraId="2D47716D">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（4）建设单位应该负责环保设施运行的检查、保养及维护工作；负责绿地花草树木的</w:t>
            </w:r>
            <w:r>
              <w:rPr>
                <w:rFonts w:hint="eastAsia" w:cs="Times New Roman"/>
                <w:color w:val="auto"/>
                <w:lang w:eastAsia="zh-CN"/>
              </w:rPr>
              <w:t>养护</w:t>
            </w:r>
            <w:r>
              <w:rPr>
                <w:rFonts w:hint="eastAsia" w:cs="Times New Roman"/>
                <w:color w:val="auto"/>
              </w:rPr>
              <w:t>。</w:t>
            </w:r>
          </w:p>
          <w:p w14:paraId="6D61C8EE">
            <w:pPr>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5）建立本公司的环境保护档案。档案包括：污染物排放情况、污染物治理设施的运行、操作和管理情况、事故情况及有关记录、与污染有关的生产工艺、原材料使用方面的资料、其他与污染防治有关的情况和资料。</w:t>
            </w:r>
          </w:p>
          <w:p w14:paraId="297BF48E">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⑤</w:t>
            </w:r>
            <w:r>
              <w:rPr>
                <w:rFonts w:hint="eastAsia" w:cs="Times New Roman"/>
                <w:color w:val="auto"/>
              </w:rPr>
              <w:t>环境监测计划</w:t>
            </w:r>
          </w:p>
          <w:p w14:paraId="5E14AA4F">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为了监控环保设施运行情况以及项目污染源对环境的影响状况，排污单位可自行或委托第三方监测机构开展监测工作，并安排专人专职对监测数据进行记录、整理、统计和分析。排污单位对监测结果的真实性、准确性、完整性负责。</w:t>
            </w:r>
          </w:p>
        </w:tc>
      </w:tr>
    </w:tbl>
    <w:p w14:paraId="41D5FC9C">
      <w:pPr>
        <w:pStyle w:val="2"/>
        <w:bidi w:val="0"/>
        <w:rPr>
          <w:rFonts w:ascii="黑体" w:hAnsi="黑体" w:eastAsia="黑体"/>
          <w:snapToGrid w:val="0"/>
          <w:color w:val="auto"/>
          <w:szCs w:val="30"/>
        </w:rPr>
      </w:pPr>
      <w:r>
        <w:rPr>
          <w:snapToGrid w:val="0"/>
          <w:color w:val="auto"/>
        </w:rPr>
        <w:br w:type="page"/>
      </w:r>
      <w:bookmarkStart w:id="10" w:name="_Toc21168"/>
      <w:r>
        <w:rPr>
          <w:rFonts w:hint="eastAsia" w:eastAsia="宋体" w:cs="Times New Roman"/>
          <w:b/>
          <w:color w:val="auto"/>
          <w:lang w:eastAsia="zh-CN"/>
        </w:rPr>
        <w:drawing>
          <wp:anchor distT="0" distB="0" distL="114300" distR="114300" simplePos="0" relativeHeight="251662336" behindDoc="0" locked="0" layoutInCell="1" allowOverlap="1">
            <wp:simplePos x="0" y="0"/>
            <wp:positionH relativeFrom="column">
              <wp:posOffset>-654685</wp:posOffset>
            </wp:positionH>
            <wp:positionV relativeFrom="paragraph">
              <wp:posOffset>-551815</wp:posOffset>
            </wp:positionV>
            <wp:extent cx="7134225" cy="10083165"/>
            <wp:effectExtent l="0" t="0" r="13335" b="5715"/>
            <wp:wrapNone/>
            <wp:docPr id="20" name="图片 20" descr="Scan_18-12-2025_1039_000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an_18-12-2025_1039_0003_11"/>
                    <pic:cNvPicPr>
                      <a:picLocks noChangeAspect="1"/>
                    </pic:cNvPicPr>
                  </pic:nvPicPr>
                  <pic:blipFill>
                    <a:blip r:embed="rId24"/>
                    <a:stretch>
                      <a:fillRect/>
                    </a:stretch>
                  </pic:blipFill>
                  <pic:spPr>
                    <a:xfrm>
                      <a:off x="0" y="0"/>
                      <a:ext cx="7134225" cy="10083165"/>
                    </a:xfrm>
                    <a:prstGeom prst="rect">
                      <a:avLst/>
                    </a:prstGeom>
                  </pic:spPr>
                </pic:pic>
              </a:graphicData>
            </a:graphic>
          </wp:anchor>
        </w:drawing>
      </w:r>
      <w:r>
        <w:rPr>
          <w:rFonts w:hint="eastAsia"/>
          <w:color w:val="auto"/>
        </w:rPr>
        <w:t>结论</w:t>
      </w:r>
      <w:bookmarkEnd w:id="10"/>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B1B0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5000" w:type="pct"/>
            <w:noWrap w:val="0"/>
            <w:vAlign w:val="top"/>
          </w:tcPr>
          <w:p w14:paraId="07CE2141">
            <w:pPr>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olor w:val="000000" w:themeColor="text1"/>
                <w:szCs w:val="21"/>
                <w:lang w:eastAsia="zh-CN"/>
                <w14:textFill>
                  <w14:solidFill>
                    <w14:schemeClr w14:val="tx1"/>
                  </w14:solidFill>
                </w14:textFill>
              </w:rPr>
              <w:t>郑州精益达汽车零部件有限公司座椅加工项目</w:t>
            </w:r>
            <w:r>
              <w:rPr>
                <w:rFonts w:hint="default" w:ascii="Times New Roman" w:hAnsi="Times New Roman" w:cs="Times New Roman"/>
                <w:color w:val="000000" w:themeColor="text1"/>
                <w14:textFill>
                  <w14:solidFill>
                    <w14:schemeClr w14:val="tx1"/>
                  </w14:solidFill>
                </w14:textFill>
              </w:rPr>
              <w:t>位于</w:t>
            </w:r>
            <w:r>
              <w:rPr>
                <w:rFonts w:hint="eastAsia" w:cs="Times New Roman"/>
                <w:color w:val="auto"/>
                <w:sz w:val="24"/>
                <w:highlight w:val="none"/>
                <w:u w:val="none"/>
                <w:lang w:eastAsia="zh-CN"/>
              </w:rPr>
              <w:t>福建省福州市闽侯县青口镇东台村（租赁福州胜金电器企业有限公司</w:t>
            </w:r>
            <w:r>
              <w:rPr>
                <w:rFonts w:hint="eastAsia" w:cs="Times New Roman"/>
                <w:color w:val="auto"/>
                <w:sz w:val="24"/>
                <w:highlight w:val="none"/>
                <w:u w:val="none"/>
                <w:lang w:val="en-US" w:eastAsia="zh-CN"/>
              </w:rPr>
              <w:t>1#楼</w:t>
            </w:r>
            <w:r>
              <w:rPr>
                <w:rFonts w:hint="eastAsia" w:cs="Times New Roman"/>
                <w:color w:val="auto"/>
                <w:sz w:val="24"/>
                <w:highlight w:val="none"/>
                <w:u w:val="none"/>
                <w:lang w:eastAsia="zh-CN"/>
              </w:rPr>
              <w:t>）</w:t>
            </w:r>
            <w:r>
              <w:rPr>
                <w:rFonts w:hint="default" w:ascii="Times New Roman" w:hAnsi="Times New Roman" w:cs="Times New Roman"/>
                <w:color w:val="000000" w:themeColor="text1"/>
                <w14:textFill>
                  <w14:solidFill>
                    <w14:schemeClr w14:val="tx1"/>
                  </w14:solidFill>
                </w14:textFill>
              </w:rPr>
              <w:t>，项目主要从事</w:t>
            </w:r>
            <w:r>
              <w:rPr>
                <w:rFonts w:hint="eastAsia"/>
                <w:color w:val="000000" w:themeColor="text1"/>
                <w:szCs w:val="21"/>
                <w:lang w:eastAsia="zh-CN"/>
                <w14:textFill>
                  <w14:solidFill>
                    <w14:schemeClr w14:val="tx1"/>
                  </w14:solidFill>
                </w14:textFill>
              </w:rPr>
              <w:t>汽车零配件生产加工</w:t>
            </w:r>
            <w:r>
              <w:rPr>
                <w:rFonts w:hint="default" w:ascii="Times New Roman" w:hAnsi="Times New Roman" w:cs="Times New Roman"/>
                <w:color w:val="000000" w:themeColor="text1"/>
                <w14:textFill>
                  <w14:solidFill>
                    <w14:schemeClr w14:val="tx1"/>
                  </w14:solidFill>
                </w14:textFill>
              </w:rPr>
              <w:t>，</w:t>
            </w:r>
            <w:r>
              <w:rPr>
                <w:rFonts w:hint="default" w:cs="Times New Roman"/>
                <w:color w:val="auto"/>
              </w:rPr>
              <w:t>项目建设符合国家相关产业政策，项目建成后具有较明显的社会、经济、环境综合效益；</w:t>
            </w:r>
            <w:r>
              <w:rPr>
                <w:rFonts w:hint="eastAsia" w:cs="Times New Roman"/>
                <w:color w:val="auto"/>
                <w:lang w:val="en-US" w:eastAsia="zh-CN"/>
              </w:rPr>
              <w:t>符合</w:t>
            </w:r>
            <w:r>
              <w:rPr>
                <w:rFonts w:hint="eastAsia" w:cs="Times New Roman"/>
                <w:color w:val="auto"/>
              </w:rPr>
              <w:t>国土空间总体规划</w:t>
            </w:r>
            <w:r>
              <w:rPr>
                <w:rFonts w:hint="eastAsia" w:cs="Times New Roman"/>
                <w:color w:val="auto"/>
                <w:lang w:eastAsia="zh-CN"/>
              </w:rPr>
              <w:t>，</w:t>
            </w:r>
            <w:r>
              <w:rPr>
                <w:rFonts w:hint="eastAsia" w:cs="Times New Roman"/>
                <w:color w:val="auto"/>
                <w:lang w:val="en-US" w:eastAsia="zh-CN"/>
              </w:rPr>
              <w:t>符合</w:t>
            </w:r>
            <w:r>
              <w:rPr>
                <w:rFonts w:hint="eastAsia" w:cs="Times New Roman"/>
                <w:color w:val="auto"/>
              </w:rPr>
              <w:t>生态环境分区管控</w:t>
            </w:r>
            <w:r>
              <w:rPr>
                <w:rFonts w:hint="eastAsia" w:cs="Times New Roman"/>
                <w:color w:val="auto"/>
                <w:lang w:eastAsia="zh-CN"/>
              </w:rPr>
              <w:t>，</w:t>
            </w:r>
            <w:r>
              <w:rPr>
                <w:rFonts w:hint="default" w:cs="Times New Roman"/>
                <w:color w:val="auto"/>
              </w:rPr>
              <w:t>其所在地环境质量较良好。项目建成投入使用、落实各项环保措施后，在正常生产情况下排放的各类污染物数量不大，对周边环境影响较小。建设项目在认真落实本报告表提出的各项措施，在确保项目“三同时”管理基础上，本评价</w:t>
            </w:r>
            <w:r>
              <w:rPr>
                <w:rFonts w:hint="eastAsia" w:cs="Times New Roman"/>
                <w:color w:val="auto"/>
                <w:lang w:val="en-US" w:eastAsia="zh-CN"/>
              </w:rPr>
              <w:t>根据环境影响分析</w:t>
            </w:r>
            <w:r>
              <w:rPr>
                <w:rFonts w:hint="default" w:cs="Times New Roman"/>
                <w:color w:val="auto"/>
              </w:rPr>
              <w:t>认为该项目在此建设是可行的</w:t>
            </w:r>
            <w:r>
              <w:rPr>
                <w:rFonts w:hint="eastAsia" w:cs="Times New Roman"/>
                <w:color w:val="auto"/>
                <w:lang w:eastAsia="zh-CN"/>
              </w:rPr>
              <w:t>。</w:t>
            </w:r>
          </w:p>
          <w:p w14:paraId="26D0BCA6">
            <w:pPr>
              <w:keepNext w:val="0"/>
              <w:keepLines w:val="0"/>
              <w:suppressLineNumbers w:val="0"/>
              <w:bidi w:val="0"/>
              <w:spacing w:before="0" w:beforeAutospacing="0" w:after="0" w:afterAutospacing="0"/>
              <w:ind w:left="0" w:right="0"/>
              <w:rPr>
                <w:rFonts w:hint="default" w:cs="Times New Roman"/>
                <w:color w:val="auto"/>
              </w:rPr>
            </w:pPr>
          </w:p>
          <w:p w14:paraId="373CFE49">
            <w:pPr>
              <w:keepNext w:val="0"/>
              <w:keepLines w:val="0"/>
              <w:suppressLineNumbers w:val="0"/>
              <w:bidi w:val="0"/>
              <w:spacing w:before="0" w:beforeAutospacing="0" w:after="0" w:afterAutospacing="0"/>
              <w:ind w:left="0" w:right="0"/>
              <w:rPr>
                <w:rFonts w:hint="default" w:cs="Times New Roman"/>
                <w:color w:val="auto"/>
              </w:rPr>
            </w:pPr>
          </w:p>
          <w:p w14:paraId="3FB5F6E5">
            <w:pPr>
              <w:keepNext w:val="0"/>
              <w:keepLines w:val="0"/>
              <w:suppressLineNumbers w:val="0"/>
              <w:spacing w:before="0" w:beforeAutospacing="0" w:after="0" w:afterAutospacing="0"/>
              <w:ind w:left="0" w:right="0" w:firstLine="482"/>
              <w:jc w:val="center"/>
              <w:rPr>
                <w:rFonts w:hint="eastAsia" w:eastAsia="宋体" w:cs="Times New Roman"/>
                <w:b/>
                <w:color w:val="auto"/>
                <w:lang w:eastAsia="zh-CN"/>
              </w:rPr>
            </w:pPr>
          </w:p>
          <w:p w14:paraId="4FEFDA89">
            <w:pPr>
              <w:keepNext w:val="0"/>
              <w:keepLines w:val="0"/>
              <w:suppressLineNumbers w:val="0"/>
              <w:spacing w:before="0" w:beforeAutospacing="0" w:after="0" w:afterAutospacing="0"/>
              <w:ind w:left="0" w:right="0" w:firstLine="482"/>
              <w:jc w:val="center"/>
              <w:rPr>
                <w:rFonts w:hint="eastAsia" w:cs="Times New Roman"/>
                <w:b/>
                <w:color w:val="auto"/>
              </w:rPr>
            </w:pPr>
          </w:p>
          <w:p w14:paraId="602FFBAF">
            <w:pPr>
              <w:keepNext w:val="0"/>
              <w:keepLines w:val="0"/>
              <w:suppressLineNumbers w:val="0"/>
              <w:spacing w:before="0" w:beforeAutospacing="0" w:after="0" w:afterAutospacing="0"/>
              <w:ind w:left="0" w:right="0" w:firstLine="482"/>
              <w:jc w:val="center"/>
              <w:rPr>
                <w:rFonts w:hint="eastAsia" w:cs="Times New Roman"/>
                <w:b/>
                <w:color w:val="auto"/>
              </w:rPr>
            </w:pPr>
          </w:p>
          <w:p w14:paraId="6557D984">
            <w:pPr>
              <w:keepNext w:val="0"/>
              <w:keepLines w:val="0"/>
              <w:suppressLineNumbers w:val="0"/>
              <w:spacing w:before="0" w:beforeAutospacing="0" w:after="0" w:afterAutospacing="0"/>
              <w:ind w:left="0" w:right="0" w:firstLine="482"/>
              <w:jc w:val="right"/>
              <w:rPr>
                <w:rFonts w:hint="eastAsia" w:eastAsia="宋体" w:cs="Times New Roman"/>
                <w:b/>
                <w:color w:val="auto"/>
                <w:lang w:eastAsia="zh-CN"/>
              </w:rPr>
            </w:pPr>
            <w:r>
              <w:rPr>
                <w:rFonts w:hint="eastAsia" w:cs="Times New Roman"/>
                <w:b/>
                <w:color w:val="auto"/>
                <w:lang w:eastAsia="zh-CN"/>
              </w:rPr>
              <w:t>福建中森亚环保科技有限公司</w:t>
            </w:r>
          </w:p>
          <w:p w14:paraId="2CBFD1C2">
            <w:pPr>
              <w:keepNext w:val="0"/>
              <w:keepLines w:val="0"/>
              <w:suppressLineNumbers w:val="0"/>
              <w:spacing w:before="0" w:beforeAutospacing="0" w:after="0" w:afterAutospacing="0"/>
              <w:ind w:left="0" w:right="0" w:firstLine="482"/>
              <w:jc w:val="right"/>
              <w:rPr>
                <w:rFonts w:hint="default" w:cs="Times New Roman"/>
                <w:b/>
                <w:color w:val="auto"/>
              </w:rPr>
            </w:pPr>
            <w:r>
              <w:rPr>
                <w:rFonts w:hint="default" w:cs="Times New Roman"/>
                <w:b/>
                <w:color w:val="auto"/>
              </w:rPr>
              <w:t>202</w:t>
            </w:r>
            <w:r>
              <w:rPr>
                <w:rFonts w:hint="eastAsia" w:cs="Times New Roman"/>
                <w:b/>
                <w:color w:val="auto"/>
                <w:lang w:val="en-US" w:eastAsia="zh-CN"/>
              </w:rPr>
              <w:t>5</w:t>
            </w:r>
            <w:r>
              <w:rPr>
                <w:rFonts w:hint="default" w:cs="Times New Roman"/>
                <w:b/>
                <w:color w:val="auto"/>
              </w:rPr>
              <w:t>年</w:t>
            </w:r>
            <w:r>
              <w:rPr>
                <w:rFonts w:hint="eastAsia" w:cs="Times New Roman"/>
                <w:b/>
                <w:color w:val="auto"/>
                <w:lang w:val="en-US" w:eastAsia="zh-CN"/>
              </w:rPr>
              <w:t>12</w:t>
            </w:r>
            <w:r>
              <w:rPr>
                <w:rFonts w:hint="default" w:cs="Times New Roman"/>
                <w:b/>
                <w:color w:val="auto"/>
              </w:rPr>
              <w:t>月</w:t>
            </w:r>
          </w:p>
          <w:p w14:paraId="06C5D92F">
            <w:pPr>
              <w:keepNext w:val="0"/>
              <w:keepLines w:val="0"/>
              <w:suppressLineNumbers w:val="0"/>
              <w:bidi w:val="0"/>
              <w:spacing w:before="0" w:beforeAutospacing="0" w:after="0" w:afterAutospacing="0"/>
              <w:ind w:left="0" w:right="0"/>
              <w:rPr>
                <w:rFonts w:hint="eastAsia" w:cs="Times New Roman"/>
                <w:color w:val="auto"/>
              </w:rPr>
            </w:pPr>
          </w:p>
        </w:tc>
      </w:tr>
    </w:tbl>
    <w:p w14:paraId="3B4B11E2">
      <w:pPr>
        <w:rPr>
          <w:rFonts w:ascii="宋体"/>
          <w:color w:val="auto"/>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5603299C">
      <w:pPr>
        <w:spacing w:before="0" w:beforeAutospacing="0" w:after="0" w:afterAutospacing="0" w:line="240" w:lineRule="auto"/>
        <w:ind w:left="0" w:leftChars="0" w:firstLine="0" w:firstLineChars="0"/>
        <w:outlineLvl w:val="0"/>
        <w:rPr>
          <w:rFonts w:ascii="黑体" w:hAnsi="黑体" w:eastAsia="黑体"/>
          <w:snapToGrid w:val="0"/>
          <w:color w:val="auto"/>
          <w:sz w:val="32"/>
          <w:szCs w:val="32"/>
        </w:rPr>
      </w:pPr>
      <w:bookmarkStart w:id="11" w:name="_Toc14852"/>
      <w:r>
        <w:rPr>
          <w:rFonts w:hint="eastAsia" w:ascii="黑体" w:hAnsi="黑体" w:eastAsia="黑体"/>
          <w:snapToGrid w:val="0"/>
          <w:color w:val="auto"/>
          <w:sz w:val="32"/>
          <w:szCs w:val="32"/>
        </w:rPr>
        <w:t>附表</w:t>
      </w:r>
      <w:bookmarkEnd w:id="11"/>
    </w:p>
    <w:p w14:paraId="713EC0FE">
      <w:pPr>
        <w:spacing w:before="0" w:beforeAutospacing="0" w:after="0" w:afterAutospacing="0" w:line="240" w:lineRule="auto"/>
        <w:jc w:val="center"/>
        <w:outlineLvl w:val="1"/>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901"/>
        <w:gridCol w:w="1505"/>
        <w:gridCol w:w="1561"/>
        <w:gridCol w:w="1583"/>
        <w:gridCol w:w="1589"/>
        <w:gridCol w:w="1685"/>
        <w:gridCol w:w="1696"/>
        <w:gridCol w:w="1258"/>
      </w:tblGrid>
      <w:tr w14:paraId="6D8AE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single" w:color="auto" w:sz="4" w:space="0"/>
            </w:tcBorders>
            <w:noWrap w:val="0"/>
            <w:tcMar>
              <w:left w:w="28" w:type="dxa"/>
              <w:right w:w="28" w:type="dxa"/>
            </w:tcMar>
            <w:vAlign w:val="center"/>
          </w:tcPr>
          <w:p w14:paraId="6C9BC8C6">
            <w:pPr>
              <w:pStyle w:val="33"/>
              <w:keepNext w:val="0"/>
              <w:keepLines w:val="0"/>
              <w:suppressLineNumbers w:val="0"/>
              <w:bidi w:val="0"/>
              <w:spacing w:before="0" w:beforeAutospacing="0" w:after="0" w:afterAutospacing="0"/>
              <w:ind w:left="0" w:right="0"/>
              <w:jc w:val="right"/>
              <w:rPr>
                <w:rFonts w:hint="eastAsia" w:cs="Times New Roman"/>
                <w:color w:val="auto"/>
              </w:rPr>
            </w:pPr>
            <w:r>
              <w:rPr>
                <w:rFonts w:hint="eastAsia" w:cs="Times New Roman"/>
                <w:color w:val="auto"/>
              </w:rPr>
              <w:t>项目</w:t>
            </w:r>
          </w:p>
          <w:p w14:paraId="65115EA1">
            <w:pPr>
              <w:pStyle w:val="33"/>
              <w:keepNext w:val="0"/>
              <w:keepLines w:val="0"/>
              <w:suppressLineNumbers w:val="0"/>
              <w:bidi w:val="0"/>
              <w:spacing w:before="0" w:beforeAutospacing="0" w:after="0" w:afterAutospacing="0"/>
              <w:ind w:left="0" w:right="0"/>
              <w:rPr>
                <w:rFonts w:hint="eastAsia" w:cs="Times New Roman"/>
                <w:color w:val="auto"/>
              </w:rPr>
            </w:pPr>
          </w:p>
          <w:p w14:paraId="5E0F0C42">
            <w:pPr>
              <w:pStyle w:val="33"/>
              <w:keepNext w:val="0"/>
              <w:keepLines w:val="0"/>
              <w:suppressLineNumbers w:val="0"/>
              <w:bidi w:val="0"/>
              <w:spacing w:before="0" w:beforeAutospacing="0" w:after="0" w:afterAutospacing="0"/>
              <w:ind w:left="0" w:right="0"/>
              <w:jc w:val="both"/>
              <w:rPr>
                <w:rFonts w:hint="eastAsia" w:cs="Times New Roman"/>
                <w:color w:val="auto"/>
              </w:rPr>
            </w:pPr>
            <w:r>
              <w:rPr>
                <w:rFonts w:hint="eastAsia" w:cs="Times New Roman"/>
                <w:color w:val="auto"/>
              </w:rPr>
              <w:t>分类</w:t>
            </w:r>
          </w:p>
        </w:tc>
        <w:tc>
          <w:tcPr>
            <w:tcW w:w="676" w:type="pct"/>
            <w:noWrap w:val="0"/>
            <w:tcMar>
              <w:left w:w="28" w:type="dxa"/>
              <w:right w:w="28" w:type="dxa"/>
            </w:tcMar>
            <w:vAlign w:val="center"/>
          </w:tcPr>
          <w:p w14:paraId="104E1B07">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污染物名称</w:t>
            </w:r>
          </w:p>
        </w:tc>
        <w:tc>
          <w:tcPr>
            <w:tcW w:w="535" w:type="pct"/>
            <w:noWrap w:val="0"/>
            <w:tcMar>
              <w:left w:w="28" w:type="dxa"/>
              <w:right w:w="28" w:type="dxa"/>
            </w:tcMar>
            <w:vAlign w:val="center"/>
          </w:tcPr>
          <w:p w14:paraId="6ECF00D1">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现有工程</w:t>
            </w:r>
          </w:p>
          <w:p w14:paraId="3E1163D7">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default" w:cs="Times New Roman"/>
                <w:color w:val="auto"/>
              </w:rPr>
              <w:t>排放量（固</w:t>
            </w:r>
            <w:r>
              <w:rPr>
                <w:rFonts w:hint="eastAsia" w:cs="Times New Roman"/>
                <w:color w:val="auto"/>
              </w:rPr>
              <w:t>体</w:t>
            </w:r>
            <w:r>
              <w:rPr>
                <w:rFonts w:hint="default" w:cs="Times New Roman"/>
                <w:color w:val="auto"/>
              </w:rPr>
              <w:t>废</w:t>
            </w:r>
            <w:r>
              <w:rPr>
                <w:rFonts w:hint="eastAsia" w:cs="Times New Roman"/>
                <w:color w:val="auto"/>
              </w:rPr>
              <w:t>物</w:t>
            </w:r>
            <w:r>
              <w:rPr>
                <w:rFonts w:hint="default" w:cs="Times New Roman"/>
                <w:color w:val="auto"/>
              </w:rPr>
              <w:t>产生量）</w:t>
            </w:r>
            <w:r>
              <w:rPr>
                <w:rFonts w:hint="default" w:cs="Times New Roman"/>
                <w:color w:val="auto"/>
              </w:rPr>
              <w:fldChar w:fldCharType="begin"/>
            </w:r>
            <w:r>
              <w:rPr>
                <w:rFonts w:hint="default" w:cs="Times New Roman"/>
                <w:color w:val="auto"/>
              </w:rPr>
              <w:instrText xml:space="preserve"> = 1 \* GB3 \* MERGEFORMAT </w:instrText>
            </w:r>
            <w:r>
              <w:rPr>
                <w:rFonts w:hint="default" w:cs="Times New Roman"/>
                <w:color w:val="auto"/>
              </w:rPr>
              <w:fldChar w:fldCharType="separate"/>
            </w:r>
            <w:r>
              <w:rPr>
                <w:rFonts w:hint="eastAsia" w:cs="Times New Roman"/>
                <w:color w:val="auto"/>
              </w:rPr>
              <w:t>①</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555" w:type="pct"/>
            <w:noWrap w:val="0"/>
            <w:tcMar>
              <w:left w:w="28" w:type="dxa"/>
              <w:right w:w="28" w:type="dxa"/>
            </w:tcMar>
            <w:vAlign w:val="center"/>
          </w:tcPr>
          <w:p w14:paraId="52AF8064">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现有工程</w:t>
            </w:r>
          </w:p>
          <w:p w14:paraId="181F5ADE">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许可排放量</w:t>
            </w:r>
            <w:r>
              <w:rPr>
                <w:rFonts w:hint="default" w:cs="Times New Roman"/>
                <w:color w:val="auto"/>
              </w:rPr>
              <w:fldChar w:fldCharType="begin"/>
            </w:r>
            <w:r>
              <w:rPr>
                <w:rFonts w:hint="default" w:cs="Times New Roman"/>
                <w:color w:val="auto"/>
              </w:rPr>
              <w:instrText xml:space="preserve"> = 2 \* GB3 \* MERGEFORMAT </w:instrText>
            </w:r>
            <w:r>
              <w:rPr>
                <w:rFonts w:hint="default" w:cs="Times New Roman"/>
                <w:color w:val="auto"/>
              </w:rPr>
              <w:fldChar w:fldCharType="separate"/>
            </w:r>
            <w:r>
              <w:rPr>
                <w:rFonts w:hint="eastAsia" w:cs="Times New Roman"/>
                <w:color w:val="auto"/>
              </w:rPr>
              <w:t>②</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563" w:type="pct"/>
            <w:noWrap w:val="0"/>
            <w:tcMar>
              <w:left w:w="28" w:type="dxa"/>
              <w:right w:w="28" w:type="dxa"/>
            </w:tcMar>
            <w:vAlign w:val="center"/>
          </w:tcPr>
          <w:p w14:paraId="615E7A81">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在建工程</w:t>
            </w:r>
          </w:p>
          <w:p w14:paraId="256A1025">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排放量（固</w:t>
            </w:r>
            <w:r>
              <w:rPr>
                <w:rFonts w:hint="eastAsia" w:cs="Times New Roman"/>
                <w:color w:val="auto"/>
              </w:rPr>
              <w:t>体</w:t>
            </w:r>
            <w:r>
              <w:rPr>
                <w:rFonts w:hint="default" w:cs="Times New Roman"/>
                <w:color w:val="auto"/>
              </w:rPr>
              <w:t>废</w:t>
            </w:r>
            <w:r>
              <w:rPr>
                <w:rFonts w:hint="eastAsia" w:cs="Times New Roman"/>
                <w:color w:val="auto"/>
              </w:rPr>
              <w:t>物</w:t>
            </w:r>
            <w:r>
              <w:rPr>
                <w:rFonts w:hint="default" w:cs="Times New Roman"/>
                <w:color w:val="auto"/>
              </w:rPr>
              <w:t>产生量）</w:t>
            </w:r>
            <w:r>
              <w:rPr>
                <w:rFonts w:hint="default" w:cs="Times New Roman"/>
                <w:color w:val="auto"/>
              </w:rPr>
              <w:fldChar w:fldCharType="begin"/>
            </w:r>
            <w:r>
              <w:rPr>
                <w:rFonts w:hint="default" w:cs="Times New Roman"/>
                <w:color w:val="auto"/>
              </w:rPr>
              <w:instrText xml:space="preserve"> = 3 \* GB3 \* MERGEFORMAT </w:instrText>
            </w:r>
            <w:r>
              <w:rPr>
                <w:rFonts w:hint="default" w:cs="Times New Roman"/>
                <w:color w:val="auto"/>
              </w:rPr>
              <w:fldChar w:fldCharType="separate"/>
            </w:r>
            <w:r>
              <w:rPr>
                <w:rFonts w:hint="eastAsia" w:cs="Times New Roman"/>
                <w:color w:val="auto"/>
              </w:rPr>
              <w:t>③</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565" w:type="pct"/>
            <w:noWrap w:val="0"/>
            <w:tcMar>
              <w:left w:w="28" w:type="dxa"/>
              <w:right w:w="28" w:type="dxa"/>
            </w:tcMar>
            <w:vAlign w:val="center"/>
          </w:tcPr>
          <w:p w14:paraId="79C982C5">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本项目</w:t>
            </w:r>
          </w:p>
          <w:p w14:paraId="19BC936D">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排放量（固</w:t>
            </w:r>
            <w:r>
              <w:rPr>
                <w:rFonts w:hint="eastAsia" w:cs="Times New Roman"/>
                <w:color w:val="auto"/>
              </w:rPr>
              <w:t>体</w:t>
            </w:r>
            <w:r>
              <w:rPr>
                <w:rFonts w:hint="default" w:cs="Times New Roman"/>
                <w:color w:val="auto"/>
              </w:rPr>
              <w:t>废</w:t>
            </w:r>
            <w:r>
              <w:rPr>
                <w:rFonts w:hint="eastAsia" w:cs="Times New Roman"/>
                <w:color w:val="auto"/>
              </w:rPr>
              <w:t>物</w:t>
            </w:r>
            <w:r>
              <w:rPr>
                <w:rFonts w:hint="default" w:cs="Times New Roman"/>
                <w:color w:val="auto"/>
              </w:rPr>
              <w:t>产生量）</w:t>
            </w:r>
            <w:r>
              <w:rPr>
                <w:rFonts w:hint="default" w:cs="Times New Roman"/>
                <w:color w:val="auto"/>
              </w:rPr>
              <w:fldChar w:fldCharType="begin"/>
            </w:r>
            <w:r>
              <w:rPr>
                <w:rFonts w:hint="default" w:cs="Times New Roman"/>
                <w:color w:val="auto"/>
              </w:rPr>
              <w:instrText xml:space="preserve"> = 4 \* GB3 \* MERGEFORMAT </w:instrText>
            </w:r>
            <w:r>
              <w:rPr>
                <w:rFonts w:hint="default" w:cs="Times New Roman"/>
                <w:color w:val="auto"/>
              </w:rPr>
              <w:fldChar w:fldCharType="separate"/>
            </w:r>
            <w:r>
              <w:rPr>
                <w:rFonts w:hint="eastAsia" w:cs="Times New Roman"/>
                <w:color w:val="auto"/>
              </w:rPr>
              <w:t>④</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599" w:type="pct"/>
            <w:noWrap w:val="0"/>
            <w:tcMar>
              <w:left w:w="28" w:type="dxa"/>
              <w:right w:w="28" w:type="dxa"/>
            </w:tcMar>
            <w:vAlign w:val="center"/>
          </w:tcPr>
          <w:p w14:paraId="0B0A58A3">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以新带老削减量</w:t>
            </w:r>
          </w:p>
          <w:p w14:paraId="6E6F3F40">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（新建项目不填）</w:t>
            </w:r>
            <w:r>
              <w:rPr>
                <w:rFonts w:hint="default" w:cs="Times New Roman"/>
                <w:color w:val="auto"/>
              </w:rPr>
              <w:fldChar w:fldCharType="begin"/>
            </w:r>
            <w:r>
              <w:rPr>
                <w:rFonts w:hint="default" w:cs="Times New Roman"/>
                <w:color w:val="auto"/>
              </w:rPr>
              <w:instrText xml:space="preserve"> = 5 \* GB3 \* MERGEFORMAT </w:instrText>
            </w:r>
            <w:r>
              <w:rPr>
                <w:rFonts w:hint="default" w:cs="Times New Roman"/>
                <w:color w:val="auto"/>
              </w:rPr>
              <w:fldChar w:fldCharType="separate"/>
            </w:r>
            <w:r>
              <w:rPr>
                <w:rFonts w:hint="eastAsia" w:cs="Times New Roman"/>
                <w:color w:val="auto"/>
              </w:rPr>
              <w:t>⑤</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603" w:type="pct"/>
            <w:noWrap w:val="0"/>
            <w:tcMar>
              <w:left w:w="28" w:type="dxa"/>
              <w:right w:w="28" w:type="dxa"/>
            </w:tcMar>
            <w:vAlign w:val="center"/>
          </w:tcPr>
          <w:p w14:paraId="0DB4369B">
            <w:pPr>
              <w:pStyle w:val="33"/>
              <w:keepNext w:val="0"/>
              <w:keepLines w:val="0"/>
              <w:suppressLineNumbers w:val="0"/>
              <w:bidi w:val="0"/>
              <w:spacing w:before="0" w:beforeAutospacing="0" w:after="0" w:afterAutospacing="0"/>
              <w:ind w:left="0" w:right="0"/>
              <w:rPr>
                <w:rFonts w:hint="eastAsia" w:cs="Times New Roman"/>
                <w:color w:val="auto"/>
              </w:rPr>
            </w:pPr>
            <w:r>
              <w:rPr>
                <w:rFonts w:hint="default" w:cs="Times New Roman"/>
                <w:color w:val="auto"/>
              </w:rPr>
              <w:t>本项目建成后</w:t>
            </w:r>
          </w:p>
          <w:p w14:paraId="516E8A2D">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全厂</w:t>
            </w:r>
            <w:r>
              <w:rPr>
                <w:rFonts w:hint="default" w:cs="Times New Roman"/>
                <w:color w:val="auto"/>
              </w:rPr>
              <w:t>排放量（固</w:t>
            </w:r>
            <w:r>
              <w:rPr>
                <w:rFonts w:hint="eastAsia" w:cs="Times New Roman"/>
                <w:color w:val="auto"/>
              </w:rPr>
              <w:t>体</w:t>
            </w:r>
            <w:r>
              <w:rPr>
                <w:rFonts w:hint="default" w:cs="Times New Roman"/>
                <w:color w:val="auto"/>
              </w:rPr>
              <w:t>废</w:t>
            </w:r>
            <w:r>
              <w:rPr>
                <w:rFonts w:hint="eastAsia" w:cs="Times New Roman"/>
                <w:color w:val="auto"/>
              </w:rPr>
              <w:t>物</w:t>
            </w:r>
            <w:r>
              <w:rPr>
                <w:rFonts w:hint="default" w:cs="Times New Roman"/>
                <w:color w:val="auto"/>
              </w:rPr>
              <w:t>产生量）</w:t>
            </w:r>
            <w:r>
              <w:rPr>
                <w:rFonts w:hint="default" w:cs="Times New Roman"/>
                <w:color w:val="auto"/>
              </w:rPr>
              <w:fldChar w:fldCharType="begin"/>
            </w:r>
            <w:r>
              <w:rPr>
                <w:rFonts w:hint="default" w:cs="Times New Roman"/>
                <w:color w:val="auto"/>
              </w:rPr>
              <w:instrText xml:space="preserve"> = 6 \* GB3 \* MERGEFORMAT </w:instrText>
            </w:r>
            <w:r>
              <w:rPr>
                <w:rFonts w:hint="default" w:cs="Times New Roman"/>
                <w:color w:val="auto"/>
              </w:rPr>
              <w:fldChar w:fldCharType="separate"/>
            </w:r>
            <w:r>
              <w:rPr>
                <w:rFonts w:hint="eastAsia" w:cs="Times New Roman"/>
                <w:color w:val="auto"/>
              </w:rPr>
              <w:t>⑥</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r>
              <w:rPr>
                <w:rFonts w:hint="eastAsia" w:cs="Times New Roman"/>
                <w:color w:val="auto"/>
                <w:lang w:eastAsia="zh-CN"/>
              </w:rPr>
              <w:t>）</w:t>
            </w:r>
          </w:p>
        </w:tc>
        <w:tc>
          <w:tcPr>
            <w:tcW w:w="447" w:type="pct"/>
            <w:noWrap w:val="0"/>
            <w:tcMar>
              <w:left w:w="28" w:type="dxa"/>
              <w:right w:w="28" w:type="dxa"/>
            </w:tcMar>
            <w:vAlign w:val="center"/>
          </w:tcPr>
          <w:p w14:paraId="7D885A31">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t>变化量</w:t>
            </w:r>
          </w:p>
          <w:p w14:paraId="5FDDA83C">
            <w:pPr>
              <w:pStyle w:val="33"/>
              <w:keepNext w:val="0"/>
              <w:keepLines w:val="0"/>
              <w:suppressLineNumbers w:val="0"/>
              <w:bidi w:val="0"/>
              <w:spacing w:before="0" w:beforeAutospacing="0" w:after="0" w:afterAutospacing="0"/>
              <w:ind w:left="0" w:right="0"/>
              <w:rPr>
                <w:rFonts w:hint="default" w:cs="Times New Roman"/>
                <w:color w:val="auto"/>
              </w:rPr>
            </w:pPr>
            <w:r>
              <w:rPr>
                <w:rFonts w:hint="default" w:cs="Times New Roman"/>
                <w:color w:val="auto"/>
              </w:rPr>
              <w:fldChar w:fldCharType="begin"/>
            </w:r>
            <w:r>
              <w:rPr>
                <w:rFonts w:hint="default" w:cs="Times New Roman"/>
                <w:color w:val="auto"/>
              </w:rPr>
              <w:instrText xml:space="preserve"> = 7 \* GB3 \* MERGEFORMAT </w:instrText>
            </w:r>
            <w:r>
              <w:rPr>
                <w:rFonts w:hint="default" w:cs="Times New Roman"/>
                <w:color w:val="auto"/>
              </w:rPr>
              <w:fldChar w:fldCharType="separate"/>
            </w:r>
            <w:r>
              <w:rPr>
                <w:rFonts w:hint="eastAsia" w:cs="Times New Roman"/>
                <w:color w:val="auto"/>
              </w:rPr>
              <w:t>⑦</w:t>
            </w:r>
            <w:r>
              <w:rPr>
                <w:rFonts w:hint="default" w:cs="Times New Roman"/>
                <w:color w:val="auto"/>
              </w:rPr>
              <w:fldChar w:fldCharType="end"/>
            </w:r>
            <w:r>
              <w:rPr>
                <w:rFonts w:hint="eastAsia" w:cs="Times New Roman"/>
                <w:color w:val="auto"/>
                <w:lang w:eastAsia="zh-CN"/>
              </w:rPr>
              <w:t>（</w:t>
            </w:r>
            <w:r>
              <w:rPr>
                <w:rFonts w:hint="eastAsia" w:cs="Times New Roman"/>
                <w:color w:val="auto"/>
                <w:lang w:val="en-US" w:eastAsia="zh-CN"/>
              </w:rPr>
              <w:t>t/a)</w:t>
            </w:r>
          </w:p>
        </w:tc>
      </w:tr>
      <w:tr w14:paraId="6D390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noWrap w:val="0"/>
            <w:vAlign w:val="center"/>
          </w:tcPr>
          <w:p w14:paraId="423B5CD7">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废气</w:t>
            </w:r>
          </w:p>
        </w:tc>
        <w:tc>
          <w:tcPr>
            <w:tcW w:w="676" w:type="pct"/>
            <w:noWrap w:val="0"/>
            <w:vAlign w:val="center"/>
          </w:tcPr>
          <w:p w14:paraId="1E87BBBB">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非甲烷总烃</w:t>
            </w:r>
          </w:p>
          <w:p w14:paraId="337E7ADE">
            <w:pPr>
              <w:pStyle w:val="33"/>
              <w:keepNext w:val="0"/>
              <w:keepLines w:val="0"/>
              <w:suppressLineNumbers w:val="0"/>
              <w:bidi w:val="0"/>
              <w:spacing w:before="0" w:beforeAutospacing="0" w:after="0" w:afterAutospacing="0"/>
              <w:ind w:left="0" w:right="0"/>
              <w:rPr>
                <w:rFonts w:hint="eastAsia" w:eastAsia="宋体" w:cs="Times New Roman"/>
                <w:color w:val="auto"/>
                <w:lang w:eastAsia="zh-CN"/>
              </w:rPr>
            </w:pPr>
            <w:r>
              <w:rPr>
                <w:rFonts w:hint="eastAsia" w:cs="Times New Roman"/>
                <w:color w:val="auto"/>
                <w:lang w:val="en-US" w:eastAsia="zh-CN"/>
              </w:rPr>
              <w:t>（仅定性分析）</w:t>
            </w:r>
          </w:p>
        </w:tc>
        <w:tc>
          <w:tcPr>
            <w:tcW w:w="535" w:type="pct"/>
            <w:noWrap w:val="0"/>
            <w:vAlign w:val="center"/>
          </w:tcPr>
          <w:p w14:paraId="1D2B90BD">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3706CC29">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0F60308D">
            <w:pPr>
              <w:pStyle w:val="33"/>
              <w:keepNext w:val="0"/>
              <w:keepLines w:val="0"/>
              <w:suppressLineNumbers w:val="0"/>
              <w:bidi w:val="0"/>
              <w:spacing w:before="0" w:beforeAutospacing="0" w:after="0" w:afterAutospacing="0"/>
              <w:ind w:left="0" w:right="0"/>
              <w:rPr>
                <w:rFonts w:hint="default" w:cs="Times New Roman"/>
                <w:color w:val="auto"/>
              </w:rPr>
            </w:pPr>
          </w:p>
        </w:tc>
        <w:tc>
          <w:tcPr>
            <w:tcW w:w="565" w:type="pct"/>
            <w:noWrap w:val="0"/>
            <w:vAlign w:val="center"/>
          </w:tcPr>
          <w:p w14:paraId="387ED6CD">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ascii="Times New Roman" w:hAnsi="Times New Roman" w:eastAsia="宋体" w:cs="Times New Roman"/>
                <w:color w:val="auto"/>
                <w:lang w:val="en-US" w:eastAsia="zh-CN"/>
              </w:rPr>
              <w:t>/</w:t>
            </w:r>
          </w:p>
        </w:tc>
        <w:tc>
          <w:tcPr>
            <w:tcW w:w="599" w:type="pct"/>
            <w:noWrap w:val="0"/>
            <w:vAlign w:val="center"/>
          </w:tcPr>
          <w:p w14:paraId="16929DC5">
            <w:pPr>
              <w:pStyle w:val="33"/>
              <w:keepNext w:val="0"/>
              <w:keepLines w:val="0"/>
              <w:suppressLineNumbers w:val="0"/>
              <w:bidi w:val="0"/>
              <w:spacing w:before="0" w:beforeAutospacing="0" w:after="0" w:afterAutospacing="0"/>
              <w:ind w:left="0" w:right="0"/>
              <w:rPr>
                <w:rFonts w:hint="eastAsia" w:cs="Times New Roman"/>
                <w:color w:val="auto"/>
              </w:rPr>
            </w:pPr>
          </w:p>
        </w:tc>
        <w:tc>
          <w:tcPr>
            <w:tcW w:w="603" w:type="pct"/>
            <w:noWrap w:val="0"/>
            <w:vAlign w:val="center"/>
          </w:tcPr>
          <w:p w14:paraId="2FCC2C06">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ascii="Times New Roman" w:hAnsi="Times New Roman" w:eastAsia="宋体" w:cs="Times New Roman"/>
                <w:color w:val="auto"/>
                <w:lang w:val="en-US" w:eastAsia="zh-CN"/>
              </w:rPr>
              <w:t>/</w:t>
            </w:r>
          </w:p>
        </w:tc>
        <w:tc>
          <w:tcPr>
            <w:tcW w:w="447" w:type="pct"/>
            <w:noWrap w:val="0"/>
            <w:vAlign w:val="center"/>
          </w:tcPr>
          <w:p w14:paraId="7F975B3F">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ascii="Times New Roman" w:hAnsi="Times New Roman" w:eastAsia="宋体" w:cs="Times New Roman"/>
                <w:color w:val="auto"/>
                <w:lang w:val="en-US" w:eastAsia="zh-CN"/>
              </w:rPr>
              <w:t>/</w:t>
            </w:r>
          </w:p>
        </w:tc>
      </w:tr>
      <w:tr w14:paraId="561B4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53" w:type="pct"/>
            <w:vMerge w:val="restart"/>
            <w:noWrap w:val="0"/>
            <w:vAlign w:val="center"/>
          </w:tcPr>
          <w:p w14:paraId="42217D72">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废水</w:t>
            </w:r>
          </w:p>
          <w:p w14:paraId="59D1782B">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(生活污水）</w:t>
            </w:r>
          </w:p>
        </w:tc>
        <w:tc>
          <w:tcPr>
            <w:tcW w:w="676" w:type="pct"/>
            <w:noWrap w:val="0"/>
            <w:vAlign w:val="center"/>
          </w:tcPr>
          <w:p w14:paraId="2E55C4F2">
            <w:pPr>
              <w:pStyle w:val="33"/>
              <w:keepNext w:val="0"/>
              <w:keepLines w:val="0"/>
              <w:suppressLineNumbers w:val="0"/>
              <w:bidi w:val="0"/>
              <w:spacing w:before="0" w:beforeAutospacing="0" w:after="0" w:afterAutospacing="0"/>
              <w:ind w:left="0" w:right="0"/>
              <w:rPr>
                <w:rFonts w:hint="eastAsia" w:eastAsia="宋体" w:cs="Times New Roman"/>
                <w:color w:val="auto"/>
                <w:lang w:val="en-US" w:eastAsia="zh-CN"/>
              </w:rPr>
            </w:pPr>
            <w:r>
              <w:rPr>
                <w:rFonts w:hint="eastAsia" w:cs="Times New Roman"/>
                <w:color w:val="auto"/>
                <w:lang w:val="en-US" w:eastAsia="zh-CN"/>
              </w:rPr>
              <w:t>废水量</w:t>
            </w:r>
          </w:p>
        </w:tc>
        <w:tc>
          <w:tcPr>
            <w:tcW w:w="535" w:type="pct"/>
            <w:noWrap w:val="0"/>
            <w:vAlign w:val="center"/>
          </w:tcPr>
          <w:p w14:paraId="27B5D35F">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3E71D91D">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6881FA3B">
            <w:pPr>
              <w:pStyle w:val="33"/>
              <w:keepNext w:val="0"/>
              <w:keepLines w:val="0"/>
              <w:suppressLineNumbers w:val="0"/>
              <w:bidi w:val="0"/>
              <w:spacing w:before="0" w:beforeAutospacing="0" w:after="0" w:afterAutospacing="0"/>
              <w:ind w:left="0" w:right="0"/>
              <w:rPr>
                <w:rFonts w:hint="default" w:cs="Times New Roman"/>
                <w:color w:val="auto"/>
              </w:rPr>
            </w:pPr>
          </w:p>
        </w:tc>
        <w:tc>
          <w:tcPr>
            <w:tcW w:w="565" w:type="pct"/>
            <w:noWrap w:val="0"/>
            <w:vAlign w:val="center"/>
          </w:tcPr>
          <w:p w14:paraId="27018576">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eastAsia="宋体" w:cs="Times New Roman"/>
                <w:color w:val="auto"/>
                <w:lang w:val="en-US" w:eastAsia="zh-CN"/>
              </w:rPr>
              <w:t>2700</w:t>
            </w:r>
          </w:p>
        </w:tc>
        <w:tc>
          <w:tcPr>
            <w:tcW w:w="599" w:type="pct"/>
            <w:noWrap w:val="0"/>
            <w:vAlign w:val="center"/>
          </w:tcPr>
          <w:p w14:paraId="1464CD06">
            <w:pPr>
              <w:pStyle w:val="33"/>
              <w:keepNext w:val="0"/>
              <w:keepLines w:val="0"/>
              <w:suppressLineNumbers w:val="0"/>
              <w:bidi w:val="0"/>
              <w:spacing w:before="0" w:beforeAutospacing="0" w:after="0" w:afterAutospacing="0"/>
              <w:ind w:left="0" w:right="0"/>
              <w:rPr>
                <w:rFonts w:hint="default" w:cs="Times New Roman"/>
                <w:color w:val="auto"/>
              </w:rPr>
            </w:pPr>
          </w:p>
        </w:tc>
        <w:tc>
          <w:tcPr>
            <w:tcW w:w="603" w:type="pct"/>
            <w:noWrap w:val="0"/>
            <w:vAlign w:val="center"/>
          </w:tcPr>
          <w:p w14:paraId="1B12E2E9">
            <w:pPr>
              <w:pStyle w:val="33"/>
              <w:keepNext w:val="0"/>
              <w:keepLines w:val="0"/>
              <w:suppressLineNumbers w:val="0"/>
              <w:bidi w:val="0"/>
              <w:spacing w:before="0" w:beforeAutospacing="0" w:after="0" w:afterAutospacing="0"/>
              <w:ind w:left="0" w:right="0" w:firstLine="0" w:firstLineChars="0"/>
              <w:rPr>
                <w:rFonts w:hint="default" w:eastAsia="宋体" w:cs="Times New Roman"/>
                <w:color w:val="auto"/>
                <w:lang w:val="en-US" w:eastAsia="zh-CN"/>
              </w:rPr>
            </w:pPr>
            <w:r>
              <w:rPr>
                <w:rFonts w:hint="eastAsia" w:eastAsia="宋体" w:cs="Times New Roman"/>
                <w:color w:val="auto"/>
                <w:lang w:val="en-US" w:eastAsia="zh-CN"/>
              </w:rPr>
              <w:t>2700</w:t>
            </w:r>
          </w:p>
        </w:tc>
        <w:tc>
          <w:tcPr>
            <w:tcW w:w="1258" w:type="dxa"/>
            <w:noWrap w:val="0"/>
            <w:vAlign w:val="center"/>
          </w:tcPr>
          <w:p w14:paraId="1578EFB0">
            <w:pPr>
              <w:pStyle w:val="33"/>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lang w:val="en-US" w:eastAsia="zh-CN"/>
              </w:rPr>
            </w:pPr>
            <w:r>
              <w:rPr>
                <w:rFonts w:hint="eastAsia" w:eastAsia="宋体" w:cs="Times New Roman"/>
                <w:color w:val="auto"/>
                <w:lang w:val="en-US" w:eastAsia="zh-CN"/>
              </w:rPr>
              <w:t>+2700</w:t>
            </w:r>
          </w:p>
        </w:tc>
      </w:tr>
      <w:tr w14:paraId="5BF08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53" w:type="pct"/>
            <w:vMerge w:val="continue"/>
            <w:noWrap w:val="0"/>
            <w:vAlign w:val="center"/>
          </w:tcPr>
          <w:p w14:paraId="38D6E607">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shd w:val="clear" w:color="auto" w:fill="auto"/>
            <w:noWrap w:val="0"/>
            <w:vAlign w:val="center"/>
          </w:tcPr>
          <w:p w14:paraId="4D86FBB3">
            <w:pPr>
              <w:pStyle w:val="33"/>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4"/>
                <w:lang w:val="en-US" w:eastAsia="zh-CN" w:bidi="ar-SA"/>
              </w:rPr>
            </w:pPr>
            <w:r>
              <w:rPr>
                <w:rFonts w:hint="eastAsia" w:cs="Times New Roman"/>
                <w:color w:val="auto"/>
              </w:rPr>
              <w:t>COD</w:t>
            </w:r>
          </w:p>
        </w:tc>
        <w:tc>
          <w:tcPr>
            <w:tcW w:w="535" w:type="pct"/>
            <w:shd w:val="clear" w:color="auto" w:fill="auto"/>
            <w:noWrap w:val="0"/>
            <w:vAlign w:val="center"/>
          </w:tcPr>
          <w:p w14:paraId="48FC2BEF">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p>
        </w:tc>
        <w:tc>
          <w:tcPr>
            <w:tcW w:w="555" w:type="pct"/>
            <w:shd w:val="clear" w:color="auto" w:fill="auto"/>
            <w:noWrap w:val="0"/>
            <w:vAlign w:val="center"/>
          </w:tcPr>
          <w:p w14:paraId="29E15AB1">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p>
        </w:tc>
        <w:tc>
          <w:tcPr>
            <w:tcW w:w="563" w:type="pct"/>
            <w:shd w:val="clear" w:color="auto" w:fill="auto"/>
            <w:noWrap w:val="0"/>
            <w:vAlign w:val="center"/>
          </w:tcPr>
          <w:p w14:paraId="10E0A468">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p>
        </w:tc>
        <w:tc>
          <w:tcPr>
            <w:tcW w:w="1589" w:type="dxa"/>
            <w:shd w:val="clear" w:color="auto" w:fill="auto"/>
            <w:noWrap w:val="0"/>
            <w:vAlign w:val="center"/>
          </w:tcPr>
          <w:p w14:paraId="0B56A438">
            <w:pPr>
              <w:pStyle w:val="33"/>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2"/>
                <w:sz w:val="21"/>
                <w:szCs w:val="24"/>
                <w:lang w:val="en-US" w:eastAsia="zh-CN" w:bidi="ar-SA"/>
              </w:rPr>
            </w:pPr>
            <w:r>
              <w:rPr>
                <w:rFonts w:hint="default"/>
                <w:lang w:val="en-US" w:eastAsia="zh-CN"/>
              </w:rPr>
              <w:t>0.741</w:t>
            </w:r>
          </w:p>
        </w:tc>
        <w:tc>
          <w:tcPr>
            <w:tcW w:w="599" w:type="pct"/>
            <w:shd w:val="clear" w:color="auto" w:fill="auto"/>
            <w:noWrap w:val="0"/>
            <w:vAlign w:val="center"/>
          </w:tcPr>
          <w:p w14:paraId="37113879">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p>
        </w:tc>
        <w:tc>
          <w:tcPr>
            <w:tcW w:w="1696" w:type="dxa"/>
            <w:shd w:val="clear" w:color="auto" w:fill="auto"/>
            <w:noWrap w:val="0"/>
            <w:vAlign w:val="center"/>
          </w:tcPr>
          <w:p w14:paraId="6BC1E1F3">
            <w:pPr>
              <w:pStyle w:val="33"/>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2"/>
                <w:sz w:val="21"/>
                <w:szCs w:val="24"/>
                <w:lang w:val="en-US" w:eastAsia="zh-CN" w:bidi="ar-SA"/>
              </w:rPr>
            </w:pPr>
            <w:r>
              <w:rPr>
                <w:rFonts w:hint="default"/>
                <w:lang w:val="en-US" w:eastAsia="zh-CN"/>
              </w:rPr>
              <w:t>0.741</w:t>
            </w:r>
          </w:p>
        </w:tc>
        <w:tc>
          <w:tcPr>
            <w:tcW w:w="1258" w:type="dxa"/>
            <w:shd w:val="clear" w:color="auto" w:fill="auto"/>
            <w:noWrap w:val="0"/>
            <w:vAlign w:val="center"/>
          </w:tcPr>
          <w:p w14:paraId="3768CEF4">
            <w:pPr>
              <w:pStyle w:val="33"/>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color w:val="auto"/>
                <w:kern w:val="2"/>
                <w:sz w:val="21"/>
                <w:szCs w:val="24"/>
                <w:lang w:val="en-US" w:eastAsia="zh-CN" w:bidi="ar-SA"/>
              </w:rPr>
            </w:pPr>
            <w:r>
              <w:rPr>
                <w:rFonts w:hint="eastAsia"/>
                <w:lang w:val="en-US" w:eastAsia="zh-CN"/>
              </w:rPr>
              <w:t>+</w:t>
            </w:r>
            <w:r>
              <w:rPr>
                <w:rFonts w:hint="default"/>
                <w:lang w:val="en-US" w:eastAsia="zh-CN"/>
              </w:rPr>
              <w:t>0.741</w:t>
            </w:r>
          </w:p>
        </w:tc>
      </w:tr>
      <w:tr w14:paraId="58AFB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282CDE3C">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noWrap w:val="0"/>
            <w:vAlign w:val="center"/>
          </w:tcPr>
          <w:p w14:paraId="4D240FF6">
            <w:pPr>
              <w:pStyle w:val="33"/>
              <w:keepNext w:val="0"/>
              <w:keepLines w:val="0"/>
              <w:suppressLineNumbers w:val="0"/>
              <w:bidi w:val="0"/>
              <w:spacing w:before="0" w:beforeAutospacing="0" w:after="0" w:afterAutospacing="0"/>
              <w:ind w:left="0" w:right="0"/>
              <w:rPr>
                <w:rFonts w:hint="default" w:eastAsia="宋体" w:cs="Times New Roman"/>
                <w:color w:val="auto"/>
                <w:vertAlign w:val="subscript"/>
                <w:lang w:val="en-US" w:eastAsia="zh-CN"/>
              </w:rPr>
            </w:pPr>
            <w:r>
              <w:rPr>
                <w:rFonts w:hint="eastAsia" w:cs="Times New Roman"/>
                <w:color w:val="auto"/>
                <w:lang w:val="en-US" w:eastAsia="zh-CN"/>
              </w:rPr>
              <w:t>BOD</w:t>
            </w:r>
            <w:r>
              <w:rPr>
                <w:rFonts w:hint="eastAsia" w:cs="Times New Roman"/>
                <w:color w:val="auto"/>
                <w:vertAlign w:val="subscript"/>
                <w:lang w:val="en-US" w:eastAsia="zh-CN"/>
              </w:rPr>
              <w:t>5</w:t>
            </w:r>
          </w:p>
        </w:tc>
        <w:tc>
          <w:tcPr>
            <w:tcW w:w="535" w:type="pct"/>
            <w:noWrap w:val="0"/>
            <w:vAlign w:val="center"/>
          </w:tcPr>
          <w:p w14:paraId="144D71C4">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6B32E5EE">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6B5F8B15">
            <w:pPr>
              <w:pStyle w:val="33"/>
              <w:keepNext w:val="0"/>
              <w:keepLines w:val="0"/>
              <w:suppressLineNumbers w:val="0"/>
              <w:bidi w:val="0"/>
              <w:spacing w:before="0" w:beforeAutospacing="0" w:after="0" w:afterAutospacing="0"/>
              <w:ind w:left="0" w:right="0"/>
              <w:rPr>
                <w:rFonts w:hint="default" w:cs="Times New Roman"/>
                <w:color w:val="auto"/>
              </w:rPr>
            </w:pPr>
          </w:p>
        </w:tc>
        <w:tc>
          <w:tcPr>
            <w:tcW w:w="1589" w:type="dxa"/>
            <w:noWrap w:val="0"/>
            <w:vAlign w:val="center"/>
          </w:tcPr>
          <w:p w14:paraId="25FF53E7">
            <w:pPr>
              <w:pStyle w:val="33"/>
              <w:keepNext w:val="0"/>
              <w:keepLines w:val="0"/>
              <w:suppressLineNumbers w:val="0"/>
              <w:bidi w:val="0"/>
              <w:spacing w:before="0" w:beforeAutospacing="0" w:after="0" w:afterAutospacing="0"/>
              <w:ind w:left="0" w:right="0" w:firstLine="0" w:firstLineChars="0"/>
              <w:rPr>
                <w:rFonts w:hint="default" w:eastAsia="宋体" w:cs="Times New Roman"/>
                <w:color w:val="auto"/>
                <w:lang w:val="en-US" w:eastAsia="zh-CN"/>
              </w:rPr>
            </w:pPr>
            <w:r>
              <w:rPr>
                <w:rFonts w:hint="default"/>
                <w:lang w:val="en-US" w:eastAsia="zh-CN"/>
              </w:rPr>
              <w:t>0.471</w:t>
            </w:r>
          </w:p>
        </w:tc>
        <w:tc>
          <w:tcPr>
            <w:tcW w:w="599" w:type="pct"/>
            <w:noWrap w:val="0"/>
            <w:vAlign w:val="center"/>
          </w:tcPr>
          <w:p w14:paraId="7E034A2A">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02C62F0B">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lang w:val="en-US" w:eastAsia="zh-CN"/>
              </w:rPr>
              <w:t>0.471</w:t>
            </w:r>
          </w:p>
        </w:tc>
        <w:tc>
          <w:tcPr>
            <w:tcW w:w="1258" w:type="dxa"/>
            <w:noWrap w:val="0"/>
            <w:vAlign w:val="center"/>
          </w:tcPr>
          <w:p w14:paraId="24748392">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eastAsia"/>
                <w:lang w:val="en-US" w:eastAsia="zh-CN"/>
              </w:rPr>
              <w:t>+</w:t>
            </w:r>
            <w:r>
              <w:rPr>
                <w:rFonts w:hint="default"/>
                <w:lang w:val="en-US" w:eastAsia="zh-CN"/>
              </w:rPr>
              <w:t>0.471</w:t>
            </w:r>
          </w:p>
        </w:tc>
      </w:tr>
      <w:tr w14:paraId="6345F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77D63827">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noWrap w:val="0"/>
            <w:vAlign w:val="center"/>
          </w:tcPr>
          <w:p w14:paraId="2A7DF481">
            <w:pPr>
              <w:pStyle w:val="33"/>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s="Times New Roman"/>
                <w:color w:val="auto"/>
                <w:lang w:val="en-US" w:eastAsia="zh-CN"/>
              </w:rPr>
              <w:t>SS</w:t>
            </w:r>
          </w:p>
        </w:tc>
        <w:tc>
          <w:tcPr>
            <w:tcW w:w="535" w:type="pct"/>
            <w:noWrap w:val="0"/>
            <w:vAlign w:val="center"/>
          </w:tcPr>
          <w:p w14:paraId="6DE653AB">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08613EC7">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59B11F27">
            <w:pPr>
              <w:pStyle w:val="33"/>
              <w:keepNext w:val="0"/>
              <w:keepLines w:val="0"/>
              <w:suppressLineNumbers w:val="0"/>
              <w:bidi w:val="0"/>
              <w:spacing w:before="0" w:beforeAutospacing="0" w:after="0" w:afterAutospacing="0"/>
              <w:ind w:left="0" w:right="0"/>
              <w:rPr>
                <w:rFonts w:hint="default" w:cs="Times New Roman"/>
                <w:color w:val="auto"/>
              </w:rPr>
            </w:pPr>
          </w:p>
        </w:tc>
        <w:tc>
          <w:tcPr>
            <w:tcW w:w="1589" w:type="dxa"/>
            <w:noWrap w:val="0"/>
            <w:vAlign w:val="center"/>
          </w:tcPr>
          <w:p w14:paraId="2B2E9F9E">
            <w:pPr>
              <w:pStyle w:val="33"/>
              <w:keepNext w:val="0"/>
              <w:keepLines w:val="0"/>
              <w:suppressLineNumbers w:val="0"/>
              <w:bidi w:val="0"/>
              <w:spacing w:before="0" w:beforeAutospacing="0" w:after="0" w:afterAutospacing="0"/>
              <w:ind w:left="0" w:right="0" w:firstLine="0" w:firstLineChars="0"/>
              <w:rPr>
                <w:rFonts w:hint="default" w:eastAsia="宋体" w:cs="Times New Roman"/>
                <w:color w:val="auto"/>
                <w:lang w:val="en-US" w:eastAsia="zh-CN"/>
              </w:rPr>
            </w:pPr>
            <w:r>
              <w:rPr>
                <w:rFonts w:hint="default"/>
                <w:lang w:val="en-US" w:eastAsia="zh-CN"/>
              </w:rPr>
              <w:t>0.238</w:t>
            </w:r>
          </w:p>
        </w:tc>
        <w:tc>
          <w:tcPr>
            <w:tcW w:w="599" w:type="pct"/>
            <w:noWrap w:val="0"/>
            <w:vAlign w:val="center"/>
          </w:tcPr>
          <w:p w14:paraId="71C1BD93">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36D582CC">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lang w:val="en-US" w:eastAsia="zh-CN"/>
              </w:rPr>
              <w:t>0.238</w:t>
            </w:r>
          </w:p>
        </w:tc>
        <w:tc>
          <w:tcPr>
            <w:tcW w:w="1258" w:type="dxa"/>
            <w:noWrap w:val="0"/>
            <w:vAlign w:val="center"/>
          </w:tcPr>
          <w:p w14:paraId="2F45725E">
            <w:pPr>
              <w:pStyle w:val="33"/>
              <w:keepNext w:val="0"/>
              <w:keepLines w:val="0"/>
              <w:suppressLineNumbers w:val="0"/>
              <w:bidi w:val="0"/>
              <w:spacing w:before="0" w:beforeAutospacing="0" w:after="0" w:afterAutospacing="0"/>
              <w:ind w:left="0" w:right="0" w:firstLine="0" w:firstLineChars="0"/>
              <w:rPr>
                <w:rFonts w:hint="eastAsia" w:cs="Times New Roman"/>
                <w:color w:val="auto"/>
                <w:lang w:val="en-US" w:eastAsia="zh-CN"/>
              </w:rPr>
            </w:pPr>
            <w:r>
              <w:rPr>
                <w:rFonts w:hint="eastAsia"/>
                <w:lang w:val="en-US" w:eastAsia="zh-CN"/>
              </w:rPr>
              <w:t>+</w:t>
            </w:r>
            <w:r>
              <w:rPr>
                <w:rFonts w:hint="default"/>
                <w:lang w:val="en-US" w:eastAsia="zh-CN"/>
              </w:rPr>
              <w:t>0.238</w:t>
            </w:r>
          </w:p>
        </w:tc>
      </w:tr>
      <w:tr w14:paraId="04D4D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13FE440D">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noWrap w:val="0"/>
            <w:vAlign w:val="center"/>
          </w:tcPr>
          <w:p w14:paraId="1422D840">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NH</w:t>
            </w:r>
            <w:r>
              <w:rPr>
                <w:rFonts w:hint="eastAsia" w:cs="Times New Roman"/>
                <w:color w:val="auto"/>
                <w:vertAlign w:val="subscript"/>
              </w:rPr>
              <w:t>3</w:t>
            </w:r>
            <w:r>
              <w:rPr>
                <w:rFonts w:hint="eastAsia" w:cs="Times New Roman"/>
                <w:color w:val="auto"/>
              </w:rPr>
              <w:t>-N</w:t>
            </w:r>
          </w:p>
        </w:tc>
        <w:tc>
          <w:tcPr>
            <w:tcW w:w="535" w:type="pct"/>
            <w:noWrap w:val="0"/>
            <w:vAlign w:val="center"/>
          </w:tcPr>
          <w:p w14:paraId="5C12C29A">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65038B13">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2B1C6B97">
            <w:pPr>
              <w:pStyle w:val="33"/>
              <w:keepNext w:val="0"/>
              <w:keepLines w:val="0"/>
              <w:suppressLineNumbers w:val="0"/>
              <w:bidi w:val="0"/>
              <w:spacing w:before="0" w:beforeAutospacing="0" w:after="0" w:afterAutospacing="0"/>
              <w:ind w:left="0" w:right="0"/>
              <w:rPr>
                <w:rFonts w:hint="default" w:cs="Times New Roman"/>
                <w:color w:val="auto"/>
              </w:rPr>
            </w:pPr>
          </w:p>
        </w:tc>
        <w:tc>
          <w:tcPr>
            <w:tcW w:w="1589" w:type="dxa"/>
            <w:noWrap w:val="0"/>
            <w:vAlign w:val="center"/>
          </w:tcPr>
          <w:p w14:paraId="12C9553B">
            <w:pPr>
              <w:pStyle w:val="33"/>
              <w:keepNext w:val="0"/>
              <w:keepLines w:val="0"/>
              <w:suppressLineNumbers w:val="0"/>
              <w:bidi w:val="0"/>
              <w:spacing w:before="0" w:beforeAutospacing="0" w:after="0" w:afterAutospacing="0"/>
              <w:ind w:left="0" w:right="0" w:firstLine="0" w:firstLineChars="0"/>
              <w:rPr>
                <w:rFonts w:hint="default" w:eastAsia="宋体" w:cs="Times New Roman"/>
                <w:color w:val="auto"/>
                <w:lang w:val="en-US" w:eastAsia="zh-CN"/>
              </w:rPr>
            </w:pPr>
            <w:r>
              <w:rPr>
                <w:rFonts w:hint="default"/>
                <w:lang w:val="en-US" w:eastAsia="zh-CN"/>
              </w:rPr>
              <w:t>0.088</w:t>
            </w:r>
          </w:p>
        </w:tc>
        <w:tc>
          <w:tcPr>
            <w:tcW w:w="599" w:type="pct"/>
            <w:noWrap w:val="0"/>
            <w:vAlign w:val="center"/>
          </w:tcPr>
          <w:p w14:paraId="09B56A13">
            <w:pPr>
              <w:pStyle w:val="33"/>
              <w:keepNext w:val="0"/>
              <w:keepLines w:val="0"/>
              <w:suppressLineNumbers w:val="0"/>
              <w:bidi w:val="0"/>
              <w:spacing w:before="0" w:beforeAutospacing="0" w:after="0" w:afterAutospacing="0"/>
              <w:ind w:left="0" w:right="0"/>
              <w:rPr>
                <w:rFonts w:hint="default" w:cs="Times New Roman"/>
                <w:color w:val="auto"/>
              </w:rPr>
            </w:pPr>
          </w:p>
        </w:tc>
        <w:tc>
          <w:tcPr>
            <w:tcW w:w="1696" w:type="dxa"/>
            <w:noWrap w:val="0"/>
            <w:vAlign w:val="center"/>
          </w:tcPr>
          <w:p w14:paraId="11EB1928">
            <w:pPr>
              <w:pStyle w:val="33"/>
              <w:keepNext w:val="0"/>
              <w:keepLines w:val="0"/>
              <w:suppressLineNumbers w:val="0"/>
              <w:bidi w:val="0"/>
              <w:spacing w:before="0" w:beforeAutospacing="0" w:after="0" w:afterAutospacing="0"/>
              <w:ind w:left="0" w:right="0" w:firstLine="0" w:firstLineChars="0"/>
              <w:rPr>
                <w:rFonts w:hint="default" w:cs="Times New Roman"/>
                <w:color w:val="auto"/>
              </w:rPr>
            </w:pPr>
            <w:r>
              <w:rPr>
                <w:rFonts w:hint="default"/>
                <w:lang w:val="en-US" w:eastAsia="zh-CN"/>
              </w:rPr>
              <w:t>0.088</w:t>
            </w:r>
          </w:p>
        </w:tc>
        <w:tc>
          <w:tcPr>
            <w:tcW w:w="1258" w:type="dxa"/>
            <w:noWrap w:val="0"/>
            <w:vAlign w:val="center"/>
          </w:tcPr>
          <w:p w14:paraId="759A87A0">
            <w:pPr>
              <w:pStyle w:val="33"/>
              <w:keepNext w:val="0"/>
              <w:keepLines w:val="0"/>
              <w:suppressLineNumbers w:val="0"/>
              <w:bidi w:val="0"/>
              <w:spacing w:before="0" w:beforeAutospacing="0" w:after="0" w:afterAutospacing="0"/>
              <w:ind w:left="0" w:right="0" w:firstLine="0" w:firstLineChars="0"/>
              <w:rPr>
                <w:rFonts w:hint="eastAsia" w:cs="Times New Roman"/>
                <w:color w:val="auto"/>
                <w:lang w:val="en-US" w:eastAsia="zh-CN"/>
              </w:rPr>
            </w:pPr>
            <w:r>
              <w:rPr>
                <w:rFonts w:hint="eastAsia"/>
                <w:lang w:val="en-US" w:eastAsia="zh-CN"/>
              </w:rPr>
              <w:t>+</w:t>
            </w:r>
            <w:r>
              <w:rPr>
                <w:rFonts w:hint="default"/>
                <w:lang w:val="en-US" w:eastAsia="zh-CN"/>
              </w:rPr>
              <w:t>0.088</w:t>
            </w:r>
          </w:p>
        </w:tc>
      </w:tr>
      <w:tr w14:paraId="6E74D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noWrap w:val="0"/>
            <w:vAlign w:val="center"/>
          </w:tcPr>
          <w:p w14:paraId="3F3FCE82">
            <w:pPr>
              <w:pStyle w:val="33"/>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rPr>
              <w:t>一般工业</w:t>
            </w:r>
          </w:p>
          <w:p w14:paraId="02B67466">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固体废物</w:t>
            </w:r>
          </w:p>
        </w:tc>
        <w:tc>
          <w:tcPr>
            <w:tcW w:w="676" w:type="pct"/>
            <w:noWrap w:val="0"/>
            <w:vAlign w:val="center"/>
          </w:tcPr>
          <w:p w14:paraId="56F5F952">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r>
              <w:rPr>
                <w:rFonts w:hint="eastAsia" w:cs="Times New Roman"/>
                <w:color w:val="auto"/>
                <w:lang w:eastAsia="zh-CN"/>
              </w:rPr>
              <w:t>不合格品</w:t>
            </w:r>
          </w:p>
        </w:tc>
        <w:tc>
          <w:tcPr>
            <w:tcW w:w="535" w:type="pct"/>
            <w:noWrap w:val="0"/>
            <w:vAlign w:val="center"/>
          </w:tcPr>
          <w:p w14:paraId="1D1AFC75">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555" w:type="pct"/>
            <w:noWrap w:val="0"/>
            <w:vAlign w:val="center"/>
          </w:tcPr>
          <w:p w14:paraId="72CE3BA1">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563" w:type="pct"/>
            <w:noWrap w:val="0"/>
            <w:vAlign w:val="center"/>
          </w:tcPr>
          <w:p w14:paraId="62A6202F">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565" w:type="pct"/>
            <w:noWrap w:val="0"/>
            <w:vAlign w:val="center"/>
          </w:tcPr>
          <w:p w14:paraId="3E4DA6C1">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r>
              <w:rPr>
                <w:rFonts w:hint="eastAsia" w:cs="Times New Roman"/>
                <w:color w:val="auto"/>
                <w:highlight w:val="none"/>
                <w:lang w:val="en-US" w:eastAsia="zh-CN"/>
              </w:rPr>
              <w:t>3</w:t>
            </w:r>
          </w:p>
        </w:tc>
        <w:tc>
          <w:tcPr>
            <w:tcW w:w="599" w:type="pct"/>
            <w:noWrap w:val="0"/>
            <w:vAlign w:val="center"/>
          </w:tcPr>
          <w:p w14:paraId="08DF1114">
            <w:pPr>
              <w:pStyle w:val="33"/>
              <w:keepNext w:val="0"/>
              <w:keepLines w:val="0"/>
              <w:suppressLineNumbers w:val="0"/>
              <w:bidi w:val="0"/>
              <w:spacing w:before="0" w:beforeAutospacing="0" w:after="0" w:afterAutospacing="0"/>
              <w:ind w:left="0" w:right="0" w:firstLine="0" w:firstLineChars="0"/>
              <w:rPr>
                <w:rFonts w:hint="eastAsia" w:cs="Times New Roman"/>
                <w:color w:val="auto"/>
                <w:lang w:val="en-US" w:eastAsia="zh-CN"/>
              </w:rPr>
            </w:pPr>
          </w:p>
        </w:tc>
        <w:tc>
          <w:tcPr>
            <w:tcW w:w="603" w:type="pct"/>
            <w:noWrap w:val="0"/>
            <w:vAlign w:val="center"/>
          </w:tcPr>
          <w:p w14:paraId="55D67AB5">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rPr>
            </w:pPr>
            <w:r>
              <w:rPr>
                <w:rFonts w:hint="eastAsia" w:cs="Times New Roman"/>
                <w:color w:val="auto"/>
                <w:highlight w:val="none"/>
                <w:lang w:val="en-US" w:eastAsia="zh-CN"/>
              </w:rPr>
              <w:t>3</w:t>
            </w:r>
          </w:p>
        </w:tc>
        <w:tc>
          <w:tcPr>
            <w:tcW w:w="447" w:type="pct"/>
            <w:noWrap w:val="0"/>
            <w:vAlign w:val="center"/>
          </w:tcPr>
          <w:p w14:paraId="4AA5B830">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highlight w:val="none"/>
                <w:lang w:val="en-US" w:eastAsia="zh-CN"/>
              </w:rPr>
              <w:t>+3</w:t>
            </w:r>
          </w:p>
        </w:tc>
      </w:tr>
      <w:tr w14:paraId="37868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61D2EBA3">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noWrap w:val="0"/>
            <w:vAlign w:val="center"/>
          </w:tcPr>
          <w:p w14:paraId="56B860EB">
            <w:pPr>
              <w:pStyle w:val="33"/>
              <w:keepNext w:val="0"/>
              <w:keepLines w:val="0"/>
              <w:suppressLineNumbers w:val="0"/>
              <w:bidi w:val="0"/>
              <w:spacing w:before="0" w:beforeAutospacing="0" w:after="0" w:afterAutospacing="0"/>
              <w:ind w:left="0" w:right="0" w:firstLine="0" w:firstLineChars="0"/>
              <w:rPr>
                <w:rFonts w:hint="eastAsia" w:cs="Times New Roman"/>
                <w:color w:val="auto"/>
                <w:lang w:val="en-US" w:eastAsia="zh-CN"/>
              </w:rPr>
            </w:pPr>
            <w:r>
              <w:rPr>
                <w:rFonts w:hint="eastAsia" w:cs="Times New Roman"/>
                <w:color w:val="auto"/>
                <w:lang w:val="en-US" w:eastAsia="zh-CN"/>
              </w:rPr>
              <w:t>废包装材料</w:t>
            </w:r>
          </w:p>
        </w:tc>
        <w:tc>
          <w:tcPr>
            <w:tcW w:w="535" w:type="pct"/>
            <w:noWrap w:val="0"/>
            <w:vAlign w:val="center"/>
          </w:tcPr>
          <w:p w14:paraId="7A4A0906">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555" w:type="pct"/>
            <w:noWrap w:val="0"/>
            <w:vAlign w:val="center"/>
          </w:tcPr>
          <w:p w14:paraId="215BF8D7">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563" w:type="pct"/>
            <w:noWrap w:val="0"/>
            <w:vAlign w:val="center"/>
          </w:tcPr>
          <w:p w14:paraId="7C19B11A">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565" w:type="pct"/>
            <w:noWrap w:val="0"/>
            <w:vAlign w:val="center"/>
          </w:tcPr>
          <w:p w14:paraId="079A754C">
            <w:pPr>
              <w:pStyle w:val="33"/>
              <w:keepNext w:val="0"/>
              <w:keepLines w:val="0"/>
              <w:suppressLineNumbers w:val="0"/>
              <w:bidi w:val="0"/>
              <w:spacing w:before="0" w:beforeAutospacing="0" w:after="0" w:afterAutospacing="0"/>
              <w:ind w:left="0" w:right="0" w:firstLine="0" w:firstLineChars="0"/>
              <w:rPr>
                <w:rFonts w:hint="eastAsia" w:cs="Times New Roman"/>
                <w:color w:val="auto"/>
                <w:lang w:val="en-US" w:eastAsia="zh-CN"/>
              </w:rPr>
            </w:pPr>
            <w:r>
              <w:rPr>
                <w:rFonts w:hint="eastAsia" w:cs="Times New Roman"/>
                <w:color w:val="auto"/>
                <w:highlight w:val="none"/>
                <w:lang w:val="en-US" w:eastAsia="zh-CN"/>
              </w:rPr>
              <w:t>1</w:t>
            </w:r>
          </w:p>
        </w:tc>
        <w:tc>
          <w:tcPr>
            <w:tcW w:w="599" w:type="pct"/>
            <w:noWrap w:val="0"/>
            <w:vAlign w:val="center"/>
          </w:tcPr>
          <w:p w14:paraId="6BAF7C8A">
            <w:pPr>
              <w:pStyle w:val="33"/>
              <w:keepNext w:val="0"/>
              <w:keepLines w:val="0"/>
              <w:suppressLineNumbers w:val="0"/>
              <w:bidi w:val="0"/>
              <w:spacing w:before="0" w:beforeAutospacing="0" w:after="0" w:afterAutospacing="0"/>
              <w:ind w:left="0" w:right="0" w:firstLine="0" w:firstLineChars="0"/>
              <w:rPr>
                <w:rFonts w:hint="default" w:cs="Times New Roman"/>
                <w:color w:val="auto"/>
                <w:lang w:val="en-US" w:eastAsia="zh-CN"/>
              </w:rPr>
            </w:pPr>
          </w:p>
        </w:tc>
        <w:tc>
          <w:tcPr>
            <w:tcW w:w="603" w:type="pct"/>
            <w:noWrap w:val="0"/>
            <w:vAlign w:val="center"/>
          </w:tcPr>
          <w:p w14:paraId="5748FC31">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highlight w:val="none"/>
                <w:lang w:val="en-US" w:eastAsia="zh-CN"/>
              </w:rPr>
              <w:t>1</w:t>
            </w:r>
          </w:p>
        </w:tc>
        <w:tc>
          <w:tcPr>
            <w:tcW w:w="447" w:type="pct"/>
            <w:noWrap w:val="0"/>
            <w:vAlign w:val="center"/>
          </w:tcPr>
          <w:p w14:paraId="52E3BC53">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highlight w:val="none"/>
                <w:lang w:val="en-US" w:eastAsia="zh-CN"/>
              </w:rPr>
              <w:t>+1</w:t>
            </w:r>
          </w:p>
        </w:tc>
      </w:tr>
      <w:tr w14:paraId="2F11A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noWrap w:val="0"/>
            <w:vAlign w:val="center"/>
          </w:tcPr>
          <w:p w14:paraId="1213CB35">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val="en-US" w:eastAsia="zh-CN"/>
              </w:rPr>
              <w:t>生活垃圾</w:t>
            </w:r>
          </w:p>
        </w:tc>
        <w:tc>
          <w:tcPr>
            <w:tcW w:w="676" w:type="pct"/>
            <w:noWrap w:val="0"/>
            <w:vAlign w:val="center"/>
          </w:tcPr>
          <w:p w14:paraId="04802BCB">
            <w:pPr>
              <w:pStyle w:val="33"/>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生活垃圾</w:t>
            </w:r>
          </w:p>
        </w:tc>
        <w:tc>
          <w:tcPr>
            <w:tcW w:w="535" w:type="pct"/>
            <w:noWrap w:val="0"/>
            <w:vAlign w:val="center"/>
          </w:tcPr>
          <w:p w14:paraId="6522294D">
            <w:pPr>
              <w:pStyle w:val="33"/>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4"/>
                <w:lang w:val="en-US" w:eastAsia="zh-CN" w:bidi="ar-SA"/>
              </w:rPr>
            </w:pPr>
          </w:p>
        </w:tc>
        <w:tc>
          <w:tcPr>
            <w:tcW w:w="555" w:type="pct"/>
            <w:noWrap w:val="0"/>
            <w:vAlign w:val="center"/>
          </w:tcPr>
          <w:p w14:paraId="6F97523A">
            <w:pPr>
              <w:pStyle w:val="33"/>
              <w:keepNext w:val="0"/>
              <w:keepLines w:val="0"/>
              <w:suppressLineNumbers w:val="0"/>
              <w:bidi w:val="0"/>
              <w:spacing w:before="0" w:beforeAutospacing="0" w:after="0" w:afterAutospacing="0"/>
              <w:ind w:left="0" w:right="0"/>
              <w:rPr>
                <w:rFonts w:hint="default" w:cs="Times New Roman"/>
                <w:color w:val="auto"/>
                <w:lang w:val="en-US" w:eastAsia="zh-CN"/>
              </w:rPr>
            </w:pPr>
          </w:p>
        </w:tc>
        <w:tc>
          <w:tcPr>
            <w:tcW w:w="563" w:type="pct"/>
            <w:noWrap w:val="0"/>
            <w:vAlign w:val="center"/>
          </w:tcPr>
          <w:p w14:paraId="454B1635">
            <w:pPr>
              <w:pStyle w:val="33"/>
              <w:keepNext w:val="0"/>
              <w:keepLines w:val="0"/>
              <w:suppressLineNumbers w:val="0"/>
              <w:bidi w:val="0"/>
              <w:spacing w:before="0" w:beforeAutospacing="0" w:after="0" w:afterAutospacing="0"/>
              <w:ind w:left="0" w:right="0"/>
              <w:rPr>
                <w:rFonts w:hint="default" w:cs="Times New Roman"/>
                <w:color w:val="auto"/>
                <w:lang w:val="en-US" w:eastAsia="zh-CN"/>
              </w:rPr>
            </w:pPr>
          </w:p>
        </w:tc>
        <w:tc>
          <w:tcPr>
            <w:tcW w:w="565" w:type="pct"/>
            <w:noWrap w:val="0"/>
            <w:vAlign w:val="center"/>
          </w:tcPr>
          <w:p w14:paraId="21487C67">
            <w:pPr>
              <w:pStyle w:val="33"/>
              <w:keepNext w:val="0"/>
              <w:keepLines w:val="0"/>
              <w:suppressLineNumbers w:val="0"/>
              <w:spacing w:before="0" w:beforeAutospacing="0" w:after="0" w:afterAutospacing="0"/>
              <w:ind w:left="0" w:right="0" w:firstLine="0" w:firstLineChars="0"/>
              <w:rPr>
                <w:rFonts w:hint="default" w:cs="Times New Roman"/>
                <w:color w:val="auto"/>
                <w:lang w:val="en-US"/>
              </w:rPr>
            </w:pPr>
            <w:r>
              <w:rPr>
                <w:rFonts w:hint="eastAsia" w:cs="Times New Roman"/>
                <w:color w:val="auto"/>
                <w:highlight w:val="none"/>
                <w:lang w:val="en-US" w:eastAsia="zh-CN"/>
              </w:rPr>
              <w:t>30</w:t>
            </w:r>
          </w:p>
        </w:tc>
        <w:tc>
          <w:tcPr>
            <w:tcW w:w="599" w:type="pct"/>
            <w:noWrap w:val="0"/>
            <w:vAlign w:val="center"/>
          </w:tcPr>
          <w:p w14:paraId="057E310F">
            <w:pPr>
              <w:pStyle w:val="33"/>
              <w:keepNext w:val="0"/>
              <w:keepLines w:val="0"/>
              <w:suppressLineNumbers w:val="0"/>
              <w:bidi w:val="0"/>
              <w:spacing w:before="0" w:beforeAutospacing="0" w:after="0" w:afterAutospacing="0"/>
              <w:ind w:left="0" w:right="0"/>
              <w:rPr>
                <w:rFonts w:hint="default" w:cs="Times New Roman"/>
                <w:color w:val="auto"/>
              </w:rPr>
            </w:pPr>
          </w:p>
        </w:tc>
        <w:tc>
          <w:tcPr>
            <w:tcW w:w="603" w:type="pct"/>
            <w:noWrap w:val="0"/>
            <w:vAlign w:val="center"/>
          </w:tcPr>
          <w:p w14:paraId="561C9359">
            <w:pPr>
              <w:pStyle w:val="33"/>
              <w:keepNext w:val="0"/>
              <w:keepLines w:val="0"/>
              <w:suppressLineNumbers w:val="0"/>
              <w:spacing w:before="0" w:beforeAutospacing="0" w:after="0" w:afterAutospacing="0"/>
              <w:ind w:left="0" w:leftChars="0" w:right="0" w:rightChars="0" w:firstLine="0" w:firstLineChars="0"/>
              <w:rPr>
                <w:rFonts w:hint="eastAsia" w:cs="Times New Roman"/>
                <w:color w:val="auto"/>
              </w:rPr>
            </w:pPr>
            <w:r>
              <w:rPr>
                <w:rFonts w:hint="eastAsia" w:cs="Times New Roman"/>
                <w:color w:val="auto"/>
                <w:highlight w:val="none"/>
                <w:lang w:val="en-US" w:eastAsia="zh-CN"/>
              </w:rPr>
              <w:t>30</w:t>
            </w:r>
          </w:p>
        </w:tc>
        <w:tc>
          <w:tcPr>
            <w:tcW w:w="447" w:type="pct"/>
            <w:noWrap w:val="0"/>
            <w:vAlign w:val="center"/>
          </w:tcPr>
          <w:p w14:paraId="6493A882">
            <w:pPr>
              <w:pStyle w:val="33"/>
              <w:keepNext w:val="0"/>
              <w:keepLines w:val="0"/>
              <w:suppressLineNumbers w:val="0"/>
              <w:spacing w:before="0" w:beforeAutospacing="0" w:after="0" w:afterAutospacing="0"/>
              <w:ind w:left="0" w:leftChars="0" w:right="0" w:rightChars="0" w:firstLine="0" w:firstLineChars="0"/>
              <w:rPr>
                <w:rFonts w:hint="eastAsia" w:cs="Times New Roman"/>
                <w:color w:val="auto"/>
              </w:rPr>
            </w:pPr>
            <w:r>
              <w:rPr>
                <w:rFonts w:hint="eastAsia" w:cs="Times New Roman"/>
                <w:color w:val="auto"/>
                <w:highlight w:val="none"/>
                <w:lang w:val="en-US" w:eastAsia="zh-CN"/>
              </w:rPr>
              <w:t>+30</w:t>
            </w:r>
          </w:p>
        </w:tc>
      </w:tr>
      <w:tr w14:paraId="76767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noWrap w:val="0"/>
            <w:vAlign w:val="center"/>
          </w:tcPr>
          <w:p w14:paraId="77CC6835">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rPr>
              <w:t>危险废物</w:t>
            </w:r>
          </w:p>
        </w:tc>
        <w:tc>
          <w:tcPr>
            <w:tcW w:w="676" w:type="pct"/>
            <w:noWrap w:val="0"/>
            <w:vAlign w:val="center"/>
          </w:tcPr>
          <w:p w14:paraId="51DC3AC5">
            <w:pPr>
              <w:pStyle w:val="33"/>
              <w:keepNext w:val="0"/>
              <w:keepLines w:val="0"/>
              <w:suppressLineNumbers w:val="0"/>
              <w:bidi w:val="0"/>
              <w:spacing w:before="0" w:beforeAutospacing="0" w:after="0" w:afterAutospacing="0"/>
              <w:ind w:left="0" w:right="0"/>
              <w:rPr>
                <w:rFonts w:hint="eastAsia" w:cs="Times New Roman"/>
                <w:color w:val="auto"/>
              </w:rPr>
            </w:pPr>
            <w:r>
              <w:rPr>
                <w:rFonts w:hint="eastAsia" w:cs="Times New Roman"/>
                <w:color w:val="auto"/>
                <w:lang w:eastAsia="zh-CN"/>
              </w:rPr>
              <w:t>废润滑油</w:t>
            </w:r>
          </w:p>
        </w:tc>
        <w:tc>
          <w:tcPr>
            <w:tcW w:w="535" w:type="pct"/>
            <w:noWrap w:val="0"/>
            <w:vAlign w:val="center"/>
          </w:tcPr>
          <w:p w14:paraId="69291AED">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32BA6BA2">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28C88B1D">
            <w:pPr>
              <w:pStyle w:val="33"/>
              <w:keepNext w:val="0"/>
              <w:keepLines w:val="0"/>
              <w:suppressLineNumbers w:val="0"/>
              <w:bidi w:val="0"/>
              <w:spacing w:before="0" w:beforeAutospacing="0" w:after="0" w:afterAutospacing="0"/>
              <w:ind w:left="0" w:right="0"/>
              <w:rPr>
                <w:rFonts w:hint="default" w:cs="Times New Roman"/>
                <w:color w:val="auto"/>
              </w:rPr>
            </w:pPr>
          </w:p>
        </w:tc>
        <w:tc>
          <w:tcPr>
            <w:tcW w:w="565" w:type="pct"/>
            <w:noWrap w:val="0"/>
            <w:vAlign w:val="center"/>
          </w:tcPr>
          <w:p w14:paraId="191358D3">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0.05</w:t>
            </w:r>
          </w:p>
        </w:tc>
        <w:tc>
          <w:tcPr>
            <w:tcW w:w="599" w:type="pct"/>
            <w:noWrap w:val="0"/>
            <w:vAlign w:val="center"/>
          </w:tcPr>
          <w:p w14:paraId="7E764BF7">
            <w:pPr>
              <w:pStyle w:val="33"/>
              <w:keepNext w:val="0"/>
              <w:keepLines w:val="0"/>
              <w:suppressLineNumbers w:val="0"/>
              <w:bidi w:val="0"/>
              <w:spacing w:before="0" w:beforeAutospacing="0" w:after="0" w:afterAutospacing="0"/>
              <w:ind w:left="0" w:right="0"/>
              <w:rPr>
                <w:rFonts w:hint="default" w:cs="Times New Roman"/>
                <w:color w:val="auto"/>
              </w:rPr>
            </w:pPr>
          </w:p>
        </w:tc>
        <w:tc>
          <w:tcPr>
            <w:tcW w:w="603" w:type="pct"/>
            <w:noWrap w:val="0"/>
            <w:vAlign w:val="center"/>
          </w:tcPr>
          <w:p w14:paraId="32E68721">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rPr>
            </w:pPr>
            <w:r>
              <w:rPr>
                <w:rFonts w:hint="eastAsia" w:cs="Times New Roman"/>
                <w:color w:val="auto"/>
                <w:lang w:val="en-US" w:eastAsia="zh-CN"/>
              </w:rPr>
              <w:t>0.05</w:t>
            </w:r>
          </w:p>
        </w:tc>
        <w:tc>
          <w:tcPr>
            <w:tcW w:w="447" w:type="pct"/>
            <w:noWrap w:val="0"/>
            <w:vAlign w:val="center"/>
          </w:tcPr>
          <w:p w14:paraId="3FC1F7C3">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rPr>
            </w:pPr>
            <w:r>
              <w:rPr>
                <w:rFonts w:hint="eastAsia" w:cs="Times New Roman"/>
                <w:color w:val="auto"/>
                <w:lang w:val="en-US" w:eastAsia="zh-CN"/>
              </w:rPr>
              <w:t>+0.05</w:t>
            </w:r>
          </w:p>
        </w:tc>
      </w:tr>
      <w:tr w14:paraId="4EB0A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0F20BEE6">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noWrap w:val="0"/>
            <w:vAlign w:val="center"/>
          </w:tcPr>
          <w:p w14:paraId="6DC65D17">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废油桶</w:t>
            </w:r>
          </w:p>
        </w:tc>
        <w:tc>
          <w:tcPr>
            <w:tcW w:w="535" w:type="pct"/>
            <w:noWrap w:val="0"/>
            <w:vAlign w:val="center"/>
          </w:tcPr>
          <w:p w14:paraId="04691BA1">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20FED6D1">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02689504">
            <w:pPr>
              <w:pStyle w:val="33"/>
              <w:keepNext w:val="0"/>
              <w:keepLines w:val="0"/>
              <w:suppressLineNumbers w:val="0"/>
              <w:bidi w:val="0"/>
              <w:spacing w:before="0" w:beforeAutospacing="0" w:after="0" w:afterAutospacing="0"/>
              <w:ind w:left="0" w:right="0"/>
              <w:rPr>
                <w:rFonts w:hint="default" w:cs="Times New Roman"/>
                <w:color w:val="auto"/>
              </w:rPr>
            </w:pPr>
          </w:p>
        </w:tc>
        <w:tc>
          <w:tcPr>
            <w:tcW w:w="565" w:type="pct"/>
            <w:noWrap w:val="0"/>
            <w:vAlign w:val="center"/>
          </w:tcPr>
          <w:p w14:paraId="2801E454">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0.01</w:t>
            </w:r>
          </w:p>
        </w:tc>
        <w:tc>
          <w:tcPr>
            <w:tcW w:w="599" w:type="pct"/>
            <w:noWrap w:val="0"/>
            <w:vAlign w:val="center"/>
          </w:tcPr>
          <w:p w14:paraId="3856DA51">
            <w:pPr>
              <w:pStyle w:val="33"/>
              <w:keepNext w:val="0"/>
              <w:keepLines w:val="0"/>
              <w:suppressLineNumbers w:val="0"/>
              <w:bidi w:val="0"/>
              <w:spacing w:before="0" w:beforeAutospacing="0" w:after="0" w:afterAutospacing="0"/>
              <w:ind w:left="0" w:right="0"/>
              <w:rPr>
                <w:rFonts w:hint="default" w:cs="Times New Roman"/>
                <w:color w:val="auto"/>
              </w:rPr>
            </w:pPr>
          </w:p>
        </w:tc>
        <w:tc>
          <w:tcPr>
            <w:tcW w:w="603" w:type="pct"/>
            <w:noWrap w:val="0"/>
            <w:vAlign w:val="center"/>
          </w:tcPr>
          <w:p w14:paraId="65E09A38">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0.01</w:t>
            </w:r>
          </w:p>
        </w:tc>
        <w:tc>
          <w:tcPr>
            <w:tcW w:w="447" w:type="pct"/>
            <w:noWrap w:val="0"/>
            <w:vAlign w:val="center"/>
          </w:tcPr>
          <w:p w14:paraId="5D59B40F">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+0.01</w:t>
            </w:r>
          </w:p>
        </w:tc>
      </w:tr>
      <w:tr w14:paraId="4EE5C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14:paraId="15D93D36">
            <w:pPr>
              <w:pStyle w:val="33"/>
              <w:keepNext w:val="0"/>
              <w:keepLines w:val="0"/>
              <w:suppressLineNumbers w:val="0"/>
              <w:bidi w:val="0"/>
              <w:spacing w:before="0" w:beforeAutospacing="0" w:after="0" w:afterAutospacing="0"/>
              <w:ind w:left="0" w:right="0"/>
              <w:rPr>
                <w:rFonts w:hint="eastAsia" w:cs="Times New Roman"/>
                <w:color w:val="auto"/>
              </w:rPr>
            </w:pPr>
          </w:p>
        </w:tc>
        <w:tc>
          <w:tcPr>
            <w:tcW w:w="676" w:type="pct"/>
            <w:noWrap w:val="0"/>
            <w:vAlign w:val="center"/>
          </w:tcPr>
          <w:p w14:paraId="7A3AA722">
            <w:pPr>
              <w:pStyle w:val="33"/>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eastAsia="zh-CN"/>
              </w:rPr>
              <w:t>含油抹布及手套</w:t>
            </w:r>
          </w:p>
        </w:tc>
        <w:tc>
          <w:tcPr>
            <w:tcW w:w="535" w:type="pct"/>
            <w:noWrap w:val="0"/>
            <w:vAlign w:val="center"/>
          </w:tcPr>
          <w:p w14:paraId="3B8BA69C">
            <w:pPr>
              <w:pStyle w:val="33"/>
              <w:keepNext w:val="0"/>
              <w:keepLines w:val="0"/>
              <w:suppressLineNumbers w:val="0"/>
              <w:bidi w:val="0"/>
              <w:spacing w:before="0" w:beforeAutospacing="0" w:after="0" w:afterAutospacing="0"/>
              <w:ind w:left="0" w:right="0"/>
              <w:rPr>
                <w:rFonts w:hint="default" w:cs="Times New Roman"/>
                <w:color w:val="auto"/>
              </w:rPr>
            </w:pPr>
          </w:p>
        </w:tc>
        <w:tc>
          <w:tcPr>
            <w:tcW w:w="555" w:type="pct"/>
            <w:noWrap w:val="0"/>
            <w:vAlign w:val="center"/>
          </w:tcPr>
          <w:p w14:paraId="72E741CC">
            <w:pPr>
              <w:pStyle w:val="33"/>
              <w:keepNext w:val="0"/>
              <w:keepLines w:val="0"/>
              <w:suppressLineNumbers w:val="0"/>
              <w:bidi w:val="0"/>
              <w:spacing w:before="0" w:beforeAutospacing="0" w:after="0" w:afterAutospacing="0"/>
              <w:ind w:left="0" w:right="0"/>
              <w:rPr>
                <w:rFonts w:hint="default" w:cs="Times New Roman"/>
                <w:color w:val="auto"/>
              </w:rPr>
            </w:pPr>
          </w:p>
        </w:tc>
        <w:tc>
          <w:tcPr>
            <w:tcW w:w="563" w:type="pct"/>
            <w:noWrap w:val="0"/>
            <w:vAlign w:val="center"/>
          </w:tcPr>
          <w:p w14:paraId="084E4610">
            <w:pPr>
              <w:pStyle w:val="33"/>
              <w:keepNext w:val="0"/>
              <w:keepLines w:val="0"/>
              <w:suppressLineNumbers w:val="0"/>
              <w:bidi w:val="0"/>
              <w:spacing w:before="0" w:beforeAutospacing="0" w:after="0" w:afterAutospacing="0"/>
              <w:ind w:left="0" w:right="0"/>
              <w:rPr>
                <w:rFonts w:hint="default" w:cs="Times New Roman"/>
                <w:color w:val="auto"/>
              </w:rPr>
            </w:pPr>
          </w:p>
        </w:tc>
        <w:tc>
          <w:tcPr>
            <w:tcW w:w="565" w:type="pct"/>
            <w:noWrap w:val="0"/>
            <w:vAlign w:val="center"/>
          </w:tcPr>
          <w:p w14:paraId="6A71BC46">
            <w:pPr>
              <w:pStyle w:val="33"/>
              <w:keepNext w:val="0"/>
              <w:keepLines w:val="0"/>
              <w:suppressLineNumbers w:val="0"/>
              <w:bidi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0.002</w:t>
            </w:r>
          </w:p>
        </w:tc>
        <w:tc>
          <w:tcPr>
            <w:tcW w:w="599" w:type="pct"/>
            <w:noWrap w:val="0"/>
            <w:vAlign w:val="center"/>
          </w:tcPr>
          <w:p w14:paraId="09E99894">
            <w:pPr>
              <w:pStyle w:val="33"/>
              <w:keepNext w:val="0"/>
              <w:keepLines w:val="0"/>
              <w:suppressLineNumbers w:val="0"/>
              <w:bidi w:val="0"/>
              <w:spacing w:before="0" w:beforeAutospacing="0" w:after="0" w:afterAutospacing="0"/>
              <w:ind w:left="0" w:right="0"/>
              <w:rPr>
                <w:rFonts w:hint="default" w:cs="Times New Roman"/>
                <w:color w:val="auto"/>
              </w:rPr>
            </w:pPr>
          </w:p>
        </w:tc>
        <w:tc>
          <w:tcPr>
            <w:tcW w:w="603" w:type="pct"/>
            <w:noWrap w:val="0"/>
            <w:vAlign w:val="center"/>
          </w:tcPr>
          <w:p w14:paraId="5E92C5D3">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0.002</w:t>
            </w:r>
          </w:p>
        </w:tc>
        <w:tc>
          <w:tcPr>
            <w:tcW w:w="447" w:type="pct"/>
            <w:noWrap w:val="0"/>
            <w:vAlign w:val="center"/>
          </w:tcPr>
          <w:p w14:paraId="0086C77D">
            <w:pPr>
              <w:pStyle w:val="33"/>
              <w:keepNext w:val="0"/>
              <w:keepLines w:val="0"/>
              <w:suppressLineNumbers w:val="0"/>
              <w:bidi w:val="0"/>
              <w:spacing w:before="0" w:beforeAutospacing="0" w:after="0" w:afterAutospacing="0"/>
              <w:ind w:left="0" w:leftChars="0" w:right="0" w:rightChars="0" w:firstLine="0" w:firstLineChars="0"/>
              <w:rPr>
                <w:rFonts w:hint="eastAsia" w:cs="Times New Roman"/>
                <w:color w:val="auto"/>
                <w:lang w:val="en-US" w:eastAsia="zh-CN"/>
              </w:rPr>
            </w:pPr>
            <w:r>
              <w:rPr>
                <w:rFonts w:hint="eastAsia" w:cs="Times New Roman"/>
                <w:color w:val="auto"/>
                <w:lang w:val="en-US" w:eastAsia="zh-CN"/>
              </w:rPr>
              <w:t>+0.002</w:t>
            </w:r>
          </w:p>
        </w:tc>
      </w:tr>
    </w:tbl>
    <w:p w14:paraId="72D4A132">
      <w:pPr>
        <w:adjustRightInd/>
        <w:snapToGrid/>
        <w:spacing w:beforeLines="0" w:afterLines="0" w:line="240" w:lineRule="auto"/>
        <w:jc w:val="left"/>
        <w:rPr>
          <w:rFonts w:hint="eastAsia"/>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16D35790">
      <w:pPr>
        <w:rPr>
          <w:rFonts w:hint="eastAsia"/>
          <w:color w:val="auto"/>
        </w:rPr>
      </w:pPr>
    </w:p>
    <w:p w14:paraId="7EA68ACC">
      <w:pPr>
        <w:rPr>
          <w:rFonts w:hint="eastAsia"/>
          <w:color w:val="auto"/>
        </w:rPr>
      </w:pPr>
    </w:p>
    <w:p w14:paraId="7B91EE66">
      <w:pPr>
        <w:spacing w:before="0" w:beforeAutospacing="0" w:after="0" w:afterAutospacing="0"/>
        <w:ind w:left="0" w:leftChars="0" w:firstLine="0" w:firstLineChars="0"/>
        <w:outlineLvl w:val="0"/>
        <w:rPr>
          <w:rFonts w:hint="eastAsia" w:ascii="黑体" w:hAnsi="黑体" w:eastAsia="黑体"/>
          <w:snapToGrid w:val="0"/>
          <w:color w:val="auto"/>
          <w:sz w:val="32"/>
          <w:szCs w:val="32"/>
        </w:rPr>
        <w:sectPr>
          <w:footerReference r:id="rId9"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2" w:name="_Toc16192"/>
    </w:p>
    <w:bookmarkEnd w:id="12"/>
    <w:p w14:paraId="5454DBB6">
      <w:pPr>
        <w:spacing w:line="360" w:lineRule="auto"/>
        <w:ind w:left="0" w:leftChars="0" w:firstLine="0" w:firstLineChars="0"/>
        <w:jc w:val="left"/>
        <w:rPr>
          <w:rFonts w:hint="default" w:ascii="Times New Roman" w:hAnsi="Times New Roman"/>
          <w:color w:val="auto"/>
          <w:lang w:val="en-US" w:eastAsia="zh-CN"/>
        </w:rPr>
      </w:pPr>
      <w:r>
        <w:rPr>
          <w:rFonts w:hint="default" w:ascii="Times New Roman" w:hAnsi="Times New Roman"/>
          <w:color w:val="auto"/>
          <w:lang w:val="en-US" w:eastAsia="zh-CN"/>
        </w:rPr>
        <w:drawing>
          <wp:inline distT="0" distB="0" distL="114300" distR="114300">
            <wp:extent cx="6109970" cy="8639810"/>
            <wp:effectExtent l="0" t="0" r="1270" b="1270"/>
            <wp:docPr id="7" name="图片 7" descr="精益达环评盖章页（各1份）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精益达环评盖章页（各1份）_02"/>
                    <pic:cNvPicPr>
                      <a:picLocks noChangeAspect="1"/>
                    </pic:cNvPicPr>
                  </pic:nvPicPr>
                  <pic:blipFill>
                    <a:blip r:embed="rId25"/>
                    <a:stretch>
                      <a:fillRect/>
                    </a:stretch>
                  </pic:blipFill>
                  <pic:spPr>
                    <a:xfrm>
                      <a:off x="0" y="0"/>
                      <a:ext cx="6109970" cy="8639810"/>
                    </a:xfrm>
                    <a:prstGeom prst="rect">
                      <a:avLst/>
                    </a:prstGeom>
                  </pic:spPr>
                </pic:pic>
              </a:graphicData>
            </a:graphic>
          </wp:inline>
        </w:drawing>
      </w:r>
      <w:r>
        <w:rPr>
          <w:rFonts w:hint="default" w:ascii="Times New Roman" w:hAnsi="Times New Roman"/>
          <w:color w:val="auto"/>
          <w:lang w:val="en-US" w:eastAsia="zh-CN"/>
        </w:rPr>
        <w:drawing>
          <wp:inline distT="0" distB="0" distL="114300" distR="114300">
            <wp:extent cx="6109335" cy="8639810"/>
            <wp:effectExtent l="0" t="0" r="1905" b="1270"/>
            <wp:docPr id="8" name="图片 8" descr="精益达环评盖章页（各1份）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精益达环评盖章页（各1份）_04"/>
                    <pic:cNvPicPr>
                      <a:picLocks noChangeAspect="1"/>
                    </pic:cNvPicPr>
                  </pic:nvPicPr>
                  <pic:blipFill>
                    <a:blip r:embed="rId26"/>
                    <a:stretch>
                      <a:fillRect/>
                    </a:stretch>
                  </pic:blipFill>
                  <pic:spPr>
                    <a:xfrm>
                      <a:off x="0" y="0"/>
                      <a:ext cx="6109335" cy="8639810"/>
                    </a:xfrm>
                    <a:prstGeom prst="rect">
                      <a:avLst/>
                    </a:prstGeom>
                  </pic:spPr>
                </pic:pic>
              </a:graphicData>
            </a:graphic>
          </wp:inline>
        </w:drawing>
      </w:r>
      <w:r>
        <w:rPr>
          <w:rFonts w:hint="default" w:ascii="Times New Roman" w:hAnsi="Times New Roman"/>
          <w:color w:val="auto"/>
          <w:lang w:val="en-US" w:eastAsia="zh-CN"/>
        </w:rPr>
        <w:drawing>
          <wp:inline distT="0" distB="0" distL="114300" distR="114300">
            <wp:extent cx="6109335" cy="8639810"/>
            <wp:effectExtent l="0" t="0" r="1905" b="1270"/>
            <wp:docPr id="11" name="图片 11" descr="精益达环评盖章页（各1份）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精益达环评盖章页（各1份）_03"/>
                    <pic:cNvPicPr>
                      <a:picLocks noChangeAspect="1"/>
                    </pic:cNvPicPr>
                  </pic:nvPicPr>
                  <pic:blipFill>
                    <a:blip r:embed="rId27"/>
                    <a:stretch>
                      <a:fillRect/>
                    </a:stretch>
                  </pic:blipFill>
                  <pic:spPr>
                    <a:xfrm>
                      <a:off x="0" y="0"/>
                      <a:ext cx="6109335" cy="8639810"/>
                    </a:xfrm>
                    <a:prstGeom prst="rect">
                      <a:avLst/>
                    </a:prstGeom>
                  </pic:spPr>
                </pic:pic>
              </a:graphicData>
            </a:graphic>
          </wp:inline>
        </w:drawing>
      </w:r>
    </w:p>
    <w:p w14:paraId="58689E92">
      <w:pPr>
        <w:bidi w:val="0"/>
        <w:ind w:left="0" w:leftChars="0" w:firstLine="0" w:firstLineChars="0"/>
        <w:rPr>
          <w:rFonts w:hint="default"/>
          <w:color w:val="auto"/>
          <w:lang w:val="en-US" w:eastAsia="zh-CN"/>
        </w:rPr>
      </w:pPr>
    </w:p>
    <w:sectPr>
      <w:headerReference r:id="rId10" w:type="default"/>
      <w:footerReference r:id="rId11" w:type="default"/>
      <w:pgSz w:w="11906" w:h="16838"/>
      <w:pgMar w:top="1134" w:right="1417" w:bottom="1134" w:left="1134"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ECF45">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EB134">
    <w:pPr>
      <w:tabs>
        <w:tab w:val="center" w:pos="4153"/>
        <w:tab w:val="right" w:pos="8306"/>
      </w:tabs>
      <w:ind w:right="360" w:firstLine="360"/>
      <w:jc w:val="center"/>
      <w:rPr>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43FEC">
    <w:pPr>
      <w:tabs>
        <w:tab w:val="center" w:pos="4153"/>
        <w:tab w:val="right" w:pos="8306"/>
      </w:tabs>
      <w:ind w:right="360" w:firstLine="360"/>
      <w:jc w:val="center"/>
      <w:rPr>
        <w:szCs w:val="18"/>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E98CCD">
                          <w:pPr>
                            <w:pStyle w:val="14"/>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zeeBd8BAADAAwAADgAAAAAA&#10;AAABACAAAAAeAQAAZHJzL2Uyb0RvYy54bWxQSwUGAAAAAAYABgBZAQAAbwUAAAAA&#10;">
              <v:fill on="f" focussize="0,0"/>
              <v:stroke on="f"/>
              <v:imagedata o:title=""/>
              <o:lock v:ext="edit" aspectratio="f"/>
              <v:textbox inset="0mm,0mm,0mm,0mm" style="mso-fit-shape-to-text:t;">
                <w:txbxContent>
                  <w:p w14:paraId="1EE98CCD">
                    <w:pPr>
                      <w:pStyle w:val="14"/>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78F3F">
    <w:pPr>
      <w:tabs>
        <w:tab w:val="center" w:pos="4153"/>
        <w:tab w:val="right" w:pos="8306"/>
      </w:tabs>
      <w:ind w:right="360" w:firstLine="360"/>
      <w:jc w:val="center"/>
      <w:rPr>
        <w:szCs w:val="18"/>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A620B5">
                          <w:pPr>
                            <w:pStyle w:val="14"/>
                          </w:pPr>
                          <w:r>
                            <w:fldChar w:fldCharType="begin"/>
                          </w:r>
                          <w:r>
                            <w:instrText xml:space="preserve"> PAGE  \* MERGEFORMAT </w:instrText>
                          </w:r>
                          <w:r>
                            <w:fldChar w:fldCharType="separate"/>
                          </w:r>
                          <w:r>
                            <w:t>101</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wWl98BAADAAwAADgAAAAAA&#10;AAABACAAAAAeAQAAZHJzL2Uyb0RvYy54bWxQSwUGAAAAAAYABgBZAQAAbwUAAAAA&#10;">
              <v:fill on="f" focussize="0,0"/>
              <v:stroke on="f"/>
              <v:imagedata o:title=""/>
              <o:lock v:ext="edit" aspectratio="f"/>
              <v:textbox inset="0mm,0mm,0mm,0mm" style="mso-fit-shape-to-text:t;">
                <w:txbxContent>
                  <w:p w14:paraId="42A620B5">
                    <w:pPr>
                      <w:pStyle w:val="1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8B203">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912AD">
    <w:pPr>
      <w:pBdr>
        <w:bottom w:val="none" w:color="auto" w:sz="0" w:space="1"/>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AF20">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CF055"/>
    <w:multiLevelType w:val="multilevel"/>
    <w:tmpl w:val="8E6CF055"/>
    <w:lvl w:ilvl="0" w:tentative="0">
      <w:start w:val="1"/>
      <w:numFmt w:val="chineseCounting"/>
      <w:pStyle w:val="2"/>
      <w:suff w:val="nothing"/>
      <w:lvlText w:val="%1、"/>
      <w:lvlJc w:val="left"/>
      <w:pPr>
        <w:tabs>
          <w:tab w:val="left" w:pos="0"/>
        </w:tabs>
        <w:ind w:left="5529" w:hanging="5529"/>
      </w:pPr>
      <w:rPr>
        <w:rFonts w:hint="eastAsia" w:ascii="黑体" w:hAnsi="黑体" w:eastAsia="宋体" w:cs="黑体"/>
        <w:b/>
        <w:bCs/>
      </w:rPr>
    </w:lvl>
    <w:lvl w:ilvl="1" w:tentative="0">
      <w:start w:val="1"/>
      <w:numFmt w:val="decimal"/>
      <w:pStyle w:val="3"/>
      <w:isLgl/>
      <w:suff w:val="space"/>
      <w:lvlText w:val="%1.%2"/>
      <w:lvlJc w:val="left"/>
      <w:pPr>
        <w:tabs>
          <w:tab w:val="left" w:pos="420"/>
        </w:tabs>
        <w:ind w:left="0" w:firstLine="0"/>
      </w:pPr>
      <w:rPr>
        <w:rFonts w:hint="eastAsia" w:ascii="Times New Roman" w:hAnsi="Times New Roman" w:eastAsia="宋体" w:cs="Times New Roman"/>
        <w:b/>
      </w:rPr>
    </w:lvl>
    <w:lvl w:ilvl="2" w:tentative="0">
      <w:start w:val="1"/>
      <w:numFmt w:val="decimal"/>
      <w:pStyle w:val="4"/>
      <w:isLgl/>
      <w:suff w:val="space"/>
      <w:lvlText w:val="%1.%2.%3"/>
      <w:lvlJc w:val="left"/>
      <w:pPr>
        <w:tabs>
          <w:tab w:val="left" w:pos="420"/>
        </w:tabs>
        <w:ind w:left="0" w:firstLine="0"/>
      </w:pPr>
      <w:rPr>
        <w:rFonts w:hint="eastAsia" w:ascii="Times New Roman" w:hAnsi="Times New Roman" w:eastAsia="宋体" w:cs="Times New Roman"/>
        <w:b/>
      </w:rPr>
    </w:lvl>
    <w:lvl w:ilvl="3" w:tentative="0">
      <w:start w:val="1"/>
      <w:numFmt w:val="decimal"/>
      <w:lvlRestart w:val="2"/>
      <w:pStyle w:val="36"/>
      <w:isLgl/>
      <w:suff w:val="space"/>
      <w:lvlText w:val="表%1.%2-%4"/>
      <w:lvlJc w:val="left"/>
      <w:pPr>
        <w:tabs>
          <w:tab w:val="left" w:pos="0"/>
        </w:tabs>
        <w:ind w:left="0" w:firstLine="0"/>
      </w:pPr>
      <w:rPr>
        <w:rFonts w:hint="eastAsia" w:ascii="Times New Roman" w:hAnsi="Times New Roman" w:eastAsia="宋体" w:cs="Times New Roman"/>
        <w:b/>
        <w:lang w:val="en-US"/>
      </w:rPr>
    </w:lvl>
    <w:lvl w:ilvl="4" w:tentative="0">
      <w:start w:val="1"/>
      <w:numFmt w:val="decimal"/>
      <w:lvlRestart w:val="2"/>
      <w:isLgl/>
      <w:suff w:val="space"/>
      <w:lvlText w:val="图%1.%2-%5"/>
      <w:lvlJc w:val="left"/>
      <w:pPr>
        <w:ind w:left="0" w:firstLine="0"/>
      </w:pPr>
      <w:rPr>
        <w:rFonts w:hint="eastAsia" w:ascii="Times New Roman" w:hAnsi="Times New Roman" w:eastAsia="宋体" w:cs="Times New Roman"/>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OTNjZDg3NjEyMmI4MDk1ZTI1MDRiNmYyM2JhZTUifQ=="/>
  </w:docVars>
  <w:rsids>
    <w:rsidRoot w:val="00172A27"/>
    <w:rsid w:val="000060B3"/>
    <w:rsid w:val="00013051"/>
    <w:rsid w:val="0004364B"/>
    <w:rsid w:val="00061B1F"/>
    <w:rsid w:val="00072700"/>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0A31"/>
    <w:rsid w:val="000E3ED2"/>
    <w:rsid w:val="001031C6"/>
    <w:rsid w:val="00114B4A"/>
    <w:rsid w:val="00131F42"/>
    <w:rsid w:val="001357F1"/>
    <w:rsid w:val="00140FA8"/>
    <w:rsid w:val="00142FEB"/>
    <w:rsid w:val="00143A2D"/>
    <w:rsid w:val="00145A41"/>
    <w:rsid w:val="00151675"/>
    <w:rsid w:val="00157435"/>
    <w:rsid w:val="0017504D"/>
    <w:rsid w:val="0017671A"/>
    <w:rsid w:val="00177422"/>
    <w:rsid w:val="00183667"/>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3F86"/>
    <w:rsid w:val="00254345"/>
    <w:rsid w:val="00264557"/>
    <w:rsid w:val="002805AB"/>
    <w:rsid w:val="0028140C"/>
    <w:rsid w:val="00284204"/>
    <w:rsid w:val="00291773"/>
    <w:rsid w:val="00296805"/>
    <w:rsid w:val="002A168C"/>
    <w:rsid w:val="002A3DC7"/>
    <w:rsid w:val="002B49E2"/>
    <w:rsid w:val="002B7B00"/>
    <w:rsid w:val="002B7C44"/>
    <w:rsid w:val="002C2B17"/>
    <w:rsid w:val="002D3DD0"/>
    <w:rsid w:val="002E1F3A"/>
    <w:rsid w:val="002E298A"/>
    <w:rsid w:val="00301978"/>
    <w:rsid w:val="0030332C"/>
    <w:rsid w:val="003051C2"/>
    <w:rsid w:val="00306D98"/>
    <w:rsid w:val="00312296"/>
    <w:rsid w:val="00314F0E"/>
    <w:rsid w:val="00321D8E"/>
    <w:rsid w:val="00325928"/>
    <w:rsid w:val="003306F4"/>
    <w:rsid w:val="00332863"/>
    <w:rsid w:val="0033684D"/>
    <w:rsid w:val="00337B42"/>
    <w:rsid w:val="00341B42"/>
    <w:rsid w:val="0034348F"/>
    <w:rsid w:val="00356653"/>
    <w:rsid w:val="0035743F"/>
    <w:rsid w:val="00357BE2"/>
    <w:rsid w:val="0036170C"/>
    <w:rsid w:val="00366E0F"/>
    <w:rsid w:val="00381A72"/>
    <w:rsid w:val="00384676"/>
    <w:rsid w:val="00390857"/>
    <w:rsid w:val="003A391E"/>
    <w:rsid w:val="003A4BF3"/>
    <w:rsid w:val="003B420D"/>
    <w:rsid w:val="003C2CC5"/>
    <w:rsid w:val="003C6C16"/>
    <w:rsid w:val="003D794D"/>
    <w:rsid w:val="003E3058"/>
    <w:rsid w:val="003E76A9"/>
    <w:rsid w:val="003F0809"/>
    <w:rsid w:val="003F6A8C"/>
    <w:rsid w:val="003F755C"/>
    <w:rsid w:val="00406F01"/>
    <w:rsid w:val="00410DE7"/>
    <w:rsid w:val="00416D50"/>
    <w:rsid w:val="00416FD5"/>
    <w:rsid w:val="00417772"/>
    <w:rsid w:val="00420E6A"/>
    <w:rsid w:val="00425A9E"/>
    <w:rsid w:val="00426D6B"/>
    <w:rsid w:val="00431E6C"/>
    <w:rsid w:val="00433CE7"/>
    <w:rsid w:val="00443541"/>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6EB7"/>
    <w:rsid w:val="005401AE"/>
    <w:rsid w:val="00542E07"/>
    <w:rsid w:val="00545424"/>
    <w:rsid w:val="00554A7B"/>
    <w:rsid w:val="0055572C"/>
    <w:rsid w:val="0056106A"/>
    <w:rsid w:val="00563685"/>
    <w:rsid w:val="005720AE"/>
    <w:rsid w:val="00594D77"/>
    <w:rsid w:val="005969E4"/>
    <w:rsid w:val="005A06B7"/>
    <w:rsid w:val="005A1759"/>
    <w:rsid w:val="005A68A7"/>
    <w:rsid w:val="005D36AB"/>
    <w:rsid w:val="005D66EB"/>
    <w:rsid w:val="005E3ECB"/>
    <w:rsid w:val="005F557D"/>
    <w:rsid w:val="0061526D"/>
    <w:rsid w:val="00617CC3"/>
    <w:rsid w:val="006377A6"/>
    <w:rsid w:val="00637A3D"/>
    <w:rsid w:val="006411B6"/>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1E55"/>
    <w:rsid w:val="00723990"/>
    <w:rsid w:val="00724174"/>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76A8"/>
    <w:rsid w:val="007B72B8"/>
    <w:rsid w:val="007B7A58"/>
    <w:rsid w:val="007C21B5"/>
    <w:rsid w:val="007E4BD2"/>
    <w:rsid w:val="00801393"/>
    <w:rsid w:val="00802F88"/>
    <w:rsid w:val="0080677A"/>
    <w:rsid w:val="0081293E"/>
    <w:rsid w:val="00815465"/>
    <w:rsid w:val="00817E9A"/>
    <w:rsid w:val="008306BD"/>
    <w:rsid w:val="00831A80"/>
    <w:rsid w:val="00833743"/>
    <w:rsid w:val="008340A4"/>
    <w:rsid w:val="0087135F"/>
    <w:rsid w:val="00872D94"/>
    <w:rsid w:val="00880364"/>
    <w:rsid w:val="00886298"/>
    <w:rsid w:val="00891592"/>
    <w:rsid w:val="00891E9E"/>
    <w:rsid w:val="008957BD"/>
    <w:rsid w:val="00897BC3"/>
    <w:rsid w:val="008A2F68"/>
    <w:rsid w:val="008B4FA6"/>
    <w:rsid w:val="008B5282"/>
    <w:rsid w:val="008B7C17"/>
    <w:rsid w:val="008C2D01"/>
    <w:rsid w:val="008C40E6"/>
    <w:rsid w:val="008D0F7A"/>
    <w:rsid w:val="008D40B3"/>
    <w:rsid w:val="008D4EE8"/>
    <w:rsid w:val="008D68E4"/>
    <w:rsid w:val="008E0506"/>
    <w:rsid w:val="008E0CFF"/>
    <w:rsid w:val="008E5D6B"/>
    <w:rsid w:val="008E76F0"/>
    <w:rsid w:val="008F15FE"/>
    <w:rsid w:val="008F20E9"/>
    <w:rsid w:val="008F2D29"/>
    <w:rsid w:val="008F5187"/>
    <w:rsid w:val="008F60D8"/>
    <w:rsid w:val="008F755E"/>
    <w:rsid w:val="00902727"/>
    <w:rsid w:val="0090312B"/>
    <w:rsid w:val="0091736D"/>
    <w:rsid w:val="00920B36"/>
    <w:rsid w:val="0093037A"/>
    <w:rsid w:val="0094154D"/>
    <w:rsid w:val="0095155F"/>
    <w:rsid w:val="00954429"/>
    <w:rsid w:val="009563CE"/>
    <w:rsid w:val="00976328"/>
    <w:rsid w:val="0097680D"/>
    <w:rsid w:val="00982438"/>
    <w:rsid w:val="0098404C"/>
    <w:rsid w:val="00985283"/>
    <w:rsid w:val="00995992"/>
    <w:rsid w:val="009A03E5"/>
    <w:rsid w:val="009A0F3B"/>
    <w:rsid w:val="009A13B3"/>
    <w:rsid w:val="009A1BB4"/>
    <w:rsid w:val="009A2628"/>
    <w:rsid w:val="009A3200"/>
    <w:rsid w:val="009B0897"/>
    <w:rsid w:val="009B7BD9"/>
    <w:rsid w:val="009C7DD5"/>
    <w:rsid w:val="009E09C9"/>
    <w:rsid w:val="009E227D"/>
    <w:rsid w:val="009E5019"/>
    <w:rsid w:val="00A04F1B"/>
    <w:rsid w:val="00A0501B"/>
    <w:rsid w:val="00A14947"/>
    <w:rsid w:val="00A32A83"/>
    <w:rsid w:val="00A368DB"/>
    <w:rsid w:val="00A423AA"/>
    <w:rsid w:val="00A53EC6"/>
    <w:rsid w:val="00A54E75"/>
    <w:rsid w:val="00A55C0F"/>
    <w:rsid w:val="00A8713F"/>
    <w:rsid w:val="00A90BA1"/>
    <w:rsid w:val="00A97A9A"/>
    <w:rsid w:val="00AA0671"/>
    <w:rsid w:val="00AA2531"/>
    <w:rsid w:val="00AA6E73"/>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1F65"/>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BF52BD"/>
    <w:rsid w:val="00C0112E"/>
    <w:rsid w:val="00C10578"/>
    <w:rsid w:val="00C135BC"/>
    <w:rsid w:val="00C14B91"/>
    <w:rsid w:val="00C15C95"/>
    <w:rsid w:val="00C23C98"/>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4871"/>
    <w:rsid w:val="00CA7EF8"/>
    <w:rsid w:val="00CC489B"/>
    <w:rsid w:val="00CD2BCD"/>
    <w:rsid w:val="00CD3A4C"/>
    <w:rsid w:val="00CE10E9"/>
    <w:rsid w:val="00CE2910"/>
    <w:rsid w:val="00CE5393"/>
    <w:rsid w:val="00CF36BE"/>
    <w:rsid w:val="00CF6000"/>
    <w:rsid w:val="00D003F3"/>
    <w:rsid w:val="00D0364F"/>
    <w:rsid w:val="00D06834"/>
    <w:rsid w:val="00D11CBC"/>
    <w:rsid w:val="00D20B4D"/>
    <w:rsid w:val="00D308ED"/>
    <w:rsid w:val="00D36D86"/>
    <w:rsid w:val="00D37FE4"/>
    <w:rsid w:val="00D40A55"/>
    <w:rsid w:val="00D428AA"/>
    <w:rsid w:val="00D50A34"/>
    <w:rsid w:val="00D53EFA"/>
    <w:rsid w:val="00D5480E"/>
    <w:rsid w:val="00D94A7C"/>
    <w:rsid w:val="00D95896"/>
    <w:rsid w:val="00DB0DBC"/>
    <w:rsid w:val="00DB2983"/>
    <w:rsid w:val="00DB4710"/>
    <w:rsid w:val="00DC1257"/>
    <w:rsid w:val="00DC3DC0"/>
    <w:rsid w:val="00DC5B2B"/>
    <w:rsid w:val="00DD318D"/>
    <w:rsid w:val="00DF2E12"/>
    <w:rsid w:val="00DF514A"/>
    <w:rsid w:val="00DF6690"/>
    <w:rsid w:val="00DF6804"/>
    <w:rsid w:val="00E0358D"/>
    <w:rsid w:val="00E04323"/>
    <w:rsid w:val="00E070A2"/>
    <w:rsid w:val="00E2656A"/>
    <w:rsid w:val="00E30372"/>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28BA"/>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82310"/>
    <w:rsid w:val="01084850"/>
    <w:rsid w:val="010A6538"/>
    <w:rsid w:val="011325EE"/>
    <w:rsid w:val="011E1FE4"/>
    <w:rsid w:val="01290F7E"/>
    <w:rsid w:val="015D1E09"/>
    <w:rsid w:val="01883901"/>
    <w:rsid w:val="01B97F5E"/>
    <w:rsid w:val="01C42B8B"/>
    <w:rsid w:val="01D77156"/>
    <w:rsid w:val="01EB21B8"/>
    <w:rsid w:val="01F1594A"/>
    <w:rsid w:val="01FD609D"/>
    <w:rsid w:val="020149A5"/>
    <w:rsid w:val="021373E6"/>
    <w:rsid w:val="02187FD4"/>
    <w:rsid w:val="021F6013"/>
    <w:rsid w:val="0227311A"/>
    <w:rsid w:val="0229236D"/>
    <w:rsid w:val="02435F21"/>
    <w:rsid w:val="024873A8"/>
    <w:rsid w:val="025308F4"/>
    <w:rsid w:val="02533CCC"/>
    <w:rsid w:val="025D1573"/>
    <w:rsid w:val="025D4D8E"/>
    <w:rsid w:val="0261089E"/>
    <w:rsid w:val="02681867"/>
    <w:rsid w:val="02697903"/>
    <w:rsid w:val="026C3281"/>
    <w:rsid w:val="026E0D49"/>
    <w:rsid w:val="027F7D0A"/>
    <w:rsid w:val="028A74C9"/>
    <w:rsid w:val="029A38EC"/>
    <w:rsid w:val="02AB0D0E"/>
    <w:rsid w:val="02B1683A"/>
    <w:rsid w:val="02BE582C"/>
    <w:rsid w:val="02C71EE9"/>
    <w:rsid w:val="02DA018C"/>
    <w:rsid w:val="02E71CB8"/>
    <w:rsid w:val="02F1546E"/>
    <w:rsid w:val="02F96569"/>
    <w:rsid w:val="030A46ED"/>
    <w:rsid w:val="030E73F1"/>
    <w:rsid w:val="031713E0"/>
    <w:rsid w:val="0328162C"/>
    <w:rsid w:val="0341020B"/>
    <w:rsid w:val="034E7C2F"/>
    <w:rsid w:val="036B6BBE"/>
    <w:rsid w:val="0391130F"/>
    <w:rsid w:val="03993C05"/>
    <w:rsid w:val="03B21917"/>
    <w:rsid w:val="03BB6210"/>
    <w:rsid w:val="03D738B0"/>
    <w:rsid w:val="03EA7B21"/>
    <w:rsid w:val="03F139E0"/>
    <w:rsid w:val="03F62F35"/>
    <w:rsid w:val="04137DFA"/>
    <w:rsid w:val="041576CE"/>
    <w:rsid w:val="042F4097"/>
    <w:rsid w:val="0442423B"/>
    <w:rsid w:val="04447E02"/>
    <w:rsid w:val="044F2152"/>
    <w:rsid w:val="04545D1C"/>
    <w:rsid w:val="046060B1"/>
    <w:rsid w:val="04667FD4"/>
    <w:rsid w:val="04893C18"/>
    <w:rsid w:val="04894BB1"/>
    <w:rsid w:val="04927E2A"/>
    <w:rsid w:val="049A7BD3"/>
    <w:rsid w:val="049B410E"/>
    <w:rsid w:val="04A53F7F"/>
    <w:rsid w:val="04C2742E"/>
    <w:rsid w:val="04C7669D"/>
    <w:rsid w:val="04E87DBE"/>
    <w:rsid w:val="050A69A4"/>
    <w:rsid w:val="050D0A12"/>
    <w:rsid w:val="051777D5"/>
    <w:rsid w:val="052B49E5"/>
    <w:rsid w:val="05385387"/>
    <w:rsid w:val="053952EF"/>
    <w:rsid w:val="053A13B6"/>
    <w:rsid w:val="056547B2"/>
    <w:rsid w:val="05685FE7"/>
    <w:rsid w:val="05945C5B"/>
    <w:rsid w:val="05A366F7"/>
    <w:rsid w:val="05AA653C"/>
    <w:rsid w:val="05B16412"/>
    <w:rsid w:val="05BB2FCA"/>
    <w:rsid w:val="05DB39F3"/>
    <w:rsid w:val="05E41A4E"/>
    <w:rsid w:val="05F83EAE"/>
    <w:rsid w:val="060379FA"/>
    <w:rsid w:val="06147229"/>
    <w:rsid w:val="063323B9"/>
    <w:rsid w:val="06387732"/>
    <w:rsid w:val="063E7D85"/>
    <w:rsid w:val="06475E63"/>
    <w:rsid w:val="06523C86"/>
    <w:rsid w:val="06652463"/>
    <w:rsid w:val="06A77A41"/>
    <w:rsid w:val="06B14683"/>
    <w:rsid w:val="06CC603E"/>
    <w:rsid w:val="06D416F6"/>
    <w:rsid w:val="06DB27C0"/>
    <w:rsid w:val="06EB6E0C"/>
    <w:rsid w:val="06F276B3"/>
    <w:rsid w:val="06F34474"/>
    <w:rsid w:val="07010174"/>
    <w:rsid w:val="07042E6A"/>
    <w:rsid w:val="070E4D22"/>
    <w:rsid w:val="07293586"/>
    <w:rsid w:val="07295285"/>
    <w:rsid w:val="072F0D36"/>
    <w:rsid w:val="0730587C"/>
    <w:rsid w:val="074106F4"/>
    <w:rsid w:val="07445505"/>
    <w:rsid w:val="07636392"/>
    <w:rsid w:val="07770C56"/>
    <w:rsid w:val="078E1545"/>
    <w:rsid w:val="07A31495"/>
    <w:rsid w:val="07C01DA8"/>
    <w:rsid w:val="07C64D36"/>
    <w:rsid w:val="07CA04E5"/>
    <w:rsid w:val="07CC0BFF"/>
    <w:rsid w:val="07DC7E39"/>
    <w:rsid w:val="07E364B0"/>
    <w:rsid w:val="07E37FD7"/>
    <w:rsid w:val="07ED5953"/>
    <w:rsid w:val="085602B5"/>
    <w:rsid w:val="087432D7"/>
    <w:rsid w:val="08980E61"/>
    <w:rsid w:val="08986B20"/>
    <w:rsid w:val="08AE00F1"/>
    <w:rsid w:val="08BA7159"/>
    <w:rsid w:val="08D9506B"/>
    <w:rsid w:val="08DA2845"/>
    <w:rsid w:val="08E43B13"/>
    <w:rsid w:val="08F5393F"/>
    <w:rsid w:val="092217DD"/>
    <w:rsid w:val="09292BDB"/>
    <w:rsid w:val="092C4EB6"/>
    <w:rsid w:val="093A7294"/>
    <w:rsid w:val="09436A8B"/>
    <w:rsid w:val="09484A9D"/>
    <w:rsid w:val="095148D7"/>
    <w:rsid w:val="09652EA6"/>
    <w:rsid w:val="09696798"/>
    <w:rsid w:val="096F5AD2"/>
    <w:rsid w:val="097C3D4B"/>
    <w:rsid w:val="099E7DFD"/>
    <w:rsid w:val="09A34FAB"/>
    <w:rsid w:val="09C82713"/>
    <w:rsid w:val="09D82F64"/>
    <w:rsid w:val="09F16F32"/>
    <w:rsid w:val="0A263993"/>
    <w:rsid w:val="0A2D3AC2"/>
    <w:rsid w:val="0A464B6E"/>
    <w:rsid w:val="0A5138A7"/>
    <w:rsid w:val="0A5B0BEB"/>
    <w:rsid w:val="0A7C2F99"/>
    <w:rsid w:val="0A83110A"/>
    <w:rsid w:val="0A9B46A5"/>
    <w:rsid w:val="0AA755DF"/>
    <w:rsid w:val="0AE0387E"/>
    <w:rsid w:val="0AE26062"/>
    <w:rsid w:val="0B002E68"/>
    <w:rsid w:val="0B120D44"/>
    <w:rsid w:val="0B372620"/>
    <w:rsid w:val="0B380146"/>
    <w:rsid w:val="0B4D12A6"/>
    <w:rsid w:val="0B741CAD"/>
    <w:rsid w:val="0B7A075E"/>
    <w:rsid w:val="0B903ADE"/>
    <w:rsid w:val="0B997093"/>
    <w:rsid w:val="0BA87365"/>
    <w:rsid w:val="0BA96E44"/>
    <w:rsid w:val="0BB27EF8"/>
    <w:rsid w:val="0BB934DB"/>
    <w:rsid w:val="0BD27BF6"/>
    <w:rsid w:val="0BDD2EE9"/>
    <w:rsid w:val="0BE8071C"/>
    <w:rsid w:val="0C1464BD"/>
    <w:rsid w:val="0C174AF5"/>
    <w:rsid w:val="0C1B4F42"/>
    <w:rsid w:val="0C3B3C7D"/>
    <w:rsid w:val="0C3E71D6"/>
    <w:rsid w:val="0C4F34DA"/>
    <w:rsid w:val="0C556765"/>
    <w:rsid w:val="0C852363"/>
    <w:rsid w:val="0C8C3A57"/>
    <w:rsid w:val="0C965160"/>
    <w:rsid w:val="0CA43CE5"/>
    <w:rsid w:val="0CAB2EAE"/>
    <w:rsid w:val="0CC31896"/>
    <w:rsid w:val="0CF168AC"/>
    <w:rsid w:val="0CF211E3"/>
    <w:rsid w:val="0CFE5966"/>
    <w:rsid w:val="0D0522AA"/>
    <w:rsid w:val="0D3861DB"/>
    <w:rsid w:val="0D40647F"/>
    <w:rsid w:val="0D5202B4"/>
    <w:rsid w:val="0D621C7D"/>
    <w:rsid w:val="0D75742F"/>
    <w:rsid w:val="0D890CA2"/>
    <w:rsid w:val="0D894C89"/>
    <w:rsid w:val="0D9513B2"/>
    <w:rsid w:val="0D9F625A"/>
    <w:rsid w:val="0DCB34F3"/>
    <w:rsid w:val="0DCC3383"/>
    <w:rsid w:val="0DE15909"/>
    <w:rsid w:val="0DF51973"/>
    <w:rsid w:val="0DF522C3"/>
    <w:rsid w:val="0E0C10A3"/>
    <w:rsid w:val="0E49356F"/>
    <w:rsid w:val="0E4F1A37"/>
    <w:rsid w:val="0E6B438E"/>
    <w:rsid w:val="0E73034D"/>
    <w:rsid w:val="0E740CBB"/>
    <w:rsid w:val="0E7771D7"/>
    <w:rsid w:val="0E860A4F"/>
    <w:rsid w:val="0E87741A"/>
    <w:rsid w:val="0E8B2CA5"/>
    <w:rsid w:val="0EAF77E4"/>
    <w:rsid w:val="0EBB5316"/>
    <w:rsid w:val="0EE6687B"/>
    <w:rsid w:val="0F13775A"/>
    <w:rsid w:val="0F1A55A9"/>
    <w:rsid w:val="0F1F5A50"/>
    <w:rsid w:val="0F463B85"/>
    <w:rsid w:val="0F4C15B7"/>
    <w:rsid w:val="0F4C3868"/>
    <w:rsid w:val="0F5F45FE"/>
    <w:rsid w:val="0F6C7E55"/>
    <w:rsid w:val="0F7200CA"/>
    <w:rsid w:val="0F73799F"/>
    <w:rsid w:val="0F8F0F63"/>
    <w:rsid w:val="0F953DB9"/>
    <w:rsid w:val="0F992169"/>
    <w:rsid w:val="0F9A112B"/>
    <w:rsid w:val="0F9A4F2B"/>
    <w:rsid w:val="0FD1638C"/>
    <w:rsid w:val="0FFD54BA"/>
    <w:rsid w:val="100569EA"/>
    <w:rsid w:val="101958FA"/>
    <w:rsid w:val="102C3AFF"/>
    <w:rsid w:val="104135F9"/>
    <w:rsid w:val="105E7029"/>
    <w:rsid w:val="105F7263"/>
    <w:rsid w:val="10656896"/>
    <w:rsid w:val="106D2F64"/>
    <w:rsid w:val="1080090C"/>
    <w:rsid w:val="10824809"/>
    <w:rsid w:val="108A0E71"/>
    <w:rsid w:val="108E191A"/>
    <w:rsid w:val="10A574EB"/>
    <w:rsid w:val="10B3202A"/>
    <w:rsid w:val="10B63710"/>
    <w:rsid w:val="10B64E79"/>
    <w:rsid w:val="10C7607E"/>
    <w:rsid w:val="10CB7366"/>
    <w:rsid w:val="10DB0493"/>
    <w:rsid w:val="10E053E9"/>
    <w:rsid w:val="10F10820"/>
    <w:rsid w:val="10F661A5"/>
    <w:rsid w:val="10F81754"/>
    <w:rsid w:val="11012D91"/>
    <w:rsid w:val="111C2F7A"/>
    <w:rsid w:val="111D1591"/>
    <w:rsid w:val="11292A0B"/>
    <w:rsid w:val="11380EA0"/>
    <w:rsid w:val="11382C4E"/>
    <w:rsid w:val="116003F7"/>
    <w:rsid w:val="11665CA1"/>
    <w:rsid w:val="117A30D8"/>
    <w:rsid w:val="118639DC"/>
    <w:rsid w:val="119045C9"/>
    <w:rsid w:val="11967974"/>
    <w:rsid w:val="119A3B7B"/>
    <w:rsid w:val="11A13830"/>
    <w:rsid w:val="11B477CE"/>
    <w:rsid w:val="11C97D4A"/>
    <w:rsid w:val="11D00036"/>
    <w:rsid w:val="11D4707E"/>
    <w:rsid w:val="11DB2666"/>
    <w:rsid w:val="12057DA5"/>
    <w:rsid w:val="120B0362"/>
    <w:rsid w:val="12323B41"/>
    <w:rsid w:val="1232769D"/>
    <w:rsid w:val="12406D02"/>
    <w:rsid w:val="124D2729"/>
    <w:rsid w:val="12553DEF"/>
    <w:rsid w:val="12610316"/>
    <w:rsid w:val="12686A95"/>
    <w:rsid w:val="12795E40"/>
    <w:rsid w:val="12835FD0"/>
    <w:rsid w:val="128E27EC"/>
    <w:rsid w:val="1299771C"/>
    <w:rsid w:val="12A62B12"/>
    <w:rsid w:val="12AE4271"/>
    <w:rsid w:val="12B27856"/>
    <w:rsid w:val="12C329EB"/>
    <w:rsid w:val="12FD76F0"/>
    <w:rsid w:val="13066F17"/>
    <w:rsid w:val="136B75AF"/>
    <w:rsid w:val="139425DC"/>
    <w:rsid w:val="13951726"/>
    <w:rsid w:val="13CA1B57"/>
    <w:rsid w:val="13CA5134"/>
    <w:rsid w:val="13DD7ADC"/>
    <w:rsid w:val="13EB21F9"/>
    <w:rsid w:val="13EB4F75"/>
    <w:rsid w:val="13FF2434"/>
    <w:rsid w:val="14056EA0"/>
    <w:rsid w:val="141C6C87"/>
    <w:rsid w:val="142F2C69"/>
    <w:rsid w:val="14373691"/>
    <w:rsid w:val="14373849"/>
    <w:rsid w:val="14396509"/>
    <w:rsid w:val="146975C2"/>
    <w:rsid w:val="147237C0"/>
    <w:rsid w:val="14972381"/>
    <w:rsid w:val="14C60571"/>
    <w:rsid w:val="14CD2E7B"/>
    <w:rsid w:val="14D07AD9"/>
    <w:rsid w:val="14D50BC1"/>
    <w:rsid w:val="14DD2C3C"/>
    <w:rsid w:val="14ED3166"/>
    <w:rsid w:val="14F96681"/>
    <w:rsid w:val="150F1F18"/>
    <w:rsid w:val="15396F94"/>
    <w:rsid w:val="15520056"/>
    <w:rsid w:val="15523513"/>
    <w:rsid w:val="155344FA"/>
    <w:rsid w:val="15536CD9"/>
    <w:rsid w:val="156264EB"/>
    <w:rsid w:val="1567568D"/>
    <w:rsid w:val="158421C3"/>
    <w:rsid w:val="158435A6"/>
    <w:rsid w:val="15A86071"/>
    <w:rsid w:val="15AA7E92"/>
    <w:rsid w:val="15CC47E5"/>
    <w:rsid w:val="15E429C7"/>
    <w:rsid w:val="15EB593E"/>
    <w:rsid w:val="16087E1D"/>
    <w:rsid w:val="161271A0"/>
    <w:rsid w:val="161754CE"/>
    <w:rsid w:val="16293DA5"/>
    <w:rsid w:val="165155C0"/>
    <w:rsid w:val="16534086"/>
    <w:rsid w:val="166256DA"/>
    <w:rsid w:val="166D55FE"/>
    <w:rsid w:val="16791AD7"/>
    <w:rsid w:val="167E3651"/>
    <w:rsid w:val="168C3D67"/>
    <w:rsid w:val="169E2474"/>
    <w:rsid w:val="16CB1E6E"/>
    <w:rsid w:val="16D14053"/>
    <w:rsid w:val="16F45869"/>
    <w:rsid w:val="16F86FD6"/>
    <w:rsid w:val="17035AAC"/>
    <w:rsid w:val="170535D2"/>
    <w:rsid w:val="172779EC"/>
    <w:rsid w:val="1734037F"/>
    <w:rsid w:val="17470404"/>
    <w:rsid w:val="17584737"/>
    <w:rsid w:val="17687052"/>
    <w:rsid w:val="176F4EEF"/>
    <w:rsid w:val="17701D14"/>
    <w:rsid w:val="17735226"/>
    <w:rsid w:val="17797B1C"/>
    <w:rsid w:val="17824C23"/>
    <w:rsid w:val="17A11422"/>
    <w:rsid w:val="17A418EC"/>
    <w:rsid w:val="17B40862"/>
    <w:rsid w:val="17D86F39"/>
    <w:rsid w:val="17E14BD1"/>
    <w:rsid w:val="17EF0483"/>
    <w:rsid w:val="18096E6B"/>
    <w:rsid w:val="181A2CFE"/>
    <w:rsid w:val="18351C95"/>
    <w:rsid w:val="183A374F"/>
    <w:rsid w:val="183D1DA8"/>
    <w:rsid w:val="184B3D6C"/>
    <w:rsid w:val="185F1B8B"/>
    <w:rsid w:val="186F1B5E"/>
    <w:rsid w:val="187B65D7"/>
    <w:rsid w:val="189F624C"/>
    <w:rsid w:val="18A256A4"/>
    <w:rsid w:val="18AA04DD"/>
    <w:rsid w:val="18B125CB"/>
    <w:rsid w:val="18C2673E"/>
    <w:rsid w:val="18C40D56"/>
    <w:rsid w:val="18E216F1"/>
    <w:rsid w:val="18EF318E"/>
    <w:rsid w:val="190D1F70"/>
    <w:rsid w:val="190E24E6"/>
    <w:rsid w:val="19102702"/>
    <w:rsid w:val="19143FA0"/>
    <w:rsid w:val="19362169"/>
    <w:rsid w:val="193A7A52"/>
    <w:rsid w:val="19586550"/>
    <w:rsid w:val="195A6500"/>
    <w:rsid w:val="198561B8"/>
    <w:rsid w:val="19874772"/>
    <w:rsid w:val="198D403D"/>
    <w:rsid w:val="19C84702"/>
    <w:rsid w:val="19C97B0F"/>
    <w:rsid w:val="1A07140F"/>
    <w:rsid w:val="1A0D279E"/>
    <w:rsid w:val="1A121397"/>
    <w:rsid w:val="1A1C66C0"/>
    <w:rsid w:val="1A42393B"/>
    <w:rsid w:val="1A4729C7"/>
    <w:rsid w:val="1A6205CD"/>
    <w:rsid w:val="1A7840BB"/>
    <w:rsid w:val="1A9923D9"/>
    <w:rsid w:val="1AA51A88"/>
    <w:rsid w:val="1AAD45DE"/>
    <w:rsid w:val="1AB624F6"/>
    <w:rsid w:val="1AB80BB4"/>
    <w:rsid w:val="1AE64C7C"/>
    <w:rsid w:val="1AEC5C42"/>
    <w:rsid w:val="1AF04599"/>
    <w:rsid w:val="1B046F80"/>
    <w:rsid w:val="1B3267B5"/>
    <w:rsid w:val="1B3A2188"/>
    <w:rsid w:val="1B40161D"/>
    <w:rsid w:val="1B441859"/>
    <w:rsid w:val="1B45742D"/>
    <w:rsid w:val="1B4E60D7"/>
    <w:rsid w:val="1B590390"/>
    <w:rsid w:val="1B5B50D5"/>
    <w:rsid w:val="1B6606B1"/>
    <w:rsid w:val="1B7E39A1"/>
    <w:rsid w:val="1B9A5AC8"/>
    <w:rsid w:val="1BA52F38"/>
    <w:rsid w:val="1BD619E1"/>
    <w:rsid w:val="1BE763F2"/>
    <w:rsid w:val="1BF653F8"/>
    <w:rsid w:val="1C383EEB"/>
    <w:rsid w:val="1C452812"/>
    <w:rsid w:val="1C465F2A"/>
    <w:rsid w:val="1C5E7925"/>
    <w:rsid w:val="1C7B0D11"/>
    <w:rsid w:val="1C8D750E"/>
    <w:rsid w:val="1C987F79"/>
    <w:rsid w:val="1CCA6605"/>
    <w:rsid w:val="1CD20181"/>
    <w:rsid w:val="1CD83AB0"/>
    <w:rsid w:val="1CDC4DD5"/>
    <w:rsid w:val="1CE45AAB"/>
    <w:rsid w:val="1CEF6950"/>
    <w:rsid w:val="1CFD070F"/>
    <w:rsid w:val="1D214EDE"/>
    <w:rsid w:val="1D230C56"/>
    <w:rsid w:val="1D264DC2"/>
    <w:rsid w:val="1D3804E5"/>
    <w:rsid w:val="1D3F0B03"/>
    <w:rsid w:val="1D4B6850"/>
    <w:rsid w:val="1D5F6196"/>
    <w:rsid w:val="1D6132A5"/>
    <w:rsid w:val="1D6556B8"/>
    <w:rsid w:val="1D8E56D5"/>
    <w:rsid w:val="1DC00253"/>
    <w:rsid w:val="1DC35023"/>
    <w:rsid w:val="1DC87107"/>
    <w:rsid w:val="1DD854F4"/>
    <w:rsid w:val="1DDB1959"/>
    <w:rsid w:val="1DDD54AE"/>
    <w:rsid w:val="1DE85DD1"/>
    <w:rsid w:val="1DF75C3F"/>
    <w:rsid w:val="1E152471"/>
    <w:rsid w:val="1E216362"/>
    <w:rsid w:val="1E2F0FB1"/>
    <w:rsid w:val="1E2F6651"/>
    <w:rsid w:val="1E325B58"/>
    <w:rsid w:val="1E366767"/>
    <w:rsid w:val="1E401A31"/>
    <w:rsid w:val="1E472013"/>
    <w:rsid w:val="1E592455"/>
    <w:rsid w:val="1E5F7717"/>
    <w:rsid w:val="1E645337"/>
    <w:rsid w:val="1E6E7B5B"/>
    <w:rsid w:val="1E7A43DA"/>
    <w:rsid w:val="1E8302C0"/>
    <w:rsid w:val="1E8307FC"/>
    <w:rsid w:val="1E8E444D"/>
    <w:rsid w:val="1E95356A"/>
    <w:rsid w:val="1EC30CED"/>
    <w:rsid w:val="1EC618C4"/>
    <w:rsid w:val="1EDA78CC"/>
    <w:rsid w:val="1EE22C94"/>
    <w:rsid w:val="1EE61F3B"/>
    <w:rsid w:val="1EF8004A"/>
    <w:rsid w:val="1F0A4D34"/>
    <w:rsid w:val="1F101015"/>
    <w:rsid w:val="1F173CCA"/>
    <w:rsid w:val="1F1C3BAF"/>
    <w:rsid w:val="1F320D6D"/>
    <w:rsid w:val="1F38206B"/>
    <w:rsid w:val="1F3E3197"/>
    <w:rsid w:val="1F3E496F"/>
    <w:rsid w:val="1F520EFD"/>
    <w:rsid w:val="1F57675D"/>
    <w:rsid w:val="1F9372AD"/>
    <w:rsid w:val="1F986C6B"/>
    <w:rsid w:val="1FA45952"/>
    <w:rsid w:val="1FB964F9"/>
    <w:rsid w:val="1FC56ED2"/>
    <w:rsid w:val="1FC61D6D"/>
    <w:rsid w:val="1FD562E2"/>
    <w:rsid w:val="1FE12702"/>
    <w:rsid w:val="1FE57D5E"/>
    <w:rsid w:val="1FE7539E"/>
    <w:rsid w:val="20115970"/>
    <w:rsid w:val="201D29E2"/>
    <w:rsid w:val="201F2810"/>
    <w:rsid w:val="20262032"/>
    <w:rsid w:val="20344F28"/>
    <w:rsid w:val="203F7955"/>
    <w:rsid w:val="20442420"/>
    <w:rsid w:val="20450EE3"/>
    <w:rsid w:val="20537001"/>
    <w:rsid w:val="20671BE0"/>
    <w:rsid w:val="207F5C3F"/>
    <w:rsid w:val="20963CB8"/>
    <w:rsid w:val="209D0D1F"/>
    <w:rsid w:val="20A0003D"/>
    <w:rsid w:val="20A81A1B"/>
    <w:rsid w:val="20AA2667"/>
    <w:rsid w:val="20B07FB6"/>
    <w:rsid w:val="20B646FB"/>
    <w:rsid w:val="20C40F70"/>
    <w:rsid w:val="20CA2009"/>
    <w:rsid w:val="20CB52AA"/>
    <w:rsid w:val="20EB7636"/>
    <w:rsid w:val="21090163"/>
    <w:rsid w:val="21104A68"/>
    <w:rsid w:val="213B67FF"/>
    <w:rsid w:val="213B74B1"/>
    <w:rsid w:val="213D197A"/>
    <w:rsid w:val="214935DF"/>
    <w:rsid w:val="215A2310"/>
    <w:rsid w:val="215E7A1D"/>
    <w:rsid w:val="21750601"/>
    <w:rsid w:val="217C1966"/>
    <w:rsid w:val="21920158"/>
    <w:rsid w:val="21AA36F4"/>
    <w:rsid w:val="21CD73E2"/>
    <w:rsid w:val="21CE7D40"/>
    <w:rsid w:val="21DE318A"/>
    <w:rsid w:val="21EA1E81"/>
    <w:rsid w:val="21EC77F6"/>
    <w:rsid w:val="21EF5B80"/>
    <w:rsid w:val="22006505"/>
    <w:rsid w:val="22251BA1"/>
    <w:rsid w:val="22431A44"/>
    <w:rsid w:val="225278E7"/>
    <w:rsid w:val="2256096D"/>
    <w:rsid w:val="22576990"/>
    <w:rsid w:val="22907D04"/>
    <w:rsid w:val="22926F73"/>
    <w:rsid w:val="229F685A"/>
    <w:rsid w:val="22B22009"/>
    <w:rsid w:val="22C2522E"/>
    <w:rsid w:val="22D77C62"/>
    <w:rsid w:val="22E36792"/>
    <w:rsid w:val="22F47480"/>
    <w:rsid w:val="230908D7"/>
    <w:rsid w:val="230B73B0"/>
    <w:rsid w:val="23353491"/>
    <w:rsid w:val="23360FB7"/>
    <w:rsid w:val="234E4E0B"/>
    <w:rsid w:val="2375131B"/>
    <w:rsid w:val="237D6607"/>
    <w:rsid w:val="23AE75B0"/>
    <w:rsid w:val="23D02703"/>
    <w:rsid w:val="23D83E1C"/>
    <w:rsid w:val="23DE1C48"/>
    <w:rsid w:val="23F60834"/>
    <w:rsid w:val="23FF584D"/>
    <w:rsid w:val="240210CD"/>
    <w:rsid w:val="240362B8"/>
    <w:rsid w:val="24155071"/>
    <w:rsid w:val="24256188"/>
    <w:rsid w:val="243632B7"/>
    <w:rsid w:val="24561251"/>
    <w:rsid w:val="24652A20"/>
    <w:rsid w:val="2486334A"/>
    <w:rsid w:val="24902448"/>
    <w:rsid w:val="2493288C"/>
    <w:rsid w:val="249F7859"/>
    <w:rsid w:val="24BF09F7"/>
    <w:rsid w:val="24D942F0"/>
    <w:rsid w:val="24DB1E16"/>
    <w:rsid w:val="24DD3FE5"/>
    <w:rsid w:val="24E668BA"/>
    <w:rsid w:val="24F07E95"/>
    <w:rsid w:val="24FB4266"/>
    <w:rsid w:val="24FD3B3B"/>
    <w:rsid w:val="252C08C4"/>
    <w:rsid w:val="252D53FE"/>
    <w:rsid w:val="253D7756"/>
    <w:rsid w:val="253F1CC7"/>
    <w:rsid w:val="254951A4"/>
    <w:rsid w:val="255C1B41"/>
    <w:rsid w:val="257302A1"/>
    <w:rsid w:val="25873CA1"/>
    <w:rsid w:val="259721E1"/>
    <w:rsid w:val="25AB23D8"/>
    <w:rsid w:val="25AE6362"/>
    <w:rsid w:val="25CA15C0"/>
    <w:rsid w:val="25EC2D81"/>
    <w:rsid w:val="25F07BA6"/>
    <w:rsid w:val="25F72C80"/>
    <w:rsid w:val="25F8663E"/>
    <w:rsid w:val="25FE13F9"/>
    <w:rsid w:val="2604714B"/>
    <w:rsid w:val="260F621B"/>
    <w:rsid w:val="26235823"/>
    <w:rsid w:val="26393298"/>
    <w:rsid w:val="264B4D7A"/>
    <w:rsid w:val="26547A76"/>
    <w:rsid w:val="26705CF5"/>
    <w:rsid w:val="2687722B"/>
    <w:rsid w:val="268D0EEE"/>
    <w:rsid w:val="268F2EB8"/>
    <w:rsid w:val="26A5092E"/>
    <w:rsid w:val="26AF5308"/>
    <w:rsid w:val="26C856F6"/>
    <w:rsid w:val="26CC1829"/>
    <w:rsid w:val="26CF1507"/>
    <w:rsid w:val="26DE5509"/>
    <w:rsid w:val="27076EF2"/>
    <w:rsid w:val="27140065"/>
    <w:rsid w:val="27144997"/>
    <w:rsid w:val="273F6164"/>
    <w:rsid w:val="2752770F"/>
    <w:rsid w:val="275D2222"/>
    <w:rsid w:val="2764002E"/>
    <w:rsid w:val="277057A2"/>
    <w:rsid w:val="27821AEE"/>
    <w:rsid w:val="27840543"/>
    <w:rsid w:val="278C0760"/>
    <w:rsid w:val="278E3320"/>
    <w:rsid w:val="27954783"/>
    <w:rsid w:val="279664C8"/>
    <w:rsid w:val="279A60BD"/>
    <w:rsid w:val="27AF7056"/>
    <w:rsid w:val="27BA55B1"/>
    <w:rsid w:val="27CB4F27"/>
    <w:rsid w:val="27DC212D"/>
    <w:rsid w:val="27FC7061"/>
    <w:rsid w:val="281265C6"/>
    <w:rsid w:val="281D4069"/>
    <w:rsid w:val="28224525"/>
    <w:rsid w:val="282B09BF"/>
    <w:rsid w:val="28361FD3"/>
    <w:rsid w:val="283830DC"/>
    <w:rsid w:val="2841251F"/>
    <w:rsid w:val="28447CD2"/>
    <w:rsid w:val="284A7DF2"/>
    <w:rsid w:val="286A47A0"/>
    <w:rsid w:val="287F6372"/>
    <w:rsid w:val="28A6022F"/>
    <w:rsid w:val="28A661CE"/>
    <w:rsid w:val="28AB1AFF"/>
    <w:rsid w:val="28BE1253"/>
    <w:rsid w:val="28CD696D"/>
    <w:rsid w:val="290969DF"/>
    <w:rsid w:val="29114058"/>
    <w:rsid w:val="29206EB8"/>
    <w:rsid w:val="29247407"/>
    <w:rsid w:val="292917A8"/>
    <w:rsid w:val="292F514F"/>
    <w:rsid w:val="29417969"/>
    <w:rsid w:val="294C60FB"/>
    <w:rsid w:val="29595666"/>
    <w:rsid w:val="295D104C"/>
    <w:rsid w:val="295E0078"/>
    <w:rsid w:val="297C51C1"/>
    <w:rsid w:val="29874881"/>
    <w:rsid w:val="29911EB8"/>
    <w:rsid w:val="29B50E88"/>
    <w:rsid w:val="29D3130E"/>
    <w:rsid w:val="29DC1E26"/>
    <w:rsid w:val="29E325E0"/>
    <w:rsid w:val="29EF3C6E"/>
    <w:rsid w:val="2A1376E9"/>
    <w:rsid w:val="2A1D0883"/>
    <w:rsid w:val="2A293624"/>
    <w:rsid w:val="2A436644"/>
    <w:rsid w:val="2A452503"/>
    <w:rsid w:val="2A5D12BC"/>
    <w:rsid w:val="2A6321CD"/>
    <w:rsid w:val="2A6D1762"/>
    <w:rsid w:val="2A810D6A"/>
    <w:rsid w:val="2A824A95"/>
    <w:rsid w:val="2A834EE3"/>
    <w:rsid w:val="2A912CFE"/>
    <w:rsid w:val="2A93450B"/>
    <w:rsid w:val="2A946CEF"/>
    <w:rsid w:val="2A967118"/>
    <w:rsid w:val="2AA309EB"/>
    <w:rsid w:val="2AE80DE9"/>
    <w:rsid w:val="2B0901FB"/>
    <w:rsid w:val="2B1C1DB3"/>
    <w:rsid w:val="2B2D2BDD"/>
    <w:rsid w:val="2B3E7332"/>
    <w:rsid w:val="2B3F7D0C"/>
    <w:rsid w:val="2B7974A6"/>
    <w:rsid w:val="2B7B1D52"/>
    <w:rsid w:val="2B8E49A7"/>
    <w:rsid w:val="2B944145"/>
    <w:rsid w:val="2B9F1B83"/>
    <w:rsid w:val="2B9F6C4C"/>
    <w:rsid w:val="2BA022E9"/>
    <w:rsid w:val="2BA86AE1"/>
    <w:rsid w:val="2BA936A8"/>
    <w:rsid w:val="2BB313F7"/>
    <w:rsid w:val="2BB948A0"/>
    <w:rsid w:val="2BBC532E"/>
    <w:rsid w:val="2BBE2AB2"/>
    <w:rsid w:val="2BDC461A"/>
    <w:rsid w:val="2BDC5EB1"/>
    <w:rsid w:val="2BEF3524"/>
    <w:rsid w:val="2C250D85"/>
    <w:rsid w:val="2C315A5A"/>
    <w:rsid w:val="2C427B51"/>
    <w:rsid w:val="2C462F68"/>
    <w:rsid w:val="2C4B1C25"/>
    <w:rsid w:val="2C536736"/>
    <w:rsid w:val="2C5A2C51"/>
    <w:rsid w:val="2C8C1A52"/>
    <w:rsid w:val="2C9071C9"/>
    <w:rsid w:val="2CD308B9"/>
    <w:rsid w:val="2CD3312A"/>
    <w:rsid w:val="2CD6177C"/>
    <w:rsid w:val="2CE64684"/>
    <w:rsid w:val="2CF3748C"/>
    <w:rsid w:val="2CFB590C"/>
    <w:rsid w:val="2D03015C"/>
    <w:rsid w:val="2D08098F"/>
    <w:rsid w:val="2D0863A7"/>
    <w:rsid w:val="2D0C2B17"/>
    <w:rsid w:val="2D0F73B6"/>
    <w:rsid w:val="2D6F54F4"/>
    <w:rsid w:val="2D773EEE"/>
    <w:rsid w:val="2D9E56F5"/>
    <w:rsid w:val="2DAC25A2"/>
    <w:rsid w:val="2DB601B5"/>
    <w:rsid w:val="2DBE22D5"/>
    <w:rsid w:val="2DCF06AA"/>
    <w:rsid w:val="2DD41AF8"/>
    <w:rsid w:val="2DE843F5"/>
    <w:rsid w:val="2DFF6B75"/>
    <w:rsid w:val="2E023E21"/>
    <w:rsid w:val="2E16660C"/>
    <w:rsid w:val="2E271C28"/>
    <w:rsid w:val="2E34243C"/>
    <w:rsid w:val="2E3C0690"/>
    <w:rsid w:val="2E3F2AB6"/>
    <w:rsid w:val="2E4019E7"/>
    <w:rsid w:val="2E417FDB"/>
    <w:rsid w:val="2E555F05"/>
    <w:rsid w:val="2E56753C"/>
    <w:rsid w:val="2E63578F"/>
    <w:rsid w:val="2E667F96"/>
    <w:rsid w:val="2E682B24"/>
    <w:rsid w:val="2E8226AB"/>
    <w:rsid w:val="2E903DFD"/>
    <w:rsid w:val="2E97536D"/>
    <w:rsid w:val="2ED15C8A"/>
    <w:rsid w:val="2EF27E36"/>
    <w:rsid w:val="2F0C5571"/>
    <w:rsid w:val="2F1E127D"/>
    <w:rsid w:val="2F2A5D7A"/>
    <w:rsid w:val="2F2A7C22"/>
    <w:rsid w:val="2F4131BE"/>
    <w:rsid w:val="2F464330"/>
    <w:rsid w:val="2F546A4D"/>
    <w:rsid w:val="2F567740"/>
    <w:rsid w:val="2F68699C"/>
    <w:rsid w:val="2F7A262F"/>
    <w:rsid w:val="2F7F5B62"/>
    <w:rsid w:val="2F964FCE"/>
    <w:rsid w:val="2FA6778B"/>
    <w:rsid w:val="2FCF0E88"/>
    <w:rsid w:val="2FD065E6"/>
    <w:rsid w:val="2FD96870"/>
    <w:rsid w:val="2FE87CD4"/>
    <w:rsid w:val="2FEC68B9"/>
    <w:rsid w:val="30140100"/>
    <w:rsid w:val="301E17EB"/>
    <w:rsid w:val="30241360"/>
    <w:rsid w:val="30312289"/>
    <w:rsid w:val="3031397C"/>
    <w:rsid w:val="30330D58"/>
    <w:rsid w:val="303E1D33"/>
    <w:rsid w:val="304A60A2"/>
    <w:rsid w:val="30580BC9"/>
    <w:rsid w:val="305A09D3"/>
    <w:rsid w:val="305F552E"/>
    <w:rsid w:val="30A143E9"/>
    <w:rsid w:val="30C5746F"/>
    <w:rsid w:val="30C946F0"/>
    <w:rsid w:val="30CA49C3"/>
    <w:rsid w:val="30CB134E"/>
    <w:rsid w:val="30CC5C22"/>
    <w:rsid w:val="30CC7B87"/>
    <w:rsid w:val="30CD2F5B"/>
    <w:rsid w:val="30DB0E8A"/>
    <w:rsid w:val="30EB14C4"/>
    <w:rsid w:val="30F71041"/>
    <w:rsid w:val="30FA3E83"/>
    <w:rsid w:val="311118B9"/>
    <w:rsid w:val="311E2ED7"/>
    <w:rsid w:val="311E5289"/>
    <w:rsid w:val="31440D43"/>
    <w:rsid w:val="314B1C20"/>
    <w:rsid w:val="315619EE"/>
    <w:rsid w:val="315C449C"/>
    <w:rsid w:val="31650F27"/>
    <w:rsid w:val="31717D8A"/>
    <w:rsid w:val="31750EFD"/>
    <w:rsid w:val="317B58CA"/>
    <w:rsid w:val="31807FCD"/>
    <w:rsid w:val="318D4498"/>
    <w:rsid w:val="31901DBB"/>
    <w:rsid w:val="3192385D"/>
    <w:rsid w:val="31B82709"/>
    <w:rsid w:val="31BA3D19"/>
    <w:rsid w:val="31BF4BA9"/>
    <w:rsid w:val="31D05482"/>
    <w:rsid w:val="31D52C3D"/>
    <w:rsid w:val="31F20676"/>
    <w:rsid w:val="31FA3C94"/>
    <w:rsid w:val="32116E77"/>
    <w:rsid w:val="321646DC"/>
    <w:rsid w:val="3220710D"/>
    <w:rsid w:val="322D6CDF"/>
    <w:rsid w:val="323706A1"/>
    <w:rsid w:val="32400B34"/>
    <w:rsid w:val="3273103D"/>
    <w:rsid w:val="32747406"/>
    <w:rsid w:val="327D275F"/>
    <w:rsid w:val="329E6876"/>
    <w:rsid w:val="32A25D21"/>
    <w:rsid w:val="32A856DE"/>
    <w:rsid w:val="32C9075E"/>
    <w:rsid w:val="32D04ECA"/>
    <w:rsid w:val="32DE7A2F"/>
    <w:rsid w:val="32E7032F"/>
    <w:rsid w:val="32EC220C"/>
    <w:rsid w:val="32F0633B"/>
    <w:rsid w:val="33161016"/>
    <w:rsid w:val="333015F2"/>
    <w:rsid w:val="33353039"/>
    <w:rsid w:val="333864A6"/>
    <w:rsid w:val="334B6320"/>
    <w:rsid w:val="3361798A"/>
    <w:rsid w:val="33914515"/>
    <w:rsid w:val="339A7428"/>
    <w:rsid w:val="33B42178"/>
    <w:rsid w:val="33D934D4"/>
    <w:rsid w:val="33DC1707"/>
    <w:rsid w:val="33EB071E"/>
    <w:rsid w:val="33FE2F6A"/>
    <w:rsid w:val="340968BA"/>
    <w:rsid w:val="340E07E5"/>
    <w:rsid w:val="34235BF7"/>
    <w:rsid w:val="343820BF"/>
    <w:rsid w:val="343B210B"/>
    <w:rsid w:val="346516FC"/>
    <w:rsid w:val="346F5427"/>
    <w:rsid w:val="34B128F9"/>
    <w:rsid w:val="34C734E4"/>
    <w:rsid w:val="34CE2DFE"/>
    <w:rsid w:val="34E951C6"/>
    <w:rsid w:val="34EE4F88"/>
    <w:rsid w:val="34F605A6"/>
    <w:rsid w:val="34F815D6"/>
    <w:rsid w:val="34F81E8E"/>
    <w:rsid w:val="350E313D"/>
    <w:rsid w:val="35156C7E"/>
    <w:rsid w:val="351A6043"/>
    <w:rsid w:val="352243DD"/>
    <w:rsid w:val="352549A5"/>
    <w:rsid w:val="352661AE"/>
    <w:rsid w:val="35330497"/>
    <w:rsid w:val="35440DA2"/>
    <w:rsid w:val="3547690F"/>
    <w:rsid w:val="35593F34"/>
    <w:rsid w:val="35635715"/>
    <w:rsid w:val="356C2617"/>
    <w:rsid w:val="356C7957"/>
    <w:rsid w:val="358B23EF"/>
    <w:rsid w:val="358C5FA8"/>
    <w:rsid w:val="359A53D6"/>
    <w:rsid w:val="35BC2411"/>
    <w:rsid w:val="35C15DF1"/>
    <w:rsid w:val="35C5466F"/>
    <w:rsid w:val="35DE7FD8"/>
    <w:rsid w:val="35E0248A"/>
    <w:rsid w:val="36062A6B"/>
    <w:rsid w:val="36074A7F"/>
    <w:rsid w:val="362D2635"/>
    <w:rsid w:val="36670F3E"/>
    <w:rsid w:val="366A4DA8"/>
    <w:rsid w:val="36743EE1"/>
    <w:rsid w:val="3677051D"/>
    <w:rsid w:val="367873E8"/>
    <w:rsid w:val="368C2F70"/>
    <w:rsid w:val="36923549"/>
    <w:rsid w:val="369736C3"/>
    <w:rsid w:val="369A3EC3"/>
    <w:rsid w:val="36B64491"/>
    <w:rsid w:val="36B75FBF"/>
    <w:rsid w:val="36BC5D0C"/>
    <w:rsid w:val="36BD0C45"/>
    <w:rsid w:val="36BD75CE"/>
    <w:rsid w:val="36DB5CA6"/>
    <w:rsid w:val="36DC3EFB"/>
    <w:rsid w:val="36E14E49"/>
    <w:rsid w:val="36E20DE2"/>
    <w:rsid w:val="36E875C8"/>
    <w:rsid w:val="36FD068C"/>
    <w:rsid w:val="37060F75"/>
    <w:rsid w:val="371460E5"/>
    <w:rsid w:val="372252B9"/>
    <w:rsid w:val="373A6E70"/>
    <w:rsid w:val="373E4C76"/>
    <w:rsid w:val="374C57D8"/>
    <w:rsid w:val="375C1ECD"/>
    <w:rsid w:val="375E10BA"/>
    <w:rsid w:val="376B4BAC"/>
    <w:rsid w:val="377D0B0B"/>
    <w:rsid w:val="37A33DD5"/>
    <w:rsid w:val="37B65592"/>
    <w:rsid w:val="37BA5B27"/>
    <w:rsid w:val="37E00298"/>
    <w:rsid w:val="38095862"/>
    <w:rsid w:val="383C0EF4"/>
    <w:rsid w:val="38515AF3"/>
    <w:rsid w:val="38842E6C"/>
    <w:rsid w:val="388F434E"/>
    <w:rsid w:val="389038F8"/>
    <w:rsid w:val="3894610C"/>
    <w:rsid w:val="38A071A7"/>
    <w:rsid w:val="38A10F53"/>
    <w:rsid w:val="38B302F9"/>
    <w:rsid w:val="38BE6C02"/>
    <w:rsid w:val="38E316B1"/>
    <w:rsid w:val="38EA0F2E"/>
    <w:rsid w:val="38F062F3"/>
    <w:rsid w:val="38F12CD3"/>
    <w:rsid w:val="38F94775"/>
    <w:rsid w:val="38FC5BD0"/>
    <w:rsid w:val="3900780D"/>
    <w:rsid w:val="39136744"/>
    <w:rsid w:val="39256C46"/>
    <w:rsid w:val="392971ED"/>
    <w:rsid w:val="392C4597"/>
    <w:rsid w:val="39325651"/>
    <w:rsid w:val="393C560F"/>
    <w:rsid w:val="394915ED"/>
    <w:rsid w:val="39541A72"/>
    <w:rsid w:val="3957562D"/>
    <w:rsid w:val="396B20DA"/>
    <w:rsid w:val="399C2CAB"/>
    <w:rsid w:val="39A93E39"/>
    <w:rsid w:val="39C450BE"/>
    <w:rsid w:val="39C649EB"/>
    <w:rsid w:val="39C813D3"/>
    <w:rsid w:val="39CF79FB"/>
    <w:rsid w:val="39EE4D04"/>
    <w:rsid w:val="39F5707E"/>
    <w:rsid w:val="3A0D6F2E"/>
    <w:rsid w:val="3A17536D"/>
    <w:rsid w:val="3A2A65D8"/>
    <w:rsid w:val="3A3A5CC5"/>
    <w:rsid w:val="3A4F678F"/>
    <w:rsid w:val="3A577D39"/>
    <w:rsid w:val="3A681039"/>
    <w:rsid w:val="3A704747"/>
    <w:rsid w:val="3A731D63"/>
    <w:rsid w:val="3A7E00E0"/>
    <w:rsid w:val="3A872856"/>
    <w:rsid w:val="3A897546"/>
    <w:rsid w:val="3AA5333F"/>
    <w:rsid w:val="3B142B10"/>
    <w:rsid w:val="3B1A3241"/>
    <w:rsid w:val="3B260368"/>
    <w:rsid w:val="3B293484"/>
    <w:rsid w:val="3B2A17C7"/>
    <w:rsid w:val="3B367ACA"/>
    <w:rsid w:val="3B3763D1"/>
    <w:rsid w:val="3B404329"/>
    <w:rsid w:val="3B5D312D"/>
    <w:rsid w:val="3B61210E"/>
    <w:rsid w:val="3B710987"/>
    <w:rsid w:val="3B7C7A57"/>
    <w:rsid w:val="3B877BB0"/>
    <w:rsid w:val="3B8B7C9A"/>
    <w:rsid w:val="3BAE7806"/>
    <w:rsid w:val="3BDC1A9C"/>
    <w:rsid w:val="3BEA3409"/>
    <w:rsid w:val="3BEB0739"/>
    <w:rsid w:val="3BEC7B4C"/>
    <w:rsid w:val="3BF0408B"/>
    <w:rsid w:val="3BF44347"/>
    <w:rsid w:val="3BF53366"/>
    <w:rsid w:val="3C015692"/>
    <w:rsid w:val="3C2C5B63"/>
    <w:rsid w:val="3C2F6E1E"/>
    <w:rsid w:val="3C320C72"/>
    <w:rsid w:val="3C4F64BA"/>
    <w:rsid w:val="3C563A79"/>
    <w:rsid w:val="3C6E71E5"/>
    <w:rsid w:val="3C8666B4"/>
    <w:rsid w:val="3C973FB9"/>
    <w:rsid w:val="3C9B718E"/>
    <w:rsid w:val="3C9D5517"/>
    <w:rsid w:val="3CB33C4C"/>
    <w:rsid w:val="3CB77212"/>
    <w:rsid w:val="3CCD7049"/>
    <w:rsid w:val="3CDA245A"/>
    <w:rsid w:val="3CF37990"/>
    <w:rsid w:val="3CF47AC1"/>
    <w:rsid w:val="3CF6609B"/>
    <w:rsid w:val="3D0F43AD"/>
    <w:rsid w:val="3D1137E9"/>
    <w:rsid w:val="3D152B17"/>
    <w:rsid w:val="3D172D2D"/>
    <w:rsid w:val="3D1E06B7"/>
    <w:rsid w:val="3D2008B6"/>
    <w:rsid w:val="3D45031D"/>
    <w:rsid w:val="3D6F1C18"/>
    <w:rsid w:val="3D703E4C"/>
    <w:rsid w:val="3D901A72"/>
    <w:rsid w:val="3DA70690"/>
    <w:rsid w:val="3DB8289D"/>
    <w:rsid w:val="3DC456E6"/>
    <w:rsid w:val="3DF05383"/>
    <w:rsid w:val="3E014244"/>
    <w:rsid w:val="3E026F29"/>
    <w:rsid w:val="3E08692F"/>
    <w:rsid w:val="3E0B7D49"/>
    <w:rsid w:val="3E0D4326"/>
    <w:rsid w:val="3E0F1B03"/>
    <w:rsid w:val="3E104487"/>
    <w:rsid w:val="3E157CEF"/>
    <w:rsid w:val="3E223795"/>
    <w:rsid w:val="3E304B29"/>
    <w:rsid w:val="3E380918"/>
    <w:rsid w:val="3E4031C1"/>
    <w:rsid w:val="3E4717C6"/>
    <w:rsid w:val="3E4D33B6"/>
    <w:rsid w:val="3E6873C6"/>
    <w:rsid w:val="3E9B4917"/>
    <w:rsid w:val="3EB94B1E"/>
    <w:rsid w:val="3ECE1080"/>
    <w:rsid w:val="3ED727B7"/>
    <w:rsid w:val="3ED74FA5"/>
    <w:rsid w:val="3EDA0523"/>
    <w:rsid w:val="3EDD7A86"/>
    <w:rsid w:val="3EEF22EE"/>
    <w:rsid w:val="3F092C72"/>
    <w:rsid w:val="3F0C3D3F"/>
    <w:rsid w:val="3F0F0BE2"/>
    <w:rsid w:val="3F165ACD"/>
    <w:rsid w:val="3F2D67B1"/>
    <w:rsid w:val="3F3B629A"/>
    <w:rsid w:val="3F405E1D"/>
    <w:rsid w:val="3F822B67"/>
    <w:rsid w:val="3F953745"/>
    <w:rsid w:val="3FAC01DF"/>
    <w:rsid w:val="3FB076CF"/>
    <w:rsid w:val="3FB53538"/>
    <w:rsid w:val="3FB550FC"/>
    <w:rsid w:val="3FDC70FE"/>
    <w:rsid w:val="3FDF78A0"/>
    <w:rsid w:val="40032D46"/>
    <w:rsid w:val="404432F5"/>
    <w:rsid w:val="40783A54"/>
    <w:rsid w:val="407A6407"/>
    <w:rsid w:val="407D392A"/>
    <w:rsid w:val="409E1999"/>
    <w:rsid w:val="40A37834"/>
    <w:rsid w:val="40AA52B8"/>
    <w:rsid w:val="40B44830"/>
    <w:rsid w:val="40CE281A"/>
    <w:rsid w:val="40D1634B"/>
    <w:rsid w:val="40EC387B"/>
    <w:rsid w:val="40F86923"/>
    <w:rsid w:val="411354E3"/>
    <w:rsid w:val="412C7D51"/>
    <w:rsid w:val="413F0794"/>
    <w:rsid w:val="41663C37"/>
    <w:rsid w:val="41711910"/>
    <w:rsid w:val="4171348E"/>
    <w:rsid w:val="41891FAD"/>
    <w:rsid w:val="41B97F15"/>
    <w:rsid w:val="41C8414E"/>
    <w:rsid w:val="41CD3D71"/>
    <w:rsid w:val="41D852BC"/>
    <w:rsid w:val="41D8541B"/>
    <w:rsid w:val="4200449D"/>
    <w:rsid w:val="42020B1D"/>
    <w:rsid w:val="4209418C"/>
    <w:rsid w:val="420E6778"/>
    <w:rsid w:val="422146BB"/>
    <w:rsid w:val="423A3BCC"/>
    <w:rsid w:val="42417678"/>
    <w:rsid w:val="42446DF5"/>
    <w:rsid w:val="424B78EE"/>
    <w:rsid w:val="424E57D2"/>
    <w:rsid w:val="42542CA6"/>
    <w:rsid w:val="42587C53"/>
    <w:rsid w:val="425D1433"/>
    <w:rsid w:val="42652791"/>
    <w:rsid w:val="427174BE"/>
    <w:rsid w:val="42764332"/>
    <w:rsid w:val="427E4117"/>
    <w:rsid w:val="429109A1"/>
    <w:rsid w:val="42935A4A"/>
    <w:rsid w:val="42937193"/>
    <w:rsid w:val="42A00C21"/>
    <w:rsid w:val="42A62205"/>
    <w:rsid w:val="42B26C49"/>
    <w:rsid w:val="42BE14CF"/>
    <w:rsid w:val="42D71A17"/>
    <w:rsid w:val="42DC6E31"/>
    <w:rsid w:val="42E83C24"/>
    <w:rsid w:val="42EA0CFA"/>
    <w:rsid w:val="42F1333E"/>
    <w:rsid w:val="430F2F5F"/>
    <w:rsid w:val="43104F29"/>
    <w:rsid w:val="43210D5A"/>
    <w:rsid w:val="43332913"/>
    <w:rsid w:val="433A6FE6"/>
    <w:rsid w:val="433A7142"/>
    <w:rsid w:val="43420541"/>
    <w:rsid w:val="43480868"/>
    <w:rsid w:val="4350713C"/>
    <w:rsid w:val="4352112C"/>
    <w:rsid w:val="43582152"/>
    <w:rsid w:val="4359242C"/>
    <w:rsid w:val="436653E0"/>
    <w:rsid w:val="437440E3"/>
    <w:rsid w:val="43C4431A"/>
    <w:rsid w:val="43C46C5F"/>
    <w:rsid w:val="43D85A47"/>
    <w:rsid w:val="43DD4668"/>
    <w:rsid w:val="43E20674"/>
    <w:rsid w:val="43FA596D"/>
    <w:rsid w:val="44022AC4"/>
    <w:rsid w:val="440E3217"/>
    <w:rsid w:val="44613C8E"/>
    <w:rsid w:val="44715BCD"/>
    <w:rsid w:val="4477315D"/>
    <w:rsid w:val="447A6AFE"/>
    <w:rsid w:val="447D214A"/>
    <w:rsid w:val="44962B85"/>
    <w:rsid w:val="44A77D7E"/>
    <w:rsid w:val="44B6565C"/>
    <w:rsid w:val="44B951CC"/>
    <w:rsid w:val="44C4449E"/>
    <w:rsid w:val="44CB55AC"/>
    <w:rsid w:val="44CD14E0"/>
    <w:rsid w:val="44F20B0B"/>
    <w:rsid w:val="44F468B0"/>
    <w:rsid w:val="450E10BA"/>
    <w:rsid w:val="451231DA"/>
    <w:rsid w:val="451D5284"/>
    <w:rsid w:val="451F4C08"/>
    <w:rsid w:val="45223D59"/>
    <w:rsid w:val="452E5F4C"/>
    <w:rsid w:val="4537679D"/>
    <w:rsid w:val="453B4A8C"/>
    <w:rsid w:val="454C65FA"/>
    <w:rsid w:val="45513D03"/>
    <w:rsid w:val="45612018"/>
    <w:rsid w:val="457E261E"/>
    <w:rsid w:val="458439E3"/>
    <w:rsid w:val="458946E9"/>
    <w:rsid w:val="45A47C0E"/>
    <w:rsid w:val="45BD2468"/>
    <w:rsid w:val="45C025F1"/>
    <w:rsid w:val="45C33F65"/>
    <w:rsid w:val="45CF385E"/>
    <w:rsid w:val="45FB3C6E"/>
    <w:rsid w:val="46020B59"/>
    <w:rsid w:val="46205483"/>
    <w:rsid w:val="4629449D"/>
    <w:rsid w:val="463E15D6"/>
    <w:rsid w:val="464B69A4"/>
    <w:rsid w:val="464E3D9E"/>
    <w:rsid w:val="46577FD6"/>
    <w:rsid w:val="465A19A9"/>
    <w:rsid w:val="46837EDA"/>
    <w:rsid w:val="46850A24"/>
    <w:rsid w:val="46852913"/>
    <w:rsid w:val="468679DC"/>
    <w:rsid w:val="46906050"/>
    <w:rsid w:val="46911EDD"/>
    <w:rsid w:val="469129FC"/>
    <w:rsid w:val="46B75DE7"/>
    <w:rsid w:val="46BC1650"/>
    <w:rsid w:val="46D56685"/>
    <w:rsid w:val="46D955A7"/>
    <w:rsid w:val="46F506BE"/>
    <w:rsid w:val="46F879CE"/>
    <w:rsid w:val="47133957"/>
    <w:rsid w:val="47230AF2"/>
    <w:rsid w:val="47242D51"/>
    <w:rsid w:val="472478D3"/>
    <w:rsid w:val="472745EF"/>
    <w:rsid w:val="4735402F"/>
    <w:rsid w:val="473A32BD"/>
    <w:rsid w:val="474E3FBF"/>
    <w:rsid w:val="476735B7"/>
    <w:rsid w:val="47674F93"/>
    <w:rsid w:val="47A07E0C"/>
    <w:rsid w:val="47B92D39"/>
    <w:rsid w:val="47D01530"/>
    <w:rsid w:val="47D476E5"/>
    <w:rsid w:val="47E90F18"/>
    <w:rsid w:val="480F7B2C"/>
    <w:rsid w:val="481408FF"/>
    <w:rsid w:val="482A4397"/>
    <w:rsid w:val="48390A7E"/>
    <w:rsid w:val="48484631"/>
    <w:rsid w:val="48493A8F"/>
    <w:rsid w:val="484E33A4"/>
    <w:rsid w:val="48506D33"/>
    <w:rsid w:val="48551120"/>
    <w:rsid w:val="486F3A14"/>
    <w:rsid w:val="4870272E"/>
    <w:rsid w:val="48931F3C"/>
    <w:rsid w:val="48AF096E"/>
    <w:rsid w:val="48B864F2"/>
    <w:rsid w:val="48C86DFF"/>
    <w:rsid w:val="48D94B6C"/>
    <w:rsid w:val="48E32CEB"/>
    <w:rsid w:val="48E66D59"/>
    <w:rsid w:val="48FB3A1D"/>
    <w:rsid w:val="48FF75D2"/>
    <w:rsid w:val="49064E04"/>
    <w:rsid w:val="490E2F90"/>
    <w:rsid w:val="493B1763"/>
    <w:rsid w:val="493E3D04"/>
    <w:rsid w:val="494471A5"/>
    <w:rsid w:val="49496A9F"/>
    <w:rsid w:val="49635DB3"/>
    <w:rsid w:val="496D66EF"/>
    <w:rsid w:val="497004D0"/>
    <w:rsid w:val="49922742"/>
    <w:rsid w:val="499C7517"/>
    <w:rsid w:val="49AD702E"/>
    <w:rsid w:val="49BF3C1F"/>
    <w:rsid w:val="49C25845"/>
    <w:rsid w:val="49CE5069"/>
    <w:rsid w:val="49CE63BD"/>
    <w:rsid w:val="49CF3448"/>
    <w:rsid w:val="49DC73A8"/>
    <w:rsid w:val="49DC7715"/>
    <w:rsid w:val="4A023139"/>
    <w:rsid w:val="4A0B3AD6"/>
    <w:rsid w:val="4A1F4972"/>
    <w:rsid w:val="4A3C3148"/>
    <w:rsid w:val="4A4E1A01"/>
    <w:rsid w:val="4A520E1F"/>
    <w:rsid w:val="4A757AC0"/>
    <w:rsid w:val="4A792F51"/>
    <w:rsid w:val="4A7B576F"/>
    <w:rsid w:val="4A91694F"/>
    <w:rsid w:val="4A965D14"/>
    <w:rsid w:val="4AD00A93"/>
    <w:rsid w:val="4AF17602"/>
    <w:rsid w:val="4AF561A9"/>
    <w:rsid w:val="4B0610EB"/>
    <w:rsid w:val="4B0A6A5C"/>
    <w:rsid w:val="4B0F04A0"/>
    <w:rsid w:val="4B1975C8"/>
    <w:rsid w:val="4B26353C"/>
    <w:rsid w:val="4B307F16"/>
    <w:rsid w:val="4B315A3F"/>
    <w:rsid w:val="4B332100"/>
    <w:rsid w:val="4B4537C9"/>
    <w:rsid w:val="4B4D6D1A"/>
    <w:rsid w:val="4B555BCF"/>
    <w:rsid w:val="4B846077"/>
    <w:rsid w:val="4B8C0E38"/>
    <w:rsid w:val="4BAE0D50"/>
    <w:rsid w:val="4BD47C0E"/>
    <w:rsid w:val="4BEF1B80"/>
    <w:rsid w:val="4C1248AE"/>
    <w:rsid w:val="4C481290"/>
    <w:rsid w:val="4C4A0649"/>
    <w:rsid w:val="4C677516"/>
    <w:rsid w:val="4C79769B"/>
    <w:rsid w:val="4C797F4F"/>
    <w:rsid w:val="4C7B40E1"/>
    <w:rsid w:val="4C7B78B7"/>
    <w:rsid w:val="4C7C4B97"/>
    <w:rsid w:val="4C7E5ECA"/>
    <w:rsid w:val="4C876AA5"/>
    <w:rsid w:val="4C8C0A39"/>
    <w:rsid w:val="4C9444D5"/>
    <w:rsid w:val="4CB1343A"/>
    <w:rsid w:val="4CDC3D7A"/>
    <w:rsid w:val="4CE21AF7"/>
    <w:rsid w:val="4D0C33F0"/>
    <w:rsid w:val="4D0E00FB"/>
    <w:rsid w:val="4D14675C"/>
    <w:rsid w:val="4D175267"/>
    <w:rsid w:val="4D176606"/>
    <w:rsid w:val="4D2E2B7B"/>
    <w:rsid w:val="4D317C33"/>
    <w:rsid w:val="4D4759EB"/>
    <w:rsid w:val="4D4D1254"/>
    <w:rsid w:val="4D706CF0"/>
    <w:rsid w:val="4D7B077D"/>
    <w:rsid w:val="4D976737"/>
    <w:rsid w:val="4DB6125B"/>
    <w:rsid w:val="4DC873FC"/>
    <w:rsid w:val="4DEC4FB0"/>
    <w:rsid w:val="4DF3347D"/>
    <w:rsid w:val="4DF6438F"/>
    <w:rsid w:val="4DFA38E1"/>
    <w:rsid w:val="4E002AE2"/>
    <w:rsid w:val="4E0502B3"/>
    <w:rsid w:val="4E075D8A"/>
    <w:rsid w:val="4E1C7FE2"/>
    <w:rsid w:val="4E3A47C8"/>
    <w:rsid w:val="4E411E2B"/>
    <w:rsid w:val="4E415628"/>
    <w:rsid w:val="4E4D7DCA"/>
    <w:rsid w:val="4E6707FB"/>
    <w:rsid w:val="4E676345"/>
    <w:rsid w:val="4E923816"/>
    <w:rsid w:val="4EA16297"/>
    <w:rsid w:val="4EA34EA3"/>
    <w:rsid w:val="4EA84268"/>
    <w:rsid w:val="4EAA10E8"/>
    <w:rsid w:val="4EAC01FC"/>
    <w:rsid w:val="4EB30FA6"/>
    <w:rsid w:val="4EB3787C"/>
    <w:rsid w:val="4EC00FAD"/>
    <w:rsid w:val="4ECB420D"/>
    <w:rsid w:val="4ED82D9F"/>
    <w:rsid w:val="4EE86009"/>
    <w:rsid w:val="4EF43F67"/>
    <w:rsid w:val="4EFE149A"/>
    <w:rsid w:val="4F560168"/>
    <w:rsid w:val="4F560626"/>
    <w:rsid w:val="4F6D3210"/>
    <w:rsid w:val="4F7349C1"/>
    <w:rsid w:val="4F910CFD"/>
    <w:rsid w:val="4F9843DC"/>
    <w:rsid w:val="4FB024B2"/>
    <w:rsid w:val="4FBC446F"/>
    <w:rsid w:val="4FBD503B"/>
    <w:rsid w:val="4FBD67D3"/>
    <w:rsid w:val="4FC62A8C"/>
    <w:rsid w:val="4FD2164F"/>
    <w:rsid w:val="4FE20F0D"/>
    <w:rsid w:val="4FE51552"/>
    <w:rsid w:val="4FF754A7"/>
    <w:rsid w:val="4FFC2ABD"/>
    <w:rsid w:val="503C6C03"/>
    <w:rsid w:val="50412BC6"/>
    <w:rsid w:val="50461138"/>
    <w:rsid w:val="504B4B09"/>
    <w:rsid w:val="50504C4B"/>
    <w:rsid w:val="50647118"/>
    <w:rsid w:val="506769C0"/>
    <w:rsid w:val="5068107F"/>
    <w:rsid w:val="506863A4"/>
    <w:rsid w:val="50850D04"/>
    <w:rsid w:val="509176A9"/>
    <w:rsid w:val="509C6E7C"/>
    <w:rsid w:val="50B71807"/>
    <w:rsid w:val="50DD19BA"/>
    <w:rsid w:val="51114346"/>
    <w:rsid w:val="51151248"/>
    <w:rsid w:val="51266294"/>
    <w:rsid w:val="512E6D8D"/>
    <w:rsid w:val="5162104E"/>
    <w:rsid w:val="517A68F1"/>
    <w:rsid w:val="517F4EA8"/>
    <w:rsid w:val="51956D25"/>
    <w:rsid w:val="51A81BF3"/>
    <w:rsid w:val="51BA678C"/>
    <w:rsid w:val="51BD22C2"/>
    <w:rsid w:val="51F456AA"/>
    <w:rsid w:val="51F77770"/>
    <w:rsid w:val="52043127"/>
    <w:rsid w:val="52291B63"/>
    <w:rsid w:val="5233653E"/>
    <w:rsid w:val="52361DB8"/>
    <w:rsid w:val="523C1251"/>
    <w:rsid w:val="523F23B5"/>
    <w:rsid w:val="52502339"/>
    <w:rsid w:val="52654ADF"/>
    <w:rsid w:val="52733BCA"/>
    <w:rsid w:val="52733F35"/>
    <w:rsid w:val="52762A77"/>
    <w:rsid w:val="52A35172"/>
    <w:rsid w:val="52A46F25"/>
    <w:rsid w:val="52A72137"/>
    <w:rsid w:val="52AA2CA4"/>
    <w:rsid w:val="52AD375E"/>
    <w:rsid w:val="52BE05BA"/>
    <w:rsid w:val="52D87503"/>
    <w:rsid w:val="5311687F"/>
    <w:rsid w:val="5316163A"/>
    <w:rsid w:val="5322283B"/>
    <w:rsid w:val="53251FDB"/>
    <w:rsid w:val="533357F6"/>
    <w:rsid w:val="534A3B3F"/>
    <w:rsid w:val="53536E98"/>
    <w:rsid w:val="535624E4"/>
    <w:rsid w:val="537B0B13"/>
    <w:rsid w:val="537F5EDF"/>
    <w:rsid w:val="538077E2"/>
    <w:rsid w:val="53942091"/>
    <w:rsid w:val="53A039CC"/>
    <w:rsid w:val="53A1505A"/>
    <w:rsid w:val="53A15214"/>
    <w:rsid w:val="53AC7962"/>
    <w:rsid w:val="53B72DFC"/>
    <w:rsid w:val="53B84F4D"/>
    <w:rsid w:val="53CC7344"/>
    <w:rsid w:val="53DE4A1D"/>
    <w:rsid w:val="53E064A0"/>
    <w:rsid w:val="53F00554"/>
    <w:rsid w:val="53F85FDA"/>
    <w:rsid w:val="54063E08"/>
    <w:rsid w:val="54295E4B"/>
    <w:rsid w:val="54320CBE"/>
    <w:rsid w:val="543437E8"/>
    <w:rsid w:val="543547EF"/>
    <w:rsid w:val="54411F70"/>
    <w:rsid w:val="545E18C4"/>
    <w:rsid w:val="548B465C"/>
    <w:rsid w:val="549A6402"/>
    <w:rsid w:val="54A50861"/>
    <w:rsid w:val="54AE297F"/>
    <w:rsid w:val="54C46B74"/>
    <w:rsid w:val="54D06805"/>
    <w:rsid w:val="54E852E9"/>
    <w:rsid w:val="54F73313"/>
    <w:rsid w:val="54F80955"/>
    <w:rsid w:val="554124AD"/>
    <w:rsid w:val="555170A7"/>
    <w:rsid w:val="55592760"/>
    <w:rsid w:val="5587536D"/>
    <w:rsid w:val="559B174B"/>
    <w:rsid w:val="55A439DB"/>
    <w:rsid w:val="55A82425"/>
    <w:rsid w:val="55AE2F76"/>
    <w:rsid w:val="55B377FF"/>
    <w:rsid w:val="55BD684B"/>
    <w:rsid w:val="55C0173B"/>
    <w:rsid w:val="55CA0F67"/>
    <w:rsid w:val="55CE0CF4"/>
    <w:rsid w:val="55D96D5D"/>
    <w:rsid w:val="55EE298A"/>
    <w:rsid w:val="55FF50B5"/>
    <w:rsid w:val="561C6403"/>
    <w:rsid w:val="562B40FC"/>
    <w:rsid w:val="563A433F"/>
    <w:rsid w:val="5641066C"/>
    <w:rsid w:val="56496330"/>
    <w:rsid w:val="56553DC9"/>
    <w:rsid w:val="565C2507"/>
    <w:rsid w:val="565F49DA"/>
    <w:rsid w:val="566B274A"/>
    <w:rsid w:val="569C0B56"/>
    <w:rsid w:val="56A65531"/>
    <w:rsid w:val="56B22A9C"/>
    <w:rsid w:val="56BD287A"/>
    <w:rsid w:val="56D87519"/>
    <w:rsid w:val="56E61CD0"/>
    <w:rsid w:val="56E66275"/>
    <w:rsid w:val="56F40992"/>
    <w:rsid w:val="56F557E0"/>
    <w:rsid w:val="56FC6477"/>
    <w:rsid w:val="5706496B"/>
    <w:rsid w:val="570D2DA6"/>
    <w:rsid w:val="57124456"/>
    <w:rsid w:val="5713646E"/>
    <w:rsid w:val="5718173F"/>
    <w:rsid w:val="571C77D4"/>
    <w:rsid w:val="57226781"/>
    <w:rsid w:val="572D0A70"/>
    <w:rsid w:val="576553EC"/>
    <w:rsid w:val="57660E94"/>
    <w:rsid w:val="576D6943"/>
    <w:rsid w:val="576D7968"/>
    <w:rsid w:val="57755679"/>
    <w:rsid w:val="578257FC"/>
    <w:rsid w:val="578F2469"/>
    <w:rsid w:val="5798472E"/>
    <w:rsid w:val="57B72A76"/>
    <w:rsid w:val="57B97750"/>
    <w:rsid w:val="57C3426C"/>
    <w:rsid w:val="57CE1F93"/>
    <w:rsid w:val="57D4431F"/>
    <w:rsid w:val="57D911BD"/>
    <w:rsid w:val="57E44562"/>
    <w:rsid w:val="57EA58F1"/>
    <w:rsid w:val="57F46776"/>
    <w:rsid w:val="580305B5"/>
    <w:rsid w:val="58105E4E"/>
    <w:rsid w:val="581452D0"/>
    <w:rsid w:val="58173920"/>
    <w:rsid w:val="581A4428"/>
    <w:rsid w:val="582901C7"/>
    <w:rsid w:val="5836157D"/>
    <w:rsid w:val="584A6390"/>
    <w:rsid w:val="58512DAE"/>
    <w:rsid w:val="585F1E3B"/>
    <w:rsid w:val="5886561A"/>
    <w:rsid w:val="588743D1"/>
    <w:rsid w:val="5887701A"/>
    <w:rsid w:val="588B1647"/>
    <w:rsid w:val="58906498"/>
    <w:rsid w:val="58983C01"/>
    <w:rsid w:val="58A73863"/>
    <w:rsid w:val="58A76407"/>
    <w:rsid w:val="58AB0D01"/>
    <w:rsid w:val="58CE15D1"/>
    <w:rsid w:val="58E22142"/>
    <w:rsid w:val="58F702C5"/>
    <w:rsid w:val="59231176"/>
    <w:rsid w:val="59462E09"/>
    <w:rsid w:val="596731C1"/>
    <w:rsid w:val="5979734C"/>
    <w:rsid w:val="5986574F"/>
    <w:rsid w:val="598B33B0"/>
    <w:rsid w:val="59980F26"/>
    <w:rsid w:val="59B8165C"/>
    <w:rsid w:val="59C0439F"/>
    <w:rsid w:val="5A0F147C"/>
    <w:rsid w:val="5A0F163F"/>
    <w:rsid w:val="5A1D765A"/>
    <w:rsid w:val="5A274D1D"/>
    <w:rsid w:val="5A3E0B5B"/>
    <w:rsid w:val="5A407A4A"/>
    <w:rsid w:val="5A6056E4"/>
    <w:rsid w:val="5A631643"/>
    <w:rsid w:val="5A88055B"/>
    <w:rsid w:val="5A885BDB"/>
    <w:rsid w:val="5A8A7E13"/>
    <w:rsid w:val="5A932270"/>
    <w:rsid w:val="5A981634"/>
    <w:rsid w:val="5AAB0DC6"/>
    <w:rsid w:val="5ABE2233"/>
    <w:rsid w:val="5AC50848"/>
    <w:rsid w:val="5AD01236"/>
    <w:rsid w:val="5AD54079"/>
    <w:rsid w:val="5ADA4C20"/>
    <w:rsid w:val="5ADC5C2B"/>
    <w:rsid w:val="5AF56A87"/>
    <w:rsid w:val="5AF729B6"/>
    <w:rsid w:val="5B247662"/>
    <w:rsid w:val="5B27237B"/>
    <w:rsid w:val="5B273B1A"/>
    <w:rsid w:val="5B4323FA"/>
    <w:rsid w:val="5B48305A"/>
    <w:rsid w:val="5B514D7F"/>
    <w:rsid w:val="5B761811"/>
    <w:rsid w:val="5B765308"/>
    <w:rsid w:val="5BB22BCA"/>
    <w:rsid w:val="5BC64B2D"/>
    <w:rsid w:val="5BD02724"/>
    <w:rsid w:val="5BD40D92"/>
    <w:rsid w:val="5BD41B68"/>
    <w:rsid w:val="5BD668B8"/>
    <w:rsid w:val="5BDF5D95"/>
    <w:rsid w:val="5BFE7528"/>
    <w:rsid w:val="5C012E46"/>
    <w:rsid w:val="5C024D80"/>
    <w:rsid w:val="5C280F3D"/>
    <w:rsid w:val="5C2B28C8"/>
    <w:rsid w:val="5C2F74C0"/>
    <w:rsid w:val="5C3871E7"/>
    <w:rsid w:val="5C3A263A"/>
    <w:rsid w:val="5C3B75B9"/>
    <w:rsid w:val="5C3E7FB9"/>
    <w:rsid w:val="5C427AAA"/>
    <w:rsid w:val="5C5C591B"/>
    <w:rsid w:val="5C62639E"/>
    <w:rsid w:val="5C6E2CDD"/>
    <w:rsid w:val="5C7223F9"/>
    <w:rsid w:val="5C73717D"/>
    <w:rsid w:val="5C765C62"/>
    <w:rsid w:val="5C7B276E"/>
    <w:rsid w:val="5C966047"/>
    <w:rsid w:val="5CB548CA"/>
    <w:rsid w:val="5CC360A7"/>
    <w:rsid w:val="5CD13F9B"/>
    <w:rsid w:val="5CF95F59"/>
    <w:rsid w:val="5CFB3C9E"/>
    <w:rsid w:val="5D0F0D6C"/>
    <w:rsid w:val="5D15549F"/>
    <w:rsid w:val="5D172CE4"/>
    <w:rsid w:val="5D1A4582"/>
    <w:rsid w:val="5D1A5681"/>
    <w:rsid w:val="5D344BA1"/>
    <w:rsid w:val="5D3C2D76"/>
    <w:rsid w:val="5D722610"/>
    <w:rsid w:val="5D745C52"/>
    <w:rsid w:val="5D823C66"/>
    <w:rsid w:val="5DA631D4"/>
    <w:rsid w:val="5DBF4C4E"/>
    <w:rsid w:val="5DC94505"/>
    <w:rsid w:val="5DD44CFB"/>
    <w:rsid w:val="5E2467F1"/>
    <w:rsid w:val="5E3378E4"/>
    <w:rsid w:val="5E4662B6"/>
    <w:rsid w:val="5E7F4FE5"/>
    <w:rsid w:val="5E874852"/>
    <w:rsid w:val="5E8F7DB5"/>
    <w:rsid w:val="5E9E23B2"/>
    <w:rsid w:val="5E9F2593"/>
    <w:rsid w:val="5EE5799A"/>
    <w:rsid w:val="5F06086C"/>
    <w:rsid w:val="5F062C08"/>
    <w:rsid w:val="5F0674B4"/>
    <w:rsid w:val="5F1A2B43"/>
    <w:rsid w:val="5F1F10DB"/>
    <w:rsid w:val="5FA708A1"/>
    <w:rsid w:val="5FB61ABC"/>
    <w:rsid w:val="5FB837BB"/>
    <w:rsid w:val="5FCC0F87"/>
    <w:rsid w:val="5FCF42BE"/>
    <w:rsid w:val="5FD97A87"/>
    <w:rsid w:val="5FDF25F8"/>
    <w:rsid w:val="5FF72A75"/>
    <w:rsid w:val="600025F0"/>
    <w:rsid w:val="60084013"/>
    <w:rsid w:val="60230095"/>
    <w:rsid w:val="602C4E77"/>
    <w:rsid w:val="60586D43"/>
    <w:rsid w:val="6064285A"/>
    <w:rsid w:val="60732927"/>
    <w:rsid w:val="60997EB4"/>
    <w:rsid w:val="60CC405A"/>
    <w:rsid w:val="60DF1F2C"/>
    <w:rsid w:val="60E26EA7"/>
    <w:rsid w:val="60E424E6"/>
    <w:rsid w:val="60F31EB2"/>
    <w:rsid w:val="60FC235E"/>
    <w:rsid w:val="60FE2CC9"/>
    <w:rsid w:val="60FF5947"/>
    <w:rsid w:val="6106379C"/>
    <w:rsid w:val="61161AD4"/>
    <w:rsid w:val="61202383"/>
    <w:rsid w:val="61306A6A"/>
    <w:rsid w:val="61411A57"/>
    <w:rsid w:val="614A727E"/>
    <w:rsid w:val="614D4BDC"/>
    <w:rsid w:val="61544BFA"/>
    <w:rsid w:val="6158029C"/>
    <w:rsid w:val="616B1851"/>
    <w:rsid w:val="616B7AA3"/>
    <w:rsid w:val="616C6FC2"/>
    <w:rsid w:val="61750921"/>
    <w:rsid w:val="617C39BE"/>
    <w:rsid w:val="618944AD"/>
    <w:rsid w:val="61A62889"/>
    <w:rsid w:val="61AF61C3"/>
    <w:rsid w:val="61BD04C3"/>
    <w:rsid w:val="61CF0031"/>
    <w:rsid w:val="61E215D8"/>
    <w:rsid w:val="61FE1617"/>
    <w:rsid w:val="62031A89"/>
    <w:rsid w:val="621B3775"/>
    <w:rsid w:val="6221286F"/>
    <w:rsid w:val="62256865"/>
    <w:rsid w:val="622D3649"/>
    <w:rsid w:val="62364782"/>
    <w:rsid w:val="623743BC"/>
    <w:rsid w:val="62440147"/>
    <w:rsid w:val="6245456D"/>
    <w:rsid w:val="624A5AA3"/>
    <w:rsid w:val="62620EA5"/>
    <w:rsid w:val="6287090C"/>
    <w:rsid w:val="628E1C9B"/>
    <w:rsid w:val="628F156F"/>
    <w:rsid w:val="628F5A13"/>
    <w:rsid w:val="62B75C6A"/>
    <w:rsid w:val="62C17ED1"/>
    <w:rsid w:val="62D80184"/>
    <w:rsid w:val="62DA4EE0"/>
    <w:rsid w:val="62F34922"/>
    <w:rsid w:val="63147541"/>
    <w:rsid w:val="631636F6"/>
    <w:rsid w:val="632E2B36"/>
    <w:rsid w:val="63423E73"/>
    <w:rsid w:val="637979A5"/>
    <w:rsid w:val="637C2542"/>
    <w:rsid w:val="6394356A"/>
    <w:rsid w:val="639F3943"/>
    <w:rsid w:val="63C61B2C"/>
    <w:rsid w:val="63D40BE9"/>
    <w:rsid w:val="63E86246"/>
    <w:rsid w:val="64102431"/>
    <w:rsid w:val="64205247"/>
    <w:rsid w:val="643A5510"/>
    <w:rsid w:val="643A721A"/>
    <w:rsid w:val="644B3EE2"/>
    <w:rsid w:val="645804F2"/>
    <w:rsid w:val="645D0112"/>
    <w:rsid w:val="64616919"/>
    <w:rsid w:val="64693F90"/>
    <w:rsid w:val="6485694E"/>
    <w:rsid w:val="64A5243A"/>
    <w:rsid w:val="64B76194"/>
    <w:rsid w:val="64B96B3A"/>
    <w:rsid w:val="64D453B0"/>
    <w:rsid w:val="64D55E44"/>
    <w:rsid w:val="64F531DE"/>
    <w:rsid w:val="64F6723F"/>
    <w:rsid w:val="64F721CE"/>
    <w:rsid w:val="64F733FB"/>
    <w:rsid w:val="64F87859"/>
    <w:rsid w:val="65020D62"/>
    <w:rsid w:val="65136703"/>
    <w:rsid w:val="65136E05"/>
    <w:rsid w:val="65147874"/>
    <w:rsid w:val="651D7306"/>
    <w:rsid w:val="65373578"/>
    <w:rsid w:val="65386AAE"/>
    <w:rsid w:val="654E5714"/>
    <w:rsid w:val="65674A25"/>
    <w:rsid w:val="65814C4C"/>
    <w:rsid w:val="65822A4E"/>
    <w:rsid w:val="65D07B0C"/>
    <w:rsid w:val="65FE1314"/>
    <w:rsid w:val="66000D63"/>
    <w:rsid w:val="660E642B"/>
    <w:rsid w:val="663F1033"/>
    <w:rsid w:val="66465740"/>
    <w:rsid w:val="667D093C"/>
    <w:rsid w:val="667F4364"/>
    <w:rsid w:val="669046DA"/>
    <w:rsid w:val="669406BC"/>
    <w:rsid w:val="66A838BB"/>
    <w:rsid w:val="66B17690"/>
    <w:rsid w:val="66B94E0C"/>
    <w:rsid w:val="66C84711"/>
    <w:rsid w:val="66EF2A86"/>
    <w:rsid w:val="66F978FF"/>
    <w:rsid w:val="66FA0B7B"/>
    <w:rsid w:val="671958AB"/>
    <w:rsid w:val="671F124A"/>
    <w:rsid w:val="67256946"/>
    <w:rsid w:val="6727446C"/>
    <w:rsid w:val="673152EA"/>
    <w:rsid w:val="67410D28"/>
    <w:rsid w:val="67542D87"/>
    <w:rsid w:val="67684D9D"/>
    <w:rsid w:val="67747024"/>
    <w:rsid w:val="67785FFC"/>
    <w:rsid w:val="677A33C6"/>
    <w:rsid w:val="6793565D"/>
    <w:rsid w:val="67A71109"/>
    <w:rsid w:val="67B74B3A"/>
    <w:rsid w:val="67DA2A60"/>
    <w:rsid w:val="67DA4B43"/>
    <w:rsid w:val="680D44B2"/>
    <w:rsid w:val="68106CAE"/>
    <w:rsid w:val="681653F6"/>
    <w:rsid w:val="681F6961"/>
    <w:rsid w:val="682B7F8C"/>
    <w:rsid w:val="682D3D04"/>
    <w:rsid w:val="68307350"/>
    <w:rsid w:val="68344E24"/>
    <w:rsid w:val="68352BB8"/>
    <w:rsid w:val="683B558E"/>
    <w:rsid w:val="683E3F6D"/>
    <w:rsid w:val="684D1945"/>
    <w:rsid w:val="68610A2F"/>
    <w:rsid w:val="68805514"/>
    <w:rsid w:val="68983420"/>
    <w:rsid w:val="68A041F4"/>
    <w:rsid w:val="68A12BDF"/>
    <w:rsid w:val="68BB130F"/>
    <w:rsid w:val="68D93E6E"/>
    <w:rsid w:val="68FB3303"/>
    <w:rsid w:val="69004E26"/>
    <w:rsid w:val="6907288A"/>
    <w:rsid w:val="690E449F"/>
    <w:rsid w:val="69196036"/>
    <w:rsid w:val="69224492"/>
    <w:rsid w:val="692F54EF"/>
    <w:rsid w:val="69316E2F"/>
    <w:rsid w:val="694E2071"/>
    <w:rsid w:val="694F7CAA"/>
    <w:rsid w:val="69513A22"/>
    <w:rsid w:val="69672CC9"/>
    <w:rsid w:val="69766163"/>
    <w:rsid w:val="697A3B33"/>
    <w:rsid w:val="698E4BC4"/>
    <w:rsid w:val="6995626D"/>
    <w:rsid w:val="699B584E"/>
    <w:rsid w:val="69A17ABB"/>
    <w:rsid w:val="69AB5CB4"/>
    <w:rsid w:val="69D44760"/>
    <w:rsid w:val="69E4601B"/>
    <w:rsid w:val="69EE74C3"/>
    <w:rsid w:val="69FB64AD"/>
    <w:rsid w:val="6A024D1C"/>
    <w:rsid w:val="6A1F5BB9"/>
    <w:rsid w:val="6A520EC7"/>
    <w:rsid w:val="6A5C61DA"/>
    <w:rsid w:val="6A697BD2"/>
    <w:rsid w:val="6A7B2047"/>
    <w:rsid w:val="6A971789"/>
    <w:rsid w:val="6A9F256B"/>
    <w:rsid w:val="6AAE07E3"/>
    <w:rsid w:val="6AAF0798"/>
    <w:rsid w:val="6AAF57D6"/>
    <w:rsid w:val="6AC439FE"/>
    <w:rsid w:val="6ACD532A"/>
    <w:rsid w:val="6AD71D05"/>
    <w:rsid w:val="6AEA7C8A"/>
    <w:rsid w:val="6AEE7C8D"/>
    <w:rsid w:val="6AF87E20"/>
    <w:rsid w:val="6B2B1D80"/>
    <w:rsid w:val="6B2B45F0"/>
    <w:rsid w:val="6B322639"/>
    <w:rsid w:val="6B390AF6"/>
    <w:rsid w:val="6B46266D"/>
    <w:rsid w:val="6B654415"/>
    <w:rsid w:val="6B7954BA"/>
    <w:rsid w:val="6B867EB2"/>
    <w:rsid w:val="6B8D1855"/>
    <w:rsid w:val="6B936BD4"/>
    <w:rsid w:val="6B963E35"/>
    <w:rsid w:val="6B99345E"/>
    <w:rsid w:val="6BA442DD"/>
    <w:rsid w:val="6BA704FD"/>
    <w:rsid w:val="6BAC13E3"/>
    <w:rsid w:val="6BB516C6"/>
    <w:rsid w:val="6BB96F5F"/>
    <w:rsid w:val="6BCD41EB"/>
    <w:rsid w:val="6C125360"/>
    <w:rsid w:val="6C2216A6"/>
    <w:rsid w:val="6C3A66BC"/>
    <w:rsid w:val="6C3B55DD"/>
    <w:rsid w:val="6C462CBF"/>
    <w:rsid w:val="6C532B86"/>
    <w:rsid w:val="6C580B2C"/>
    <w:rsid w:val="6C5C0714"/>
    <w:rsid w:val="6C636C38"/>
    <w:rsid w:val="6C666EF3"/>
    <w:rsid w:val="6C6C5A2F"/>
    <w:rsid w:val="6CA61E29"/>
    <w:rsid w:val="6CD40BF2"/>
    <w:rsid w:val="6CD90288"/>
    <w:rsid w:val="6CDF4CD0"/>
    <w:rsid w:val="6CE350A5"/>
    <w:rsid w:val="6CF84455"/>
    <w:rsid w:val="6D1C0597"/>
    <w:rsid w:val="6D21195D"/>
    <w:rsid w:val="6D363D23"/>
    <w:rsid w:val="6D7D66D8"/>
    <w:rsid w:val="6D8A5754"/>
    <w:rsid w:val="6D8D0DA1"/>
    <w:rsid w:val="6D8F2035"/>
    <w:rsid w:val="6DB34098"/>
    <w:rsid w:val="6DB545B6"/>
    <w:rsid w:val="6DB77BCC"/>
    <w:rsid w:val="6DC1095E"/>
    <w:rsid w:val="6DC347C2"/>
    <w:rsid w:val="6DCF4191"/>
    <w:rsid w:val="6DD95B0A"/>
    <w:rsid w:val="6DE02FB4"/>
    <w:rsid w:val="6DF70287"/>
    <w:rsid w:val="6DF75320"/>
    <w:rsid w:val="6E01633D"/>
    <w:rsid w:val="6E0F4847"/>
    <w:rsid w:val="6E2012C6"/>
    <w:rsid w:val="6E4B45FB"/>
    <w:rsid w:val="6E514CED"/>
    <w:rsid w:val="6E537203"/>
    <w:rsid w:val="6E737210"/>
    <w:rsid w:val="6E867EEC"/>
    <w:rsid w:val="6E891CC4"/>
    <w:rsid w:val="6EB111C7"/>
    <w:rsid w:val="6EB42F88"/>
    <w:rsid w:val="6EB563D5"/>
    <w:rsid w:val="6ECE50EC"/>
    <w:rsid w:val="6ED7611B"/>
    <w:rsid w:val="6ED92677"/>
    <w:rsid w:val="6EEA06E2"/>
    <w:rsid w:val="6F225983"/>
    <w:rsid w:val="6F34157C"/>
    <w:rsid w:val="6F3A4E5B"/>
    <w:rsid w:val="6F411E43"/>
    <w:rsid w:val="6F5E29F5"/>
    <w:rsid w:val="6F6A5A61"/>
    <w:rsid w:val="6F8C6551"/>
    <w:rsid w:val="6F975F07"/>
    <w:rsid w:val="6FCF38F2"/>
    <w:rsid w:val="6FEF5D43"/>
    <w:rsid w:val="6FFC5590"/>
    <w:rsid w:val="702176BF"/>
    <w:rsid w:val="7025358F"/>
    <w:rsid w:val="702A72AF"/>
    <w:rsid w:val="702B1923"/>
    <w:rsid w:val="70373A7E"/>
    <w:rsid w:val="7041778B"/>
    <w:rsid w:val="7047792D"/>
    <w:rsid w:val="706D1DD0"/>
    <w:rsid w:val="707029DF"/>
    <w:rsid w:val="70856B87"/>
    <w:rsid w:val="709F12DA"/>
    <w:rsid w:val="70A1703D"/>
    <w:rsid w:val="70C02268"/>
    <w:rsid w:val="70D527EE"/>
    <w:rsid w:val="70ED5C93"/>
    <w:rsid w:val="71036AF4"/>
    <w:rsid w:val="710A5449"/>
    <w:rsid w:val="712E001D"/>
    <w:rsid w:val="712F47EA"/>
    <w:rsid w:val="713C4FB8"/>
    <w:rsid w:val="71485629"/>
    <w:rsid w:val="715B5300"/>
    <w:rsid w:val="715D4C38"/>
    <w:rsid w:val="715E0A8A"/>
    <w:rsid w:val="716D33C3"/>
    <w:rsid w:val="716D4C53"/>
    <w:rsid w:val="71733F29"/>
    <w:rsid w:val="71782745"/>
    <w:rsid w:val="71833B22"/>
    <w:rsid w:val="719325F2"/>
    <w:rsid w:val="719A52F9"/>
    <w:rsid w:val="719C1248"/>
    <w:rsid w:val="71C32FE3"/>
    <w:rsid w:val="71C72171"/>
    <w:rsid w:val="71D27F8A"/>
    <w:rsid w:val="71EB035A"/>
    <w:rsid w:val="720023AB"/>
    <w:rsid w:val="722146E6"/>
    <w:rsid w:val="722D6417"/>
    <w:rsid w:val="724B48E3"/>
    <w:rsid w:val="72553024"/>
    <w:rsid w:val="72586AE9"/>
    <w:rsid w:val="725B76BF"/>
    <w:rsid w:val="727137F6"/>
    <w:rsid w:val="72774578"/>
    <w:rsid w:val="729D1A86"/>
    <w:rsid w:val="72C07522"/>
    <w:rsid w:val="72CA2452"/>
    <w:rsid w:val="72D37EA2"/>
    <w:rsid w:val="72EA3A76"/>
    <w:rsid w:val="72F0605A"/>
    <w:rsid w:val="7301077E"/>
    <w:rsid w:val="73122968"/>
    <w:rsid w:val="73197410"/>
    <w:rsid w:val="731F5D5E"/>
    <w:rsid w:val="7327310A"/>
    <w:rsid w:val="733F2B3D"/>
    <w:rsid w:val="735D6B82"/>
    <w:rsid w:val="73656324"/>
    <w:rsid w:val="73680487"/>
    <w:rsid w:val="73A437F8"/>
    <w:rsid w:val="73B53CAC"/>
    <w:rsid w:val="73B735F3"/>
    <w:rsid w:val="73B8350B"/>
    <w:rsid w:val="73BB1B64"/>
    <w:rsid w:val="73BC5F3C"/>
    <w:rsid w:val="73C51AD5"/>
    <w:rsid w:val="73CB617F"/>
    <w:rsid w:val="73CC78ED"/>
    <w:rsid w:val="73CE7872"/>
    <w:rsid w:val="73E7745D"/>
    <w:rsid w:val="740228E4"/>
    <w:rsid w:val="74082F2F"/>
    <w:rsid w:val="74085625"/>
    <w:rsid w:val="740D2C3B"/>
    <w:rsid w:val="741E793C"/>
    <w:rsid w:val="742B46D2"/>
    <w:rsid w:val="7431692A"/>
    <w:rsid w:val="743261FE"/>
    <w:rsid w:val="743326A2"/>
    <w:rsid w:val="744228E5"/>
    <w:rsid w:val="7442724C"/>
    <w:rsid w:val="744D3038"/>
    <w:rsid w:val="744E59BC"/>
    <w:rsid w:val="7458193F"/>
    <w:rsid w:val="74583EB6"/>
    <w:rsid w:val="745E3944"/>
    <w:rsid w:val="74605DA5"/>
    <w:rsid w:val="746570B7"/>
    <w:rsid w:val="74AE7614"/>
    <w:rsid w:val="74B51309"/>
    <w:rsid w:val="74E53270"/>
    <w:rsid w:val="74F02341"/>
    <w:rsid w:val="750E0A19"/>
    <w:rsid w:val="75105270"/>
    <w:rsid w:val="752D2F0B"/>
    <w:rsid w:val="75482A22"/>
    <w:rsid w:val="755503F6"/>
    <w:rsid w:val="75582077"/>
    <w:rsid w:val="755D3CE4"/>
    <w:rsid w:val="755F1275"/>
    <w:rsid w:val="758B0FFB"/>
    <w:rsid w:val="759B240B"/>
    <w:rsid w:val="75CA2B92"/>
    <w:rsid w:val="75CC5B77"/>
    <w:rsid w:val="75D5092A"/>
    <w:rsid w:val="75DC387F"/>
    <w:rsid w:val="75EF25F8"/>
    <w:rsid w:val="76011E64"/>
    <w:rsid w:val="76271A1F"/>
    <w:rsid w:val="7635099D"/>
    <w:rsid w:val="766779D3"/>
    <w:rsid w:val="76740D50"/>
    <w:rsid w:val="76742AFE"/>
    <w:rsid w:val="76742D6B"/>
    <w:rsid w:val="76766876"/>
    <w:rsid w:val="76771B63"/>
    <w:rsid w:val="76783583"/>
    <w:rsid w:val="76797246"/>
    <w:rsid w:val="76826060"/>
    <w:rsid w:val="76995D4C"/>
    <w:rsid w:val="769B008A"/>
    <w:rsid w:val="769C7706"/>
    <w:rsid w:val="76B8250D"/>
    <w:rsid w:val="76BD1FB6"/>
    <w:rsid w:val="76C375E1"/>
    <w:rsid w:val="76C40BE1"/>
    <w:rsid w:val="76CD062C"/>
    <w:rsid w:val="76D21B1D"/>
    <w:rsid w:val="76D335CF"/>
    <w:rsid w:val="76DF77A5"/>
    <w:rsid w:val="770F0450"/>
    <w:rsid w:val="771E3606"/>
    <w:rsid w:val="77304AA2"/>
    <w:rsid w:val="774D1C68"/>
    <w:rsid w:val="775B081D"/>
    <w:rsid w:val="77762421"/>
    <w:rsid w:val="778B00FF"/>
    <w:rsid w:val="779627F7"/>
    <w:rsid w:val="77A065CE"/>
    <w:rsid w:val="77A73B5A"/>
    <w:rsid w:val="77AD1554"/>
    <w:rsid w:val="77B56B1F"/>
    <w:rsid w:val="77C2206D"/>
    <w:rsid w:val="77C87A20"/>
    <w:rsid w:val="77C914BE"/>
    <w:rsid w:val="77EA2416"/>
    <w:rsid w:val="77FF29DF"/>
    <w:rsid w:val="780103C1"/>
    <w:rsid w:val="780F09F4"/>
    <w:rsid w:val="78110A24"/>
    <w:rsid w:val="78126A72"/>
    <w:rsid w:val="78562297"/>
    <w:rsid w:val="787E45D8"/>
    <w:rsid w:val="78886D34"/>
    <w:rsid w:val="788D6AD0"/>
    <w:rsid w:val="788D6E5E"/>
    <w:rsid w:val="78931D82"/>
    <w:rsid w:val="789C6326"/>
    <w:rsid w:val="78A441A0"/>
    <w:rsid w:val="78A90480"/>
    <w:rsid w:val="78B65506"/>
    <w:rsid w:val="78BF1E63"/>
    <w:rsid w:val="78D930EC"/>
    <w:rsid w:val="78E80676"/>
    <w:rsid w:val="78EC2E1F"/>
    <w:rsid w:val="78F27591"/>
    <w:rsid w:val="791412EC"/>
    <w:rsid w:val="792122E9"/>
    <w:rsid w:val="79237C16"/>
    <w:rsid w:val="79256331"/>
    <w:rsid w:val="79305268"/>
    <w:rsid w:val="793830C9"/>
    <w:rsid w:val="793A76A1"/>
    <w:rsid w:val="795135CA"/>
    <w:rsid w:val="79654980"/>
    <w:rsid w:val="796E5F2A"/>
    <w:rsid w:val="797D43BF"/>
    <w:rsid w:val="79B20D28"/>
    <w:rsid w:val="79C86B14"/>
    <w:rsid w:val="79D51B05"/>
    <w:rsid w:val="79E157E7"/>
    <w:rsid w:val="79EE181E"/>
    <w:rsid w:val="79FC1788"/>
    <w:rsid w:val="7A1C14C4"/>
    <w:rsid w:val="7A2A06C7"/>
    <w:rsid w:val="7A323C2C"/>
    <w:rsid w:val="7A364017"/>
    <w:rsid w:val="7A520E94"/>
    <w:rsid w:val="7A5471AB"/>
    <w:rsid w:val="7A5C5D83"/>
    <w:rsid w:val="7A6D61E2"/>
    <w:rsid w:val="7A7B73AD"/>
    <w:rsid w:val="7A7E31FE"/>
    <w:rsid w:val="7A7E50D6"/>
    <w:rsid w:val="7A8265E1"/>
    <w:rsid w:val="7A8A28F0"/>
    <w:rsid w:val="7A995229"/>
    <w:rsid w:val="7AA623B5"/>
    <w:rsid w:val="7AAE358C"/>
    <w:rsid w:val="7AB616FF"/>
    <w:rsid w:val="7ACF0C4A"/>
    <w:rsid w:val="7ADC0DF0"/>
    <w:rsid w:val="7ADE49EA"/>
    <w:rsid w:val="7B034450"/>
    <w:rsid w:val="7B153FEC"/>
    <w:rsid w:val="7B284D72"/>
    <w:rsid w:val="7B2E771F"/>
    <w:rsid w:val="7B3F7B7E"/>
    <w:rsid w:val="7B5139BE"/>
    <w:rsid w:val="7B6777EF"/>
    <w:rsid w:val="7B686D42"/>
    <w:rsid w:val="7B6D368E"/>
    <w:rsid w:val="7B737828"/>
    <w:rsid w:val="7B811179"/>
    <w:rsid w:val="7B841746"/>
    <w:rsid w:val="7BA7106D"/>
    <w:rsid w:val="7BA86C01"/>
    <w:rsid w:val="7BB26F53"/>
    <w:rsid w:val="7BD04C7A"/>
    <w:rsid w:val="7BD1454E"/>
    <w:rsid w:val="7BD97F9F"/>
    <w:rsid w:val="7BE3369A"/>
    <w:rsid w:val="7BE4019F"/>
    <w:rsid w:val="7BFA5853"/>
    <w:rsid w:val="7C3074C7"/>
    <w:rsid w:val="7C337058"/>
    <w:rsid w:val="7C5A7799"/>
    <w:rsid w:val="7C621D14"/>
    <w:rsid w:val="7C686C61"/>
    <w:rsid w:val="7C6C5AC7"/>
    <w:rsid w:val="7C7E3E38"/>
    <w:rsid w:val="7C88221D"/>
    <w:rsid w:val="7C8A307B"/>
    <w:rsid w:val="7CA35E33"/>
    <w:rsid w:val="7CB73744"/>
    <w:rsid w:val="7CBC6446"/>
    <w:rsid w:val="7CBC6B4A"/>
    <w:rsid w:val="7CC6544B"/>
    <w:rsid w:val="7CCD4FE2"/>
    <w:rsid w:val="7CD841D6"/>
    <w:rsid w:val="7CEE6832"/>
    <w:rsid w:val="7D0239FF"/>
    <w:rsid w:val="7D1D3EEF"/>
    <w:rsid w:val="7D337688"/>
    <w:rsid w:val="7D4A0A5C"/>
    <w:rsid w:val="7D4E40A8"/>
    <w:rsid w:val="7D586CD5"/>
    <w:rsid w:val="7D5E40CD"/>
    <w:rsid w:val="7D6B2EAC"/>
    <w:rsid w:val="7D982DD9"/>
    <w:rsid w:val="7DA02CB4"/>
    <w:rsid w:val="7DB449F1"/>
    <w:rsid w:val="7DC167B6"/>
    <w:rsid w:val="7DCD56F2"/>
    <w:rsid w:val="7DD44C5B"/>
    <w:rsid w:val="7DE80F5B"/>
    <w:rsid w:val="7DE918E4"/>
    <w:rsid w:val="7DEE638C"/>
    <w:rsid w:val="7DEE7639"/>
    <w:rsid w:val="7E160DCD"/>
    <w:rsid w:val="7E1F3C97"/>
    <w:rsid w:val="7E2748F9"/>
    <w:rsid w:val="7E341171"/>
    <w:rsid w:val="7E456642"/>
    <w:rsid w:val="7E4957C4"/>
    <w:rsid w:val="7E553215"/>
    <w:rsid w:val="7E6236D5"/>
    <w:rsid w:val="7E66742B"/>
    <w:rsid w:val="7E723430"/>
    <w:rsid w:val="7E873E5A"/>
    <w:rsid w:val="7E943603"/>
    <w:rsid w:val="7EA20FAA"/>
    <w:rsid w:val="7EA67F14"/>
    <w:rsid w:val="7EAC79DF"/>
    <w:rsid w:val="7EAF17AA"/>
    <w:rsid w:val="7EB3205F"/>
    <w:rsid w:val="7EB877A9"/>
    <w:rsid w:val="7ECB618F"/>
    <w:rsid w:val="7ECD36F3"/>
    <w:rsid w:val="7ED55650"/>
    <w:rsid w:val="7EE967C9"/>
    <w:rsid w:val="7F001CE7"/>
    <w:rsid w:val="7F191317"/>
    <w:rsid w:val="7F4136AB"/>
    <w:rsid w:val="7F4E3215"/>
    <w:rsid w:val="7F58120E"/>
    <w:rsid w:val="7F65758F"/>
    <w:rsid w:val="7F694139"/>
    <w:rsid w:val="7F700A38"/>
    <w:rsid w:val="7FC85C74"/>
    <w:rsid w:val="7FD237F3"/>
    <w:rsid w:val="7FE47E50"/>
    <w:rsid w:val="7FF134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99"/>
    <w:pPr>
      <w:keepNext/>
      <w:numPr>
        <w:ilvl w:val="0"/>
        <w:numId w:val="1"/>
      </w:numPr>
      <w:overflowPunct w:val="0"/>
      <w:snapToGrid w:val="0"/>
      <w:spacing w:line="360" w:lineRule="auto"/>
      <w:ind w:left="0" w:firstLine="0" w:firstLineChars="0"/>
      <w:jc w:val="center"/>
      <w:outlineLvl w:val="0"/>
    </w:pPr>
    <w:rPr>
      <w:rFonts w:ascii="Times New Roman" w:hAnsi="Times New Roman" w:eastAsia="黑体"/>
      <w:bCs/>
      <w:color w:val="000000"/>
      <w:kern w:val="44"/>
      <w:sz w:val="32"/>
      <w:szCs w:val="30"/>
    </w:rPr>
  </w:style>
  <w:style w:type="paragraph" w:styleId="3">
    <w:name w:val="heading 2"/>
    <w:basedOn w:val="2"/>
    <w:next w:val="1"/>
    <w:link w:val="28"/>
    <w:qFormat/>
    <w:uiPriority w:val="0"/>
    <w:pPr>
      <w:numPr>
        <w:ilvl w:val="1"/>
        <w:numId w:val="1"/>
      </w:numPr>
      <w:tabs>
        <w:tab w:val="clear" w:pos="0"/>
      </w:tabs>
      <w:spacing w:before="40" w:beforeAutospacing="0" w:after="40" w:afterAutospacing="0" w:line="360" w:lineRule="auto"/>
      <w:ind w:firstLineChars="0"/>
      <w:jc w:val="left"/>
      <w:outlineLvl w:val="1"/>
    </w:pPr>
    <w:rPr>
      <w:rFonts w:ascii="Times New Roman" w:hAnsi="Times New Roman" w:eastAsia="宋体" w:cs="宋体"/>
      <w:b/>
      <w:kern w:val="0"/>
      <w:sz w:val="30"/>
      <w:szCs w:val="36"/>
      <w:lang w:bidi="ar"/>
    </w:rPr>
  </w:style>
  <w:style w:type="paragraph" w:styleId="4">
    <w:name w:val="heading 3"/>
    <w:basedOn w:val="1"/>
    <w:next w:val="1"/>
    <w:qFormat/>
    <w:uiPriority w:val="0"/>
    <w:pPr>
      <w:numPr>
        <w:ilvl w:val="2"/>
        <w:numId w:val="1"/>
      </w:numPr>
      <w:spacing w:before="40" w:beforeAutospacing="0" w:after="40" w:afterAutospacing="0" w:line="360" w:lineRule="auto"/>
      <w:ind w:firstLineChars="0"/>
      <w:jc w:val="left"/>
      <w:outlineLvl w:val="2"/>
    </w:pPr>
    <w:rPr>
      <w:rFonts w:cs="宋体"/>
      <w:b/>
      <w:bCs/>
      <w:kern w:val="0"/>
      <w:sz w:val="28"/>
      <w:szCs w:val="27"/>
      <w:lang w:bidi="ar"/>
    </w:rPr>
  </w:style>
  <w:style w:type="paragraph" w:styleId="5">
    <w:name w:val="heading 4"/>
    <w:basedOn w:val="1"/>
    <w:next w:val="1"/>
    <w:qFormat/>
    <w:uiPriority w:val="0"/>
    <w:pPr>
      <w:keepNext/>
      <w:keepLines/>
      <w:tabs>
        <w:tab w:val="right" w:pos="8820"/>
      </w:tabs>
      <w:autoSpaceDE w:val="0"/>
      <w:autoSpaceDN w:val="0"/>
      <w:spacing w:line="360" w:lineRule="auto"/>
      <w:ind w:firstLine="0" w:firstLineChars="0"/>
      <w:outlineLvl w:val="3"/>
    </w:pPr>
  </w:style>
  <w:style w:type="paragraph" w:styleId="6">
    <w:name w:val="heading 5"/>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te Heading"/>
    <w:basedOn w:val="1"/>
    <w:next w:val="1"/>
    <w:qFormat/>
    <w:uiPriority w:val="0"/>
    <w:pPr>
      <w:jc w:val="left"/>
    </w:pPr>
  </w:style>
  <w:style w:type="paragraph" w:styleId="8">
    <w:name w:val="caption"/>
    <w:basedOn w:val="1"/>
    <w:next w:val="1"/>
    <w:qFormat/>
    <w:uiPriority w:val="99"/>
    <w:rPr>
      <w:rFonts w:ascii="Cambria" w:hAnsi="Cambria" w:eastAsia="黑体"/>
      <w:kern w:val="0"/>
      <w:sz w:val="20"/>
      <w:szCs w:val="20"/>
      <w:lang w:val="zh-CN"/>
    </w:rPr>
  </w:style>
  <w:style w:type="paragraph" w:styleId="9">
    <w:name w:val="annotation text"/>
    <w:basedOn w:val="1"/>
    <w:link w:val="29"/>
    <w:semiHidden/>
    <w:qFormat/>
    <w:uiPriority w:val="0"/>
    <w:pPr>
      <w:jc w:val="left"/>
    </w:pPr>
    <w:rPr>
      <w:kern w:val="0"/>
      <w:sz w:val="24"/>
      <w:szCs w:val="20"/>
    </w:rPr>
  </w:style>
  <w:style w:type="paragraph" w:styleId="10">
    <w:name w:val="Salutation"/>
    <w:basedOn w:val="1"/>
    <w:next w:val="1"/>
    <w:unhideWhenUsed/>
    <w:qFormat/>
    <w:uiPriority w:val="99"/>
    <w:pPr>
      <w:spacing w:line="307" w:lineRule="auto"/>
    </w:pPr>
  </w:style>
  <w:style w:type="paragraph" w:styleId="11">
    <w:name w:val="Body Text"/>
    <w:basedOn w:val="1"/>
    <w:next w:val="7"/>
    <w:qFormat/>
    <w:uiPriority w:val="99"/>
    <w:pPr>
      <w:widowControl/>
      <w:snapToGrid w:val="0"/>
      <w:spacing w:before="60" w:after="160" w:line="259" w:lineRule="auto"/>
      <w:ind w:right="113"/>
    </w:pPr>
    <w:rPr>
      <w:rFonts w:ascii="Times New Roman" w:hAnsi="Times New Roman"/>
      <w:kern w:val="0"/>
      <w:sz w:val="20"/>
      <w:szCs w:val="20"/>
      <w:lang w:val="zh-CN"/>
    </w:rPr>
  </w:style>
  <w:style w:type="paragraph" w:styleId="12">
    <w:name w:val="Body Text Indent"/>
    <w:basedOn w:val="1"/>
    <w:next w:val="11"/>
    <w:qFormat/>
    <w:uiPriority w:val="0"/>
    <w:pPr>
      <w:spacing w:after="120"/>
      <w:ind w:left="420" w:leftChars="200"/>
    </w:pPr>
    <w:rPr>
      <w:kern w:val="0"/>
      <w:sz w:val="24"/>
      <w:szCs w:val="20"/>
    </w:rPr>
  </w:style>
  <w:style w:type="paragraph" w:styleId="13">
    <w:name w:val="Plain Text"/>
    <w:basedOn w:val="1"/>
    <w:qFormat/>
    <w:uiPriority w:val="0"/>
    <w:rPr>
      <w:rFonts w:ascii="宋体" w:hAnsi="Courier New" w:eastAsia="仿宋_GB2312"/>
      <w:sz w:val="28"/>
      <w:szCs w:val="20"/>
    </w:rPr>
  </w:style>
  <w:style w:type="paragraph" w:styleId="14">
    <w:name w:val="footer"/>
    <w:basedOn w:val="1"/>
    <w:link w:val="30"/>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32"/>
      <w:szCs w:val="32"/>
    </w:rPr>
  </w:style>
  <w:style w:type="paragraph" w:styleId="16">
    <w:name w:val="toc 1"/>
    <w:basedOn w:val="1"/>
    <w:next w:val="1"/>
    <w:qFormat/>
    <w:uiPriority w:val="0"/>
  </w:style>
  <w:style w:type="paragraph" w:styleId="17">
    <w:name w:val="List"/>
    <w:basedOn w:val="1"/>
    <w:qFormat/>
    <w:uiPriority w:val="0"/>
    <w:pPr>
      <w:ind w:left="200" w:hanging="200" w:hangingChars="200"/>
    </w:pPr>
  </w:style>
  <w:style w:type="paragraph" w:styleId="18">
    <w:name w:val="Body Text 2"/>
    <w:basedOn w:val="1"/>
    <w:next w:val="1"/>
    <w:unhideWhenUsed/>
    <w:qFormat/>
    <w:uiPriority w:val="0"/>
    <w:pPr>
      <w:spacing w:after="120" w:line="480" w:lineRule="auto"/>
    </w:pPr>
    <w:rPr>
      <w:kern w:val="0"/>
      <w:sz w:val="24"/>
      <w:szCs w:val="20"/>
    </w:rPr>
  </w:style>
  <w:style w:type="paragraph" w:styleId="1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0">
    <w:name w:val="Title"/>
    <w:basedOn w:val="1"/>
    <w:next w:val="1"/>
    <w:qFormat/>
    <w:uiPriority w:val="0"/>
    <w:pPr>
      <w:spacing w:before="240" w:after="60"/>
      <w:jc w:val="center"/>
      <w:outlineLvl w:val="0"/>
    </w:pPr>
    <w:rPr>
      <w:rFonts w:ascii="Cambria" w:hAnsi="Cambria" w:eastAsia="方正小标宋简体"/>
      <w:bCs/>
      <w:spacing w:val="0"/>
      <w:kern w:val="0"/>
      <w:sz w:val="36"/>
      <w:szCs w:val="32"/>
    </w:rPr>
  </w:style>
  <w:style w:type="paragraph" w:styleId="21">
    <w:name w:val="Body Text First Indent"/>
    <w:basedOn w:val="11"/>
    <w:next w:val="1"/>
    <w:qFormat/>
    <w:uiPriority w:val="99"/>
    <w:pPr>
      <w:overflowPunct w:val="0"/>
      <w:autoSpaceDE w:val="0"/>
      <w:autoSpaceDN w:val="0"/>
      <w:adjustRightInd w:val="0"/>
      <w:spacing w:line="360" w:lineRule="auto"/>
      <w:ind w:firstLine="539"/>
      <w:textAlignment w:val="baseline"/>
    </w:pPr>
  </w:style>
  <w:style w:type="paragraph" w:styleId="22">
    <w:name w:val="Body Text First Indent 2"/>
    <w:basedOn w:val="12"/>
    <w:next w:val="21"/>
    <w:qFormat/>
    <w:uiPriority w:val="99"/>
    <w:pPr>
      <w:ind w:firstLine="420" w:firstLineChars="200"/>
    </w:p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customStyle="1" w:styleId="27">
    <w:name w:val="标题 1 Char"/>
    <w:link w:val="2"/>
    <w:qFormat/>
    <w:uiPriority w:val="99"/>
    <w:rPr>
      <w:rFonts w:ascii="Times New Roman" w:hAnsi="Times New Roman" w:eastAsia="黑体"/>
      <w:bCs/>
      <w:color w:val="000000"/>
      <w:kern w:val="44"/>
      <w:sz w:val="32"/>
      <w:szCs w:val="30"/>
    </w:rPr>
  </w:style>
  <w:style w:type="character" w:customStyle="1" w:styleId="28">
    <w:name w:val="标题 2 Char"/>
    <w:link w:val="3"/>
    <w:qFormat/>
    <w:uiPriority w:val="0"/>
    <w:rPr>
      <w:rFonts w:ascii="Times New Roman" w:hAnsi="Times New Roman" w:eastAsia="宋体" w:cs="宋体"/>
      <w:b/>
      <w:bCs/>
      <w:kern w:val="0"/>
      <w:sz w:val="30"/>
      <w:szCs w:val="36"/>
      <w:lang w:bidi="ar"/>
    </w:rPr>
  </w:style>
  <w:style w:type="character" w:customStyle="1" w:styleId="29">
    <w:name w:val="批注文字 字符"/>
    <w:link w:val="9"/>
    <w:qFormat/>
    <w:uiPriority w:val="0"/>
    <w:rPr>
      <w:rFonts w:ascii="Times New Roman" w:hAnsi="Times New Roman" w:eastAsia="宋体"/>
      <w:sz w:val="24"/>
    </w:rPr>
  </w:style>
  <w:style w:type="character" w:customStyle="1" w:styleId="30">
    <w:name w:val="页脚 Char"/>
    <w:link w:val="14"/>
    <w:qFormat/>
    <w:uiPriority w:val="0"/>
    <w:rPr>
      <w:sz w:val="18"/>
    </w:rPr>
  </w:style>
  <w:style w:type="table" w:customStyle="1" w:styleId="31">
    <w:name w:val="表格样式1"/>
    <w:qFormat/>
    <w:uiPriority w:val="0"/>
    <w:pPr>
      <w:jc w:val="center"/>
    </w:pPr>
    <w:rPr>
      <w:lang w:val="en-US" w:eastAsia="zh-CN" w:bidi="ar-SA"/>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32">
    <w:name w:val="表格样式11"/>
    <w:semiHidden/>
    <w:qFormat/>
    <w:uiPriority w:val="0"/>
    <w:pPr>
      <w:spacing w:line="320" w:lineRule="exact"/>
      <w:jc w:val="center"/>
    </w:pPr>
    <w:rPr>
      <w:rFonts w:ascii="Arial" w:hAnsi="Arial"/>
      <w:kern w:val="2"/>
      <w:lang w:val="en-US" w:eastAsia="zh-CN" w:bidi="ar-SA"/>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33">
    <w:name w:val="表文"/>
    <w:basedOn w:val="1"/>
    <w:link w:val="34"/>
    <w:qFormat/>
    <w:uiPriority w:val="0"/>
    <w:pPr>
      <w:spacing w:line="240" w:lineRule="auto"/>
      <w:ind w:firstLine="0" w:firstLineChars="0"/>
      <w:jc w:val="center"/>
    </w:pPr>
    <w:rPr>
      <w:rFonts w:ascii="Times New Roman" w:hAnsi="Times New Roman" w:eastAsia="宋体"/>
      <w:sz w:val="21"/>
    </w:rPr>
  </w:style>
  <w:style w:type="character" w:customStyle="1" w:styleId="34">
    <w:name w:val="颜表文 Char"/>
    <w:link w:val="33"/>
    <w:qFormat/>
    <w:uiPriority w:val="0"/>
    <w:rPr>
      <w:rFonts w:ascii="Times New Roman" w:hAnsi="Times New Roman" w:eastAsia="宋体"/>
      <w:sz w:val="21"/>
    </w:rPr>
  </w:style>
  <w:style w:type="table" w:customStyle="1" w:styleId="35">
    <w:name w:val="Table Normal"/>
    <w:unhideWhenUsed/>
    <w:qFormat/>
    <w:uiPriority w:val="0"/>
    <w:tblPr>
      <w:tblCellMar>
        <w:top w:w="0" w:type="dxa"/>
        <w:left w:w="0" w:type="dxa"/>
        <w:bottom w:w="0" w:type="dxa"/>
        <w:right w:w="0" w:type="dxa"/>
      </w:tblCellMar>
    </w:tblPr>
  </w:style>
  <w:style w:type="paragraph" w:customStyle="1" w:styleId="36">
    <w:name w:val="表头"/>
    <w:basedOn w:val="1"/>
    <w:next w:val="1"/>
    <w:link w:val="37"/>
    <w:qFormat/>
    <w:uiPriority w:val="0"/>
    <w:pPr>
      <w:numPr>
        <w:ilvl w:val="3"/>
        <w:numId w:val="1"/>
      </w:numPr>
      <w:spacing w:before="40" w:line="240" w:lineRule="auto"/>
      <w:ind w:firstLineChars="0"/>
      <w:jc w:val="center"/>
    </w:pPr>
    <w:rPr>
      <w:rFonts w:ascii="Times New Roman" w:hAnsi="Times New Roman" w:eastAsia="宋体"/>
      <w:b/>
    </w:rPr>
  </w:style>
  <w:style w:type="character" w:customStyle="1" w:styleId="37">
    <w:name w:val="颜表头 Char"/>
    <w:link w:val="36"/>
    <w:qFormat/>
    <w:uiPriority w:val="0"/>
    <w:rPr>
      <w:rFonts w:ascii="Times New Roman" w:hAnsi="Times New Roman" w:eastAsia="宋体"/>
      <w:b/>
      <w:sz w:val="24"/>
    </w:rPr>
  </w:style>
  <w:style w:type="paragraph" w:customStyle="1" w:styleId="38">
    <w:name w:val="表格固定文字"/>
    <w:basedOn w:val="1"/>
    <w:qFormat/>
    <w:uiPriority w:val="0"/>
    <w:pPr>
      <w:spacing w:line="240" w:lineRule="auto"/>
      <w:ind w:firstLine="0"/>
    </w:pPr>
    <w:rPr>
      <w:rFonts w:ascii="Times New Roman" w:hAnsi="Times New Roman" w:eastAsia="宋体"/>
      <w:sz w:val="21"/>
    </w:rPr>
  </w:style>
  <w:style w:type="paragraph" w:customStyle="1" w:styleId="39">
    <w:name w:val="流程图"/>
    <w:qFormat/>
    <w:uiPriority w:val="0"/>
    <w:pPr>
      <w:widowControl w:val="0"/>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40">
    <w:name w:val="Table Text"/>
    <w:basedOn w:val="1"/>
    <w:semiHidden/>
    <w:qFormat/>
    <w:uiPriority w:val="99"/>
    <w:rPr>
      <w:rFonts w:ascii="宋体" w:hAnsi="宋体" w:cs="宋体"/>
      <w:sz w:val="24"/>
      <w:szCs w:val="24"/>
      <w:lang w:eastAsia="en-US"/>
    </w:rPr>
  </w:style>
  <w:style w:type="paragraph" w:customStyle="1" w:styleId="41">
    <w:name w:val="表格字体"/>
    <w:autoRedefine/>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2">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table" w:customStyle="1" w:styleId="43">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44">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45">
    <w:name w:val="表格样式"/>
    <w:basedOn w:val="1"/>
    <w:next w:val="1"/>
    <w:autoRedefine/>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46">
    <w:name w:val="正文样式"/>
    <w:qFormat/>
    <w:uiPriority w:val="0"/>
    <w:pPr>
      <w:adjustRightInd w:val="0"/>
      <w:snapToGrid w:val="0"/>
      <w:spacing w:line="360" w:lineRule="auto"/>
      <w:ind w:firstLine="720" w:firstLineChars="200"/>
      <w:jc w:val="both"/>
    </w:pPr>
    <w:rPr>
      <w:rFonts w:ascii="Times New Roman" w:hAnsi="Times New Roman" w:eastAsia="宋体" w:cs="Times New Roman"/>
    </w:rPr>
  </w:style>
  <w:style w:type="paragraph" w:customStyle="1" w:styleId="47">
    <w:name w:val="(居中)表文字"/>
    <w:basedOn w:val="1"/>
    <w:next w:val="1"/>
    <w:autoRedefine/>
    <w:qFormat/>
    <w:uiPriority w:val="0"/>
    <w:pPr>
      <w:spacing w:line="340" w:lineRule="exact"/>
      <w:ind w:firstLine="0" w:firstLineChars="0"/>
      <w:jc w:val="center"/>
    </w:pPr>
    <w:rPr>
      <w:sz w:val="21"/>
      <w:szCs w:val="21"/>
    </w:rPr>
  </w:style>
  <w:style w:type="paragraph" w:customStyle="1" w:styleId="48">
    <w:name w:val="表内文字（居中）"/>
    <w:basedOn w:val="1"/>
    <w:autoRedefine/>
    <w:qFormat/>
    <w:uiPriority w:val="0"/>
    <w:pPr>
      <w:widowControl/>
      <w:adjustRightInd w:val="0"/>
      <w:snapToGrid w:val="0"/>
      <w:spacing w:line="340" w:lineRule="exact"/>
      <w:jc w:val="center"/>
    </w:pPr>
    <w:rPr>
      <w:rFonts w:ascii="Times New Roman" w:hAnsi="Times New Roman" w:eastAsia="宋体"/>
      <w:kern w:val="0"/>
      <w:szCs w:val="21"/>
    </w:rPr>
  </w:style>
  <w:style w:type="paragraph" w:customStyle="1" w:styleId="49">
    <w:name w:val="6表格"/>
    <w:basedOn w:val="1"/>
    <w:autoRedefine/>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d3f44c7a-e773-4641-874a-2d7a6e978c7a</errorID>
      <errorWord>环境检测</errorWord>
      <group>L1_Word</group>
      <groupName>字词问题</groupName>
      <ability>L2_Typo</ability>
      <abilityName>字词错误</abilityName>
      <candidateList>
        <item>环境监测</item>
      </candidateList>
      <explain/>
      <paraID>123F01BB</paraID>
      <start>7</start>
      <end>11</end>
      <status>unmodified</status>
      <modifiedWord/>
      <trackRevisions>false</trackRevisions>
    </reviewItem>
    <reviewItem>
      <errorID>2dada33a-ce18-4a38-9d22-d1481a696de1</errorID>
      <errorWord>-</errorWord>
      <group>L1_Format</group>
      <groupName>格式问题</groupName>
      <ability>L2_HalfPunc</ability>
      <abilityName>全半角检查</abilityName>
      <candidateList>
        <item>－</item>
      </candidateList>
      <explain>文本全半角错误。</explain>
      <paraID>6830BD6F</paraID>
      <start>12</start>
      <end>13</end>
      <status>modified</status>
      <modifiedWord>－</modifiedWord>
      <trackRevisions>false</trackRevisions>
    </reviewItem>
    <reviewItem>
      <errorID>068bdc91-41f1-4152-a43b-34ccb9d6b8d6</errorID>
      <errorWord>-</errorWord>
      <group>L1_Format</group>
      <groupName>格式问题</groupName>
      <ability>L2_HalfPunc</ability>
      <abilityName>全半角检查</abilityName>
      <candidateList>
        <item>－</item>
      </candidateList>
      <explain>文本全半角错误。</explain>
      <paraID>6830BD6F</paraID>
      <start>27</start>
      <end>28</end>
      <status>modified</status>
      <modifiedWord>－</modifiedWord>
      <trackRevisions>false</trackRevisions>
    </reviewItem>
    <reviewItem>
      <errorID>63dbf8f9-d090-4e3c-a60d-3ed19bb77383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74757338</paraID>
      <start>7</start>
      <end>8</end>
      <status>modified</status>
      <modifiedWord>—</modifiedWord>
      <trackRevisions>false</trackRevisions>
    </reviewItem>
    <reviewItem>
      <errorID>af1a4292-3673-4f23-b09f-16b6f9fab192</errorID>
      <errorWord>危险物质</errorWord>
      <group>L1_Word</group>
      <groupName>字词问题</groupName>
      <ability>L2_Typo</ability>
      <abilityName>字词错误</abilityName>
      <candidateList>
        <item>危险物资</item>
      </candidateList>
      <explain/>
      <paraID>42C21FF7</paraID>
      <start>3</start>
      <end>7</end>
      <status>unmodified</status>
      <modifiedWord/>
      <trackRevisions>false</trackRevisions>
    </reviewItem>
    <reviewItem>
      <errorID>0ee44131-92fd-4b07-9f7f-baaeb156e719</errorID>
      <errorWord>[</errorWord>
      <group>L1_Punc</group>
      <groupName>标点问题</groupName>
      <ability>L2_Punc</ability>
      <abilityName>标点符号检查</abilityName>
      <candidateList>
        <item>〔</item>
      </candidateList>
      <explain/>
      <paraID>15A2144A</paraID>
      <start>47</start>
      <end>48</end>
      <status>unmodified</status>
      <modifiedWord/>
      <trackRevisions>false</trackRevisions>
    </reviewItem>
    <reviewItem>
      <errorID>69061e2e-c6ef-42ad-acd5-e6ffb8a6a767</errorID>
      <errorWord>[</errorWord>
      <group>L1_Punc</group>
      <groupName>标点问题</groupName>
      <ability>L2_Punc</ability>
      <abilityName>标点符号检查</abilityName>
      <candidateList>
        <item>〔</item>
      </candidateList>
      <explain/>
      <paraID>7F4EF450</paraID>
      <start>56</start>
      <end>57</end>
      <status>unmodified</status>
      <modifiedWord/>
      <trackRevisions>false</trackRevisions>
    </reviewItem>
    <reviewItem>
      <errorID>bfb7df80-75ca-4abc-a445-3f9118c592f0</errorID>
      <errorWord>加强</errorWord>
      <group>L1_Word</group>
      <groupName>字词问题</groupName>
      <ability>L2_Typo</ability>
      <abilityName>字词错误</abilityName>
      <candidateList>
        <item>加大</item>
      </candidateList>
      <explain>“加强～力度”搭配不当，建议修改为“加大～力度”。</explain>
      <paraID>6B89EBF2</paraID>
      <start>92</start>
      <end>94</end>
      <status>unmodified</status>
      <modifiedWord/>
      <trackRevisions>false</trackRevisions>
    </reviewItem>
    <reviewItem>
      <errorID>cc717669-1675-427f-9a75-7edca7771f5a</errorID>
      <errorWord>，</errorWord>
      <group>L1_Word</group>
      <groupName>字词问题</groupName>
      <ability>L2_Typo</ability>
      <abilityName>字词错误</abilityName>
      <candidateList>
        <item>，在</item>
      </candidateList>
      <explain/>
      <paraID>590850FB</paraID>
      <start>123</start>
      <end>124</end>
      <status>unmodified</status>
      <modifiedWord/>
      <trackRevisions>false</trackRevisions>
    </reviewItem>
    <reviewItem>
      <errorID>d1a1e3d4-70be-48a8-b9a0-9033ef8f2f3a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418749F7</paraID>
      <start>106</start>
      <end>107</end>
      <status>modified</status>
      <modifiedWord>地</modifiedWord>
      <trackRevisions>false</trackRevisions>
    </reviewItem>
    <reviewItem>
      <errorID>a1f1fafd-04a0-4074-a8e9-8396b14b2687</errorID>
      <errorWord>上线</errorWord>
      <group>L1_Word</group>
      <groupName>字词问题</groupName>
      <ability>L2_Typo</ability>
      <abilityName>字词错误</abilityName>
      <candidateList>
        <item>上限</item>
      </candidateList>
      <explain/>
      <paraID>418749F7</paraID>
      <start>134</start>
      <end>136</end>
      <status>unmodified</status>
      <modifiedWord/>
      <trackRevisions>false</trackRevisions>
    </reviewItem>
    <reviewItem>
      <errorID>22c6aa2b-5c82-4beb-b047-989c73dec90d</errorID>
      <errorWord>应</errorWord>
      <group>L1_Word</group>
      <groupName>字词问题</groupName>
      <ability>L2_Typo</ability>
      <abilityName>字词错误</abilityName>
      <candidateList>
        <item>应当</item>
      </candidateList>
      <explain/>
      <paraID>505E49DB</paraID>
      <start>13</start>
      <end>14</end>
      <status>unmodified</status>
      <modifiedWord/>
      <trackRevisions>false</trackRevisions>
    </reviewItem>
    <reviewItem>
      <errorID>e64d00a9-48d2-4802-887a-65875e727abf</errorID>
      <errorWord>片</errorWord>
      <group>L1_Word</group>
      <groupName>字词问题</groupName>
      <ability>L2_Typo</ability>
      <abilityName>字词错误</abilityName>
      <candidateList>
        <item>片区</item>
      </candidateList>
      <explain/>
      <paraID>21823243</paraID>
      <start>19</start>
      <end>20</end>
      <status>unmodified</status>
      <modifiedWord/>
      <trackRevisions>false</trackRevisions>
    </reviewItem>
    <reviewItem>
      <errorID>be1e9352-1277-49e5-8901-1248c6215a3f</errorID>
      <errorWord>片</errorWord>
      <group>L1_Word</group>
      <groupName>字词问题</groupName>
      <ability>L2_Typo</ability>
      <abilityName>字词错误</abilityName>
      <candidateList>
        <item>片区</item>
      </candidateList>
      <explain/>
      <paraID>21823243</paraID>
      <start>48</start>
      <end>49</end>
      <status>unmodified</status>
      <modifiedWord/>
      <trackRevisions>false</trackRevisions>
    </reviewItem>
    <reviewItem>
      <errorID>23c4094c-7f6d-47f5-953d-a8f2875cbe0a</errorID>
      <errorWord>，</errorWord>
      <group>L1_Word</group>
      <groupName>字词问题</groupName>
      <ability>L2_Typo</ability>
      <abilityName>字词错误</abilityName>
      <candidateList>
        <item>，具</item>
      </candidateList>
      <explain/>
      <paraID>38AFF16C</paraID>
      <start>41</start>
      <end>43</end>
      <status>modified</status>
      <modifiedWord>，具</modifiedWord>
      <trackRevisions>false</trackRevisions>
    </reviewItem>
    <reviewItem>
      <errorID>5e67223a-2f22-406d-8af8-bdebdc5acff7</errorID>
      <errorWord>，</errorWord>
      <group>L1_Word</group>
      <groupName>字词问题</groupName>
      <ability>L2_Typo</ability>
      <abilityName>字词错误</abilityName>
      <candidateList>
        <item>，对</item>
      </candidateList>
      <explain/>
      <paraID>38AFF16C</paraID>
      <start>62</start>
      <end>64</end>
      <status>modified</status>
      <modifiedWord>，对</modifiedWord>
      <trackRevisions>false</trackRevisions>
    </reviewItem>
    <reviewItem>
      <errorID>3eea0f58-206d-40ba-988c-e64aa988108d</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2AEDDBFC</paraID>
      <start>41</start>
      <end>47</end>
      <status>modified</status>
      <modifiedWord>“三区三线”</modifiedWord>
      <trackRevisions>false</trackRevisions>
    </reviewItem>
    <reviewItem>
      <errorID>bde23e65-b42e-4e61-b88a-783a8ed1ae10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3519EF43</paraID>
      <start>15</start>
      <end>18</end>
      <status>unmodified</status>
      <modifiedWord/>
      <trackRevisions>false</trackRevisions>
    </reviewItem>
    <reviewItem>
      <errorID>2a26c48e-95a8-47c9-a53f-ee3569f7b6ff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88879AA</paraID>
      <start>97</start>
      <end>100</end>
      <status>unmodified</status>
      <modifiedWord/>
      <trackRevisions>false</trackRevisions>
    </reviewItem>
    <reviewItem>
      <errorID>69726f47-0995-4f18-b662-7b5eb0361e08</errorID>
      <errorWord>：</errorWord>
      <group>L1_Word</group>
      <groupName>字词问题</groupName>
      <ability>L2_Typo</ability>
      <abilityName>字词错误</abilityName>
      <candidateList>
        <item>：一</item>
      </candidateList>
      <explain/>
      <paraID>4794AE36</paraID>
      <start>7</start>
      <end>8</end>
      <status>unmodified</status>
      <modifiedWord/>
      <trackRevisions>false</trackRevisions>
    </reviewItem>
    <reviewItem>
      <errorID>a95d005f-d0e2-4552-a97a-4c5799b35d85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35FA1A1E</paraID>
      <start>0</start>
      <end>2</end>
      <status>modified</status>
      <modifiedWord>1.</modifiedWord>
      <trackRevisions>false</trackRevisions>
    </reviewItem>
    <reviewItem>
      <errorID>96d52c72-d141-474a-b598-e4db2aca94ef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30F4F33</paraID>
      <start>0</start>
      <end>2</end>
      <status>modified</status>
      <modifiedWord>2.</modifiedWord>
      <trackRevisions>false</trackRevisions>
    </reviewItem>
    <reviewItem>
      <errorID>bf19263e-99fa-497a-8e43-f60decc8c254</errorID>
      <errorWord>，，</errorWord>
      <group>L1_Punc</group>
      <groupName>标点问题</groupName>
      <ability>L2_Punc</ability>
      <abilityName>标点符号检查</abilityName>
      <candidateList>
        <item>，</item>
      </candidateList>
      <explain/>
      <paraID>44573F89</paraID>
      <start>178</start>
      <end>179</end>
      <status>modified</status>
      <modifiedWord>，</modifiedWord>
      <trackRevisions>false</trackRevisions>
    </reviewItem>
    <reviewItem>
      <errorID>bd65139a-bcfc-48f8-8734-cb073199711d</errorID>
      <errorWord>中专</errorWord>
      <group>L1_Word</group>
      <groupName>字词问题</groupName>
      <ability>L2_Typo</ability>
      <abilityName>字词错误</abilityName>
      <candidateList>
        <item>中转</item>
      </candidateList>
      <explain/>
      <paraID>56351312</paraID>
      <start>132</start>
      <end>134</end>
      <status>modified</status>
      <modifiedWord>中转</modifiedWord>
      <trackRevisions>false</trackRevisions>
    </reviewItem>
    <reviewItem>
      <errorID>57e0020f-e3c6-40cd-90aa-eda2663e6d3b</errorID>
      <errorWord>中专</errorWord>
      <group>L1_Word</group>
      <groupName>字词问题</groupName>
      <ability>L2_Typo</ability>
      <abilityName>字词错误</abilityName>
      <candidateList>
        <item>中转</item>
      </candidateList>
      <explain/>
      <paraID>56351312</paraID>
      <start>144</start>
      <end>146</end>
      <status>modified</status>
      <modifiedWord>中转</modifiedWord>
      <trackRevisions>false</trackRevisions>
    </reviewItem>
    <reviewItem>
      <errorID>63f2c891-e610-4f8f-a707-2126288d083f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56351312</paraID>
      <start>231</start>
      <end>232</end>
      <status>modified</status>
      <modifiedWord>地</modifiedWord>
      <trackRevisions>false</trackRevisions>
    </reviewItem>
    <reviewItem>
      <errorID>0fe28cc4-0402-482d-a2cc-41bfea92c3b9</errorID>
      <errorWord>详</errorWord>
      <group>L1_Word</group>
      <groupName>字词问题</groupName>
      <ability>L2_Typo</ability>
      <abilityName>字词错误</abilityName>
      <candidateList>
        <item>详见</item>
      </candidateList>
      <explain/>
      <paraID>661EAB24</paraID>
      <start>32</start>
      <end>34</end>
      <status>modified</status>
      <modifiedWord>详见</modifiedWord>
      <trackRevisions>false</trackRevisions>
    </reviewItem>
    <reviewItem>
      <errorID>e245561b-e571-46be-b4d0-d581e5e3b424</errorID>
      <errorWord>-</errorWord>
      <group>L1_Format</group>
      <groupName>格式问题</groupName>
      <ability>L2_HalfPunc</ability>
      <abilityName>全半角检查</abilityName>
      <candidateList>
        <item>－</item>
      </candidateList>
      <explain>文本全半角错误。</explain>
      <paraID>7B31FE74</paraID>
      <start>111</start>
      <end>112</end>
      <status>modified</status>
      <modifiedWord>－</modifiedWord>
      <trackRevisions>false</trackRevisions>
    </reviewItem>
    <reviewItem>
      <errorID>3683add3-e99d-4ffe-bcc9-3478a1c79113</errorID>
      <errorWord>～</errorWord>
      <group>L1_Format</group>
      <groupName>格式问题</groupName>
      <ability>L2_HalfPunc</ability>
      <abilityName>全半角检查</abilityName>
      <candidateList>
        <item>~</item>
      </candidateList>
      <explain>文本全半角错误。</explain>
      <paraID>4C02CFA8</paraID>
      <start>1</start>
      <end>2</end>
      <status>modified</status>
      <modifiedWord>~</modifiedWord>
      <trackRevisions>false</trackRevisions>
    </reviewItem>
    <reviewItem>
      <errorID>f0d3f6db-08c4-4cc5-aaf2-bc86dc15cb32</errorID>
      <errorWord>2024年05月28日</errorWord>
      <group>L1_Knowledge</group>
      <groupName>知识性问题</groupName>
      <ability>L2_Time</ability>
      <abilityName>日期时间</abilityName>
      <candidateList>
        <item>2024年5月28日</item>
      </candidateList>
      <explain>根据日常书写习惯，月份一般会省略前导零。</explain>
      <paraID>331D88A3</paraID>
      <start>26</start>
      <end>36</end>
      <status>modified</status>
      <modifiedWord>2024年5月28日</modifiedWord>
      <trackRevisions>false</trackRevisions>
    </reviewItem>
    <reviewItem>
      <errorID>e729d448-0db8-4b0f-9d35-9ad21c02047c</errorID>
      <errorWord>2024年05月17日</errorWord>
      <group>L1_Knowledge</group>
      <groupName>知识性问题</groupName>
      <ability>L2_Time</ability>
      <abilityName>日期时间</abilityName>
      <candidateList>
        <item>2024年5月17日</item>
      </candidateList>
      <explain>根据日常书写习惯，月份一般会省略前导零。</explain>
      <paraID>74DD144C</paraID>
      <start>0</start>
      <end>10</end>
      <status>modified</status>
      <modifiedWord>2024年5月17日</modifiedWord>
      <trackRevisions>false</trackRevisions>
    </reviewItem>
    <reviewItem>
      <errorID>3789c7aa-32a1-4cf3-bc14-e35c799e6be9</errorID>
      <errorWord>2024年05月18日</errorWord>
      <group>L1_Knowledge</group>
      <groupName>知识性问题</groupName>
      <ability>L2_Time</ability>
      <abilityName>日期时间</abilityName>
      <candidateList>
        <item>2024年5月18日</item>
      </candidateList>
      <explain>根据日常书写习惯，月份一般会省略前导零。</explain>
      <paraID>2C7995DE</paraID>
      <start>0</start>
      <end>10</end>
      <status>modified</status>
      <modifiedWord>2024年5月18日</modifiedWord>
      <trackRevisions>false</trackRevisions>
    </reviewItem>
    <reviewItem>
      <errorID>87d3802d-7480-4b41-9789-1a04c7f63ba8</errorID>
      <errorWord>达</errorWord>
      <group>L1_Word</group>
      <groupName>字词问题</groupName>
      <ability>L2_Typo</ability>
      <abilityName>字词错误</abilityName>
      <candidateList>
        <item>达到</item>
      </candidateList>
      <explain>〈动〉到（多指抽象事物或程度）：达得到｜达不到｜目的没有～｜～国际水平。</explain>
      <paraID> 164A9CA</paraID>
      <start>26</start>
      <end>28</end>
      <status>modified</status>
      <modifiedWord>达到</modifiedWord>
      <trackRevisions>false</trackRevisions>
    </reviewItem>
    <reviewItem>
      <errorID>43f0ebaa-c683-4f10-a882-9f56dc78bfa7</errorID>
      <errorWord>～</errorWord>
      <group>L1_Format</group>
      <groupName>格式问题</groupName>
      <ability>L2_HalfPunc</ability>
      <abilityName>全半角检查</abilityName>
      <candidateList>
        <item>~</item>
      </candidateList>
      <explain>文本全半角错误。</explain>
      <paraID> 896D1CC</paraID>
      <start>1</start>
      <end>2</end>
      <status>modified</status>
      <modifiedWord>~</modifiedWord>
      <trackRevisions>false</trackRevisions>
    </reviewItem>
    <reviewItem>
      <errorID>4e8786c2-04eb-4783-acee-e2ccd3405340</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b）用于机器或车辆：一～机器｜两～汽车。❽（Bù）〈名〉姓。</explain>
      <paraID>7EB5889A</paraID>
      <start>138</start>
      <end>140</end>
      <status>unmodified</status>
      <modifiedWord/>
      <trackRevisions>false</trackRevisions>
    </reviewItem>
    <reviewItem>
      <errorID>7fa5c9c1-8344-44d9-9e2a-14a4de3c319b</errorID>
      <errorWord>达</errorWord>
      <group>L1_Word</group>
      <groupName>字词问题</groupName>
      <ability>L2_Typo</ability>
      <abilityName>字词错误</abilityName>
      <candidateList>
        <item>达到</item>
      </candidateList>
      <explain>〈动〉到（多指抽象事物或程度）：达得到｜达不到｜目的没有～｜～国际水平。</explain>
      <paraID>259FBC24</paraID>
      <start>12</start>
      <end>14</end>
      <status>modified</status>
      <modifiedWord>达到</modifiedWord>
      <trackRevisions>false</trackRevisions>
    </reviewItem>
    <reviewItem>
      <errorID>8870f9e3-7afb-43eb-a0a7-7ea7091b8986</errorID>
      <errorWord>达</errorWord>
      <group>L1_Word</group>
      <groupName>字词问题</groupName>
      <ability>L2_Typo</ability>
      <abilityName>字词错误</abilityName>
      <candidateList>
        <item>达到</item>
      </candidateList>
      <explain>〈动〉到（多指抽象事物或程度）：达得到｜达不到｜目的没有～｜～国际水平。</explain>
      <paraID>54F6959C</paraID>
      <start>12</start>
      <end>14</end>
      <status>modified</status>
      <modifiedWord>达到</modifiedWord>
      <trackRevisions>false</trackRevisions>
    </reviewItem>
    <reviewItem>
      <errorID>46bc117c-618d-4142-9897-c84e200d8a9e</errorID>
      <errorWord>（</errorWord>
      <group>L1_Format</group>
      <groupName>格式问题</groupName>
      <ability>L2_HalfPunc</ability>
      <abilityName>全半角检查</abilityName>
      <candidateList>
        <item>(</item>
      </candidateList>
      <explain>文本全半角错误。</explain>
      <paraID>51CBF6FD</paraID>
      <start>0</start>
      <end>1</end>
      <status>modified</status>
      <modifiedWord>(</modifiedWord>
      <trackRevisions>false</trackRevisions>
    </reviewItem>
    <reviewItem>
      <errorID>407ea354-a7fb-4b29-ae05-550871183ac7</errorID>
      <errorWord>）</errorWord>
      <group>L1_Format</group>
      <groupName>格式问题</groupName>
      <ability>L2_HalfPunc</ability>
      <abilityName>全半角检查</abilityName>
      <candidateList>
        <item>)</item>
      </candidateList>
      <explain>文本全半角错误。</explain>
      <paraID>51CBF6FD</paraID>
      <start>5</start>
      <end>6</end>
      <status>modified</status>
      <modifiedWord>)</modifiedWord>
      <trackRevisions>false</trackRevisions>
    </reviewItem>
    <reviewItem>
      <errorID>11f47d4b-c0de-40d5-bf05-0c61947d7bba</errorID>
      <errorWord>冲击型</errorWord>
      <group>L1_Word</group>
      <groupName>字词问题</groupName>
      <ability>L2_Typo</ability>
      <abilityName>字词错误</abilityName>
      <candidateList>
        <item>冲击性</item>
      </candidateList>
      <explain/>
      <paraID> B5961F6</paraID>
      <start>19</start>
      <end>22</end>
      <status>unmodified</status>
      <modifiedWord/>
      <trackRevisions>false</trackRevisions>
    </reviewItem>
    <reviewItem>
      <errorID>579c9913-1f06-4b9e-8202-a1baab86469a</errorID>
      <errorWord>冲击型</errorWord>
      <group>L1_Word</group>
      <groupName>字词问题</groupName>
      <ability>L2_Typo</ability>
      <abilityName>字词错误</abilityName>
      <candidateList>
        <item>冲击性</item>
      </candidateList>
      <explain/>
      <paraID>4567ABB4</paraID>
      <start>23</start>
      <end>26</end>
      <status>unmodified</status>
      <modifiedWord/>
      <trackRevisions>false</trackRevisions>
    </reviewItem>
    <reviewItem>
      <errorID>f7e1b481-e222-4183-9754-357b6aa740d4</errorID>
      <errorWord>污水厂</errorWord>
      <group>L1_Word</group>
      <groupName>字词问题</groupName>
      <ability>L2_Typo</ability>
      <abilityName>字词错误</abilityName>
      <candidateList>
        <item>污水处理厂</item>
      </candidateList>
      <explain/>
      <paraID>7EC09F9C</paraID>
      <start>0</start>
      <end>5</end>
      <status>modified</status>
      <modifiedWord>污水处理厂</modifiedWord>
      <trackRevisions>false</trackRevisions>
    </reviewItem>
    <reviewItem>
      <errorID>828eee33-72af-4c62-8784-f67e354ecc67</errorID>
      <errorWord>～</errorWord>
      <group>L1_Format</group>
      <groupName>格式问题</groupName>
      <ability>L2_HalfPunc</ability>
      <abilityName>全半角检查</abilityName>
      <candidateList>
        <item>~</item>
      </candidateList>
      <explain>文本全半角错误。</explain>
      <paraID>68FD84AF</paraID>
      <start>1</start>
      <end>2</end>
      <status>modified</status>
      <modifiedWord>~</modifiedWord>
      <trackRevisions>false</trackRevisions>
    </reviewItem>
    <reviewItem>
      <errorID>c13c90be-9d92-44dc-9d37-36254c4d44af</errorID>
      <errorWord>～</errorWord>
      <group>L1_Format</group>
      <groupName>格式问题</groupName>
      <ability>L2_HalfPunc</ability>
      <abilityName>全半角检查</abilityName>
      <candidateList>
        <item>~</item>
      </candidateList>
      <explain>文本全半角错误。</explain>
      <paraID>34C54F8F</paraID>
      <start>1</start>
      <end>2</end>
      <status>modified</status>
      <modifiedWord>~</modifiedWord>
      <trackRevisions>false</trackRevisions>
    </reviewItem>
    <reviewItem>
      <errorID>66921fe6-bbb8-49ad-9683-516e69c54250</errorID>
      <errorWord>～</errorWord>
      <group>L1_Format</group>
      <groupName>格式问题</groupName>
      <ability>L2_HalfPunc</ability>
      <abilityName>全半角检查</abilityName>
      <candidateList>
        <item>~</item>
      </candidateList>
      <explain>文本全半角错误。</explain>
      <paraID>15FEE049</paraID>
      <start>1</start>
      <end>2</end>
      <status>modified</status>
      <modifiedWord>~</modifiedWord>
      <trackRevisions>false</trackRevisions>
    </reviewItem>
    <reviewItem>
      <errorID>c8239251-e1bc-487b-8034-a4056a2d96c3</errorID>
      <errorWord>污水厂</errorWord>
      <group>L1_Word</group>
      <groupName>字词问题</groupName>
      <ability>L2_Typo</ability>
      <abilityName>字词错误</abilityName>
      <candidateList>
        <item>污水处理厂</item>
      </candidateList>
      <explain/>
      <paraID>72E98C14</paraID>
      <start>88</start>
      <end>93</end>
      <status>modified</status>
      <modifiedWord>污水处理厂</modifiedWord>
      <trackRevisions>false</trackRevisions>
    </reviewItem>
    <reviewItem>
      <errorID>32a65f56-a620-4bcb-b0eb-a3b32fb5314a</errorID>
      <errorWord>污水厂</errorWord>
      <group>L1_Word</group>
      <groupName>字词问题</groupName>
      <ability>L2_Typo</ability>
      <abilityName>字词错误</abilityName>
      <candidateList>
        <item>污水处理厂</item>
      </candidateList>
      <explain/>
      <paraID>5FD96F25</paraID>
      <start>224</start>
      <end>229</end>
      <status>modified</status>
      <modifiedWord>污水处理厂</modifiedWord>
      <trackRevisions>false</trackRevisions>
    </reviewItem>
    <reviewItem>
      <errorID>356f5fc7-c525-4ece-9d19-356c1679d4f3</errorID>
      <errorWord>…………</errorWord>
      <group>L1_Punc</group>
      <groupName>标点问题</groupName>
      <ability>L2_Punc</ability>
      <abilityName>标点符号检查</abilityName>
      <candidateList>
        <item>…</item>
      </candidateList>
      <explain/>
      <paraID>158E73E8</paraID>
      <start>20</start>
      <end>21</end>
      <status>modified</status>
      <modifiedWord>…</modifiedWord>
      <trackRevisions>false</trackRevisions>
    </reviewItem>
    <reviewItem>
      <errorID>7fe1aebf-0250-48bc-9b89-433d2d492d2f</errorID>
      <errorWord>（</errorWord>
      <group>L1_Format</group>
      <groupName>格式问题</groupName>
      <ability>L2_HalfPunc</ability>
      <abilityName>全半角检查</abilityName>
      <candidateList>
        <item>(</item>
      </candidateList>
      <explain>文本全半角错误。</explain>
      <paraID>158E73E8</paraID>
      <start>21</start>
      <end>22</end>
      <status>modified</status>
      <modifiedWord>(</modifiedWord>
      <trackRevisions>false</trackRevisions>
    </reviewItem>
    <reviewItem>
      <errorID>5b310a2e-314c-4786-9507-b085473cc802</errorID>
      <errorWord>）</errorWord>
      <group>L1_Format</group>
      <groupName>格式问题</groupName>
      <ability>L2_HalfPunc</ability>
      <abilityName>全半角检查</abilityName>
      <candidateList>
        <item>)</item>
      </candidateList>
      <explain>文本全半角错误。</explain>
      <paraID>158E73E8</paraID>
      <start>25</start>
      <end>26</end>
      <status>modified</status>
      <modifiedWord>)</modifiedWord>
      <trackRevisions>false</trackRevisions>
    </reviewItem>
    <reviewItem>
      <errorID>289da2cd-6009-4297-8fab-b75f052bc8df</errorID>
      <errorWord>…………</errorWord>
      <group>L1_Punc</group>
      <groupName>标点问题</groupName>
      <ability>L2_Punc</ability>
      <abilityName>标点符号检查</abilityName>
      <candidateList>
        <item>…</item>
      </candidateList>
      <explain/>
      <paraID>55DF819C</paraID>
      <start>36</start>
      <end>37</end>
      <status>modified</status>
      <modifiedWord>…</modifiedWord>
      <trackRevisions>false</trackRevisions>
    </reviewItem>
    <reviewItem>
      <errorID>7a85d2d1-6e9b-416a-9f71-72aacec815ed</errorID>
      <errorWord>（</errorWord>
      <group>L1_Format</group>
      <groupName>格式问题</groupName>
      <ability>L2_HalfPunc</ability>
      <abilityName>全半角检查</abilityName>
      <candidateList>
        <item>(</item>
      </candidateList>
      <explain>文本全半角错误。</explain>
      <paraID>55DF819C</paraID>
      <start>37</start>
      <end>38</end>
      <status>modified</status>
      <modifiedWord>(</modifiedWord>
      <trackRevisions>false</trackRevisions>
    </reviewItem>
    <reviewItem>
      <errorID>9838bf9a-eba7-4c6c-9cf5-6d950ae87f74</errorID>
      <errorWord>）</errorWord>
      <group>L1_Format</group>
      <groupName>格式问题</groupName>
      <ability>L2_HalfPunc</ability>
      <abilityName>全半角检查</abilityName>
      <candidateList>
        <item>)</item>
      </candidateList>
      <explain>文本全半角错误。</explain>
      <paraID>55DF819C</paraID>
      <start>41</start>
      <end>42</end>
      <status>modified</status>
      <modifiedWord>)</modifiedWord>
      <trackRevisions>false</trackRevisions>
    </reviewItem>
    <reviewItem>
      <errorID>aded1634-4766-40e0-b3b5-aff79e44e301</errorID>
      <errorWord>…………</errorWord>
      <group>L1_Punc</group>
      <groupName>标点问题</groupName>
      <ability>L2_Punc</ability>
      <abilityName>标点符号检查</abilityName>
      <candidateList>
        <item>…</item>
      </candidateList>
      <explain/>
      <paraID>76894FC8</paraID>
      <start>41</start>
      <end>42</end>
      <status>modified</status>
      <modifiedWord>…</modifiedWord>
      <trackRevisions>false</trackRevisions>
    </reviewItem>
    <reviewItem>
      <errorID>a95eb169-496e-4098-b3bc-a1963bd15b21</errorID>
      <errorWord>（</errorWord>
      <group>L1_Format</group>
      <groupName>格式问题</groupName>
      <ability>L2_HalfPunc</ability>
      <abilityName>全半角检查</abilityName>
      <candidateList>
        <item>(</item>
      </candidateList>
      <explain>文本全半角错误。</explain>
      <paraID>76894FC8</paraID>
      <start>42</start>
      <end>43</end>
      <status>modified</status>
      <modifiedWord>(</modifiedWord>
      <trackRevisions>false</trackRevisions>
    </reviewItem>
    <reviewItem>
      <errorID>80001346-29f1-42c9-9431-2eef72cf042d</errorID>
      <errorWord>）</errorWord>
      <group>L1_Format</group>
      <groupName>格式问题</groupName>
      <ability>L2_HalfPunc</ability>
      <abilityName>全半角检查</abilityName>
      <candidateList>
        <item>)</item>
      </candidateList>
      <explain>文本全半角错误。</explain>
      <paraID>76894FC8</paraID>
      <start>46</start>
      <end>47</end>
      <status>modified</status>
      <modifiedWord>)</modifiedWord>
      <trackRevisions>false</trackRevisions>
    </reviewItem>
    <reviewItem>
      <errorID>f37215eb-138d-44fa-8070-6dbe60f43af1</errorID>
      <errorWord>（</errorWord>
      <group>L1_Format</group>
      <groupName>格式问题</groupName>
      <ability>L2_HalfPunc</ability>
      <abilityName>全半角检查</abilityName>
      <candidateList>
        <item>(</item>
      </candidateList>
      <explain>文本全半角错误。</explain>
      <paraID>76AFF736</paraID>
      <start>39</start>
      <end>40</end>
      <status>modified</status>
      <modifiedWord>(</modifiedWord>
      <trackRevisions>false</trackRevisions>
    </reviewItem>
    <reviewItem>
      <errorID>25167fc1-771f-4ba9-9291-a3a09e6cadc4</errorID>
      <errorWord>）</errorWord>
      <group>L1_Format</group>
      <groupName>格式问题</groupName>
      <ability>L2_HalfPunc</ability>
      <abilityName>全半角检查</abilityName>
      <candidateList>
        <item>)</item>
      </candidateList>
      <explain>文本全半角错误。</explain>
      <paraID>76AFF736</paraID>
      <start>43</start>
      <end>44</end>
      <status>modified</status>
      <modifiedWord>)</modifiedWord>
      <trackRevisions>false</trackRevisions>
    </reviewItem>
    <reviewItem>
      <errorID>63a003f1-feed-429f-bd5d-d01ae8127531</errorID>
      <errorWord>（</errorWord>
      <group>L1_Format</group>
      <groupName>格式问题</groupName>
      <ability>L2_HalfPunc</ability>
      <abilityName>全半角检查</abilityName>
      <candidateList>
        <item>(</item>
      </candidateList>
      <explain>文本全半角错误。</explain>
      <paraID>74CACD19</paraID>
      <start>26</start>
      <end>27</end>
      <status>modified</status>
      <modifiedWord>(</modifiedWord>
      <trackRevisions>false</trackRevisions>
    </reviewItem>
    <reviewItem>
      <errorID>4581a81f-6ee4-475e-ae6c-6f44ca2fde6f</errorID>
      <errorWord>）</errorWord>
      <group>L1_Format</group>
      <groupName>格式问题</groupName>
      <ability>L2_HalfPunc</ability>
      <abilityName>全半角检查</abilityName>
      <candidateList>
        <item>)</item>
      </candidateList>
      <explain>文本全半角错误。</explain>
      <paraID>74CACD19</paraID>
      <start>30</start>
      <end>31</end>
      <status>modified</status>
      <modifiedWord>)</modifiedWord>
      <trackRevisions>false</trackRevisions>
    </reviewItem>
    <reviewItem>
      <errorID>db1731f4-b208-40d0-8059-55c77a5b7666</errorID>
      <errorWord>减震</errorWord>
      <group>L1_Word</group>
      <groupName>字词问题</groupName>
      <ability>L2_Typo</ability>
      <abilityName>字词错误</abilityName>
      <candidateList>
        <item>减振</item>
      </candidateList>
      <explain/>
      <paraID>2FD25ABE</paraID>
      <start>10</start>
      <end>12</end>
      <status>modified</status>
      <modifiedWord>减振</modifiedWord>
      <trackRevisions>false</trackRevisions>
    </reviewItem>
    <reviewItem>
      <errorID>ee74ab23-1987-4fb1-b085-9866e8c688c3</errorID>
      <errorWord>场</errorWord>
      <group>L1_Word</group>
      <groupName>字词问题</groupName>
      <ability>L2_Typo</ability>
      <abilityName>字词错误</abilityName>
      <candidateList>
        <item>厂</item>
      </candidateList>
      <explain/>
      <paraID>12F60F36</paraID>
      <start>41</start>
      <end>42</end>
      <status>modified</status>
      <modifiedWord>厂</modifiedWord>
      <trackRevisions>false</trackRevisions>
    </reviewItem>
    <reviewItem>
      <errorID>8ec6073d-e546-420e-b6f4-184cfdfd533c</errorID>
      <errorWord>：</errorWord>
      <group>L1_Format</group>
      <groupName>格式问题</groupName>
      <ability>L2_HalfPunc</ability>
      <abilityName>全半角检查</abilityName>
      <candidateList>
        <item>:</item>
      </candidateList>
      <explain>文本全半角错误。</explain>
      <paraID> BD64F8A</paraID>
      <start>4</start>
      <end>5</end>
      <status>modified</status>
      <modifiedWord>:</modifiedWord>
      <trackRevisions>false</trackRevisions>
    </reviewItem>
    <reviewItem>
      <errorID>2072e61a-9088-4bfb-90bb-d3a42d8efe65</errorID>
      <errorWord>，</errorWord>
      <group>L1_Format</group>
      <groupName>格式问题</groupName>
      <ability>L2_HalfPunc</ability>
      <abilityName>全半角检查</abilityName>
      <candidateList>
        <item>, </item>
      </candidateList>
      <explain>文本全半角错误。</explain>
      <paraID>27923026</paraID>
      <start>1</start>
      <end>3</end>
      <status>modified</status>
      <modifiedWord>, </modifiedWord>
      <trackRevisions>false</trackRevisions>
    </reviewItem>
    <reviewItem>
      <errorID>8c6733b8-5e69-43b5-9cea-cb76387fb3d6</errorID>
      <errorWord>：</errorWord>
      <group>L1_Format</group>
      <groupName>格式问题</groupName>
      <ability>L2_HalfPunc</ability>
      <abilityName>全半角检查</abilityName>
      <candidateList>
        <item>:</item>
      </candidateList>
      <explain>文本全半角错误。</explain>
      <paraID>19A80191</paraID>
      <start>4</start>
      <end>5</end>
      <status>modified</status>
      <modifiedWord>:</modifiedWord>
      <trackRevisions>false</trackRevisions>
    </reviewItem>
    <reviewItem>
      <errorID>0d3fab21-786f-4fa1-a0fc-8cb65bb83aaa</errorID>
      <errorWord>：</errorWord>
      <group>L1_Format</group>
      <groupName>格式问题</groupName>
      <ability>L2_HalfPunc</ability>
      <abilityName>全半角检查</abilityName>
      <candidateList>
        <item>:</item>
      </candidateList>
      <explain>文本全半角错误。</explain>
      <paraID>44F23F48</paraID>
      <start>4</start>
      <end>5</end>
      <status>modified</status>
      <modifiedWord>:</modifiedWord>
      <trackRevisions>false</trackRevisions>
    </reviewItem>
    <reviewItem>
      <errorID>54568ca5-a8ab-48ed-8841-29e95c6e367f</errorID>
      <errorWord>堆存高度</errorWord>
      <group>L1_Knowledge</group>
      <groupName>知识性问题</groupName>
      <ability>L2_Term</ability>
      <abilityName>专业术语</abilityName>
      <candidateList>
        <item>堆芯高度</item>
      </candidateList>
      <explain/>
      <paraID> B4501EB</paraID>
      <start>17</start>
      <end>21</end>
      <status>unmodified</status>
      <modifiedWord/>
      <trackRevisions>false</trackRevisions>
    </reviewItem>
    <reviewItem>
      <errorID>b792c442-521e-4670-9755-f40613ac51e5</errorID>
      <errorWord>裙脚</errorWord>
      <group>L1_Word</group>
      <groupName>字词问题</groupName>
      <ability>L2_Typo</ability>
      <abilityName>字词错误</abilityName>
      <candidateList>
        <item>裙角</item>
      </candidateList>
      <explain/>
      <paraID>26DC9CF3</paraID>
      <start>16</start>
      <end>18</end>
      <status>modified</status>
      <modifiedWord>裙角</modifiedWord>
      <trackRevisions>false</trackRevisions>
    </reviewItem>
    <reviewItem>
      <errorID>c93f5df6-c1ad-4fcf-9414-678bb447f663</errorID>
      <errorWord>产生</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78F8BBFA</paraID>
      <start>3</start>
      <end>5</end>
      <status>modified</status>
      <modifiedWord>生产</modifiedWord>
      <trackRevisions>false</trackRevisions>
    </reviewItem>
    <reviewItem>
      <errorID>226b3f15-537f-4275-abd0-7dc8e4c78f13</errorID>
      <errorWord>产生以</errorWord>
      <group>L1_Word</group>
      <groupName>字词问题</groupName>
      <ability>L2_Typo</ability>
      <abilityName>字词错误</abilityName>
      <candidateList>
        <item>产生</item>
      </candidateList>
      <explain/>
      <paraID>78F8BBFA</paraID>
      <start>139</start>
      <end>141</end>
      <status>modified</status>
      <modifiedWord>产生</modifiedWord>
      <trackRevisions>false</trackRevisions>
    </reviewItem>
    <reviewItem>
      <errorID>eb6b6c4d-b785-46d5-b42e-525aec5e525e</errorID>
      <errorWord>交通部</errorWord>
      <group>L1_Knowledge</group>
      <groupName>知识性问题</groupName>
      <ability>L2_Knowledge</ability>
      <abilityName>其他知识</abilityName>
      <candidateList>
        <item>交通运输部</item>
      </candidateList>
      <explain/>
      <paraID>64753FD3</paraID>
      <start>45</start>
      <end>48</end>
      <status>unmodified</status>
      <modifiedWord/>
      <trackRevisions>false</trackRevisions>
    </reviewItem>
    <reviewItem>
      <errorID>749ec225-2014-4706-bd23-23d088a86221</errorID>
      <errorWord>出入库</errorWord>
      <group>L1_Word</group>
      <groupName>字词问题</groupName>
      <ability>L2_Typo</ability>
      <abilityName>字词错误</abilityName>
      <candidateList>
        <item>出入口</item>
      </candidateList>
      <explain/>
      <paraID>31057354</paraID>
      <start>79</start>
      <end>82</end>
      <status>modified</status>
      <modifiedWord>出入口</modifiedWord>
      <trackRevisions>false</trackRevisions>
    </reviewItem>
    <reviewItem>
      <errorID>45f34862-838b-430f-9484-65330dab2bad</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b）用于机器或车辆：一～机器｜两～汽车。❽（Bù）〈名〉姓。</explain>
      <paraID>33DC263E</paraID>
      <start>81</start>
      <end>83</end>
      <status>unmodified</status>
      <modifiedWord/>
      <trackRevisions>false</trackRevisions>
    </reviewItem>
    <reviewItem>
      <errorID>bf1b35ec-7b15-4b81-aa6e-3a4a2578ab9d</errorID>
      <errorWord>，和</errorWord>
      <group>L1_Word</group>
      <groupName>字词问题</groupName>
      <ability>L2_Typo</ability>
      <abilityName>字词错误</abilityName>
      <candidateList>
        <item>，</item>
      </candidateList>
      <explain/>
      <paraID>3BADC5A8</paraID>
      <start>77</start>
      <end>78</end>
      <status>modified</status>
      <modifiedWord>，</modifiedWord>
      <trackRevisions>false</trackRevisions>
    </reviewItem>
    <reviewItem>
      <errorID>3bdd310c-4b88-4694-8d96-95a51173462e</errorID>
      <errorWord>、</errorWord>
      <group>L1_Punc</group>
      <groupName>标点问题</groupName>
      <ability>L2_Punc</ability>
      <abilityName>标点符号检查</abilityName>
      <candidateList>
        <item>.</item>
      </candidateList>
      <explain/>
      <paraID>31168FE8</paraID>
      <start>1</start>
      <end>2</end>
      <status>modified</status>
      <modifiedWord>.</modifiedWord>
      <trackRevisions>false</trackRevisions>
    </reviewItem>
    <reviewItem>
      <errorID>fdd00249-0ac1-486c-a2f7-e9771a211cf9</errorID>
      <errorWord>、</errorWord>
      <group>L1_Punc</group>
      <groupName>标点问题</groupName>
      <ability>L2_Punc</ability>
      <abilityName>标点符号检查</abilityName>
      <candidateList>
        <item>.</item>
      </candidateList>
      <explain/>
      <paraID>4C0AD83E</paraID>
      <start>1</start>
      <end>2</end>
      <status>modified</status>
      <modifiedWord>.</modifiedWord>
      <trackRevisions>false</trackRevisions>
    </reviewItem>
    <reviewItem>
      <errorID>643c1f06-c2db-43c9-abea-7b7c99b2f17f</errorID>
      <errorWord>、</errorWord>
      <group>L1_Punc</group>
      <groupName>标点问题</groupName>
      <ability>L2_Punc</ability>
      <abilityName>标点符号检查</abilityName>
      <candidateList>
        <item>.</item>
      </candidateList>
      <explain/>
      <paraID>34B7F92D</paraID>
      <start>1</start>
      <end>2</end>
      <status>modified</status>
      <modifiedWord>.</modifiedWord>
      <trackRevisions>false</trackRevisions>
    </reviewItem>
    <reviewItem>
      <errorID>c2effaa3-bd0d-43b9-814d-ae9c31b643e0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24E90333</paraID>
      <start>43</start>
      <end>44</end>
      <status>modified</status>
      <modifiedWord>地</modifiedWord>
      <trackRevisions>false</trackRevisions>
    </reviewItem>
    <reviewItem>
      <errorID>f53f9002-0c45-4924-a578-f9a786e78157</errorID>
      <errorWord>程</errorWord>
      <group>L1_Word</group>
      <groupName>字词问题</groupName>
      <ability>L2_Typo</ability>
      <abilityName>字词错误</abilityName>
      <candidateList>
        <item>程中</item>
      </candidateList>
      <explain/>
      <paraID>20509E09</paraID>
      <start>29</start>
      <end>31</end>
      <status>modified</status>
      <modifiedWord>程中</modifiedWord>
      <trackRevisions>false</trackRevisions>
    </reviewItem>
    <reviewItem>
      <errorID>8b684df2-1c44-41b9-9e6c-50314db88363</errorID>
      <errorWord>泄露</errorWord>
      <group>L1_Word</group>
      <groupName>字词问题</groupName>
      <ability>L2_Typo</ability>
      <abilityName>字词错误</abilityName>
      <candidateList>
        <item>泄漏</item>
      </candidateList>
      <explain/>
      <paraID>32873D45</paraID>
      <start>26</start>
      <end>28</end>
      <status>modified</status>
      <modifiedWord>泄漏</modifiedWord>
      <trackRevisions>false</trackRevisions>
    </reviewItem>
    <reviewItem>
      <errorID>447ff3cd-d2b4-41b5-af7d-553b177be0a2</errorID>
      <errorWord>（</errorWord>
      <group>L1_Format</group>
      <groupName>格式问题</groupName>
      <ability>L2_HalfPunc</ability>
      <abilityName>全半角检查</abilityName>
      <candidateList>
        <item>(</item>
      </candidateList>
      <explain>文本全半角错误。</explain>
      <paraID>319FC94F</paraID>
      <start>1</start>
      <end>2</end>
      <status>modified</status>
      <modifiedWord>(</modifiedWord>
      <trackRevisions>false</trackRevisions>
    </reviewItem>
    <reviewItem>
      <errorID>260cfd8d-fe6b-4fcd-9fc2-ff6e61198f4a</errorID>
      <errorWord>）</errorWord>
      <group>L1_Format</group>
      <groupName>格式问题</groupName>
      <ability>L2_HalfPunc</ability>
      <abilityName>全半角检查</abilityName>
      <candidateList>
        <item>)</item>
      </candidateList>
      <explain>文本全半角错误。</explain>
      <paraID>319FC94F</paraID>
      <start>7</start>
      <end>8</end>
      <status>modified</status>
      <modifiedWord>)</modifiedWord>
      <trackRevisions>false</trackRevisions>
    </reviewItem>
    <reviewItem>
      <errorID>5305af19-6992-4adb-9b4f-3e0697f52bc8</errorID>
      <errorWord>众</errorWord>
      <group>L1_Word</group>
      <groupName>字词问题</groupName>
      <ability>L2_Typo</ability>
      <abilityName>字词错误</abilityName>
      <candidateList>
        <item>众和</item>
      </candidateList>
      <explain/>
      <paraID>4C2A5285</paraID>
      <start>83</start>
      <end>85</end>
      <status>modified</status>
      <modifiedWord>众和</modifiedWord>
      <trackRevisions>false</trackRevisions>
    </reviewItem>
    <reviewItem>
      <errorID>9a9f1ee5-9f74-4f70-a9cb-210b6aaaac87</errorID>
      <errorWord>防治</errorWord>
      <group>L1_Word</group>
      <groupName>字词问题</groupName>
      <ability>L2_Typo</ability>
      <abilityName>字词错误</abilityName>
      <candidateList>
        <item>防止</item>
      </candidateList>
      <explain>〈动〉预先设法制止（坏事发生）：～煤气中毒｜～交通事故。</explain>
      <paraID>3F71CFC8</paraID>
      <start>61</start>
      <end>63</end>
      <status>modified</status>
      <modifiedWord>防止</modifiedWord>
      <trackRevisions>false</trackRevisions>
    </reviewItem>
    <reviewItem>
      <errorID>81a5263a-eab7-45a2-90a8-78d427cd3b52</errorID>
      <errorWord>电气设施</errorWord>
      <group>L1_Knowledge</group>
      <groupName>知识性问题</groupName>
      <ability>L2_Term</ability>
      <abilityName>专业术语</abilityName>
      <candidateList>
        <item>电气设备</item>
      </candidateList>
      <explain/>
      <paraID>2F80AEF9</paraID>
      <start>21</start>
      <end>25</end>
      <status>modified</status>
      <modifiedWord>电气设备</modifiedWord>
      <trackRevisions>false</trackRevisions>
    </reviewItem>
    <reviewItem>
      <errorID>18ddcf2d-6980-4139-a028-de1b37b9cc73</errorID>
      <errorWord>编修</errorWord>
      <group>L1_Word</group>
      <groupName>字词问题</groupName>
      <ability>L2_Typo</ability>
      <abilityName>字词错误</abilityName>
      <candidateList>
        <item>检修</item>
      </candidateList>
      <explain/>
      <paraID>2AC5C6C4</paraID>
      <start>58</start>
      <end>60</end>
      <status>modified</status>
      <modifiedWord>检修</modifiedWord>
      <trackRevisions>false</trackRevisions>
    </reviewItem>
    <reviewItem>
      <errorID>e6d24648-3af0-4173-9a35-48798b2f5d6d</errorID>
      <errorWord>检査</errorWord>
      <group>L1_Word</group>
      <groupName>字词问题</groupName>
      <ability>L2_Fanti</ability>
      <abilityName>繁转简</abilityName>
      <candidateList>
        <item>检查</item>
      </candidateList>
      <explain>❶〈动〉为了发现问题而用心查看：～身体｜～工作。❷〈动〉翻检查考（书籍、文件等）。❸〈动〉检讨▲：～自己的错误。❹〈名〉指用口头或书面形式所做的检讨：写了一份～。</explain>
      <paraID>60BA0BA4</paraID>
      <start>7</start>
      <end>9</end>
      <status>modified</status>
      <modifiedWord>检查</modifiedWord>
      <trackRevisions>false</trackRevisions>
    </reviewItem>
    <reviewItem>
      <errorID>0dc053a9-7918-4d83-936e-28e8bbfb6340</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76F421B5</paraID>
      <start>17</start>
      <end>18</end>
      <status>modified</status>
      <modifiedWord>并</modifiedWord>
      <trackRevisions>false</trackRevisions>
    </reviewItem>
    <reviewItem>
      <errorID>fbc19f8e-3a6a-4083-a844-f5d1d1b61506</errorID>
      <errorWord>需用</errorWord>
      <group>L1_Word</group>
      <groupName>字词问题</groupName>
      <ability>L2_Typo</ability>
      <abilityName>字词错误</abilityName>
      <candidateList>
        <item>需</item>
      </candidateList>
      <explain>❶〈动〉需要：～求｜按～分配｜完成任务还～五天时间。❷需用的东西：军～。</explain>
      <paraID>76F421B5</paraID>
      <start>66</start>
      <end>67</end>
      <status>modified</status>
      <modifiedWord>需</modifiedWord>
      <trackRevisions>false</trackRevisions>
    </reviewItem>
    <reviewItem>
      <errorID>cccd5fd7-ed10-4817-b94b-0b7fdfc9618b</errorID>
      <errorWord>期</errorWord>
      <group>L1_Word</group>
      <groupName>字词问题</groupName>
      <ability>L2_Typo</ability>
      <abilityName>字词错误</abilityName>
      <candidateList>
        <item>期间</item>
      </candidateList>
      <explain>〈名〉某个时期里面：农忙～｜春节～｜抗战～。</explain>
      <paraID>647AEBAE</paraID>
      <start>107</start>
      <end>109</end>
      <status>modified</status>
      <modifiedWord>期间</modifiedWord>
      <trackRevisions>false</trackRevisions>
    </reviewItem>
    <reviewItem>
      <errorID>283587a1-02d0-41ea-8485-3e3a27dba9e4</errorID>
      <errorWord>联动性</errorWord>
      <group>L1_Word</group>
      <groupName>字词问题</groupName>
      <ability>L2_Typo</ability>
      <abilityName>字词错误</abilityName>
      <candidateList>
        <item>联动</item>
      </candidateList>
      <explain>〈动〉若干个相关联的事物，一个运动或变化时，其他的也跟着运动或变化：这种空调降价可能产生～效应。</explain>
      <paraID>3F7FDDBE</paraID>
      <start>69</start>
      <end>71</end>
      <status>modified</status>
      <modifiedWord>联动</modifiedWord>
      <trackRevisions>false</trackRevisions>
    </reviewItem>
    <reviewItem>
      <errorID>3c0d9452-0c13-468d-a6ed-4624898fff11</errorID>
      <errorWord>（</errorWord>
      <group>L1_Punc</group>
      <groupName>标点问题</groupName>
      <ability>L2_Punc</ability>
      <abilityName>标点符号检查</abilityName>
      <candidateList/>
      <explain>同一形式括号套用。</explain>
      <paraID> EA29BEA</paraID>
      <start>50</start>
      <end>51</end>
      <status>unmodified</status>
      <modifiedWord/>
      <trackRevisions>false</trackRevisions>
    </reviewItem>
    <reviewItem>
      <errorID>a70e803b-686a-471b-b57d-f5a44a16712e</errorID>
      <errorWord>）</errorWord>
      <group>L1_Punc</group>
      <groupName>标点问题</groupName>
      <ability>L2_Punc</ability>
      <abilityName>标点符号检查</abilityName>
      <candidateList/>
      <explain>同一形式括号套用。</explain>
      <paraID> EA29BEA</paraID>
      <start>65</start>
      <end>66</end>
      <status>unmodified</status>
      <modifiedWord/>
      <trackRevisions>false</trackRevisions>
    </reviewItem>
    <reviewItem>
      <errorID>977ce54b-0851-4df6-88a5-747885211798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18D26329</paraID>
      <start>0</start>
      <end>2</end>
      <status>modified</status>
      <modifiedWord>1.</modifiedWord>
      <trackRevisions>false</trackRevisions>
    </reviewItem>
    <reviewItem>
      <errorID>a82de871-ef97-45c1-bc2b-c122aa447ec3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4DF4CAC2</paraID>
      <start>0</start>
      <end>2</end>
      <status>modified</status>
      <modifiedWord>2.</modifiedWord>
      <trackRevisions>false</trackRevisions>
    </reviewItem>
    <reviewItem>
      <errorID>ae89c8e2-ddf0-43af-a298-a6b504464d81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625E47DA</paraID>
      <start>0</start>
      <end>2</end>
      <status>modified</status>
      <modifiedWord>3.</modifiedWord>
      <trackRevisions>false</trackRevisions>
    </reviewItem>
    <reviewItem>
      <errorID>d9dfd474-e118-4319-9748-8aab296312f2</errorID>
      <errorWord>将把</errorWord>
      <group>L1_Word</group>
      <groupName>字词问题</groupName>
      <ability>L2_Typo</ability>
      <abilityName>字词错误</abilityName>
      <candidateList>
        <item>将</item>
      </candidateList>
      <explain>（jiāng）将要；（jiàng）勇将、上将、游泳健将；（qiāng）请求，将子无怒。</explain>
      <paraID>6AED5505</paraID>
      <start>53</start>
      <end>54</end>
      <status>modified</status>
      <modifiedWord>将</modifiedWord>
      <trackRevisions>false</trackRevisions>
    </reviewItem>
    <reviewItem>
      <errorID>29b5e652-61a3-49e9-abbc-ea8ad4816c2b</errorID>
      <errorWord>（</errorWord>
      <group>L1_Punc</group>
      <groupName>标点问题</groupName>
      <ability>L2_Punc</ability>
      <abilityName>标点符号检查</abilityName>
      <candidateList/>
      <explain/>
      <paraID> C29FDDA</paraID>
      <start>28</start>
      <end>29</end>
      <status>unmodified</status>
      <modifiedWord/>
      <trackRevisions>false</trackRevisions>
    </reviewItem>
    <reviewItem>
      <errorID>869f8c47-97cb-4c48-a7a6-f847c13221b2</errorID>
      <errorWord>期</errorWord>
      <group>L1_Word</group>
      <groupName>字词问题</groupName>
      <ability>L2_Typo</ability>
      <abilityName>字词错误</abilityName>
      <candidateList>
        <item>期间</item>
      </candidateList>
      <explain>〈名〉某个时期里面：农忙～｜春节～｜抗战～。</explain>
      <paraID>13A99646</paraID>
      <start>10</start>
      <end>11</end>
      <status>unmodified</status>
      <modifiedWord/>
      <trackRevisions>false</trackRevisions>
    </reviewItem>
    <reviewItem>
      <errorID>bbeba0ab-4e70-40ba-a937-b424fe1204f0</errorID>
      <errorWord>养保</errorWord>
      <group>L1_Word</group>
      <groupName>字词问题</groupName>
      <ability>L2_Typo</ability>
      <abilityName>字词错误</abilityName>
      <candidateList>
        <item>养护</item>
      </candidateList>
      <explain/>
      <paraID>2D47716D</paraID>
      <start>38</start>
      <end>40</end>
      <status>modified</status>
      <modifiedWord>养护</modifiedWord>
      <trackRevisions>false</trackRevisions>
    </reviewItem>
    <reviewItem>
      <errorID>a4d5679a-d486-4e86-aab8-a65dcbb25fcf</errorID>
      <errorWord>（</errorWord>
      <group>L1_Format</group>
      <groupName>格式问题</groupName>
      <ability>L2_HalfPunc</ability>
      <abilityName>全半角检查</abilityName>
      <candidateList>
        <item>(</item>
      </candidateList>
      <explain>文本全半角错误。</explain>
      <paraID>5FDDA83C</paraID>
      <start>30</start>
      <end>31</end>
      <status>unmodified</status>
      <modifiedWord/>
      <trackRevisions>false</trackRevisions>
    </reviewItem>
    <reviewItem>
      <errorID>5770102a-75ac-422b-a6c8-e1751ad79bc2</errorID>
      <errorWord>）</errorWord>
      <group>L1_Format</group>
      <groupName>格式问题</groupName>
      <ability>L2_HalfPunc</ability>
      <abilityName>全半角检查</abilityName>
      <candidateList>
        <item>)</item>
      </candidateList>
      <explain>文本全半角错误。</explain>
      <paraID>5FDDA83C</paraID>
      <start>35</start>
      <end>36</end>
      <status>modified</status>
      <modifiedWord>)</modifiedWord>
      <trackRevisions>false</trackRevisions>
    </reviewItem>
    <reviewItem>
      <errorID>79d59c89-13ee-49ca-acb8-bdd3c38454ee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6A046BFD</paraID>
      <start>15</start>
      <end>18</end>
      <status>unmodified</status>
      <modifiedWord/>
      <trackRevisions>false</trackRevisions>
    </reviewItem>
    <reviewItem>
      <errorID>eb47d34b-ec33-4438-898d-534bfc8c0857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6A046BFD</paraID>
      <start>32</start>
      <end>35</end>
      <status>unmodified</status>
      <modifiedWord/>
      <trackRevisions>false</trackRevisions>
    </reviewItem>
    <reviewItem>
      <errorID>359fcbf0-b920-4085-9bee-b099079d3198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6A046BFD</paraID>
      <start>47</start>
      <end>50</end>
      <status>unmodified</status>
      <modifiedWord/>
      <trackRevisions>false</trackRevisions>
    </reviewItem>
    <reviewItem>
      <errorID>a57d01b9-53c9-4c05-bf7d-d50014e6dbe4</errorID>
      <errorWord>项目项目</errorWord>
      <group>L1_Word</group>
      <groupName>字词问题</groupName>
      <ability>L2_Typo</ability>
      <abilityName>字词错误</abilityName>
      <candidateList>
        <item>项目</item>
      </candidateList>
      <explain>〈名〉事物分成的门类：服务～｜体育～｜建设～。</explain>
      <paraID>6A046BFD</paraID>
      <start>98</start>
      <end>100</end>
      <status>modified</status>
      <modifiedWord>项目</modifiedWord>
      <trackRevisions>false</trackRevisions>
    </reviewItem>
    <reviewItem>
      <errorID>15335800-59bf-4592-824b-6cc4b10fa4c0</errorID>
      <errorWord>!</errorWord>
      <group>L1_Format</group>
      <groupName>格式问题</groupName>
      <ability>L2_HalfPunc</ability>
      <abilityName>全半角检查</abilityName>
      <candidateList>
        <item>！</item>
      </candidateList>
      <explain>文本全半角错误。</explain>
      <paraID>5F441A58</paraID>
      <start>4</start>
      <end>5</end>
      <status>unmodified</status>
      <modifiedWord/>
      <trackRevisions>false</trackRevisions>
    </reviewItem>
    <reviewItem>
      <errorID>823b8cf2-263c-46dc-a970-71d1f3e1b036</errorID>
      <errorWord>项目项目</errorWord>
      <group>L1_Word</group>
      <groupName>字词问题</groupName>
      <ability>L2_Typo</ability>
      <abilityName>字词错误</abilityName>
      <candidateList>
        <item>项目</item>
      </candidateList>
      <explain>〈名〉事物分成的门类：服务～｜体育～｜建设～。</explain>
      <paraID>23E63D32</paraID>
      <start>21</start>
      <end>23</end>
      <status>modified</status>
      <modifiedWord>项目</modifiedWord>
      <trackRevisions>false</trackRevisions>
    </reviewItem>
    <reviewItem>
      <errorID>64ceffd0-8a33-4b43-bf3c-8f829aea714d</errorID>
      <errorWord>环境检测</errorWord>
      <group>L1_Word</group>
      <groupName>字词问题</groupName>
      <ability>L2_Typo</ability>
      <abilityName>字词错误</abilityName>
      <candidateList>
        <item>环境监测</item>
      </candidateList>
      <explain/>
      <paraID>4DD284F6</paraID>
      <start>7</start>
      <end>11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d1fbfe-928e-4211-8680-cd87a3632ee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10840</Words>
  <Characters>11512</Characters>
  <Lines>337</Lines>
  <Paragraphs>95</Paragraphs>
  <TotalTime>5</TotalTime>
  <ScaleCrop>false</ScaleCrop>
  <LinksUpToDate>false</LinksUpToDate>
  <CharactersWithSpaces>11604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p:lastModifiedBy>
  <cp:lastPrinted>2025-12-18T03:08:00Z</cp:lastPrinted>
  <dcterms:modified xsi:type="dcterms:W3CDTF">2026-01-05T07:44:47Z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27BDEE1BD7B64D0D9BD89653424E2AD4_13</vt:lpwstr>
  </property>
  <property fmtid="{D5CDD505-2E9C-101B-9397-08002B2CF9AE}" pid="4" name="KSOTemplateDocerSaveRecord">
    <vt:lpwstr>eyJoZGlkIjoiYmZkMTMxMjAwYjEyMGIwZGI4OTUwZjM1ZTRlOTAxMzkiLCJ1c2VySWQiOiI1NDE3MTU0OTMifQ==</vt:lpwstr>
  </property>
</Properties>
</file>