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82D405">
      <w:pPr>
        <w:pStyle w:val="110"/>
        <w:bidi w:val="0"/>
        <w:rPr>
          <w:rFonts w:hint="default"/>
          <w:color w:val="000000" w:themeColor="text1"/>
          <w:lang w:eastAsia="zh-CN"/>
          <w14:textFill>
            <w14:solidFill>
              <w14:schemeClr w14:val="tx1"/>
            </w14:solidFill>
          </w14:textFill>
        </w:rPr>
      </w:pPr>
      <w:r>
        <w:drawing>
          <wp:anchor distT="0" distB="0" distL="114300" distR="114300" simplePos="0" relativeHeight="251672576" behindDoc="0" locked="0" layoutInCell="1" allowOverlap="1">
            <wp:simplePos x="0" y="0"/>
            <wp:positionH relativeFrom="column">
              <wp:posOffset>-786765</wp:posOffset>
            </wp:positionH>
            <wp:positionV relativeFrom="paragraph">
              <wp:posOffset>-822325</wp:posOffset>
            </wp:positionV>
            <wp:extent cx="7288530" cy="10309860"/>
            <wp:effectExtent l="0" t="0" r="1270" b="2540"/>
            <wp:wrapNone/>
            <wp:docPr id="5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8"/>
                    <pic:cNvPicPr>
                      <a:picLocks noChangeAspect="1"/>
                    </pic:cNvPicPr>
                  </pic:nvPicPr>
                  <pic:blipFill>
                    <a:blip r:embed="rId8"/>
                    <a:stretch>
                      <a:fillRect/>
                    </a:stretch>
                  </pic:blipFill>
                  <pic:spPr>
                    <a:xfrm>
                      <a:off x="0" y="0"/>
                      <a:ext cx="7288530" cy="10309860"/>
                    </a:xfrm>
                    <a:prstGeom prst="rect">
                      <a:avLst/>
                    </a:prstGeom>
                    <a:noFill/>
                    <a:ln>
                      <a:noFill/>
                    </a:ln>
                  </pic:spPr>
                </pic:pic>
              </a:graphicData>
            </a:graphic>
          </wp:anchor>
        </w:drawing>
      </w:r>
    </w:p>
    <w:p w14:paraId="04B7770B">
      <w:pPr>
        <w:rPr>
          <w:rFonts w:hint="eastAsia" w:ascii="Times New Roman" w:hAnsi="Times New Roman" w:eastAsia="仿宋_GB2312" w:cs="Times New Roman"/>
          <w:color w:val="000000" w:themeColor="text1"/>
          <w:sz w:val="36"/>
          <w:szCs w:val="36"/>
          <w:lang w:eastAsia="zh-CN"/>
          <w14:textFill>
            <w14:solidFill>
              <w14:schemeClr w14:val="tx1"/>
            </w14:solidFill>
          </w14:textFill>
        </w:rPr>
      </w:pPr>
    </w:p>
    <w:p w14:paraId="02C69CB6">
      <w:pPr>
        <w:rPr>
          <w:rFonts w:hint="eastAsia" w:ascii="Times New Roman" w:hAnsi="Times New Roman" w:eastAsia="仿宋_GB2312" w:cs="Times New Roman"/>
          <w:color w:val="000000" w:themeColor="text1"/>
          <w:sz w:val="36"/>
          <w:szCs w:val="36"/>
          <w:lang w:eastAsia="zh-CN"/>
          <w14:textFill>
            <w14:solidFill>
              <w14:schemeClr w14:val="tx1"/>
            </w14:solidFill>
          </w14:textFill>
        </w:rPr>
      </w:pPr>
    </w:p>
    <w:p w14:paraId="0E6638E5">
      <w:pPr>
        <w:rPr>
          <w:rFonts w:hint="default" w:ascii="Times New Roman" w:hAnsi="Times New Roman" w:eastAsia="仿宋_GB2312" w:cs="Times New Roman"/>
          <w:color w:val="000000" w:themeColor="text1"/>
          <w:sz w:val="36"/>
          <w:szCs w:val="36"/>
          <w14:textFill>
            <w14:solidFill>
              <w14:schemeClr w14:val="tx1"/>
            </w14:solidFill>
          </w14:textFill>
        </w:rPr>
      </w:pPr>
    </w:p>
    <w:p w14:paraId="0360EA36">
      <w:pPr>
        <w:adjustRightInd w:val="0"/>
        <w:snapToGrid w:val="0"/>
        <w:jc w:val="center"/>
        <w:outlineLvl w:val="9"/>
        <w:rPr>
          <w:rFonts w:hint="default" w:ascii="Times New Roman" w:hAnsi="Times New Roman" w:eastAsia="方正小标宋_GBK" w:cs="Times New Roman"/>
          <w:bCs/>
          <w:color w:val="000000" w:themeColor="text1"/>
          <w:sz w:val="72"/>
          <w:szCs w:val="72"/>
          <w14:textFill>
            <w14:solidFill>
              <w14:schemeClr w14:val="tx1"/>
            </w14:solidFill>
          </w14:textFill>
        </w:rPr>
      </w:pPr>
      <w:bookmarkStart w:id="0" w:name="_Toc14595"/>
      <w:bookmarkStart w:id="1" w:name="_Toc12608"/>
    </w:p>
    <w:p w14:paraId="08B3FFDC">
      <w:pPr>
        <w:adjustRightInd w:val="0"/>
        <w:snapToGrid w:val="0"/>
        <w:jc w:val="center"/>
        <w:outlineLvl w:val="9"/>
        <w:rPr>
          <w:rFonts w:hint="default" w:ascii="Times New Roman" w:hAnsi="Times New Roman" w:eastAsia="方正小标宋_GBK" w:cs="Times New Roman"/>
          <w:bCs/>
          <w:color w:val="000000" w:themeColor="text1"/>
          <w:sz w:val="72"/>
          <w:szCs w:val="72"/>
          <w14:textFill>
            <w14:solidFill>
              <w14:schemeClr w14:val="tx1"/>
            </w14:solidFill>
          </w14:textFill>
        </w:rPr>
      </w:pPr>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bookmarkEnd w:id="0"/>
      <w:bookmarkEnd w:id="1"/>
    </w:p>
    <w:p w14:paraId="71A39FFD">
      <w:pPr>
        <w:adjustRightInd w:val="0"/>
        <w:snapToGrid w:val="0"/>
        <w:spacing w:before="192" w:beforeLines="80"/>
        <w:jc w:val="center"/>
        <w:rPr>
          <w:rFonts w:hint="default" w:ascii="Times New Roman" w:hAnsi="Times New Roman" w:eastAsia="楷体_GB2312" w:cs="Times New Roman"/>
          <w:bCs/>
          <w:color w:val="000000" w:themeColor="text1"/>
          <w:sz w:val="48"/>
          <w:szCs w:val="48"/>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（污染影响类）</w:t>
      </w:r>
    </w:p>
    <w:p w14:paraId="4FDC9C6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default" w:ascii="Times New Roman" w:hAnsi="Times New Roman" w:eastAsia="华文仿宋" w:cs="Times New Roman"/>
          <w:color w:val="000000" w:themeColor="text1"/>
          <w:kern w:val="44"/>
          <w:sz w:val="44"/>
          <w:szCs w:val="44"/>
          <w14:textFill>
            <w14:solidFill>
              <w14:schemeClr w14:val="tx1"/>
            </w14:solidFill>
          </w14:textFill>
        </w:rPr>
      </w:pPr>
      <w:r>
        <w:rPr>
          <w:sz w:val="44"/>
        </w:rPr>
        <mc:AlternateContent>
          <mc:Choice Requires="wps">
            <w:drawing>
              <wp:anchor distT="0" distB="0" distL="114300" distR="114300" simplePos="0" relativeHeight="251674624" behindDoc="0" locked="0" layoutInCell="1" allowOverlap="1">
                <wp:simplePos x="0" y="0"/>
                <wp:positionH relativeFrom="column">
                  <wp:posOffset>1275080</wp:posOffset>
                </wp:positionH>
                <wp:positionV relativeFrom="paragraph">
                  <wp:posOffset>44450</wp:posOffset>
                </wp:positionV>
                <wp:extent cx="3025140" cy="433070"/>
                <wp:effectExtent l="0" t="0" r="0" b="0"/>
                <wp:wrapNone/>
                <wp:docPr id="533" name="矩形 533"/>
                <wp:cNvGraphicFramePr/>
                <a:graphic xmlns:a="http://schemas.openxmlformats.org/drawingml/2006/main">
                  <a:graphicData uri="http://schemas.microsoft.com/office/word/2010/wordprocessingShape">
                    <wps:wsp>
                      <wps:cNvSpPr/>
                      <wps:spPr>
                        <a:xfrm>
                          <a:off x="2861945" y="3719830"/>
                          <a:ext cx="3025140" cy="4330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020F704">
                            <w:pPr>
                              <w:jc w:val="center"/>
                              <w:rPr>
                                <w:rFonts w:hint="default" w:eastAsia="宋体"/>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供生态环境部门信息公开使用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4pt;margin-top:3.5pt;height:34.1pt;width:238.2pt;z-index:251674624;v-text-anchor:middle;mso-width-relative:page;mso-height-relative:page;" filled="f" stroked="f" coordsize="21600,21600" o:gfxdata="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CjsQvVAAAACAEAAA8AAAAAAAAAAQAgAAAAIgAAAGRycy9kb3ducmV2LnhtbFBLAQIUABQAAAAI&#10;AIdO4kBuhg7qYgIAAKYEAAAOAAAAAAAAAAEAIAAAACQBAABkcnMvZTJvRG9jLnhtbFBLBQYAAAAA&#10;BgAGAFkBAAD4BQAAAAA=&#10;">
                <v:fill on="f" focussize="0,0"/>
                <v:stroke on="f" weight="2pt"/>
                <v:imagedata o:title=""/>
                <o:lock v:ext="edit" aspectratio="f"/>
                <v:textbox>
                  <w:txbxContent>
                    <w:p w14:paraId="1020F704">
                      <w:pPr>
                        <w:jc w:val="center"/>
                        <w:rPr>
                          <w:rFonts w:hint="default" w:eastAsia="宋体"/>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供生态环境部门信息公开使用</w:t>
                      </w:r>
                    </w:p>
                  </w:txbxContent>
                </v:textbox>
              </v:rect>
            </w:pict>
          </mc:Fallback>
        </mc:AlternateContent>
      </w:r>
    </w:p>
    <w:p w14:paraId="2787462A">
      <w:pPr>
        <w:jc w:val="center"/>
        <w:rPr>
          <w:rFonts w:hint="default" w:ascii="Times New Roman" w:hAnsi="Times New Roman" w:eastAsia="仿宋" w:cs="Times New Roman"/>
          <w:color w:val="000000" w:themeColor="text1"/>
          <w:sz w:val="52"/>
          <w:szCs w:val="52"/>
          <w14:textFill>
            <w14:solidFill>
              <w14:schemeClr w14:val="tx1"/>
            </w14:solidFill>
          </w14:textFill>
        </w:rPr>
      </w:pPr>
    </w:p>
    <w:p w14:paraId="459A04A3">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4E0FA755">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608CB5A2">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4163E2E6">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27852746">
      <w:pPr>
        <w:keepNext w:val="0"/>
        <w:keepLines w:val="0"/>
        <w:pageBreakBefore w:val="0"/>
        <w:widowControl w:val="0"/>
        <w:kinsoku/>
        <w:wordWrap/>
        <w:overflowPunct/>
        <w:topLinePunct w:val="0"/>
        <w:autoSpaceDE/>
        <w:autoSpaceDN/>
        <w:bidi w:val="0"/>
        <w:adjustRightInd w:val="0"/>
        <w:snapToGrid w:val="0"/>
        <w:spacing w:line="288" w:lineRule="auto"/>
        <w:ind w:left="1799" w:leftChars="171" w:hanging="1440" w:hangingChars="400"/>
        <w:textAlignment w:val="auto"/>
        <w:rPr>
          <w:rFonts w:hint="default" w:ascii="Times New Roman" w:hAnsi="Times New Roman" w:eastAsia="宋体" w:cs="Times New Roman"/>
          <w:color w:val="000000" w:themeColor="text1"/>
          <w:sz w:val="36"/>
          <w:szCs w:val="36"/>
          <w:u w:val="none"/>
          <w:lang w:eastAsia="zh-CN"/>
          <w14:textFill>
            <w14:solidFill>
              <w14:schemeClr w14:val="tx1"/>
            </w14:solidFill>
          </w14:textFill>
        </w:rPr>
      </w:pPr>
    </w:p>
    <w:p w14:paraId="205EC4C6">
      <w:pPr>
        <w:keepNext w:val="0"/>
        <w:keepLines w:val="0"/>
        <w:pageBreakBefore w:val="0"/>
        <w:widowControl w:val="0"/>
        <w:kinsoku/>
        <w:wordWrap/>
        <w:overflowPunct/>
        <w:topLinePunct w:val="0"/>
        <w:autoSpaceDE/>
        <w:autoSpaceDN/>
        <w:bidi w:val="0"/>
        <w:adjustRightInd w:val="0"/>
        <w:snapToGrid w:val="0"/>
        <w:spacing w:line="288" w:lineRule="auto"/>
        <w:ind w:left="1799" w:leftChars="171" w:hanging="1440" w:hangingChars="400"/>
        <w:textAlignment w:val="auto"/>
        <w:rPr>
          <w:rFonts w:hint="default" w:ascii="Times New Roman" w:hAnsi="Times New Roman" w:eastAsia="宋体"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宋体" w:cs="Times New Roman"/>
          <w:color w:val="000000" w:themeColor="text1"/>
          <w:sz w:val="36"/>
          <w:szCs w:val="36"/>
          <w:u w:val="none"/>
          <w:lang w:eastAsia="zh-CN"/>
          <w14:textFill>
            <w14:solidFill>
              <w14:schemeClr w14:val="tx1"/>
            </w14:solidFill>
          </w14:textFill>
        </w:rPr>
        <w:t>项目名称：</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汽车零部件生产线技术改造项目                             </w:t>
      </w:r>
    </w:p>
    <w:p w14:paraId="2C254E3B">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宋体" w:cs="Times New Roman"/>
          <w:color w:val="000000" w:themeColor="text1"/>
          <w:sz w:val="36"/>
          <w:szCs w:val="36"/>
          <w:u w:val="single"/>
          <w:lang w:val="en-US"/>
          <w14:textFill>
            <w14:solidFill>
              <w14:schemeClr w14:val="tx1"/>
            </w14:solidFill>
          </w14:textFill>
        </w:rPr>
      </w:pPr>
      <w:r>
        <w:rPr>
          <w:rFonts w:hint="default" w:ascii="Times New Roman" w:hAnsi="Times New Roman" w:eastAsia="宋体" w:cs="Times New Roman"/>
          <w:color w:val="000000" w:themeColor="text1"/>
          <w:sz w:val="36"/>
          <w:szCs w:val="36"/>
          <w14:textFill>
            <w14:solidFill>
              <w14:schemeClr w14:val="tx1"/>
            </w14:solidFill>
          </w14:textFill>
        </w:rPr>
        <w:t>建设单位（盖章）：</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福州术立新能源科技有限公司</w:t>
      </w:r>
    </w:p>
    <w:p w14:paraId="7169F751">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宋体" w:cs="Times New Roman"/>
          <w:color w:val="000000" w:themeColor="text1"/>
          <w:sz w:val="36"/>
          <w:szCs w:val="36"/>
          <w:u w:val="single"/>
          <w14:textFill>
            <w14:solidFill>
              <w14:schemeClr w14:val="tx1"/>
            </w14:solidFill>
          </w14:textFill>
        </w:rPr>
      </w:pPr>
      <w:r>
        <w:rPr>
          <w:rFonts w:hint="default" w:ascii="Times New Roman" w:hAnsi="Times New Roman" w:eastAsia="宋体" w:cs="Times New Roman"/>
          <w:color w:val="000000" w:themeColor="text1"/>
          <w:sz w:val="36"/>
          <w:szCs w:val="36"/>
          <w14:textFill>
            <w14:solidFill>
              <w14:schemeClr w14:val="tx1"/>
            </w14:solidFill>
          </w14:textFill>
        </w:rPr>
        <w:t>编制日期：</w:t>
      </w:r>
      <w:r>
        <w:rPr>
          <w:rFonts w:hint="default" w:ascii="Times New Roman" w:hAnsi="Times New Roman" w:eastAsia="宋体" w:cs="Times New Roman"/>
          <w:color w:val="000000" w:themeColor="text1"/>
          <w:sz w:val="36"/>
          <w:szCs w:val="36"/>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 w:val="36"/>
          <w:szCs w:val="36"/>
          <w:u w:val="single"/>
          <w14:textFill>
            <w14:solidFill>
              <w14:schemeClr w14:val="tx1"/>
            </w14:solidFill>
          </w14:textFill>
        </w:rPr>
        <w:t xml:space="preserve"> </w:t>
      </w:r>
      <w:r>
        <w:rPr>
          <w:rFonts w:hint="default"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202</w:t>
      </w:r>
      <w:r>
        <w:rPr>
          <w:rFonts w:hint="eastAsia" w:cs="Times New Roman"/>
          <w:color w:val="000000" w:themeColor="text1"/>
          <w:sz w:val="36"/>
          <w:szCs w:val="36"/>
          <w:highlight w:val="none"/>
          <w:u w:val="single"/>
          <w:lang w:val="en-US" w:eastAsia="zh-CN"/>
          <w14:textFill>
            <w14:solidFill>
              <w14:schemeClr w14:val="tx1"/>
            </w14:solidFill>
          </w14:textFill>
        </w:rPr>
        <w:t>6</w:t>
      </w:r>
      <w:r>
        <w:rPr>
          <w:rFonts w:hint="default"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年</w:t>
      </w:r>
      <w:r>
        <w:rPr>
          <w:rFonts w:hint="eastAsia" w:cs="Times New Roman"/>
          <w:color w:val="000000" w:themeColor="text1"/>
          <w:sz w:val="36"/>
          <w:szCs w:val="36"/>
          <w:highlight w:val="none"/>
          <w:u w:val="single"/>
          <w:lang w:val="en-US" w:eastAsia="zh-CN"/>
          <w14:textFill>
            <w14:solidFill>
              <w14:schemeClr w14:val="tx1"/>
            </w14:solidFill>
          </w14:textFill>
        </w:rPr>
        <w:t>1</w:t>
      </w:r>
      <w:r>
        <w:rPr>
          <w:rFonts w:hint="default"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月</w:t>
      </w:r>
      <w:r>
        <w:rPr>
          <w:rFonts w:hint="default"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u w:val="single"/>
          <w14:textFill>
            <w14:solidFill>
              <w14:schemeClr w14:val="tx1"/>
            </w14:solidFill>
          </w14:textFill>
        </w:rPr>
        <w:t xml:space="preserve">           </w:t>
      </w:r>
    </w:p>
    <w:p w14:paraId="7E9EB612">
      <w:pPr>
        <w:adjustRightInd w:val="0"/>
        <w:snapToGrid w:val="0"/>
        <w:spacing w:line="288" w:lineRule="auto"/>
        <w:ind w:firstLine="1040"/>
        <w:rPr>
          <w:rFonts w:hint="default" w:ascii="Times New Roman" w:hAnsi="Times New Roman" w:eastAsia="仿宋_GB2312" w:cs="Times New Roman"/>
          <w:color w:val="000000" w:themeColor="text1"/>
          <w:sz w:val="36"/>
          <w:szCs w:val="36"/>
          <w:u w:val="single"/>
          <w14:textFill>
            <w14:solidFill>
              <w14:schemeClr w14:val="tx1"/>
            </w14:solidFill>
          </w14:textFill>
        </w:rPr>
      </w:pPr>
      <w:bookmarkStart w:id="2" w:name="_Hlk57884087"/>
    </w:p>
    <w:p w14:paraId="0F02EF58">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71550746">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6676043C">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bookmarkEnd w:id="2"/>
    <w:p w14:paraId="0F43807F">
      <w:pPr>
        <w:adjustRightInd w:val="0"/>
        <w:snapToGrid w:val="0"/>
        <w:spacing w:line="288" w:lineRule="auto"/>
        <w:jc w:val="center"/>
        <w:outlineLvl w:val="9"/>
        <w:rPr>
          <w:rFonts w:hint="default" w:ascii="Times New Roman" w:hAnsi="Times New Roman" w:eastAsia="楷体_GB2312" w:cs="Times New Roman"/>
          <w:color w:val="000000" w:themeColor="text1"/>
          <w:sz w:val="36"/>
          <w:szCs w:val="36"/>
          <w14:textFill>
            <w14:solidFill>
              <w14:schemeClr w14:val="tx1"/>
            </w14:solidFill>
          </w14:textFill>
        </w:rPr>
      </w:pPr>
      <w:r>
        <w:rPr>
          <w:rFonts w:hint="default" w:ascii="Times New Roman" w:hAnsi="Times New Roman" w:eastAsia="楷体_GB2312" w:cs="Times New Roman"/>
          <w:color w:val="000000" w:themeColor="text1"/>
          <w:sz w:val="36"/>
          <w:szCs w:val="36"/>
          <w14:textFill>
            <w14:solidFill>
              <w14:schemeClr w14:val="tx1"/>
            </w14:solidFill>
          </w14:textFill>
        </w:rPr>
        <w:t>中华人民共和国生态环境部制</w:t>
      </w:r>
    </w:p>
    <w:p w14:paraId="49525FB3">
      <w:pPr>
        <w:pStyle w:val="25"/>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黑体" w:cs="Times New Roman"/>
          <w:snapToGrid w:val="0"/>
          <w:color w:val="000000" w:themeColor="text1"/>
          <w:sz w:val="30"/>
          <w:szCs w:val="30"/>
          <w:lang w:val="en-US" w:eastAsia="zh-CN"/>
          <w14:textFill>
            <w14:solidFill>
              <w14:schemeClr w14:val="tx1"/>
            </w14:solidFill>
          </w14:textFill>
        </w:rPr>
        <w:sectPr>
          <w:footerReference r:id="rId3"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bookmarkStart w:id="3" w:name="_Toc14827"/>
      <w:bookmarkStart w:id="4" w:name="_Toc17577"/>
    </w:p>
    <w:p w14:paraId="4B0F4036">
      <w:pPr>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黑体" w:cs="Times New Roman"/>
          <w:snapToGrid w:val="0"/>
          <w:color w:val="000000" w:themeColor="text1"/>
          <w:kern w:val="2"/>
          <w:sz w:val="21"/>
          <w:szCs w:val="30"/>
          <w:lang w:val="en-US" w:eastAsia="zh-CN" w:bidi="ar-SA"/>
          <w14:textFill>
            <w14:solidFill>
              <w14:schemeClr w14:val="tx1"/>
            </w14:solidFill>
          </w14:textFill>
        </w:rPr>
      </w:pPr>
      <w:r>
        <w:rPr>
          <w:rFonts w:hint="default" w:ascii="宋体" w:hAnsi="宋体" w:eastAsia="宋体" w:cs="Times New Roman"/>
          <w:color w:val="000000" w:themeColor="text1"/>
          <w:sz w:val="36"/>
          <w:szCs w:val="36"/>
          <w:lang w:val="en-US" w:eastAsia="zh-CN"/>
          <w14:textFill>
            <w14:solidFill>
              <w14:schemeClr w14:val="tx1"/>
            </w14:solidFill>
          </w14:textFill>
        </w:rPr>
        <w:t>目</w:t>
      </w:r>
      <w:r>
        <w:rPr>
          <w:rFonts w:hint="eastAsia" w:ascii="宋体" w:hAnsi="宋体" w:eastAsia="宋体" w:cs="Times New Roman"/>
          <w:color w:val="000000" w:themeColor="text1"/>
          <w:sz w:val="36"/>
          <w:szCs w:val="36"/>
          <w:lang w:val="en-US" w:eastAsia="zh-CN"/>
          <w14:textFill>
            <w14:solidFill>
              <w14:schemeClr w14:val="tx1"/>
            </w14:solidFill>
          </w14:textFill>
        </w:rPr>
        <w:t xml:space="preserve"> </w:t>
      </w:r>
      <w:r>
        <w:rPr>
          <w:rFonts w:hint="default" w:ascii="宋体" w:hAnsi="宋体" w:eastAsia="宋体" w:cs="Times New Roman"/>
          <w:color w:val="000000" w:themeColor="text1"/>
          <w:sz w:val="36"/>
          <w:szCs w:val="36"/>
          <w:lang w:val="en-US" w:eastAsia="zh-CN"/>
          <w14:textFill>
            <w14:solidFill>
              <w14:schemeClr w14:val="tx1"/>
            </w14:solidFill>
          </w14:textFill>
        </w:rPr>
        <w:t>录</w:t>
      </w:r>
      <w:bookmarkEnd w:id="3"/>
      <w:bookmarkEnd w:id="4"/>
      <w:r>
        <w:rPr>
          <w:rFonts w:hint="default" w:ascii="Times New Roman" w:hAnsi="Times New Roman" w:eastAsia="黑体" w:cs="Times New Roman"/>
          <w:snapToGrid w:val="0"/>
          <w:color w:val="000000" w:themeColor="text1"/>
          <w:sz w:val="30"/>
          <w:szCs w:val="30"/>
          <w:lang w:val="en-US" w:eastAsia="zh-CN"/>
          <w14:textFill>
            <w14:solidFill>
              <w14:schemeClr w14:val="tx1"/>
            </w14:solidFill>
          </w14:textFill>
        </w:rPr>
        <w:fldChar w:fldCharType="begin"/>
      </w:r>
      <w:r>
        <w:rPr>
          <w:rFonts w:hint="default" w:ascii="Times New Roman" w:hAnsi="Times New Roman" w:eastAsia="黑体" w:cs="Times New Roman"/>
          <w:snapToGrid w:val="0"/>
          <w:color w:val="000000" w:themeColor="text1"/>
          <w:sz w:val="30"/>
          <w:szCs w:val="30"/>
          <w:lang w:val="en-US" w:eastAsia="zh-CN"/>
          <w14:textFill>
            <w14:solidFill>
              <w14:schemeClr w14:val="tx1"/>
            </w14:solidFill>
          </w14:textFill>
        </w:rPr>
        <w:instrText xml:space="preserve">TOC \o "1-1" \h \u </w:instrText>
      </w:r>
      <w:r>
        <w:rPr>
          <w:rFonts w:hint="default" w:ascii="Times New Roman" w:hAnsi="Times New Roman" w:eastAsia="黑体" w:cs="Times New Roman"/>
          <w:snapToGrid w:val="0"/>
          <w:color w:val="000000" w:themeColor="text1"/>
          <w:sz w:val="30"/>
          <w:szCs w:val="30"/>
          <w:lang w:val="en-US" w:eastAsia="zh-CN"/>
          <w14:textFill>
            <w14:solidFill>
              <w14:schemeClr w14:val="tx1"/>
            </w14:solidFill>
          </w14:textFill>
        </w:rPr>
        <w:fldChar w:fldCharType="separate"/>
      </w:r>
    </w:p>
    <w:p w14:paraId="1C924955">
      <w:pPr>
        <w:pStyle w:val="21"/>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color w:val="000000" w:themeColor="text1"/>
          <w:sz w:val="24"/>
          <w:szCs w:val="24"/>
          <w14:textFill>
            <w14:solidFill>
              <w14:schemeClr w14:val="tx1"/>
            </w14:solidFill>
          </w14:textFill>
        </w:rPr>
      </w:pP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begin"/>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instrText xml:space="preserve"> HYPERLINK \l _Toc8151 </w:instrText>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黑体" w:cs="Times New Roman"/>
          <w:bCs w:val="0"/>
          <w:color w:val="000000" w:themeColor="text1"/>
          <w:sz w:val="24"/>
          <w:szCs w:val="24"/>
          <w14:textFill>
            <w14:solidFill>
              <w14:schemeClr w14:val="tx1"/>
            </w14:solidFill>
          </w14:textFill>
        </w:rPr>
        <w:t>一、建设项目基本情况</w:t>
      </w:r>
      <w:r>
        <w:rPr>
          <w:rFonts w:hint="default" w:ascii="Times New Roman" w:hAnsi="Times New Roman" w:eastAsia="黑体" w:cs="Times New Roman"/>
          <w:color w:val="000000" w:themeColor="text1"/>
          <w:sz w:val="24"/>
          <w:szCs w:val="24"/>
          <w14:textFill>
            <w14:solidFill>
              <w14:schemeClr w14:val="tx1"/>
            </w14:solidFill>
          </w14:textFill>
        </w:rPr>
        <w:tab/>
      </w:r>
      <w:r>
        <w:rPr>
          <w:rFonts w:hint="default" w:ascii="Times New Roman" w:hAnsi="Times New Roman" w:eastAsia="黑体" w:cs="Times New Roman"/>
          <w:color w:val="000000" w:themeColor="text1"/>
          <w:sz w:val="24"/>
          <w:szCs w:val="24"/>
          <w14:textFill>
            <w14:solidFill>
              <w14:schemeClr w14:val="tx1"/>
            </w14:solidFill>
          </w14:textFill>
        </w:rPr>
        <w:fldChar w:fldCharType="begin"/>
      </w:r>
      <w:r>
        <w:rPr>
          <w:rFonts w:hint="default" w:ascii="Times New Roman" w:hAnsi="Times New Roman" w:eastAsia="黑体" w:cs="Times New Roman"/>
          <w:color w:val="000000" w:themeColor="text1"/>
          <w:sz w:val="24"/>
          <w:szCs w:val="24"/>
          <w14:textFill>
            <w14:solidFill>
              <w14:schemeClr w14:val="tx1"/>
            </w14:solidFill>
          </w14:textFill>
        </w:rPr>
        <w:instrText xml:space="preserve"> PAGEREF _Toc8151 \h </w:instrText>
      </w:r>
      <w:r>
        <w:rPr>
          <w:rFonts w:hint="default" w:ascii="Times New Roman" w:hAnsi="Times New Roman" w:eastAsia="黑体" w:cs="Times New Roman"/>
          <w:color w:val="000000" w:themeColor="text1"/>
          <w:sz w:val="24"/>
          <w:szCs w:val="24"/>
          <w14:textFill>
            <w14:solidFill>
              <w14:schemeClr w14:val="tx1"/>
            </w14:solidFill>
          </w14:textFill>
        </w:rPr>
        <w:fldChar w:fldCharType="separate"/>
      </w:r>
      <w:r>
        <w:rPr>
          <w:rFonts w:hint="default" w:ascii="Times New Roman" w:hAnsi="Times New Roman" w:eastAsia="黑体" w:cs="Times New Roman"/>
          <w:color w:val="000000" w:themeColor="text1"/>
          <w:sz w:val="24"/>
          <w:szCs w:val="24"/>
          <w14:textFill>
            <w14:solidFill>
              <w14:schemeClr w14:val="tx1"/>
            </w14:solidFill>
          </w14:textFill>
        </w:rPr>
        <w:t>1</w:t>
      </w:r>
      <w:r>
        <w:rPr>
          <w:rFonts w:hint="default" w:ascii="Times New Roman" w:hAnsi="Times New Roman" w:eastAsia="黑体" w:cs="Times New Roman"/>
          <w:color w:val="000000" w:themeColor="text1"/>
          <w:sz w:val="24"/>
          <w:szCs w:val="24"/>
          <w14:textFill>
            <w14:solidFill>
              <w14:schemeClr w14:val="tx1"/>
            </w14:solidFill>
          </w14:textFill>
        </w:rPr>
        <w:fldChar w:fldCharType="end"/>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end"/>
      </w:r>
    </w:p>
    <w:p w14:paraId="67BCCF57">
      <w:pPr>
        <w:pStyle w:val="21"/>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color w:val="000000" w:themeColor="text1"/>
          <w:sz w:val="24"/>
          <w:szCs w:val="24"/>
          <w:lang w:val="en-US"/>
          <w14:textFill>
            <w14:solidFill>
              <w14:schemeClr w14:val="tx1"/>
            </w14:solidFill>
          </w14:textFill>
        </w:rPr>
      </w:pP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begin"/>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instrText xml:space="preserve"> HYPERLINK \l _Toc13597 </w:instrText>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黑体" w:cs="Times New Roman"/>
          <w:snapToGrid w:val="0"/>
          <w:color w:val="000000" w:themeColor="text1"/>
          <w:sz w:val="24"/>
          <w:szCs w:val="24"/>
          <w14:textFill>
            <w14:solidFill>
              <w14:schemeClr w14:val="tx1"/>
            </w14:solidFill>
          </w14:textFill>
        </w:rPr>
        <w:t>二、建设项目工程分析</w:t>
      </w:r>
      <w:r>
        <w:rPr>
          <w:rFonts w:hint="default" w:ascii="Times New Roman" w:hAnsi="Times New Roman" w:eastAsia="黑体" w:cs="Times New Roman"/>
          <w:color w:val="000000" w:themeColor="text1"/>
          <w:sz w:val="24"/>
          <w:szCs w:val="24"/>
          <w14:textFill>
            <w14:solidFill>
              <w14:schemeClr w14:val="tx1"/>
            </w14:solidFill>
          </w14:textFill>
        </w:rPr>
        <w:tab/>
      </w:r>
      <w:r>
        <w:rPr>
          <w:rFonts w:hint="default" w:ascii="Times New Roman" w:hAnsi="Times New Roman" w:eastAsia="黑体" w:cs="Times New Roman"/>
          <w:color w:val="000000" w:themeColor="text1"/>
          <w:sz w:val="24"/>
          <w:szCs w:val="24"/>
          <w14:textFill>
            <w14:solidFill>
              <w14:schemeClr w14:val="tx1"/>
            </w14:solidFill>
          </w14:textFill>
        </w:rPr>
        <w:fldChar w:fldCharType="begin"/>
      </w:r>
      <w:r>
        <w:rPr>
          <w:rFonts w:hint="default" w:ascii="Times New Roman" w:hAnsi="Times New Roman" w:eastAsia="黑体" w:cs="Times New Roman"/>
          <w:color w:val="000000" w:themeColor="text1"/>
          <w:sz w:val="24"/>
          <w:szCs w:val="24"/>
          <w14:textFill>
            <w14:solidFill>
              <w14:schemeClr w14:val="tx1"/>
            </w14:solidFill>
          </w14:textFill>
        </w:rPr>
        <w:instrText xml:space="preserve"> PAGEREF _Toc13597 \h </w:instrText>
      </w:r>
      <w:r>
        <w:rPr>
          <w:rFonts w:hint="default" w:ascii="Times New Roman" w:hAnsi="Times New Roman" w:eastAsia="黑体" w:cs="Times New Roman"/>
          <w:color w:val="000000" w:themeColor="text1"/>
          <w:sz w:val="24"/>
          <w:szCs w:val="24"/>
          <w14:textFill>
            <w14:solidFill>
              <w14:schemeClr w14:val="tx1"/>
            </w14:solidFill>
          </w14:textFill>
        </w:rPr>
        <w:fldChar w:fldCharType="separate"/>
      </w:r>
      <w:r>
        <w:rPr>
          <w:rFonts w:hint="default" w:ascii="Times New Roman" w:hAnsi="Times New Roman" w:eastAsia="黑体" w:cs="Times New Roman"/>
          <w:color w:val="000000" w:themeColor="text1"/>
          <w:sz w:val="24"/>
          <w:szCs w:val="24"/>
          <w14:textFill>
            <w14:solidFill>
              <w14:schemeClr w14:val="tx1"/>
            </w14:solidFill>
          </w14:textFill>
        </w:rPr>
        <w:t>1</w:t>
      </w:r>
      <w:r>
        <w:rPr>
          <w:rFonts w:hint="default" w:ascii="Times New Roman" w:hAnsi="Times New Roman" w:eastAsia="黑体" w:cs="Times New Roman"/>
          <w:color w:val="000000" w:themeColor="text1"/>
          <w:sz w:val="24"/>
          <w:szCs w:val="24"/>
          <w14:textFill>
            <w14:solidFill>
              <w14:schemeClr w14:val="tx1"/>
            </w14:solidFill>
          </w14:textFill>
        </w:rPr>
        <w:fldChar w:fldCharType="end"/>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end"/>
      </w:r>
      <w:r>
        <w:rPr>
          <w:rFonts w:hint="eastAsia" w:eastAsia="黑体" w:cs="Times New Roman"/>
          <w:snapToGrid w:val="0"/>
          <w:color w:val="000000" w:themeColor="text1"/>
          <w:sz w:val="24"/>
          <w:szCs w:val="24"/>
          <w:lang w:val="en-US" w:eastAsia="zh-CN"/>
          <w14:textFill>
            <w14:solidFill>
              <w14:schemeClr w14:val="tx1"/>
            </w14:solidFill>
          </w14:textFill>
        </w:rPr>
        <w:t>9</w:t>
      </w:r>
    </w:p>
    <w:p w14:paraId="05478DA0">
      <w:pPr>
        <w:pStyle w:val="21"/>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color w:val="000000" w:themeColor="text1"/>
          <w:sz w:val="24"/>
          <w:szCs w:val="24"/>
          <w14:textFill>
            <w14:solidFill>
              <w14:schemeClr w14:val="tx1"/>
            </w14:solidFill>
          </w14:textFill>
        </w:rPr>
      </w:pP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begin"/>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instrText xml:space="preserve"> HYPERLINK \l _Toc6760 </w:instrText>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黑体" w:cs="Times New Roman"/>
          <w:snapToGrid w:val="0"/>
          <w:color w:val="000000" w:themeColor="text1"/>
          <w:sz w:val="24"/>
          <w:szCs w:val="24"/>
          <w14:textFill>
            <w14:solidFill>
              <w14:schemeClr w14:val="tx1"/>
            </w14:solidFill>
          </w14:textFill>
        </w:rPr>
        <w:t>三、区域环境质量现状、环境保护目标及评价标准</w:t>
      </w:r>
      <w:r>
        <w:rPr>
          <w:rFonts w:hint="default" w:ascii="Times New Roman" w:hAnsi="Times New Roman" w:eastAsia="黑体" w:cs="Times New Roman"/>
          <w:color w:val="000000" w:themeColor="text1"/>
          <w:sz w:val="24"/>
          <w:szCs w:val="24"/>
          <w14:textFill>
            <w14:solidFill>
              <w14:schemeClr w14:val="tx1"/>
            </w14:solidFill>
          </w14:textFill>
        </w:rPr>
        <w:tab/>
      </w:r>
      <w:r>
        <w:rPr>
          <w:rFonts w:hint="default" w:ascii="Times New Roman" w:hAnsi="Times New Roman" w:eastAsia="黑体" w:cs="Times New Roman"/>
          <w:color w:val="000000" w:themeColor="text1"/>
          <w:sz w:val="24"/>
          <w:szCs w:val="24"/>
          <w14:textFill>
            <w14:solidFill>
              <w14:schemeClr w14:val="tx1"/>
            </w14:solidFill>
          </w14:textFill>
        </w:rPr>
        <w:fldChar w:fldCharType="begin"/>
      </w:r>
      <w:r>
        <w:rPr>
          <w:rFonts w:hint="default" w:ascii="Times New Roman" w:hAnsi="Times New Roman" w:eastAsia="黑体" w:cs="Times New Roman"/>
          <w:color w:val="000000" w:themeColor="text1"/>
          <w:sz w:val="24"/>
          <w:szCs w:val="24"/>
          <w14:textFill>
            <w14:solidFill>
              <w14:schemeClr w14:val="tx1"/>
            </w14:solidFill>
          </w14:textFill>
        </w:rPr>
        <w:instrText xml:space="preserve"> PAGEREF _Toc6760 \h </w:instrText>
      </w:r>
      <w:r>
        <w:rPr>
          <w:rFonts w:hint="default" w:ascii="Times New Roman" w:hAnsi="Times New Roman" w:eastAsia="黑体" w:cs="Times New Roman"/>
          <w:color w:val="000000" w:themeColor="text1"/>
          <w:sz w:val="24"/>
          <w:szCs w:val="24"/>
          <w14:textFill>
            <w14:solidFill>
              <w14:schemeClr w14:val="tx1"/>
            </w14:solidFill>
          </w14:textFill>
        </w:rPr>
        <w:fldChar w:fldCharType="separate"/>
      </w:r>
      <w:r>
        <w:rPr>
          <w:rFonts w:hint="default" w:ascii="Times New Roman" w:hAnsi="Times New Roman" w:eastAsia="黑体" w:cs="Times New Roman"/>
          <w:color w:val="000000" w:themeColor="text1"/>
          <w:sz w:val="24"/>
          <w:szCs w:val="24"/>
          <w14:textFill>
            <w14:solidFill>
              <w14:schemeClr w14:val="tx1"/>
            </w14:solidFill>
          </w14:textFill>
        </w:rPr>
        <w:t>61</w:t>
      </w:r>
      <w:r>
        <w:rPr>
          <w:rFonts w:hint="default" w:ascii="Times New Roman" w:hAnsi="Times New Roman" w:eastAsia="黑体" w:cs="Times New Roman"/>
          <w:color w:val="000000" w:themeColor="text1"/>
          <w:sz w:val="24"/>
          <w:szCs w:val="24"/>
          <w14:textFill>
            <w14:solidFill>
              <w14:schemeClr w14:val="tx1"/>
            </w14:solidFill>
          </w14:textFill>
        </w:rPr>
        <w:fldChar w:fldCharType="end"/>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end"/>
      </w:r>
    </w:p>
    <w:p w14:paraId="7F821409">
      <w:pPr>
        <w:pStyle w:val="21"/>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color w:val="000000" w:themeColor="text1"/>
          <w:sz w:val="24"/>
          <w:szCs w:val="24"/>
          <w14:textFill>
            <w14:solidFill>
              <w14:schemeClr w14:val="tx1"/>
            </w14:solidFill>
          </w14:textFill>
        </w:rPr>
      </w:pP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begin"/>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instrText xml:space="preserve"> HYPERLINK \l _Toc733 </w:instrText>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黑体" w:cs="Times New Roman"/>
          <w:snapToGrid w:val="0"/>
          <w:color w:val="000000" w:themeColor="text1"/>
          <w:sz w:val="24"/>
          <w:szCs w:val="24"/>
          <w14:textFill>
            <w14:solidFill>
              <w14:schemeClr w14:val="tx1"/>
            </w14:solidFill>
          </w14:textFill>
        </w:rPr>
        <w:t>四、主要环境影响和保护措施</w:t>
      </w:r>
      <w:r>
        <w:rPr>
          <w:rFonts w:hint="default" w:ascii="Times New Roman" w:hAnsi="Times New Roman" w:eastAsia="黑体" w:cs="Times New Roman"/>
          <w:color w:val="000000" w:themeColor="text1"/>
          <w:sz w:val="24"/>
          <w:szCs w:val="24"/>
          <w14:textFill>
            <w14:solidFill>
              <w14:schemeClr w14:val="tx1"/>
            </w14:solidFill>
          </w14:textFill>
        </w:rPr>
        <w:tab/>
      </w:r>
      <w:r>
        <w:rPr>
          <w:rFonts w:hint="default" w:ascii="Times New Roman" w:hAnsi="Times New Roman" w:eastAsia="黑体" w:cs="Times New Roman"/>
          <w:color w:val="000000" w:themeColor="text1"/>
          <w:sz w:val="24"/>
          <w:szCs w:val="24"/>
          <w14:textFill>
            <w14:solidFill>
              <w14:schemeClr w14:val="tx1"/>
            </w14:solidFill>
          </w14:textFill>
        </w:rPr>
        <w:fldChar w:fldCharType="begin"/>
      </w:r>
      <w:r>
        <w:rPr>
          <w:rFonts w:hint="default" w:ascii="Times New Roman" w:hAnsi="Times New Roman" w:eastAsia="黑体" w:cs="Times New Roman"/>
          <w:color w:val="000000" w:themeColor="text1"/>
          <w:sz w:val="24"/>
          <w:szCs w:val="24"/>
          <w14:textFill>
            <w14:solidFill>
              <w14:schemeClr w14:val="tx1"/>
            </w14:solidFill>
          </w14:textFill>
        </w:rPr>
        <w:instrText xml:space="preserve"> PAGEREF _Toc733 \h </w:instrText>
      </w:r>
      <w:r>
        <w:rPr>
          <w:rFonts w:hint="default" w:ascii="Times New Roman" w:hAnsi="Times New Roman" w:eastAsia="黑体" w:cs="Times New Roman"/>
          <w:color w:val="000000" w:themeColor="text1"/>
          <w:sz w:val="24"/>
          <w:szCs w:val="24"/>
          <w14:textFill>
            <w14:solidFill>
              <w14:schemeClr w14:val="tx1"/>
            </w14:solidFill>
          </w14:textFill>
        </w:rPr>
        <w:fldChar w:fldCharType="separate"/>
      </w:r>
      <w:r>
        <w:rPr>
          <w:rFonts w:hint="default" w:ascii="Times New Roman" w:hAnsi="Times New Roman" w:eastAsia="黑体" w:cs="Times New Roman"/>
          <w:color w:val="000000" w:themeColor="text1"/>
          <w:sz w:val="24"/>
          <w:szCs w:val="24"/>
          <w14:textFill>
            <w14:solidFill>
              <w14:schemeClr w14:val="tx1"/>
            </w14:solidFill>
          </w14:textFill>
        </w:rPr>
        <w:t>74</w:t>
      </w:r>
      <w:r>
        <w:rPr>
          <w:rFonts w:hint="default" w:ascii="Times New Roman" w:hAnsi="Times New Roman" w:eastAsia="黑体" w:cs="Times New Roman"/>
          <w:color w:val="000000" w:themeColor="text1"/>
          <w:sz w:val="24"/>
          <w:szCs w:val="24"/>
          <w14:textFill>
            <w14:solidFill>
              <w14:schemeClr w14:val="tx1"/>
            </w14:solidFill>
          </w14:textFill>
        </w:rPr>
        <w:fldChar w:fldCharType="end"/>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end"/>
      </w:r>
    </w:p>
    <w:p w14:paraId="41AB3FE9">
      <w:pPr>
        <w:pStyle w:val="21"/>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color w:val="000000" w:themeColor="text1"/>
          <w:sz w:val="24"/>
          <w:szCs w:val="24"/>
          <w14:textFill>
            <w14:solidFill>
              <w14:schemeClr w14:val="tx1"/>
            </w14:solidFill>
          </w14:textFill>
        </w:rPr>
      </w:pP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begin"/>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instrText xml:space="preserve"> HYPERLINK \l _Toc23327 </w:instrText>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黑体" w:cs="Times New Roman"/>
          <w:snapToGrid w:val="0"/>
          <w:color w:val="000000" w:themeColor="text1"/>
          <w:sz w:val="24"/>
          <w:szCs w:val="24"/>
          <w:highlight w:val="none"/>
          <w14:textFill>
            <w14:solidFill>
              <w14:schemeClr w14:val="tx1"/>
            </w14:solidFill>
          </w14:textFill>
        </w:rPr>
        <w:t>五、环境保护措施监督检查清单</w:t>
      </w:r>
      <w:r>
        <w:rPr>
          <w:rFonts w:hint="default" w:ascii="Times New Roman" w:hAnsi="Times New Roman" w:eastAsia="黑体" w:cs="Times New Roman"/>
          <w:color w:val="000000" w:themeColor="text1"/>
          <w:sz w:val="24"/>
          <w:szCs w:val="24"/>
          <w14:textFill>
            <w14:solidFill>
              <w14:schemeClr w14:val="tx1"/>
            </w14:solidFill>
          </w14:textFill>
        </w:rPr>
        <w:tab/>
      </w:r>
      <w:r>
        <w:rPr>
          <w:rFonts w:hint="default" w:ascii="Times New Roman" w:hAnsi="Times New Roman" w:eastAsia="黑体" w:cs="Times New Roman"/>
          <w:color w:val="000000" w:themeColor="text1"/>
          <w:sz w:val="24"/>
          <w:szCs w:val="24"/>
          <w14:textFill>
            <w14:solidFill>
              <w14:schemeClr w14:val="tx1"/>
            </w14:solidFill>
          </w14:textFill>
        </w:rPr>
        <w:fldChar w:fldCharType="begin"/>
      </w:r>
      <w:r>
        <w:rPr>
          <w:rFonts w:hint="default" w:ascii="Times New Roman" w:hAnsi="Times New Roman" w:eastAsia="黑体" w:cs="Times New Roman"/>
          <w:color w:val="000000" w:themeColor="text1"/>
          <w:sz w:val="24"/>
          <w:szCs w:val="24"/>
          <w14:textFill>
            <w14:solidFill>
              <w14:schemeClr w14:val="tx1"/>
            </w14:solidFill>
          </w14:textFill>
        </w:rPr>
        <w:instrText xml:space="preserve"> PAGEREF _Toc23327 \h </w:instrText>
      </w:r>
      <w:r>
        <w:rPr>
          <w:rFonts w:hint="default" w:ascii="Times New Roman" w:hAnsi="Times New Roman" w:eastAsia="黑体" w:cs="Times New Roman"/>
          <w:color w:val="000000" w:themeColor="text1"/>
          <w:sz w:val="24"/>
          <w:szCs w:val="24"/>
          <w14:textFill>
            <w14:solidFill>
              <w14:schemeClr w14:val="tx1"/>
            </w14:solidFill>
          </w14:textFill>
        </w:rPr>
        <w:fldChar w:fldCharType="separate"/>
      </w:r>
      <w:r>
        <w:rPr>
          <w:rFonts w:hint="default" w:ascii="Times New Roman" w:hAnsi="Times New Roman" w:eastAsia="黑体" w:cs="Times New Roman"/>
          <w:color w:val="000000" w:themeColor="text1"/>
          <w:sz w:val="24"/>
          <w:szCs w:val="24"/>
          <w14:textFill>
            <w14:solidFill>
              <w14:schemeClr w14:val="tx1"/>
            </w14:solidFill>
          </w14:textFill>
        </w:rPr>
        <w:t>124</w:t>
      </w:r>
      <w:r>
        <w:rPr>
          <w:rFonts w:hint="default" w:ascii="Times New Roman" w:hAnsi="Times New Roman" w:eastAsia="黑体" w:cs="Times New Roman"/>
          <w:color w:val="000000" w:themeColor="text1"/>
          <w:sz w:val="24"/>
          <w:szCs w:val="24"/>
          <w14:textFill>
            <w14:solidFill>
              <w14:schemeClr w14:val="tx1"/>
            </w14:solidFill>
          </w14:textFill>
        </w:rPr>
        <w:fldChar w:fldCharType="end"/>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end"/>
      </w:r>
    </w:p>
    <w:p w14:paraId="71BCEF33">
      <w:pPr>
        <w:pStyle w:val="21"/>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begin"/>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instrText xml:space="preserve"> HYPERLINK \l _Toc18005 </w:instrText>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黑体" w:cs="Times New Roman"/>
          <w:snapToGrid w:val="0"/>
          <w:color w:val="000000" w:themeColor="text1"/>
          <w:sz w:val="24"/>
          <w:szCs w:val="24"/>
          <w14:textFill>
            <w14:solidFill>
              <w14:schemeClr w14:val="tx1"/>
            </w14:solidFill>
          </w14:textFill>
        </w:rPr>
        <w:drawing>
          <wp:inline distT="0" distB="0" distL="114300" distR="114300">
            <wp:extent cx="635" cy="0"/>
            <wp:effectExtent l="0" t="0" r="0" b="0"/>
            <wp:docPr id="409" name="图片 867" descr="2023-09-2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867" descr="2023-09-27_001"/>
                    <pic:cNvPicPr>
                      <a:picLocks noChangeAspect="1"/>
                    </pic:cNvPicPr>
                  </pic:nvPicPr>
                  <pic:blipFill>
                    <a:blip r:embed="rId9"/>
                    <a:stretch>
                      <a:fillRect/>
                    </a:stretch>
                  </pic:blipFill>
                  <pic:spPr>
                    <a:xfrm>
                      <a:off x="0" y="0"/>
                      <a:ext cx="635" cy="0"/>
                    </a:xfrm>
                    <a:prstGeom prst="rect">
                      <a:avLst/>
                    </a:prstGeom>
                    <a:noFill/>
                    <a:ln>
                      <a:noFill/>
                    </a:ln>
                  </pic:spPr>
                </pic:pic>
              </a:graphicData>
            </a:graphic>
          </wp:inline>
        </w:drawing>
      </w:r>
      <w:r>
        <w:rPr>
          <w:rFonts w:hint="default" w:ascii="Times New Roman" w:hAnsi="Times New Roman" w:eastAsia="黑体" w:cs="Times New Roman"/>
          <w:snapToGrid w:val="0"/>
          <w:color w:val="000000" w:themeColor="text1"/>
          <w:sz w:val="24"/>
          <w:szCs w:val="24"/>
          <w14:textFill>
            <w14:solidFill>
              <w14:schemeClr w14:val="tx1"/>
            </w14:solidFill>
          </w14:textFill>
        </w:rPr>
        <w:t>六、结论</w:t>
      </w:r>
      <w:r>
        <w:rPr>
          <w:rFonts w:hint="default" w:ascii="Times New Roman" w:hAnsi="Times New Roman" w:eastAsia="黑体" w:cs="Times New Roman"/>
          <w:color w:val="000000" w:themeColor="text1"/>
          <w:sz w:val="24"/>
          <w:szCs w:val="24"/>
          <w14:textFill>
            <w14:solidFill>
              <w14:schemeClr w14:val="tx1"/>
            </w14:solidFill>
          </w14:textFill>
        </w:rPr>
        <w:tab/>
      </w:r>
      <w:r>
        <w:rPr>
          <w:rFonts w:hint="default" w:ascii="Times New Roman" w:hAnsi="Times New Roman" w:eastAsia="黑体" w:cs="Times New Roman"/>
          <w:color w:val="000000" w:themeColor="text1"/>
          <w:sz w:val="24"/>
          <w:szCs w:val="24"/>
          <w14:textFill>
            <w14:solidFill>
              <w14:schemeClr w14:val="tx1"/>
            </w14:solidFill>
          </w14:textFill>
        </w:rPr>
        <w:fldChar w:fldCharType="begin"/>
      </w:r>
      <w:r>
        <w:rPr>
          <w:rFonts w:hint="default" w:ascii="Times New Roman" w:hAnsi="Times New Roman" w:eastAsia="黑体" w:cs="Times New Roman"/>
          <w:color w:val="000000" w:themeColor="text1"/>
          <w:sz w:val="24"/>
          <w:szCs w:val="24"/>
          <w14:textFill>
            <w14:solidFill>
              <w14:schemeClr w14:val="tx1"/>
            </w14:solidFill>
          </w14:textFill>
        </w:rPr>
        <w:instrText xml:space="preserve"> PAGEREF _Toc18005 \h </w:instrText>
      </w:r>
      <w:r>
        <w:rPr>
          <w:rFonts w:hint="default" w:ascii="Times New Roman" w:hAnsi="Times New Roman" w:eastAsia="黑体" w:cs="Times New Roman"/>
          <w:color w:val="000000" w:themeColor="text1"/>
          <w:sz w:val="24"/>
          <w:szCs w:val="24"/>
          <w14:textFill>
            <w14:solidFill>
              <w14:schemeClr w14:val="tx1"/>
            </w14:solidFill>
          </w14:textFill>
        </w:rPr>
        <w:fldChar w:fldCharType="separate"/>
      </w:r>
      <w:r>
        <w:rPr>
          <w:rFonts w:hint="default" w:ascii="Times New Roman" w:hAnsi="Times New Roman" w:eastAsia="黑体" w:cs="Times New Roman"/>
          <w:color w:val="000000" w:themeColor="text1"/>
          <w:sz w:val="24"/>
          <w:szCs w:val="24"/>
          <w14:textFill>
            <w14:solidFill>
              <w14:schemeClr w14:val="tx1"/>
            </w14:solidFill>
          </w14:textFill>
        </w:rPr>
        <w:t>128</w:t>
      </w:r>
      <w:r>
        <w:rPr>
          <w:rFonts w:hint="default" w:ascii="Times New Roman" w:hAnsi="Times New Roman" w:eastAsia="黑体" w:cs="Times New Roman"/>
          <w:color w:val="000000" w:themeColor="text1"/>
          <w:sz w:val="24"/>
          <w:szCs w:val="24"/>
          <w14:textFill>
            <w14:solidFill>
              <w14:schemeClr w14:val="tx1"/>
            </w14:solidFill>
          </w14:textFill>
        </w:rPr>
        <w:fldChar w:fldCharType="end"/>
      </w:r>
      <w:r>
        <w:rPr>
          <w:rFonts w:hint="default" w:ascii="Times New Roman" w:hAnsi="Times New Roman" w:eastAsia="黑体" w:cs="Times New Roman"/>
          <w:snapToGrid w:val="0"/>
          <w:color w:val="000000" w:themeColor="text1"/>
          <w:sz w:val="24"/>
          <w:szCs w:val="24"/>
          <w:lang w:val="en-US" w:eastAsia="zh-CN"/>
          <w14:textFill>
            <w14:solidFill>
              <w14:schemeClr w14:val="tx1"/>
            </w14:solidFill>
          </w14:textFill>
        </w:rPr>
        <w:fldChar w:fldCharType="end"/>
      </w:r>
    </w:p>
    <w:p w14:paraId="51892844">
      <w:pPr>
        <w:rPr>
          <w:color w:val="000000" w:themeColor="text1"/>
          <w14:textFill>
            <w14:solidFill>
              <w14:schemeClr w14:val="tx1"/>
            </w14:solidFill>
          </w14:textFill>
        </w:rPr>
      </w:pPr>
    </w:p>
    <w:p w14:paraId="182B7163">
      <w:pPr>
        <w:pStyle w:val="21"/>
        <w:tabs>
          <w:tab w:val="right" w:leader="dot" w:pos="9072"/>
        </w:tabs>
        <w:rPr>
          <w:rFonts w:hint="default" w:ascii="Times New Roman" w:hAnsi="Times New Roman" w:eastAsia="黑体" w:cs="Times New Roman"/>
          <w:snapToGrid w:val="0"/>
          <w:color w:val="000000" w:themeColor="text1"/>
          <w:szCs w:val="30"/>
          <w:lang w:val="en-US" w:eastAsia="zh-CN"/>
          <w14:textFill>
            <w14:solidFill>
              <w14:schemeClr w14:val="tx1"/>
            </w14:solidFill>
          </w14:textFill>
        </w:rPr>
      </w:pPr>
      <w:r>
        <w:rPr>
          <w:rFonts w:hint="default" w:ascii="Times New Roman" w:hAnsi="Times New Roman" w:eastAsia="黑体" w:cs="Times New Roman"/>
          <w:snapToGrid w:val="0"/>
          <w:color w:val="000000" w:themeColor="text1"/>
          <w:szCs w:val="30"/>
          <w:lang w:val="en-US" w:eastAsia="zh-CN"/>
          <w14:textFill>
            <w14:solidFill>
              <w14:schemeClr w14:val="tx1"/>
            </w14:solidFill>
          </w14:textFill>
        </w:rPr>
        <w:fldChar w:fldCharType="begin"/>
      </w:r>
      <w:r>
        <w:rPr>
          <w:rFonts w:hint="default" w:ascii="Times New Roman" w:hAnsi="Times New Roman" w:eastAsia="黑体" w:cs="Times New Roman"/>
          <w:snapToGrid w:val="0"/>
          <w:color w:val="000000" w:themeColor="text1"/>
          <w:szCs w:val="30"/>
          <w:lang w:val="en-US" w:eastAsia="zh-CN"/>
          <w14:textFill>
            <w14:solidFill>
              <w14:schemeClr w14:val="tx1"/>
            </w14:solidFill>
          </w14:textFill>
        </w:rPr>
        <w:instrText xml:space="preserve"> HYPERLINK \l _Toc29311 </w:instrText>
      </w:r>
      <w:r>
        <w:rPr>
          <w:rFonts w:hint="default" w:ascii="Times New Roman" w:hAnsi="Times New Roman" w:eastAsia="黑体" w:cs="Times New Roman"/>
          <w:snapToGrid w:val="0"/>
          <w:color w:val="000000" w:themeColor="text1"/>
          <w:szCs w:val="30"/>
          <w:lang w:val="en-US" w:eastAsia="zh-CN"/>
          <w14:textFill>
            <w14:solidFill>
              <w14:schemeClr w14:val="tx1"/>
            </w14:solidFill>
          </w14:textFill>
        </w:rPr>
        <w:fldChar w:fldCharType="separate"/>
      </w:r>
      <w:r>
        <w:rPr>
          <w:rFonts w:hint="default" w:ascii="Times New Roman" w:hAnsi="Times New Roman" w:eastAsia="黑体" w:cs="Times New Roman"/>
          <w:snapToGrid w:val="0"/>
          <w:color w:val="000000" w:themeColor="text1"/>
          <w:szCs w:val="32"/>
          <w14:textFill>
            <w14:solidFill>
              <w14:schemeClr w14:val="tx1"/>
            </w14:solidFill>
          </w14:textFill>
        </w:rPr>
        <w:t>附表</w:t>
      </w:r>
      <w:r>
        <w:rPr>
          <w:rFonts w:hint="default" w:ascii="Times New Roman" w:hAnsi="Times New Roman" w:eastAsia="黑体" w:cs="Times New Roman"/>
          <w:snapToGrid w:val="0"/>
          <w:color w:val="000000" w:themeColor="text1"/>
          <w:szCs w:val="30"/>
          <w:lang w:val="en-US" w:eastAsia="zh-CN"/>
          <w14:textFill>
            <w14:solidFill>
              <w14:schemeClr w14:val="tx1"/>
            </w14:solidFill>
          </w14:textFill>
        </w:rPr>
        <w:fldChar w:fldCharType="end"/>
      </w:r>
    </w:p>
    <w:p w14:paraId="7F132618">
      <w:pPr>
        <w:pStyle w:val="21"/>
        <w:tabs>
          <w:tab w:val="right" w:leader="dot" w:pos="9072"/>
        </w:tabs>
        <w:rPr>
          <w:rFonts w:hint="default" w:ascii="Times New Roman" w:hAnsi="Times New Roman" w:eastAsia="黑体" w:cs="Times New Roman"/>
          <w:snapToGrid w:val="0"/>
          <w:color w:val="000000" w:themeColor="text1"/>
          <w:szCs w:val="30"/>
          <w:lang w:val="en-US" w:eastAsia="zh-CN"/>
          <w14:textFill>
            <w14:solidFill>
              <w14:schemeClr w14:val="tx1"/>
            </w14:solidFill>
          </w14:textFill>
        </w:rPr>
      </w:pPr>
      <w:r>
        <w:rPr>
          <w:rFonts w:hint="default" w:ascii="Times New Roman" w:hAnsi="Times New Roman" w:eastAsia="黑体" w:cs="Times New Roman"/>
          <w:snapToGrid w:val="0"/>
          <w:color w:val="000000" w:themeColor="text1"/>
          <w:szCs w:val="30"/>
          <w:lang w:val="en-US" w:eastAsia="zh-CN"/>
          <w14:textFill>
            <w14:solidFill>
              <w14:schemeClr w14:val="tx1"/>
            </w14:solidFill>
          </w14:textFill>
        </w:rPr>
        <w:t>建设项目污染物排放量汇总表</w:t>
      </w:r>
    </w:p>
    <w:p w14:paraId="57264F31">
      <w:pPr>
        <w:ind w:firstLine="490" w:firstLineChars="0"/>
        <w:rPr>
          <w:rFonts w:hint="default" w:ascii="Times New Roman" w:hAnsi="Times New Roman" w:eastAsia="黑体" w:cs="Times New Roman"/>
          <w:snapToGrid w:val="0"/>
          <w:color w:val="000000" w:themeColor="text1"/>
          <w:szCs w:val="30"/>
          <w:lang w:val="en-US" w:eastAsia="zh-CN"/>
          <w14:textFill>
            <w14:solidFill>
              <w14:schemeClr w14:val="tx1"/>
            </w14:solidFill>
          </w14:textFill>
        </w:rPr>
      </w:pPr>
    </w:p>
    <w:p w14:paraId="24812E7B">
      <w:pPr>
        <w:pStyle w:val="25"/>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336" w:lineRule="auto"/>
        <w:ind w:left="0" w:leftChars="0" w:right="0" w:rightChars="0" w:firstLine="0" w:firstLineChars="0"/>
        <w:jc w:val="center"/>
        <w:textAlignment w:val="auto"/>
        <w:outlineLvl w:val="9"/>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Cs w:val="30"/>
          <w:lang w:val="en-US" w:eastAsia="zh-CN"/>
          <w14:textFill>
            <w14:solidFill>
              <w14:schemeClr w14:val="tx1"/>
            </w14:solidFill>
          </w14:textFill>
        </w:rPr>
        <w:fldChar w:fldCharType="end"/>
      </w:r>
    </w:p>
    <w:p w14:paraId="05DE76FB">
      <w:pPr>
        <w:pStyle w:val="2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36" w:lineRule="auto"/>
        <w:jc w:val="both"/>
        <w:textAlignment w:val="auto"/>
        <w:outlineLvl w:val="9"/>
        <w:rPr>
          <w:rFonts w:hint="default" w:ascii="Times New Roman" w:hAnsi="Times New Roman" w:eastAsia="宋体" w:cs="Times New Roman"/>
          <w:b w:val="0"/>
          <w:bCs w:val="0"/>
          <w:snapToGrid w:val="0"/>
          <w:color w:val="000000" w:themeColor="text1"/>
          <w:szCs w:val="30"/>
          <w:lang w:val="en-US" w:eastAsia="zh-CN"/>
          <w14:textFill>
            <w14:solidFill>
              <w14:schemeClr w14:val="tx1"/>
            </w14:solidFill>
          </w14:textFill>
        </w:rPr>
      </w:pPr>
    </w:p>
    <w:p w14:paraId="3B5F04C1">
      <w:pPr>
        <w:pStyle w:val="25"/>
        <w:jc w:val="center"/>
        <w:outlineLvl w:val="9"/>
        <w:rPr>
          <w:rFonts w:hint="default" w:ascii="Times New Roman" w:hAnsi="Times New Roman" w:eastAsia="黑体" w:cs="Times New Roman"/>
          <w:snapToGrid w:val="0"/>
          <w:color w:val="000000" w:themeColor="text1"/>
          <w:sz w:val="30"/>
          <w:szCs w:val="30"/>
          <w14:textFill>
            <w14:solidFill>
              <w14:schemeClr w14:val="tx1"/>
            </w14:solidFill>
          </w14:textFill>
        </w:rPr>
        <w:sectPr>
          <w:footerReference r:id="rId4" w:type="default"/>
          <w:pgSz w:w="11906" w:h="16838"/>
          <w:pgMar w:top="1417" w:right="1417" w:bottom="1417" w:left="1417" w:header="851" w:footer="1077" w:gutter="0"/>
          <w:pgBorders>
            <w:top w:val="none" w:sz="0" w:space="0"/>
            <w:left w:val="none" w:sz="0" w:space="0"/>
            <w:bottom w:val="none" w:sz="0" w:space="0"/>
            <w:right w:val="none" w:sz="0" w:space="0"/>
          </w:pgBorders>
          <w:pgNumType w:fmt="upperRoman" w:start="1"/>
          <w:cols w:space="720" w:num="1"/>
          <w:docGrid w:linePitch="312" w:charSpace="0"/>
        </w:sectPr>
      </w:pPr>
      <w:bookmarkStart w:id="5" w:name="_Toc7751"/>
    </w:p>
    <w:p w14:paraId="25A45F7E">
      <w:pPr>
        <w:pStyle w:val="2"/>
        <w:tabs>
          <w:tab w:val="left" w:pos="0"/>
        </w:tabs>
        <w:spacing w:before="0" w:after="0" w:line="360" w:lineRule="auto"/>
        <w:ind w:left="0" w:firstLine="0"/>
        <w:jc w:val="center"/>
        <w:rPr>
          <w:rFonts w:hint="default"/>
          <w:b w:val="0"/>
          <w:bCs w:val="0"/>
          <w:color w:val="000000" w:themeColor="text1"/>
          <w14:textFill>
            <w14:solidFill>
              <w14:schemeClr w14:val="tx1"/>
            </w14:solidFill>
          </w14:textFill>
        </w:rPr>
      </w:pPr>
      <w:bookmarkStart w:id="6" w:name="_Toc31798"/>
      <w:bookmarkStart w:id="7" w:name="_Toc13597"/>
      <w:bookmarkStart w:id="8" w:name="_Toc8151"/>
      <w:r>
        <w:rPr>
          <w:rFonts w:hint="default"/>
          <w:b w:val="0"/>
          <w:bCs w:val="0"/>
          <w:color w:val="000000" w:themeColor="text1"/>
          <w14:textFill>
            <w14:solidFill>
              <w14:schemeClr w14:val="tx1"/>
            </w14:solidFill>
          </w14:textFill>
        </w:rPr>
        <w:t>一、建设项目基本情况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98"/>
        <w:gridCol w:w="2621"/>
        <w:gridCol w:w="1909"/>
        <w:gridCol w:w="2942"/>
      </w:tblGrid>
      <w:tr w14:paraId="07E2D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8" w:type="dxa"/>
            <w:noWrap w:val="0"/>
            <w:tcMar>
              <w:top w:w="16" w:type="dxa"/>
              <w:left w:w="16" w:type="dxa"/>
              <w:right w:w="16" w:type="dxa"/>
            </w:tcMar>
            <w:vAlign w:val="center"/>
          </w:tcPr>
          <w:p w14:paraId="5EA91323">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建设项目名称</w:t>
            </w:r>
          </w:p>
        </w:tc>
        <w:tc>
          <w:tcPr>
            <w:tcW w:w="7472" w:type="dxa"/>
            <w:gridSpan w:val="3"/>
            <w:noWrap w:val="0"/>
            <w:vAlign w:val="center"/>
          </w:tcPr>
          <w:p w14:paraId="74B17A75">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汽车零部件生产线技术改造项目</w:t>
            </w:r>
          </w:p>
        </w:tc>
      </w:tr>
      <w:tr w14:paraId="3AB66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8" w:type="dxa"/>
            <w:noWrap w:val="0"/>
            <w:tcMar>
              <w:top w:w="16" w:type="dxa"/>
              <w:left w:w="16" w:type="dxa"/>
              <w:right w:w="16" w:type="dxa"/>
            </w:tcMar>
            <w:vAlign w:val="center"/>
          </w:tcPr>
          <w:p w14:paraId="5C4AC80B">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项目代码</w:t>
            </w:r>
          </w:p>
        </w:tc>
        <w:tc>
          <w:tcPr>
            <w:tcW w:w="7472" w:type="dxa"/>
            <w:gridSpan w:val="3"/>
            <w:noWrap w:val="0"/>
            <w:vAlign w:val="center"/>
          </w:tcPr>
          <w:p w14:paraId="084895C1">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w:t>
            </w:r>
          </w:p>
        </w:tc>
      </w:tr>
      <w:tr w14:paraId="0A3F2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8" w:type="dxa"/>
            <w:noWrap w:val="0"/>
            <w:tcMar>
              <w:top w:w="16" w:type="dxa"/>
              <w:left w:w="16" w:type="dxa"/>
              <w:right w:w="16" w:type="dxa"/>
            </w:tcMar>
            <w:vAlign w:val="center"/>
          </w:tcPr>
          <w:p w14:paraId="576C78AC">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建设单位联系人</w:t>
            </w:r>
          </w:p>
        </w:tc>
        <w:tc>
          <w:tcPr>
            <w:tcW w:w="2621" w:type="dxa"/>
            <w:noWrap w:val="0"/>
            <w:vAlign w:val="center"/>
          </w:tcPr>
          <w:p w14:paraId="7AAEB223">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w:t>
            </w:r>
          </w:p>
        </w:tc>
        <w:tc>
          <w:tcPr>
            <w:tcW w:w="1909" w:type="dxa"/>
            <w:noWrap w:val="0"/>
            <w:vAlign w:val="center"/>
          </w:tcPr>
          <w:p w14:paraId="19A0F7DC">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联系方式</w:t>
            </w:r>
          </w:p>
        </w:tc>
        <w:tc>
          <w:tcPr>
            <w:tcW w:w="2942" w:type="dxa"/>
            <w:noWrap w:val="0"/>
            <w:vAlign w:val="center"/>
          </w:tcPr>
          <w:p w14:paraId="73DA2181">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w:t>
            </w:r>
          </w:p>
        </w:tc>
      </w:tr>
      <w:tr w14:paraId="652B79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8" w:type="dxa"/>
            <w:noWrap w:val="0"/>
            <w:tcMar>
              <w:top w:w="16" w:type="dxa"/>
              <w:left w:w="16" w:type="dxa"/>
              <w:right w:w="16" w:type="dxa"/>
            </w:tcMar>
            <w:vAlign w:val="center"/>
          </w:tcPr>
          <w:p w14:paraId="26778A60">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建设地点</w:t>
            </w:r>
          </w:p>
        </w:tc>
        <w:tc>
          <w:tcPr>
            <w:tcW w:w="7472" w:type="dxa"/>
            <w:gridSpan w:val="3"/>
            <w:noWrap w:val="0"/>
            <w:vAlign w:val="center"/>
          </w:tcPr>
          <w:p w14:paraId="714E8449">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福建省福州市闽侯县祥谦镇洋下村洋辅路5号</w:t>
            </w:r>
          </w:p>
        </w:tc>
      </w:tr>
      <w:tr w14:paraId="664806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8" w:type="dxa"/>
            <w:noWrap w:val="0"/>
            <w:tcMar>
              <w:top w:w="16" w:type="dxa"/>
              <w:left w:w="16" w:type="dxa"/>
              <w:right w:w="16" w:type="dxa"/>
            </w:tcMar>
            <w:vAlign w:val="center"/>
          </w:tcPr>
          <w:p w14:paraId="17325143">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地理坐标</w:t>
            </w:r>
          </w:p>
        </w:tc>
        <w:tc>
          <w:tcPr>
            <w:tcW w:w="7472" w:type="dxa"/>
            <w:gridSpan w:val="3"/>
            <w:noWrap w:val="0"/>
            <w:vAlign w:val="center"/>
          </w:tcPr>
          <w:p w14:paraId="7C267B38">
            <w:pPr>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经度：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119°20′35.038"</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纬度：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25°54′22.964"</w:t>
            </w:r>
          </w:p>
        </w:tc>
      </w:tr>
      <w:tr w14:paraId="39329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98" w:type="dxa"/>
            <w:noWrap w:val="0"/>
            <w:tcMar>
              <w:top w:w="16" w:type="dxa"/>
              <w:left w:w="16" w:type="dxa"/>
              <w:right w:w="16" w:type="dxa"/>
            </w:tcMar>
            <w:vAlign w:val="center"/>
          </w:tcPr>
          <w:p w14:paraId="73F2CAE0">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国民经济</w:t>
            </w:r>
          </w:p>
          <w:p w14:paraId="4E11DCB5">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行业类别</w:t>
            </w:r>
          </w:p>
        </w:tc>
        <w:tc>
          <w:tcPr>
            <w:tcW w:w="2621" w:type="dxa"/>
            <w:noWrap w:val="0"/>
            <w:vAlign w:val="center"/>
          </w:tcPr>
          <w:p w14:paraId="67B3367C">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C3360金属表面处理及热处理加工</w:t>
            </w:r>
          </w:p>
          <w:p w14:paraId="75380957">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C3670 汽车零部件及配件制造</w:t>
            </w:r>
          </w:p>
        </w:tc>
        <w:tc>
          <w:tcPr>
            <w:tcW w:w="1909" w:type="dxa"/>
            <w:noWrap w:val="0"/>
            <w:vAlign w:val="center"/>
          </w:tcPr>
          <w:p w14:paraId="3E2389A3">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w:t>
            </w:r>
          </w:p>
          <w:p w14:paraId="5CD94C33">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行业类别</w:t>
            </w:r>
          </w:p>
        </w:tc>
        <w:tc>
          <w:tcPr>
            <w:tcW w:w="2942" w:type="dxa"/>
            <w:noWrap w:val="0"/>
            <w:vAlign w:val="center"/>
          </w:tcPr>
          <w:p w14:paraId="0B523F91">
            <w:pPr>
              <w:adjustRightInd w:val="0"/>
              <w:snapToGrid w:val="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三十、金属制品业33—67金属表面处理及热处理加工—其他（年用非溶剂型低VOCs含量涂料10吨以下的除外）</w:t>
            </w:r>
          </w:p>
          <w:p w14:paraId="7B2ED6F8">
            <w:pPr>
              <w:adjustRightInd w:val="0"/>
              <w:snapToGrid w:val="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三十三、汽车制造业 36—71 汽车零部件及配件制造 367</w:t>
            </w:r>
          </w:p>
        </w:tc>
      </w:tr>
      <w:tr w14:paraId="04412D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98" w:type="dxa"/>
            <w:noWrap w:val="0"/>
            <w:tcMar>
              <w:top w:w="16" w:type="dxa"/>
              <w:left w:w="16" w:type="dxa"/>
              <w:right w:w="16" w:type="dxa"/>
            </w:tcMar>
            <w:vAlign w:val="center"/>
          </w:tcPr>
          <w:p w14:paraId="30E5752A">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建设性质</w:t>
            </w:r>
          </w:p>
        </w:tc>
        <w:tc>
          <w:tcPr>
            <w:tcW w:w="2621" w:type="dxa"/>
            <w:noWrap w:val="0"/>
            <w:vAlign w:val="center"/>
          </w:tcPr>
          <w:p w14:paraId="4CD4E2DC">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新建（迁建）</w:t>
            </w:r>
          </w:p>
          <w:p w14:paraId="0C585CA2">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14:textFill>
                  <w14:solidFill>
                    <w14:schemeClr w14:val="tx1"/>
                  </w14:solidFill>
                </w14:textFill>
              </w:rPr>
              <w:t>改建</w:t>
            </w:r>
          </w:p>
          <w:p w14:paraId="2DC7CB7C">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14:textFill>
                  <w14:solidFill>
                    <w14:schemeClr w14:val="tx1"/>
                  </w14:solidFill>
                </w14:textFill>
              </w:rPr>
              <w:t>扩建</w:t>
            </w:r>
          </w:p>
          <w:p w14:paraId="38FAE375">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技术改造</w:t>
            </w:r>
          </w:p>
        </w:tc>
        <w:tc>
          <w:tcPr>
            <w:tcW w:w="1909" w:type="dxa"/>
            <w:noWrap w:val="0"/>
            <w:vAlign w:val="center"/>
          </w:tcPr>
          <w:p w14:paraId="5A73F673">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w:t>
            </w:r>
          </w:p>
          <w:p w14:paraId="19493608">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申报情形</w:t>
            </w:r>
          </w:p>
        </w:tc>
        <w:tc>
          <w:tcPr>
            <w:tcW w:w="2942" w:type="dxa"/>
            <w:noWrap w:val="0"/>
            <w:vAlign w:val="center"/>
          </w:tcPr>
          <w:p w14:paraId="69C1749E">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14:textFill>
                  <w14:solidFill>
                    <w14:schemeClr w14:val="tx1"/>
                  </w14:solidFill>
                </w14:textFill>
              </w:rPr>
              <w:t>首次申报项目</w:t>
            </w:r>
          </w:p>
          <w:p w14:paraId="3C367478">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不予批准后再次申报项目</w:t>
            </w:r>
          </w:p>
          <w:p w14:paraId="65D3FCA5">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超五年重新审核项目</w:t>
            </w:r>
          </w:p>
          <w:p w14:paraId="23051CC9">
            <w:pPr>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重大变动重新报批项目</w:t>
            </w:r>
          </w:p>
        </w:tc>
      </w:tr>
      <w:tr w14:paraId="32AC8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98" w:type="dxa"/>
            <w:noWrap w:val="0"/>
            <w:tcMar>
              <w:top w:w="16" w:type="dxa"/>
              <w:left w:w="16" w:type="dxa"/>
              <w:right w:w="16" w:type="dxa"/>
            </w:tcMar>
            <w:vAlign w:val="center"/>
          </w:tcPr>
          <w:p w14:paraId="32687B75">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项目审批（核准/备案）部门（选填）</w:t>
            </w:r>
          </w:p>
        </w:tc>
        <w:tc>
          <w:tcPr>
            <w:tcW w:w="2621" w:type="dxa"/>
            <w:noWrap w:val="0"/>
            <w:vAlign w:val="center"/>
          </w:tcPr>
          <w:p w14:paraId="036988BE">
            <w:pPr>
              <w:adjustRightInd w:val="0"/>
              <w:snapToGrid w:val="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闽侯县</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工业和信息化</w:t>
            </w:r>
            <w:r>
              <w:rPr>
                <w:rFonts w:hint="default" w:ascii="Times New Roman" w:hAnsi="Times New Roman" w:eastAsia="宋体" w:cs="Times New Roman"/>
                <w:color w:val="000000" w:themeColor="text1"/>
                <w:sz w:val="24"/>
                <w:szCs w:val="24"/>
                <w:lang w:eastAsia="zh-CN"/>
                <w14:textFill>
                  <w14:solidFill>
                    <w14:schemeClr w14:val="tx1"/>
                  </w14:solidFill>
                </w14:textFill>
              </w:rPr>
              <w:t>局</w:t>
            </w:r>
          </w:p>
        </w:tc>
        <w:tc>
          <w:tcPr>
            <w:tcW w:w="1909" w:type="dxa"/>
            <w:noWrap w:val="0"/>
            <w:vAlign w:val="center"/>
          </w:tcPr>
          <w:p w14:paraId="6145B347">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项目审批（核准/</w:t>
            </w:r>
          </w:p>
          <w:p w14:paraId="4D4DEFE1">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备案）文号（选填）</w:t>
            </w:r>
          </w:p>
        </w:tc>
        <w:tc>
          <w:tcPr>
            <w:tcW w:w="2942" w:type="dxa"/>
            <w:noWrap w:val="0"/>
            <w:vAlign w:val="center"/>
          </w:tcPr>
          <w:p w14:paraId="793501D1">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闽</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工信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备〔202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〕A0800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号</w:t>
            </w:r>
          </w:p>
        </w:tc>
      </w:tr>
      <w:tr w14:paraId="3FCC99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8" w:type="dxa"/>
            <w:noWrap w:val="0"/>
            <w:tcMar>
              <w:top w:w="16" w:type="dxa"/>
              <w:left w:w="16" w:type="dxa"/>
              <w:right w:w="16" w:type="dxa"/>
            </w:tcMar>
            <w:vAlign w:val="center"/>
          </w:tcPr>
          <w:p w14:paraId="68EF24AD">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总投资（万元）</w:t>
            </w:r>
          </w:p>
        </w:tc>
        <w:tc>
          <w:tcPr>
            <w:tcW w:w="2621" w:type="dxa"/>
            <w:noWrap w:val="0"/>
            <w:vAlign w:val="center"/>
          </w:tcPr>
          <w:p w14:paraId="3C86CE22">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7500</w:t>
            </w:r>
          </w:p>
        </w:tc>
        <w:tc>
          <w:tcPr>
            <w:tcW w:w="1909" w:type="dxa"/>
            <w:noWrap w:val="0"/>
            <w:tcMar>
              <w:top w:w="16" w:type="dxa"/>
              <w:left w:w="16" w:type="dxa"/>
              <w:right w:w="16" w:type="dxa"/>
            </w:tcMar>
            <w:vAlign w:val="center"/>
          </w:tcPr>
          <w:p w14:paraId="0BB34E0A">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环保投资（万元）</w:t>
            </w:r>
          </w:p>
        </w:tc>
        <w:tc>
          <w:tcPr>
            <w:tcW w:w="2942" w:type="dxa"/>
            <w:noWrap w:val="0"/>
            <w:vAlign w:val="center"/>
          </w:tcPr>
          <w:p w14:paraId="02C0A5AA">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325</w:t>
            </w:r>
          </w:p>
        </w:tc>
      </w:tr>
      <w:tr w14:paraId="488E5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98" w:type="dxa"/>
            <w:noWrap w:val="0"/>
            <w:tcMar>
              <w:top w:w="16" w:type="dxa"/>
              <w:left w:w="16" w:type="dxa"/>
              <w:right w:w="16" w:type="dxa"/>
            </w:tcMar>
            <w:vAlign w:val="center"/>
          </w:tcPr>
          <w:p w14:paraId="6E3614CA">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环保投资占比（%）</w:t>
            </w:r>
          </w:p>
        </w:tc>
        <w:tc>
          <w:tcPr>
            <w:tcW w:w="2621" w:type="dxa"/>
            <w:noWrap w:val="0"/>
            <w:vAlign w:val="center"/>
          </w:tcPr>
          <w:p w14:paraId="6E9912CC">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eastAsia="zh-CN"/>
                <w14:textFill>
                  <w14:solidFill>
                    <w14:schemeClr w14:val="tx1"/>
                  </w14:solidFill>
                </w14:textFill>
              </w:rPr>
              <w:fldChar w:fldCharType="begin"/>
            </w:r>
            <w:r>
              <w:rPr>
                <w:rFonts w:hint="default" w:cs="Times New Roman"/>
                <w:color w:val="000000" w:themeColor="text1"/>
                <w:sz w:val="24"/>
                <w:szCs w:val="24"/>
                <w:lang w:eastAsia="zh-CN"/>
                <w14:textFill>
                  <w14:solidFill>
                    <w14:schemeClr w14:val="tx1"/>
                  </w14:solidFill>
                </w14:textFill>
              </w:rPr>
              <w:instrText xml:space="preserve"> =325/7500*100 \* MERGEFORMAT </w:instrText>
            </w:r>
            <w:r>
              <w:rPr>
                <w:rFonts w:hint="default" w:cs="Times New Roman"/>
                <w:color w:val="000000" w:themeColor="text1"/>
                <w:sz w:val="24"/>
                <w:szCs w:val="24"/>
                <w:lang w:eastAsia="zh-CN"/>
                <w14:textFill>
                  <w14:solidFill>
                    <w14:schemeClr w14:val="tx1"/>
                  </w14:solidFill>
                </w14:textFill>
              </w:rPr>
              <w:fldChar w:fldCharType="separate"/>
            </w:r>
            <w:r>
              <w:rPr>
                <w:rFonts w:hint="default" w:cs="Times New Roman"/>
                <w:color w:val="000000" w:themeColor="text1"/>
                <w:sz w:val="24"/>
                <w:szCs w:val="24"/>
                <w:lang w:eastAsia="zh-CN"/>
                <w14:textFill>
                  <w14:solidFill>
                    <w14:schemeClr w14:val="tx1"/>
                  </w14:solidFill>
                </w14:textFill>
              </w:rPr>
              <w:t>4.33</w:t>
            </w:r>
            <w:r>
              <w:rPr>
                <w:rFonts w:hint="default" w:cs="Times New Roman"/>
                <w:color w:val="000000" w:themeColor="text1"/>
                <w:sz w:val="24"/>
                <w:szCs w:val="24"/>
                <w:lang w:eastAsia="zh-CN"/>
                <w14:textFill>
                  <w14:solidFill>
                    <w14:schemeClr w14:val="tx1"/>
                  </w14:solidFill>
                </w14:textFill>
              </w:rPr>
              <w:fldChar w:fldCharType="end"/>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c>
          <w:tcPr>
            <w:tcW w:w="1909" w:type="dxa"/>
            <w:noWrap w:val="0"/>
            <w:tcMar>
              <w:top w:w="16" w:type="dxa"/>
              <w:left w:w="16" w:type="dxa"/>
              <w:right w:w="16" w:type="dxa"/>
            </w:tcMar>
            <w:vAlign w:val="center"/>
          </w:tcPr>
          <w:p w14:paraId="3B936C1B">
            <w:pPr>
              <w:adjustRightInd w:val="0"/>
              <w:snapToGrid w:val="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施工工期</w:t>
            </w:r>
          </w:p>
        </w:tc>
        <w:tc>
          <w:tcPr>
            <w:tcW w:w="2942" w:type="dxa"/>
            <w:noWrap w:val="0"/>
            <w:vAlign w:val="center"/>
          </w:tcPr>
          <w:p w14:paraId="29E72298">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个月</w:t>
            </w:r>
          </w:p>
        </w:tc>
      </w:tr>
      <w:tr w14:paraId="749FB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98" w:type="dxa"/>
            <w:noWrap w:val="0"/>
            <w:tcMar>
              <w:top w:w="16" w:type="dxa"/>
              <w:left w:w="16" w:type="dxa"/>
              <w:right w:w="16" w:type="dxa"/>
            </w:tcMar>
            <w:vAlign w:val="center"/>
          </w:tcPr>
          <w:p w14:paraId="3DD20A15">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是否开工建设</w:t>
            </w:r>
          </w:p>
        </w:tc>
        <w:tc>
          <w:tcPr>
            <w:tcW w:w="2621" w:type="dxa"/>
            <w:noWrap w:val="0"/>
            <w:vAlign w:val="center"/>
          </w:tcPr>
          <w:p w14:paraId="0641546E">
            <w:pPr>
              <w:adjustRightInd w:val="0"/>
              <w:snapToGrid w:val="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14:textFill>
                  <w14:solidFill>
                    <w14:schemeClr w14:val="tx1"/>
                  </w14:solidFill>
                </w14:textFill>
              </w:rPr>
              <w:t>否</w:t>
            </w:r>
          </w:p>
          <w:p w14:paraId="1CDE3F8D">
            <w:pPr>
              <w:adjustRightInd w:val="0"/>
              <w:snapToGrid w:val="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是：</w:t>
            </w:r>
            <w:r>
              <w:rPr>
                <w:rFonts w:hint="default" w:ascii="Times New Roman" w:hAnsi="Times New Roman" w:eastAsia="宋体" w:cs="Times New Roman"/>
                <w:color w:val="000000" w:themeColor="text1"/>
                <w:sz w:val="24"/>
                <w:szCs w:val="24"/>
                <w:u w:val="single"/>
                <w14:textFill>
                  <w14:solidFill>
                    <w14:schemeClr w14:val="tx1"/>
                  </w14:solidFill>
                </w14:textFill>
              </w:rPr>
              <w:t xml:space="preserve">             </w:t>
            </w:r>
          </w:p>
        </w:tc>
        <w:tc>
          <w:tcPr>
            <w:tcW w:w="1909" w:type="dxa"/>
            <w:noWrap w:val="0"/>
            <w:tcMar>
              <w:top w:w="16" w:type="dxa"/>
              <w:left w:w="16" w:type="dxa"/>
              <w:right w:w="16" w:type="dxa"/>
            </w:tcMar>
            <w:vAlign w:val="center"/>
          </w:tcPr>
          <w:p w14:paraId="3EFF7968">
            <w:pPr>
              <w:adjustRightInd w:val="0"/>
              <w:snapToGrid w:val="0"/>
              <w:jc w:val="center"/>
              <w:rPr>
                <w:rFonts w:hint="default" w:ascii="Times New Roman" w:hAnsi="Times New Roman" w:eastAsia="宋体" w:cs="Times New Roman"/>
                <w:color w:val="000000" w:themeColor="text1"/>
                <w:spacing w:val="-6"/>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用地（用海）</w:t>
            </w:r>
          </w:p>
          <w:p w14:paraId="1B20B928">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面积（m</w:t>
            </w:r>
            <w:r>
              <w:rPr>
                <w:rFonts w:hint="default" w:ascii="Times New Roman" w:hAnsi="Times New Roman" w:eastAsia="宋体" w:cs="Times New Roman"/>
                <w:color w:val="000000" w:themeColor="text1"/>
                <w:spacing w:val="-6"/>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pacing w:val="-6"/>
                <w:sz w:val="24"/>
                <w:szCs w:val="24"/>
                <w14:textFill>
                  <w14:solidFill>
                    <w14:schemeClr w14:val="tx1"/>
                  </w14:solidFill>
                </w14:textFill>
              </w:rPr>
              <w:t>）</w:t>
            </w:r>
          </w:p>
        </w:tc>
        <w:tc>
          <w:tcPr>
            <w:tcW w:w="2942" w:type="dxa"/>
            <w:noWrap w:val="0"/>
            <w:vAlign w:val="center"/>
          </w:tcPr>
          <w:p w14:paraId="0E8C3C4D">
            <w:pPr>
              <w:adjustRightInd w:val="0"/>
              <w:snapToGrid w:val="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新增占地面积3895.12</w:t>
            </w:r>
          </w:p>
        </w:tc>
      </w:tr>
      <w:tr w14:paraId="7CAE2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98" w:type="dxa"/>
            <w:noWrap w:val="0"/>
            <w:vAlign w:val="center"/>
          </w:tcPr>
          <w:p w14:paraId="4E7F48AD">
            <w:pPr>
              <w:autoSpaceDE w:val="0"/>
              <w:autoSpaceDN w:val="0"/>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专项评价设置情况</w:t>
            </w:r>
          </w:p>
        </w:tc>
        <w:tc>
          <w:tcPr>
            <w:tcW w:w="7472" w:type="dxa"/>
            <w:gridSpan w:val="3"/>
            <w:noWrap w:val="0"/>
            <w:vAlign w:val="center"/>
          </w:tcPr>
          <w:p w14:paraId="289E7D5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根据《建设项目环境影响报告表编制技术指南</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污染影响类</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试行</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zh-CN" w:eastAsia="zh-CN"/>
                <w14:textFill>
                  <w14:solidFill>
                    <w14:schemeClr w14:val="tx1"/>
                  </w14:solidFill>
                </w14:textFill>
              </w:rPr>
              <w:t>环办环评〔2020〕33号</w:t>
            </w:r>
            <w:r>
              <w:rPr>
                <w:rFonts w:hint="eastAsia" w:ascii="Times New Roman" w:hAnsi="Times New Roman" w:eastAsia="宋体" w:cs="Times New Roman"/>
                <w:color w:val="000000" w:themeColor="text1"/>
                <w:kern w:val="0"/>
                <w:sz w:val="24"/>
                <w:szCs w:val="24"/>
                <w:lang w:val="zh-CN"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，土壤、声不开展专项评价，地下水原则不开展专项评价。项目专项</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评价</w:t>
            </w:r>
            <w:r>
              <w:rPr>
                <w:rFonts w:hint="eastAsia" w:ascii="Times New Roman" w:hAnsi="Times New Roman" w:eastAsia="宋体" w:cs="Times New Roman"/>
                <w:color w:val="000000" w:themeColor="text1"/>
                <w:kern w:val="0"/>
                <w:sz w:val="24"/>
                <w:szCs w:val="24"/>
                <w14:textFill>
                  <w14:solidFill>
                    <w14:schemeClr w14:val="tx1"/>
                  </w14:solidFill>
                </w14:textFill>
              </w:rPr>
              <w:t>设置</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原则</w:t>
            </w:r>
            <w:r>
              <w:rPr>
                <w:rFonts w:hint="eastAsia" w:ascii="Times New Roman" w:hAnsi="Times New Roman" w:eastAsia="宋体" w:cs="Times New Roman"/>
                <w:color w:val="000000" w:themeColor="text1"/>
                <w:kern w:val="0"/>
                <w:sz w:val="24"/>
                <w:szCs w:val="24"/>
                <w14:textFill>
                  <w14:solidFill>
                    <w14:schemeClr w14:val="tx1"/>
                  </w14:solidFill>
                </w14:textFill>
              </w:rPr>
              <w:t>情况具体见表1</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4"/>
                <w:szCs w:val="24"/>
                <w14:textFill>
                  <w14:solidFill>
                    <w14:schemeClr w14:val="tx1"/>
                  </w14:solidFill>
                </w14:textFill>
              </w:rPr>
              <w:t>。</w:t>
            </w:r>
          </w:p>
          <w:p w14:paraId="681E65AB">
            <w:pPr>
              <w:spacing w:before="120" w:beforeLines="5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表1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14:textFill>
                  <w14:solidFill>
                    <w14:schemeClr w14:val="tx1"/>
                  </w14:solidFill>
                </w14:textFill>
              </w:rPr>
              <w:t>专项评价设置</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原则</w:t>
            </w:r>
            <w:r>
              <w:rPr>
                <w:rFonts w:hint="eastAsia" w:ascii="Times New Roman" w:hAnsi="Times New Roman" w:eastAsia="宋体" w:cs="Times New Roman"/>
                <w:b/>
                <w:bCs/>
                <w:color w:val="000000" w:themeColor="text1"/>
                <w:sz w:val="24"/>
                <w:szCs w:val="24"/>
                <w14:textFill>
                  <w14:solidFill>
                    <w14:schemeClr w14:val="tx1"/>
                  </w14:solidFill>
                </w14:textFill>
              </w:rPr>
              <w:t>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838"/>
              <w:gridCol w:w="3388"/>
              <w:gridCol w:w="2256"/>
              <w:gridCol w:w="774"/>
            </w:tblGrid>
            <w:tr w14:paraId="60BBF2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71C22F1E">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专项评价类别</w:t>
                  </w:r>
                </w:p>
              </w:tc>
              <w:tc>
                <w:tcPr>
                  <w:tcW w:w="2335" w:type="pct"/>
                  <w:noWrap w:val="0"/>
                  <w:vAlign w:val="center"/>
                </w:tcPr>
                <w:p w14:paraId="28D701D7">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设置原则</w:t>
                  </w:r>
                </w:p>
              </w:tc>
              <w:tc>
                <w:tcPr>
                  <w:tcW w:w="1555" w:type="pct"/>
                  <w:noWrap w:val="0"/>
                  <w:vAlign w:val="center"/>
                </w:tcPr>
                <w:p w14:paraId="1DD45CBB">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本项目</w:t>
                  </w: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情况</w:t>
                  </w:r>
                </w:p>
              </w:tc>
              <w:tc>
                <w:tcPr>
                  <w:tcW w:w="531" w:type="pct"/>
                  <w:noWrap w:val="0"/>
                  <w:vAlign w:val="center"/>
                </w:tcPr>
                <w:p w14:paraId="23BA68E2">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是否设置</w:t>
                  </w:r>
                </w:p>
              </w:tc>
            </w:tr>
            <w:tr w14:paraId="65FAF2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2042A9CF">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大气</w:t>
                  </w:r>
                </w:p>
              </w:tc>
              <w:tc>
                <w:tcPr>
                  <w:tcW w:w="2335" w:type="pct"/>
                  <w:noWrap w:val="0"/>
                  <w:vAlign w:val="center"/>
                </w:tcPr>
                <w:p w14:paraId="5687DDFE">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排放废气含有毒有害污染物、二噁英、苯并[a]芘、氰化物、氯气且厂界外500米范围内有环境空气保护目标的建设项目。</w:t>
                  </w:r>
                </w:p>
              </w:tc>
              <w:tc>
                <w:tcPr>
                  <w:tcW w:w="1555" w:type="pct"/>
                  <w:noWrap w:val="0"/>
                  <w:vAlign w:val="center"/>
                </w:tcPr>
                <w:p w14:paraId="0D151D64">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本项目排放的废气污染物</w:t>
                  </w:r>
                  <w:r>
                    <w:rPr>
                      <w:rFonts w:hint="eastAsia" w:ascii="Times New Roman" w:hAnsi="Times New Roman" w:eastAsia="宋体"/>
                      <w:color w:val="000000" w:themeColor="text1"/>
                      <w:kern w:val="0"/>
                      <w:sz w:val="21"/>
                      <w:szCs w:val="21"/>
                      <w14:textFill>
                        <w14:solidFill>
                          <w14:schemeClr w14:val="tx1"/>
                        </w14:solidFill>
                      </w14:textFill>
                    </w:rPr>
                    <w:t>不涉及左列大气污染物</w:t>
                  </w:r>
                </w:p>
              </w:tc>
              <w:tc>
                <w:tcPr>
                  <w:tcW w:w="531" w:type="pct"/>
                  <w:noWrap w:val="0"/>
                  <w:vAlign w:val="center"/>
                </w:tcPr>
                <w:p w14:paraId="237E05CA">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否</w:t>
                  </w:r>
                </w:p>
              </w:tc>
            </w:tr>
            <w:tr w14:paraId="0C005F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528E3E57">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地表水</w:t>
                  </w:r>
                </w:p>
              </w:tc>
              <w:tc>
                <w:tcPr>
                  <w:tcW w:w="2335" w:type="pct"/>
                  <w:noWrap w:val="0"/>
                  <w:vAlign w:val="center"/>
                </w:tcPr>
                <w:p w14:paraId="414007C5">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新增工业废水直排建设项目</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槽罐车外送污水处理厂的除外</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；新增废水直排的污水集中处理厂。</w:t>
                  </w:r>
                </w:p>
              </w:tc>
              <w:tc>
                <w:tcPr>
                  <w:tcW w:w="1555" w:type="pct"/>
                  <w:noWrap w:val="0"/>
                  <w:vAlign w:val="center"/>
                </w:tcPr>
                <w:p w14:paraId="63D06E58">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本项目不涉及</w:t>
                  </w:r>
                </w:p>
              </w:tc>
              <w:tc>
                <w:tcPr>
                  <w:tcW w:w="531" w:type="pct"/>
                  <w:noWrap w:val="0"/>
                  <w:vAlign w:val="center"/>
                </w:tcPr>
                <w:p w14:paraId="517C49CB">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否</w:t>
                  </w:r>
                </w:p>
              </w:tc>
            </w:tr>
            <w:tr w14:paraId="3F8CCD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7E74913E">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环境</w:t>
                  </w:r>
                </w:p>
                <w:p w14:paraId="6B5B04F3">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风险</w:t>
                  </w:r>
                </w:p>
              </w:tc>
              <w:tc>
                <w:tcPr>
                  <w:tcW w:w="2335" w:type="pct"/>
                  <w:noWrap w:val="0"/>
                  <w:vAlign w:val="center"/>
                </w:tcPr>
                <w:p w14:paraId="153EBA63">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有毒有害和易燃易爆危险物质存储量超过临界量的建设项目。</w:t>
                  </w:r>
                </w:p>
              </w:tc>
              <w:tc>
                <w:tcPr>
                  <w:tcW w:w="1555" w:type="pct"/>
                  <w:noWrap w:val="0"/>
                  <w:vAlign w:val="center"/>
                </w:tcPr>
                <w:p w14:paraId="68D6D8E7">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本项目危险物质存储量未超过临界量</w:t>
                  </w:r>
                  <w:r>
                    <w:rPr>
                      <w:rFonts w:hint="eastAsia" w:cs="Times New Roman"/>
                      <w:color w:val="000000" w:themeColor="text1"/>
                      <w:kern w:val="0"/>
                      <w:sz w:val="21"/>
                      <w:szCs w:val="21"/>
                      <w:lang w:eastAsia="zh-CN"/>
                      <w14:textFill>
                        <w14:solidFill>
                          <w14:schemeClr w14:val="tx1"/>
                        </w14:solidFill>
                      </w14:textFill>
                    </w:rPr>
                    <w:t>，</w:t>
                  </w:r>
                  <w:r>
                    <w:rPr>
                      <w:bCs/>
                      <w:color w:val="000000" w:themeColor="text1"/>
                      <w:sz w:val="24"/>
                      <w14:textFill>
                        <w14:solidFill>
                          <w14:schemeClr w14:val="tx1"/>
                        </w14:solidFill>
                      </w14:textFill>
                    </w:rPr>
                    <w:t>Q=</w:t>
                  </w:r>
                  <w:r>
                    <w:rPr>
                      <w:rFonts w:hint="eastAsia"/>
                      <w:color w:val="000000" w:themeColor="text1"/>
                      <w:kern w:val="0"/>
                      <w:sz w:val="24"/>
                      <w:lang w:bidi="ar"/>
                      <w14:textFill>
                        <w14:solidFill>
                          <w14:schemeClr w14:val="tx1"/>
                        </w14:solidFill>
                      </w14:textFill>
                    </w:rPr>
                    <w:t>0.</w:t>
                  </w:r>
                  <w:r>
                    <w:rPr>
                      <w:rFonts w:hint="eastAsia"/>
                      <w:color w:val="000000" w:themeColor="text1"/>
                      <w:kern w:val="0"/>
                      <w:sz w:val="24"/>
                      <w:lang w:val="en-US" w:eastAsia="zh-CN" w:bidi="ar"/>
                      <w14:textFill>
                        <w14:solidFill>
                          <w14:schemeClr w14:val="tx1"/>
                        </w14:solidFill>
                      </w14:textFill>
                    </w:rPr>
                    <w:t>48051</w:t>
                  </w:r>
                </w:p>
              </w:tc>
              <w:tc>
                <w:tcPr>
                  <w:tcW w:w="531" w:type="pct"/>
                  <w:noWrap w:val="0"/>
                  <w:vAlign w:val="center"/>
                </w:tcPr>
                <w:p w14:paraId="56C8FD41">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否</w:t>
                  </w:r>
                </w:p>
              </w:tc>
            </w:tr>
            <w:tr w14:paraId="692260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1FBF57E6">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生态</w:t>
                  </w:r>
                </w:p>
              </w:tc>
              <w:tc>
                <w:tcPr>
                  <w:tcW w:w="2335" w:type="pct"/>
                  <w:noWrap w:val="0"/>
                  <w:vAlign w:val="center"/>
                </w:tcPr>
                <w:p w14:paraId="1E2BCE26">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取水口下游500米范围内有重要水生生物的自然产卵场、索饵场、越冬场和洄游通道的新增河道取水的污染类建设项目。</w:t>
                  </w:r>
                </w:p>
              </w:tc>
              <w:tc>
                <w:tcPr>
                  <w:tcW w:w="1555" w:type="pct"/>
                  <w:noWrap w:val="0"/>
                  <w:vAlign w:val="center"/>
                </w:tcPr>
                <w:p w14:paraId="1E12941A">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本项目不涉及取水口</w:t>
                  </w:r>
                </w:p>
              </w:tc>
              <w:tc>
                <w:tcPr>
                  <w:tcW w:w="531" w:type="pct"/>
                  <w:noWrap w:val="0"/>
                  <w:vAlign w:val="center"/>
                </w:tcPr>
                <w:p w14:paraId="271C3101">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否</w:t>
                  </w:r>
                </w:p>
              </w:tc>
            </w:tr>
            <w:tr w14:paraId="0B4E70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7" w:type="pct"/>
                  <w:noWrap w:val="0"/>
                  <w:vAlign w:val="center"/>
                </w:tcPr>
                <w:p w14:paraId="57C37589">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海洋</w:t>
                  </w:r>
                </w:p>
              </w:tc>
              <w:tc>
                <w:tcPr>
                  <w:tcW w:w="2335" w:type="pct"/>
                  <w:noWrap w:val="0"/>
                  <w:vAlign w:val="center"/>
                </w:tcPr>
                <w:p w14:paraId="3FA0A0D3">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直接向海排放污染物的海洋工程建设项目。</w:t>
                  </w:r>
                </w:p>
              </w:tc>
              <w:tc>
                <w:tcPr>
                  <w:tcW w:w="1555" w:type="pct"/>
                  <w:noWrap w:val="0"/>
                  <w:vAlign w:val="center"/>
                </w:tcPr>
                <w:p w14:paraId="4024BF23">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本项目不属于海洋工程建设项目</w:t>
                  </w:r>
                </w:p>
              </w:tc>
              <w:tc>
                <w:tcPr>
                  <w:tcW w:w="531" w:type="pct"/>
                  <w:noWrap w:val="0"/>
                  <w:vAlign w:val="center"/>
                </w:tcPr>
                <w:p w14:paraId="6D6C69EE">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否</w:t>
                  </w:r>
                </w:p>
              </w:tc>
            </w:tr>
            <w:tr w14:paraId="023038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000" w:type="pct"/>
                  <w:gridSpan w:val="4"/>
                  <w:noWrap w:val="0"/>
                  <w:vAlign w:val="center"/>
                </w:tcPr>
                <w:p w14:paraId="5306F2F1">
                  <w:pPr>
                    <w:keepNext w:val="0"/>
                    <w:keepLines w:val="0"/>
                    <w:pageBreakBefore w:val="0"/>
                    <w:widowControl w:val="0"/>
                    <w:kinsoku/>
                    <w:wordWrap/>
                    <w:overflowPunct/>
                    <w:topLinePunct w:val="0"/>
                    <w:autoSpaceDE w:val="0"/>
                    <w:autoSpaceDN w:val="0"/>
                    <w:bidi w:val="0"/>
                    <w:adjustRightInd w:val="0"/>
                    <w:snapToGrid w:val="0"/>
                    <w:spacing w:line="340" w:lineRule="exact"/>
                    <w:jc w:val="left"/>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注：</w:t>
                  </w:r>
                  <w:r>
                    <w:rPr>
                      <w:rFonts w:ascii="Times New Roman" w:hAnsi="Times New Roman" w:eastAsia="宋体"/>
                      <w:color w:val="000000" w:themeColor="text1"/>
                      <w:sz w:val="21"/>
                      <w:szCs w:val="21"/>
                      <w14:textFill>
                        <w14:solidFill>
                          <w14:schemeClr w14:val="tx1"/>
                        </w14:solidFill>
                      </w14:textFill>
                    </w:rPr>
                    <w:t>①废气中有毒有害污染物指纳入《有毒有害大气污染物名录》的污染物</w:t>
                  </w:r>
                  <w:r>
                    <w:rPr>
                      <w:rFonts w:hint="eastAsia" w:ascii="Times New Roman" w:hAnsi="Times New Roman" w:eastAsia="宋体"/>
                      <w:color w:val="000000" w:themeColor="text1"/>
                      <w:sz w:val="21"/>
                      <w:szCs w:val="21"/>
                      <w:lang w:eastAsia="zh-CN"/>
                      <w14:textFill>
                        <w14:solidFill>
                          <w14:schemeClr w14:val="tx1"/>
                        </w14:solidFill>
                      </w14:textFill>
                    </w:rPr>
                    <w:t>（</w:t>
                  </w:r>
                  <w:r>
                    <w:rPr>
                      <w:rFonts w:ascii="Times New Roman" w:hAnsi="Times New Roman" w:eastAsia="宋体"/>
                      <w:color w:val="000000" w:themeColor="text1"/>
                      <w:sz w:val="21"/>
                      <w:szCs w:val="21"/>
                      <w14:textFill>
                        <w14:solidFill>
                          <w14:schemeClr w14:val="tx1"/>
                        </w14:solidFill>
                      </w14:textFill>
                    </w:rPr>
                    <w:t>不包括无排放标准的污染物</w:t>
                  </w:r>
                  <w:r>
                    <w:rPr>
                      <w:rFonts w:hint="eastAsia" w:ascii="Times New Roman" w:hAnsi="Times New Roman" w:eastAsia="宋体"/>
                      <w:color w:val="000000" w:themeColor="text1"/>
                      <w:sz w:val="21"/>
                      <w:szCs w:val="21"/>
                      <w:lang w:eastAsia="zh-CN"/>
                      <w14:textFill>
                        <w14:solidFill>
                          <w14:schemeClr w14:val="tx1"/>
                        </w14:solidFill>
                      </w14:textFill>
                    </w:rPr>
                    <w:t>）</w:t>
                  </w:r>
                  <w:r>
                    <w:rPr>
                      <w:rFonts w:ascii="Times New Roman" w:hAnsi="Times New Roman" w:eastAsia="宋体"/>
                      <w:color w:val="000000" w:themeColor="text1"/>
                      <w:sz w:val="21"/>
                      <w:szCs w:val="21"/>
                      <w14:textFill>
                        <w14:solidFill>
                          <w14:schemeClr w14:val="tx1"/>
                        </w14:solidFill>
                      </w14:textFill>
                    </w:rPr>
                    <w:t>。②环境空气保护目标指自然保护区、风景名胜区居住区、文化区和农村地区中人群较集中的区域。③临界量及其计算方法参考《建设项目环境风险评价技术导则》</w:t>
                  </w:r>
                  <w:r>
                    <w:rPr>
                      <w:rFonts w:hint="eastAsia" w:ascii="Times New Roman" w:hAnsi="Times New Roman" w:eastAsia="宋体"/>
                      <w:color w:val="000000" w:themeColor="text1"/>
                      <w:sz w:val="21"/>
                      <w:szCs w:val="21"/>
                      <w:lang w:eastAsia="zh-CN"/>
                      <w14:textFill>
                        <w14:solidFill>
                          <w14:schemeClr w14:val="tx1"/>
                        </w14:solidFill>
                      </w14:textFill>
                    </w:rPr>
                    <w:t>（</w:t>
                  </w:r>
                  <w:r>
                    <w:rPr>
                      <w:rFonts w:ascii="Times New Roman" w:hAnsi="Times New Roman" w:eastAsia="宋体"/>
                      <w:color w:val="000000" w:themeColor="text1"/>
                      <w:sz w:val="21"/>
                      <w:szCs w:val="21"/>
                      <w14:textFill>
                        <w14:solidFill>
                          <w14:schemeClr w14:val="tx1"/>
                        </w14:solidFill>
                      </w14:textFill>
                    </w:rPr>
                    <w:t>HJ 169</w:t>
                  </w:r>
                  <w:r>
                    <w:rPr>
                      <w:rFonts w:hint="eastAsia" w:ascii="Times New Roman" w:hAnsi="Times New Roman" w:eastAsia="宋体"/>
                      <w:color w:val="000000" w:themeColor="text1"/>
                      <w:sz w:val="21"/>
                      <w:szCs w:val="21"/>
                      <w:lang w:eastAsia="zh-CN"/>
                      <w14:textFill>
                        <w14:solidFill>
                          <w14:schemeClr w14:val="tx1"/>
                        </w14:solidFill>
                      </w14:textFill>
                    </w:rPr>
                    <w:t>）</w:t>
                  </w:r>
                  <w:r>
                    <w:rPr>
                      <w:rFonts w:ascii="Times New Roman" w:hAnsi="Times New Roman" w:eastAsia="宋体"/>
                      <w:color w:val="000000" w:themeColor="text1"/>
                      <w:sz w:val="21"/>
                      <w:szCs w:val="21"/>
                      <w14:textFill>
                        <w14:solidFill>
                          <w14:schemeClr w14:val="tx1"/>
                        </w14:solidFill>
                      </w14:textFill>
                    </w:rPr>
                    <w:t>附录B、附录C。</w:t>
                  </w:r>
                </w:p>
              </w:tc>
            </w:tr>
          </w:tbl>
          <w:p w14:paraId="3B461EE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根据上表分析，本项目</w:t>
            </w:r>
            <w:r>
              <w:rPr>
                <w:rFonts w:hint="eastAsia" w:ascii="Times New Roman" w:hAnsi="Times New Roman" w:eastAsia="宋体"/>
                <w:color w:val="000000" w:themeColor="text1"/>
                <w:sz w:val="24"/>
                <w:szCs w:val="24"/>
                <w:lang w:val="en-US" w:eastAsia="zh-CN"/>
                <w14:textFill>
                  <w14:solidFill>
                    <w14:schemeClr w14:val="tx1"/>
                  </w14:solidFill>
                </w14:textFill>
              </w:rPr>
              <w:t>不</w:t>
            </w:r>
            <w:r>
              <w:rPr>
                <w:rFonts w:hint="eastAsia" w:ascii="Times New Roman" w:hAnsi="Times New Roman" w:eastAsia="宋体"/>
                <w:color w:val="000000" w:themeColor="text1"/>
                <w:sz w:val="24"/>
                <w:szCs w:val="24"/>
                <w14:textFill>
                  <w14:solidFill>
                    <w14:schemeClr w14:val="tx1"/>
                  </w14:solidFill>
                </w14:textFill>
              </w:rPr>
              <w:t>设置专项评价。</w:t>
            </w:r>
          </w:p>
        </w:tc>
      </w:tr>
      <w:tr w14:paraId="192E3C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98" w:type="dxa"/>
            <w:noWrap w:val="0"/>
            <w:vAlign w:val="center"/>
          </w:tcPr>
          <w:p w14:paraId="6770526D">
            <w:pPr>
              <w:keepNext w:val="0"/>
              <w:keepLines w:val="0"/>
              <w:pageBreakBefore w:val="0"/>
              <w:widowControl w:val="0"/>
              <w:kinsoku/>
              <w:wordWrap/>
              <w:overflowPunct/>
              <w:topLinePunct w:val="0"/>
              <w:autoSpaceDE w:val="0"/>
              <w:autoSpaceDN w:val="0"/>
              <w:bidi w:val="0"/>
              <w:adjustRightInd w:val="0"/>
              <w:snapToGrid w:val="0"/>
              <w:spacing w:line="288"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规划情况</w:t>
            </w:r>
          </w:p>
        </w:tc>
        <w:tc>
          <w:tcPr>
            <w:tcW w:w="7472" w:type="dxa"/>
            <w:gridSpan w:val="3"/>
            <w:noWrap w:val="0"/>
            <w:vAlign w:val="center"/>
          </w:tcPr>
          <w:p w14:paraId="3575109B">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1、规划名称：《闽侯县青口镇总体规划（2010-2030）》</w:t>
            </w:r>
          </w:p>
          <w:p w14:paraId="15EDDC09">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审批机关及文号：福州市人民政府（榕政综〔2010〕197号）</w:t>
            </w:r>
          </w:p>
          <w:p w14:paraId="5C50594C">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2、规划名称：《青口汽车城控制性详细规划》（福州市规划设计研究院集团有限公司）</w:t>
            </w:r>
          </w:p>
          <w:p w14:paraId="5F7732C1">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审批机关及审批时间：福州市闽侯县人民政府，于2021年2月19日通过专家技术审查，6月10日通过市自然资源和规划局审查。</w:t>
            </w:r>
          </w:p>
          <w:p w14:paraId="59A70187">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3、规划名称：《闽侯县国土空间总体规划（2021—2035年）》</w:t>
            </w:r>
          </w:p>
          <w:p w14:paraId="434AAE17">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审批机关及文号：闽侯县自然资源和规划局（侯自然综〔2022〕397号）</w:t>
            </w:r>
          </w:p>
        </w:tc>
      </w:tr>
      <w:tr w14:paraId="1EA665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98" w:type="dxa"/>
            <w:noWrap w:val="0"/>
            <w:vAlign w:val="center"/>
          </w:tcPr>
          <w:p w14:paraId="5A01E0CC">
            <w:pPr>
              <w:keepNext w:val="0"/>
              <w:keepLines w:val="0"/>
              <w:pageBreakBefore w:val="0"/>
              <w:widowControl w:val="0"/>
              <w:kinsoku/>
              <w:wordWrap/>
              <w:overflowPunct/>
              <w:topLinePunct w:val="0"/>
              <w:bidi w:val="0"/>
              <w:adjustRightInd w:val="0"/>
              <w:snapToGrid w:val="0"/>
              <w:spacing w:line="288"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规划环境影响</w:t>
            </w:r>
          </w:p>
          <w:p w14:paraId="5CCBE744">
            <w:pPr>
              <w:keepNext w:val="0"/>
              <w:keepLines w:val="0"/>
              <w:pageBreakBefore w:val="0"/>
              <w:widowControl w:val="0"/>
              <w:kinsoku/>
              <w:wordWrap/>
              <w:overflowPunct/>
              <w:topLinePunct w:val="0"/>
              <w:bidi w:val="0"/>
              <w:adjustRightInd w:val="0"/>
              <w:snapToGrid w:val="0"/>
              <w:spacing w:line="288" w:lineRule="auto"/>
              <w:jc w:val="center"/>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评价情况</w:t>
            </w:r>
          </w:p>
        </w:tc>
        <w:tc>
          <w:tcPr>
            <w:tcW w:w="7472" w:type="dxa"/>
            <w:gridSpan w:val="3"/>
            <w:noWrap w:val="0"/>
            <w:vAlign w:val="center"/>
          </w:tcPr>
          <w:p w14:paraId="1A458113">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1、规划环评名称：《福州青口投资区环境影响报告书》（报批稿，福建省福州市环境科学研究所，</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2004</w:t>
            </w:r>
            <w:r>
              <w:rPr>
                <w:rFonts w:hint="eastAsia" w:ascii="Times New Roman" w:hAnsi="Times New Roman" w:eastAsia="宋体" w:cs="Times New Roman"/>
                <w:color w:val="000000" w:themeColor="text1"/>
                <w:kern w:val="0"/>
                <w:sz w:val="24"/>
                <w:szCs w:val="24"/>
                <w14:textFill>
                  <w14:solidFill>
                    <w14:schemeClr w14:val="tx1"/>
                  </w14:solidFill>
                </w14:textFill>
              </w:rPr>
              <w:t>年六月</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w:t>
            </w:r>
          </w:p>
          <w:p w14:paraId="433B4A9E">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审批机关及文号：福州市环境保护局，榕环保函</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〔2004〕39号</w:t>
            </w:r>
          </w:p>
          <w:p w14:paraId="5710BAFE">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2、规划环评名称：《福州青口投资区环境影响跟踪评价报告书》（报批稿</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（河南蓝森环保科技有限公司，2016年2月</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14:textFill>
                  <w14:solidFill>
                    <w14:schemeClr w14:val="tx1"/>
                  </w14:solidFill>
                </w14:textFill>
              </w:rPr>
              <w:t>；</w:t>
            </w:r>
          </w:p>
          <w:p w14:paraId="4E837E39">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审查机关及文号：福州市环境保护局，榕环保函</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〔2016〕40号</w:t>
            </w:r>
          </w:p>
        </w:tc>
      </w:tr>
      <w:tr w14:paraId="01D866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398" w:type="dxa"/>
            <w:noWrap w:val="0"/>
            <w:vAlign w:val="center"/>
          </w:tcPr>
          <w:p w14:paraId="1A8A2D9B">
            <w:pPr>
              <w:autoSpaceDE w:val="0"/>
              <w:autoSpaceDN w:val="0"/>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规划及规划环境</w:t>
            </w:r>
          </w:p>
          <w:p w14:paraId="200DD078">
            <w:pPr>
              <w:autoSpaceDE w:val="0"/>
              <w:autoSpaceDN w:val="0"/>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影响评价符合性分析</w:t>
            </w:r>
          </w:p>
        </w:tc>
        <w:tc>
          <w:tcPr>
            <w:tcW w:w="7472" w:type="dxa"/>
            <w:gridSpan w:val="3"/>
            <w:noWrap w:val="0"/>
            <w:vAlign w:val="center"/>
          </w:tcPr>
          <w:p w14:paraId="7AB494A0">
            <w:pPr>
              <w:pStyle w:val="3"/>
              <w:tabs>
                <w:tab w:val="left" w:pos="0"/>
              </w:tabs>
              <w:spacing w:before="120" w:after="120"/>
              <w:ind w:firstLine="0"/>
              <w:rPr>
                <w:rFonts w:hint="default" w:ascii="Times New Roman" w:hAnsi="Times New Roman" w:eastAsia="宋体" w:cs="Times New Roman"/>
                <w:b/>
                <w:bCs/>
                <w:color w:val="000000" w:themeColor="text1"/>
                <w:szCs w:val="32"/>
                <w:lang w:val="en-US" w:eastAsia="zh-CN"/>
                <w14:textFill>
                  <w14:solidFill>
                    <w14:schemeClr w14:val="tx1"/>
                  </w14:solidFill>
                </w14:textFill>
              </w:rPr>
            </w:pPr>
            <w:r>
              <w:rPr>
                <w:rFonts w:hint="eastAsia" w:ascii="Times New Roman" w:hAnsi="Times New Roman" w:eastAsia="宋体" w:cs="Times New Roman"/>
                <w:b/>
                <w:bCs/>
                <w:color w:val="000000" w:themeColor="text1"/>
                <w:szCs w:val="32"/>
                <w:lang w:val="en-US" w:eastAsia="zh-CN"/>
                <w14:textFill>
                  <w14:solidFill>
                    <w14:schemeClr w14:val="tx1"/>
                  </w14:solidFill>
                </w14:textFill>
              </w:rPr>
              <w:t>1、与规划</w:t>
            </w:r>
            <w:r>
              <w:rPr>
                <w:rFonts w:hint="eastAsia" w:ascii="Times New Roman" w:hAnsi="Times New Roman" w:eastAsia="宋体" w:cs="Times New Roman"/>
                <w:b/>
                <w:bCs/>
                <w:color w:val="000000" w:themeColor="text1"/>
                <w:szCs w:val="32"/>
                <w:lang w:eastAsia="zh-CN"/>
                <w14:textFill>
                  <w14:solidFill>
                    <w14:schemeClr w14:val="tx1"/>
                  </w14:solidFill>
                </w14:textFill>
              </w:rPr>
              <w:t>符合性</w:t>
            </w:r>
            <w:r>
              <w:rPr>
                <w:rFonts w:hint="eastAsia" w:ascii="Times New Roman" w:hAnsi="Times New Roman" w:eastAsia="宋体" w:cs="Times New Roman"/>
                <w:b/>
                <w:bCs/>
                <w:color w:val="000000" w:themeColor="text1"/>
                <w:szCs w:val="32"/>
                <w:lang w:val="en-US" w:eastAsia="zh-CN"/>
                <w14:textFill>
                  <w14:solidFill>
                    <w14:schemeClr w14:val="tx1"/>
                  </w14:solidFill>
                </w14:textFill>
              </w:rPr>
              <w:t>分析</w:t>
            </w:r>
          </w:p>
          <w:p w14:paraId="1DAFE75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（1）与</w:t>
            </w:r>
            <w:r>
              <w:rPr>
                <w:rFonts w:hint="default" w:ascii="Times New Roman" w:hAnsi="Times New Roman" w:eastAsia="宋体" w:cs="Times New Roman"/>
                <w:b/>
                <w:bCs/>
                <w:color w:val="000000" w:themeColor="text1"/>
                <w:sz w:val="24"/>
                <w:szCs w:val="24"/>
                <w14:textFill>
                  <w14:solidFill>
                    <w14:schemeClr w14:val="tx1"/>
                  </w14:solidFill>
                </w14:textFill>
              </w:rPr>
              <w:t>《闽侯县青口镇总体规划（2010-2030</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符合性分析</w:t>
            </w:r>
          </w:p>
          <w:p w14:paraId="32EFEB5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该总体规划中的产业布局发展规划：</w:t>
            </w:r>
          </w:p>
          <w:p w14:paraId="073D8E6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（1）发展定位</w:t>
            </w:r>
          </w:p>
          <w:p w14:paraId="558F8BA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考量青口的区位、资源优势（综合交通、汽车工业、产业发展契机等）和物流发展的需要，充分研究青口在区域经济圈里的重要地位和发展机遇，制定适合的、具有持续发展能力的区域产业发展策略。具体为确立产业强镇、交通活镇、文化立镇的总体发展指导思想，大力培育汽车工业及其配套产业、物流业、商业金融业以及服务业等加快在青口建设成以汽车工业为主、第三产业协调发展的产业体系，进一步发挥青口在区域中经济发展的带动作用。</w:t>
            </w:r>
          </w:p>
          <w:p w14:paraId="05223A7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（2）产业布局发展规划</w:t>
            </w:r>
          </w:p>
          <w:p w14:paraId="63FF860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青口镇产业发展物质支撑主要体现为建设一个基地、两个中心、三大产业带。</w:t>
            </w:r>
          </w:p>
          <w:p w14:paraId="52D780B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一个基地即汽车整车及配套设施生产基地，位于镇区中部，以戴姆勒汽车厂和东南汽车厂为中心。</w:t>
            </w:r>
          </w:p>
          <w:p w14:paraId="7D1D8E7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两个中心为千家山-沪屿和青圃组团</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为镇区现代服务业的中心</w:t>
            </w:r>
            <w:r>
              <w:rPr>
                <w:rFonts w:hint="eastAsia" w:cs="Times New Roman"/>
                <w:color w:val="000000" w:themeColor="text1"/>
                <w:sz w:val="24"/>
                <w:szCs w:val="24"/>
                <w:lang w:val="en-US" w:eastAsia="zh-CN"/>
                <w14:textFill>
                  <w14:solidFill>
                    <w14:schemeClr w14:val="tx1"/>
                  </w14:solidFill>
                </w14:textFill>
              </w:rPr>
              <w:t>，位于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镇区的北部和东部。主要发展商业金融、娱乐办公、文化休闲、教育科研等产业。</w:t>
            </w:r>
          </w:p>
          <w:p w14:paraId="28B1429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三大产业带为汽车零部件生产带、配套设施生产带以及科技研发产业带，位于镇区东南、西南和东北部。</w:t>
            </w:r>
          </w:p>
          <w:p w14:paraId="2A797B9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本项目位于镇区西部，主要从事汽车配件</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生产加工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。因此，项目的建设与《闽侯县青口镇总体规划（2010-2030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》产业布局规划相符。</w:t>
            </w:r>
          </w:p>
          <w:p w14:paraId="0FAD828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（2）与</w:t>
            </w: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《青口汽车城控制性详细规划》符合性分析</w:t>
            </w:r>
          </w:p>
          <w:p w14:paraId="12E10FE1">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规划形成“一心、三廊道、四组团”的规划结构：</w:t>
            </w:r>
          </w:p>
          <w:p w14:paraId="2CE0284A">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1、“一心”</w:t>
            </w:r>
          </w:p>
          <w:p w14:paraId="2D22692D">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青口汽车城服务配套核心：位于福银高速公路以北，以现有海峡汽车文化广场为核心向周边延伸的以汽车展示、销售和研发为主的生产性服务业以及生活服务配套核心。</w:t>
            </w:r>
          </w:p>
          <w:p w14:paraId="7339C3C7">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2、“三廊道”</w:t>
            </w:r>
          </w:p>
          <w:p w14:paraId="5C929F19">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324国道发展廊：沿现状324国道的城市发展廊道，从北至南贯穿整个青口组团，是南北向连接生活组团至产业组团的东侧重要城市发展廊道。</w:t>
            </w:r>
          </w:p>
          <w:p w14:paraId="00E2133C">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S203-奔驰大道发展廊：沿S203与奔驰大道的城市南北向发展廊道，是南北向连接生活组团至产业组团的西侧重要城市发展廊道。</w:t>
            </w:r>
          </w:p>
          <w:p w14:paraId="64A2A104">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林森大道发展廊：沿林森大道的城市东西向发展廊道，是青口组团重要的连接产业组团与生活组团的城市廊道。</w:t>
            </w:r>
          </w:p>
          <w:p w14:paraId="211F8DB3">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3、“四组团”</w:t>
            </w:r>
          </w:p>
          <w:p w14:paraId="04F79EAA">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临江生态居住组团：位于规划区北部，包括尚干、祥谦闽江口部分。规划以生态生活居住、商业商务及公建配套为主。依托滨海快线站点发展，以TOD模式，构筑现代的、充满活力的生态型复合型商业生活区，打造青口汽车城生态宜居门户</w:t>
            </w:r>
          </w:p>
          <w:p w14:paraId="2642A99B">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青口生活组团：位于青口组团中心，以居住、商业、生活配套设施为主。在原有建设基础上进行升级开发，完善组团配套及建设；清退重要岸线及山体周边工业厂房，建设居住及民生配套设施。打造配套设施完善、城市景观优美的青口组团核心配套、居住生活区。</w:t>
            </w:r>
          </w:p>
          <w:p w14:paraId="6F939246">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汽车核心产业组团：依托现有汽车产业，发展以整车制造组装产业为主，零配件生产为辅的汽车制造组装中心产业区。内部少量与汽车产业无关的以及村办企业逐渐搬迁整合升级为与汽车相关产业。提升中心工业区产能。以千家山及周边居住用地为配套服务中心。</w:t>
            </w:r>
          </w:p>
          <w:p w14:paraId="1961B225">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兰圃配套产业组团：位于青口组团东部，包括兰圃、青圃，主要发展汽车相关及新型材料产业。</w:t>
            </w:r>
          </w:p>
          <w:p w14:paraId="63531C50">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项目位于汽车核心产业组团，主要从事汽车配件生产加工，因此与《青口汽车城控制性详细规划》相符。</w:t>
            </w:r>
          </w:p>
          <w:p w14:paraId="2E8682F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（3）与</w:t>
            </w:r>
            <w:r>
              <w:rPr>
                <w:rFonts w:hint="default" w:ascii="Times New Roman" w:hAnsi="Times New Roman" w:eastAsia="宋体" w:cs="Times New Roman"/>
                <w:b/>
                <w:bCs/>
                <w:color w:val="000000" w:themeColor="text1"/>
                <w:sz w:val="24"/>
                <w:szCs w:val="24"/>
                <w14:textFill>
                  <w14:solidFill>
                    <w14:schemeClr w14:val="tx1"/>
                  </w14:solidFill>
                </w14:textFill>
              </w:rPr>
              <w:t>《闽侯县国土空间总体规划（2021</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2035年</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符合性分析</w:t>
            </w:r>
          </w:p>
          <w:p w14:paraId="5C7C6B8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《闽侯县国土空间总体规划（2021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2035年）》简介：</w:t>
            </w:r>
          </w:p>
          <w:p w14:paraId="1209DBA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（1）国土空间总体格局：构建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两轴、两区、三心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的国土空间总体格局，两轴：沿江发展轴、山区发展轴，两区：滨海新城区、特色山区，三心：科学城副中心、荆甘竹新城县域中心，雪峰山城中心。</w:t>
            </w:r>
          </w:p>
          <w:p w14:paraId="15A3D5A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（2）国土空间三条控制线划定：</w:t>
            </w:r>
          </w:p>
          <w:p w14:paraId="577478B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严格划定永久基本农田：闽侯县划定永久基本农田保护目标135平方公里。永久基本农田一经划定，必须严格落实《基本农田保护条例》和《福建省基本农田保护条例》，严控建设占用永久基本农田。科学划定生态保护红线</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闽侯县划定生态保护红线目标420平方公里。实行最严格的生态保护红线管控制度，按照《生态保护红线管理办法》要求执行，除国家重大战略项目外，仅允许对生态功能不破坏的有限人为活动。</w:t>
            </w:r>
          </w:p>
          <w:p w14:paraId="3D38E87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合理确定城镇开发边界：闽侯县划定城镇开发边界145平方公里城镇开发边界一经划定，原则上不得调整，因国家重大战略调整、国家重大项目建设、行政区划调整等确需调整的、按国土空间规划修改程序进行。</w:t>
            </w:r>
          </w:p>
          <w:p w14:paraId="5C53ACA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针对现有工程（3#已建厂房1-3F）平面布置进行调整优化，同时新增租赁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闽侯县祥谦镇洋下村洋辅路5号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已建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厂房</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、3#已建厂房3-4F进行扩建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（厂房租赁合同详见附件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租赁方已取得不动产权证，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地块的用地性质为工业用地。地块不涉及永久基本农田，不涉及闽侯县划定的生态保护红线区域，且满足</w:t>
            </w:r>
            <w:r>
              <w:rPr>
                <w:rFonts w:hint="eastAsia" w:ascii="Times New Roman" w:hAnsi="Times New Roman" w:eastAsia="宋体"/>
                <w:color w:val="000000" w:themeColor="text1"/>
                <w:sz w:val="24"/>
                <w:szCs w:val="24"/>
                <w:lang w:val="en-US" w:eastAsia="zh-CN"/>
                <w14:textFill>
                  <w14:solidFill>
                    <w14:schemeClr w14:val="tx1"/>
                  </w14:solidFill>
                </w14:textFill>
              </w:rPr>
              <w:t>福州市生态环境分区管控要求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，项目所在位置属于闽侯青口汽车工业园区的工业用地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因此本项目的建设符合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闽侯县国土空间总体规划（2021-2035年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的要求。</w:t>
            </w:r>
          </w:p>
          <w:p w14:paraId="075FBA38">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2、与规划环评及审查意见符合性分析</w:t>
            </w:r>
          </w:p>
          <w:p w14:paraId="13A7C4A1">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本项目位于</w:t>
            </w:r>
            <w:r>
              <w:rPr>
                <w:rFonts w:hint="eastAsia" w:ascii="Times New Roman" w:hAnsi="Times New Roman" w:eastAsia="宋体" w:cs="Times New Roman"/>
                <w:b w:val="0"/>
                <w:bCs w:val="0"/>
                <w:snapToGrid w:val="0"/>
                <w:color w:val="000000" w:themeColor="text1"/>
                <w:sz w:val="24"/>
                <w:szCs w:val="24"/>
                <w:lang w:val="en-US" w:eastAsia="zh-CN"/>
                <w14:textFill>
                  <w14:solidFill>
                    <w14:schemeClr w14:val="tx1"/>
                  </w14:solidFill>
                </w14:textFill>
              </w:rPr>
              <w:t>福建闽侯青口投资区规划范围内（详见附图10），根据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规划环评审查意见要求：“同意按照福州市青口投资区建设领导小组办公室提出的福州青口投资区环境质量标准、污染物排放标准和主要污染物排放总量控制要求。请福州市青口投资区建设领导小组办公室加强对投资区的环境监管力度，严格控制入区项目”（审查意见详见附件十一）</w:t>
            </w:r>
            <w:r>
              <w:rPr>
                <w:rFonts w:hint="default" w:ascii="Times New Roman" w:hAnsi="Times New Roman" w:eastAsia="宋体" w:cs="Times New Roman"/>
                <w:b w:val="0"/>
                <w:color w:val="000000" w:themeColor="text1"/>
                <w:kern w:val="2"/>
                <w:sz w:val="24"/>
                <w:szCs w:val="24"/>
                <w:u w:val="none"/>
                <w:lang w:val="en-US" w:eastAsia="zh-CN" w:bidi="ar-SA"/>
                <w14:textFill>
                  <w14:solidFill>
                    <w14:schemeClr w14:val="tx1"/>
                  </w14:solidFill>
                </w14:textFill>
              </w:rPr>
              <w:t>。</w:t>
            </w:r>
          </w:p>
          <w:p w14:paraId="74D9D253">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规划环评</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及跟踪规划环评</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中</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可知，</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规划环评</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及跟踪规划环评中</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限制入规划区项目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详见表1-2。</w:t>
            </w:r>
          </w:p>
          <w:p w14:paraId="3746FB76">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p>
          <w:p w14:paraId="001C0B37">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p>
          <w:p w14:paraId="3A91FBF1">
            <w:pPr>
              <w:keepNext/>
              <w:keepLines w:val="0"/>
              <w:pageBreakBefore w:val="0"/>
              <w:widowControl w:val="0"/>
              <w:kinsoku/>
              <w:wordWrap/>
              <w:overflowPunct w:val="0"/>
              <w:topLinePunct w:val="0"/>
              <w:autoSpaceDE/>
              <w:autoSpaceDN/>
              <w:bidi w:val="0"/>
              <w:adjustRightInd/>
              <w:snapToGrid w:val="0"/>
              <w:spacing w:before="157" w:beforeLines="50" w:after="0" w:line="240" w:lineRule="auto"/>
              <w:ind w:left="0" w:firstLine="0" w:firstLineChars="0"/>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1-2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限制入规划区项目</w:t>
            </w:r>
          </w:p>
          <w:tbl>
            <w:tblPr>
              <w:tblStyle w:val="31"/>
              <w:tblW w:w="73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6670"/>
            </w:tblGrid>
            <w:tr w14:paraId="4E81C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tcBorders>
                    <w:tl2br w:val="nil"/>
                    <w:tr2bl w:val="nil"/>
                  </w:tcBorders>
                  <w:noWrap w:val="0"/>
                  <w:vAlign w:val="center"/>
                </w:tcPr>
                <w:p w14:paraId="61159F8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序号</w:t>
                  </w:r>
                </w:p>
              </w:tc>
              <w:tc>
                <w:tcPr>
                  <w:tcW w:w="4547" w:type="pct"/>
                  <w:tcBorders>
                    <w:tl2br w:val="nil"/>
                    <w:tr2bl w:val="nil"/>
                  </w:tcBorders>
                  <w:noWrap w:val="0"/>
                  <w:vAlign w:val="center"/>
                </w:tcPr>
                <w:p w14:paraId="4505075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项目（行业）类别</w:t>
                  </w:r>
                </w:p>
              </w:tc>
            </w:tr>
            <w:tr w14:paraId="73F0A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tcBorders>
                    <w:tl2br w:val="nil"/>
                    <w:tr2bl w:val="nil"/>
                  </w:tcBorders>
                  <w:noWrap w:val="0"/>
                  <w:vAlign w:val="center"/>
                </w:tcPr>
                <w:p w14:paraId="7E1117A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1</w:t>
                  </w:r>
                </w:p>
              </w:tc>
              <w:tc>
                <w:tcPr>
                  <w:tcW w:w="4547" w:type="pct"/>
                  <w:tcBorders>
                    <w:tl2br w:val="nil"/>
                    <w:tr2bl w:val="nil"/>
                  </w:tcBorders>
                  <w:noWrap w:val="0"/>
                  <w:vAlign w:val="center"/>
                </w:tcPr>
                <w:p w14:paraId="13225EC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钢铁、冶金等大气污染严重行业</w:t>
                  </w:r>
                </w:p>
              </w:tc>
            </w:tr>
            <w:tr w14:paraId="32713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tcBorders>
                    <w:tl2br w:val="nil"/>
                    <w:tr2bl w:val="nil"/>
                  </w:tcBorders>
                  <w:noWrap w:val="0"/>
                  <w:vAlign w:val="center"/>
                </w:tcPr>
                <w:p w14:paraId="797D1DC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2</w:t>
                  </w:r>
                </w:p>
              </w:tc>
              <w:tc>
                <w:tcPr>
                  <w:tcW w:w="4547" w:type="pct"/>
                  <w:tcBorders>
                    <w:tl2br w:val="nil"/>
                    <w:tr2bl w:val="nil"/>
                  </w:tcBorders>
                  <w:noWrap w:val="0"/>
                  <w:vAlign w:val="center"/>
                </w:tcPr>
                <w:p w14:paraId="72A5739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屠宰及肉类、蛋类加工</w:t>
                  </w:r>
                </w:p>
              </w:tc>
            </w:tr>
            <w:tr w14:paraId="50A34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tcBorders>
                    <w:tl2br w:val="nil"/>
                    <w:tr2bl w:val="nil"/>
                  </w:tcBorders>
                  <w:noWrap w:val="0"/>
                  <w:vAlign w:val="center"/>
                </w:tcPr>
                <w:p w14:paraId="34C070C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3</w:t>
                  </w:r>
                </w:p>
              </w:tc>
              <w:tc>
                <w:tcPr>
                  <w:tcW w:w="4547" w:type="pct"/>
                  <w:tcBorders>
                    <w:tl2br w:val="nil"/>
                    <w:tr2bl w:val="nil"/>
                  </w:tcBorders>
                  <w:noWrap w:val="0"/>
                  <w:vAlign w:val="center"/>
                </w:tcPr>
                <w:p w14:paraId="3850A74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味精、柠檬酸、氨基酸制造，淀粉，淀粉糖等制品</w:t>
                  </w:r>
                </w:p>
              </w:tc>
            </w:tr>
            <w:tr w14:paraId="0549F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tcBorders>
                    <w:tl2br w:val="nil"/>
                    <w:tr2bl w:val="nil"/>
                  </w:tcBorders>
                  <w:noWrap w:val="0"/>
                  <w:vAlign w:val="center"/>
                </w:tcPr>
                <w:p w14:paraId="06D48FF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4</w:t>
                  </w:r>
                </w:p>
              </w:tc>
              <w:tc>
                <w:tcPr>
                  <w:tcW w:w="4547" w:type="pct"/>
                  <w:tcBorders>
                    <w:tl2br w:val="nil"/>
                    <w:tr2bl w:val="nil"/>
                  </w:tcBorders>
                  <w:noWrap w:val="0"/>
                  <w:vAlign w:val="center"/>
                </w:tcPr>
                <w:p w14:paraId="55D612B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含洗毛、染整、脱胶工段的纺织项目；含有蚕蛹废水、精炼废水等的丝绸项目</w:t>
                  </w:r>
                </w:p>
              </w:tc>
            </w:tr>
            <w:tr w14:paraId="5D625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tcBorders>
                    <w:tl2br w:val="nil"/>
                    <w:tr2bl w:val="nil"/>
                  </w:tcBorders>
                  <w:noWrap w:val="0"/>
                  <w:vAlign w:val="center"/>
                </w:tcPr>
                <w:p w14:paraId="1A3EAEC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5</w:t>
                  </w:r>
                </w:p>
              </w:tc>
              <w:tc>
                <w:tcPr>
                  <w:tcW w:w="4547" w:type="pct"/>
                  <w:tcBorders>
                    <w:tl2br w:val="nil"/>
                    <w:tr2bl w:val="nil"/>
                  </w:tcBorders>
                  <w:noWrap w:val="0"/>
                  <w:vAlign w:val="center"/>
                </w:tcPr>
                <w:p w14:paraId="73C0B26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制革，毛皮鞣制</w:t>
                  </w:r>
                </w:p>
              </w:tc>
            </w:tr>
            <w:tr w14:paraId="539FE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tcBorders>
                    <w:tl2br w:val="nil"/>
                    <w:tr2bl w:val="nil"/>
                  </w:tcBorders>
                  <w:noWrap w:val="0"/>
                  <w:vAlign w:val="center"/>
                </w:tcPr>
                <w:p w14:paraId="09A6A95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6</w:t>
                  </w:r>
                </w:p>
              </w:tc>
              <w:tc>
                <w:tcPr>
                  <w:tcW w:w="4547" w:type="pct"/>
                  <w:tcBorders>
                    <w:tl2br w:val="nil"/>
                    <w:tr2bl w:val="nil"/>
                  </w:tcBorders>
                  <w:noWrap w:val="0"/>
                  <w:vAlign w:val="center"/>
                </w:tcPr>
                <w:p w14:paraId="11D02C5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纸浆制造，造纸（含废纸造纸）</w:t>
                  </w:r>
                </w:p>
              </w:tc>
            </w:tr>
            <w:tr w14:paraId="1C3BD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tcBorders>
                    <w:tl2br w:val="nil"/>
                    <w:tr2bl w:val="nil"/>
                  </w:tcBorders>
                  <w:noWrap w:val="0"/>
                  <w:vAlign w:val="center"/>
                </w:tcPr>
                <w:p w14:paraId="5DEEF6F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7</w:t>
                  </w:r>
                </w:p>
              </w:tc>
              <w:tc>
                <w:tcPr>
                  <w:tcW w:w="4547" w:type="pct"/>
                  <w:tcBorders>
                    <w:tl2br w:val="nil"/>
                    <w:tr2bl w:val="nil"/>
                  </w:tcBorders>
                  <w:noWrap w:val="0"/>
                  <w:vAlign w:val="center"/>
                </w:tcPr>
                <w:p w14:paraId="3B7E955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基本化学原料制造，化学肥料制造，化学农药制造，化学染料制造，合成染料制造，助剂及其它有机产品制造，有机化工原料及中间体制造，合成材料制造，合成树脂及其它高分子材料制造，专用化学品制造，生物化工，感光材料制造，磁性记录材料制造，日用化学品制造等</w:t>
                  </w:r>
                </w:p>
              </w:tc>
            </w:tr>
            <w:tr w14:paraId="04FFE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tcBorders>
                    <w:tl2br w:val="nil"/>
                    <w:tr2bl w:val="nil"/>
                  </w:tcBorders>
                  <w:noWrap w:val="0"/>
                  <w:vAlign w:val="center"/>
                </w:tcPr>
                <w:p w14:paraId="068D4D0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8</w:t>
                  </w:r>
                </w:p>
              </w:tc>
              <w:tc>
                <w:tcPr>
                  <w:tcW w:w="4547" w:type="pct"/>
                  <w:tcBorders>
                    <w:tl2br w:val="nil"/>
                    <w:tr2bl w:val="nil"/>
                  </w:tcBorders>
                  <w:noWrap w:val="0"/>
                  <w:vAlign w:val="center"/>
                </w:tcPr>
                <w:p w14:paraId="1173F51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化学药品制造，生物制品</w:t>
                  </w:r>
                </w:p>
              </w:tc>
            </w:tr>
            <w:tr w14:paraId="1B004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tcBorders>
                    <w:tl2br w:val="nil"/>
                    <w:tr2bl w:val="nil"/>
                  </w:tcBorders>
                  <w:noWrap w:val="0"/>
                  <w:vAlign w:val="center"/>
                </w:tcPr>
                <w:p w14:paraId="385AAFE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9</w:t>
                  </w:r>
                </w:p>
              </w:tc>
              <w:tc>
                <w:tcPr>
                  <w:tcW w:w="4547" w:type="pct"/>
                  <w:tcBorders>
                    <w:tl2br w:val="nil"/>
                    <w:tr2bl w:val="nil"/>
                  </w:tcBorders>
                  <w:noWrap w:val="0"/>
                  <w:vAlign w:val="center"/>
                </w:tcPr>
                <w:p w14:paraId="27DD96C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化学纤维制造</w:t>
                  </w:r>
                </w:p>
              </w:tc>
            </w:tr>
            <w:tr w14:paraId="301F8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tcBorders>
                    <w:tl2br w:val="nil"/>
                    <w:tr2bl w:val="nil"/>
                  </w:tcBorders>
                  <w:noWrap w:val="0"/>
                  <w:vAlign w:val="center"/>
                </w:tcPr>
                <w:p w14:paraId="309898B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10</w:t>
                  </w:r>
                </w:p>
              </w:tc>
              <w:tc>
                <w:tcPr>
                  <w:tcW w:w="4547" w:type="pct"/>
                  <w:tcBorders>
                    <w:tl2br w:val="nil"/>
                    <w:tr2bl w:val="nil"/>
                  </w:tcBorders>
                  <w:noWrap w:val="0"/>
                  <w:vAlign w:val="center"/>
                </w:tcPr>
                <w:p w14:paraId="76D3DB4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规模化畜禽养殖</w:t>
                  </w:r>
                </w:p>
              </w:tc>
            </w:tr>
            <w:tr w14:paraId="544BA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2" w:type="pct"/>
                  <w:tcBorders>
                    <w:tl2br w:val="nil"/>
                    <w:tr2bl w:val="nil"/>
                  </w:tcBorders>
                  <w:noWrap w:val="0"/>
                  <w:vAlign w:val="center"/>
                </w:tcPr>
                <w:p w14:paraId="21556CD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11</w:t>
                  </w:r>
                </w:p>
              </w:tc>
              <w:tc>
                <w:tcPr>
                  <w:tcW w:w="4547" w:type="pct"/>
                  <w:tcBorders>
                    <w:tl2br w:val="nil"/>
                    <w:tr2bl w:val="nil"/>
                  </w:tcBorders>
                  <w:noWrap w:val="0"/>
                  <w:vAlign w:val="center"/>
                </w:tcPr>
                <w:p w14:paraId="68FF4E7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ascii="Times New Roman" w:hAnsi="Times New Roman" w:eastAsia="宋体" w:cs="宋体"/>
                      <w:color w:val="000000" w:themeColor="text1"/>
                      <w:sz w:val="21"/>
                      <w:szCs w:val="21"/>
                      <w14:textFill>
                        <w14:solidFill>
                          <w14:schemeClr w14:val="tx1"/>
                        </w14:solidFill>
                      </w14:textFill>
                    </w:rPr>
                    <w:t>电镀（区域内允许建设一个规模化的电镀中心，并要求采用清洁生产工艺）</w:t>
                  </w:r>
                </w:p>
              </w:tc>
            </w:tr>
          </w:tbl>
          <w:p w14:paraId="2072DBB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租赁已建厂房进行扩建，从事汽车配件的生产，不属于新增用地规模的企业，项目不属于表1中所限制入规划区的行业类别，属于园区主导产业，同时，项目在采取合理的大气污染控制措施后，对大气环境影响较小。因此本评价认为该项目与规划环评、跟踪规划环评及规划环评审查意见要求不相冲突。</w:t>
            </w:r>
          </w:p>
        </w:tc>
      </w:tr>
      <w:tr w14:paraId="174AD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98" w:type="dxa"/>
            <w:noWrap w:val="0"/>
            <w:vAlign w:val="center"/>
          </w:tcPr>
          <w:p w14:paraId="70B63DBA">
            <w:pPr>
              <w:autoSpaceDE w:val="0"/>
              <w:autoSpaceDN w:val="0"/>
              <w:adjustRightInd w:val="0"/>
              <w:snapToGrid w:val="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其他符合性分析</w:t>
            </w:r>
          </w:p>
        </w:tc>
        <w:tc>
          <w:tcPr>
            <w:tcW w:w="7472" w:type="dxa"/>
            <w:gridSpan w:val="3"/>
            <w:noWrap w:val="0"/>
            <w:vAlign w:val="center"/>
          </w:tcPr>
          <w:p w14:paraId="2B52BC5B">
            <w:pPr>
              <w:pStyle w:val="91"/>
              <w:keepNext w:val="0"/>
              <w:keepLines w:val="0"/>
              <w:pageBreakBefore w:val="0"/>
              <w:widowControl w:val="0"/>
              <w:tabs>
                <w:tab w:val="left" w:pos="4347"/>
              </w:tabs>
              <w:kinsoku/>
              <w:wordWrap/>
              <w:overflowPunct/>
              <w:topLinePunct w:val="0"/>
              <w:autoSpaceDE w:val="0"/>
              <w:autoSpaceDN w:val="0"/>
              <w:bidi w:val="0"/>
              <w:adjustRightInd w:val="0"/>
              <w:snapToGrid w:val="0"/>
              <w:spacing w:before="157" w:beforeLines="50" w:line="360" w:lineRule="auto"/>
              <w:jc w:val="both"/>
              <w:textAlignment w:val="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highlight w:val="none"/>
                <w14:textFill>
                  <w14:solidFill>
                    <w14:schemeClr w14:val="tx1"/>
                  </w14:solidFill>
                </w14:textFill>
              </w:rPr>
              <w:t>产业政策适宜性分析</w:t>
            </w:r>
          </w:p>
          <w:p w14:paraId="6FFEF741">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本项目主要从事汽车配件</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生产加工</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，项目不属于《产业结构调整指导目录（2024年本）》中的限制和淘汰类的项目，</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根据《自然资源要素支撑产业高质量发展指导目录</w:t>
            </w:r>
            <w:r>
              <w:rPr>
                <w:rFonts w:hint="eastAsia"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2024年本</w:t>
            </w:r>
            <w:r>
              <w:rPr>
                <w:rFonts w:hint="eastAsia"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》（自然资发〔2024〕273号）可知，项目不属于鼓励类、限制类和淘汰类</w:t>
            </w:r>
            <w:r>
              <w:rPr>
                <w:rFonts w:hint="eastAsia"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且该项目于202</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日通过了闽侯县</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工业和信息化</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局的备案（</w:t>
            </w:r>
            <w:r>
              <w:rPr>
                <w:rFonts w:hint="eastAsia" w:ascii="Times New Roman" w:hAnsi="Times New Roman" w:eastAsia="宋体" w:cs="Times New Roman"/>
                <w:color w:val="000000" w:themeColor="text1"/>
                <w:spacing w:val="0"/>
                <w:sz w:val="24"/>
                <w:szCs w:val="24"/>
                <w:highlight w:val="none"/>
                <w:lang w:eastAsia="zh-CN"/>
                <w14:textFill>
                  <w14:solidFill>
                    <w14:schemeClr w14:val="tx1"/>
                  </w14:solidFill>
                </w14:textFill>
              </w:rPr>
              <w:t>闽工信备〔2025〕A080066号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详见附件</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），因此项目的建设内容符合当前国家和地方的产业政策。</w:t>
            </w:r>
          </w:p>
          <w:p w14:paraId="59C52806">
            <w:pPr>
              <w:pStyle w:val="91"/>
              <w:keepNext w:val="0"/>
              <w:keepLines w:val="0"/>
              <w:pageBreakBefore w:val="0"/>
              <w:widowControl w:val="0"/>
              <w:tabs>
                <w:tab w:val="left" w:pos="4347"/>
              </w:tabs>
              <w:kinsoku/>
              <w:wordWrap/>
              <w:overflowPunct/>
              <w:topLinePunct w:val="0"/>
              <w:bidi w:val="0"/>
              <w:adjustRightInd w:val="0"/>
              <w:snapToGrid w:val="0"/>
              <w:spacing w:line="360" w:lineRule="auto"/>
              <w:jc w:val="both"/>
              <w:textAlignment w:val="auto"/>
              <w:outlineLvl w:val="2"/>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2、与城市土地利用规划符合性分析</w:t>
            </w:r>
          </w:p>
          <w:p w14:paraId="0DCA460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根据《青口汽车城控制性详细规划》-土地利用规划图，详见附图</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，项目所在地土地用途规划为二类工业用地；</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建设单位新增租赁已建厂房（厂房租赁合同详见附件七）从事汽车配件生产，租赁厂房</w:t>
            </w:r>
            <w:r>
              <w:rPr>
                <w:rFonts w:hint="eastAsia" w:ascii="Times New Roman" w:hAnsi="Times New Roman" w:eastAsia="宋体"/>
                <w:color w:val="000000" w:themeColor="text1"/>
                <w:sz w:val="24"/>
                <w:szCs w:val="24"/>
                <w14:textFill>
                  <w14:solidFill>
                    <w14:schemeClr w14:val="tx1"/>
                  </w14:solidFill>
                </w14:textFill>
              </w:rPr>
              <w:t>已取得不动产权证[闽</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20</w:t>
            </w:r>
            <w:r>
              <w:rPr>
                <w:rFonts w:hint="eastAsia" w:ascii="Times New Roman" w:hAnsi="Times New Roman" w:eastAsia="宋体"/>
                <w:color w:val="000000" w:themeColor="text1"/>
                <w:sz w:val="24"/>
                <w:szCs w:val="24"/>
                <w:lang w:val="en-US" w:eastAsia="zh-CN"/>
                <w14:textFill>
                  <w14:solidFill>
                    <w14:schemeClr w14:val="tx1"/>
                  </w14:solidFill>
                </w14:textFill>
              </w:rPr>
              <w:t>19）</w:t>
            </w:r>
            <w:r>
              <w:rPr>
                <w:rFonts w:hint="eastAsia" w:ascii="Times New Roman" w:hAnsi="Times New Roman" w:eastAsia="宋体"/>
                <w:color w:val="000000" w:themeColor="text1"/>
                <w:sz w:val="24"/>
                <w:szCs w:val="24"/>
                <w14:textFill>
                  <w14:solidFill>
                    <w14:schemeClr w14:val="tx1"/>
                  </w14:solidFill>
                </w14:textFill>
              </w:rPr>
              <w:t>闽侯县不动产权第</w:t>
            </w:r>
            <w:r>
              <w:rPr>
                <w:rFonts w:hint="eastAsia" w:ascii="Times New Roman" w:hAnsi="Times New Roman" w:eastAsia="宋体"/>
                <w:color w:val="000000" w:themeColor="text1"/>
                <w:sz w:val="24"/>
                <w:szCs w:val="24"/>
                <w:lang w:val="en-US" w:eastAsia="zh-CN"/>
                <w14:textFill>
                  <w14:solidFill>
                    <w14:schemeClr w14:val="tx1"/>
                  </w14:solidFill>
                </w14:textFill>
              </w:rPr>
              <w:t>0014141</w:t>
            </w:r>
            <w:r>
              <w:rPr>
                <w:rFonts w:hint="eastAsia" w:ascii="Times New Roman" w:hAnsi="Times New Roman" w:eastAsia="宋体"/>
                <w:color w:val="000000" w:themeColor="text1"/>
                <w:sz w:val="24"/>
                <w:szCs w:val="24"/>
                <w14:textFill>
                  <w14:solidFill>
                    <w14:schemeClr w14:val="tx1"/>
                  </w14:solidFill>
                </w14:textFill>
              </w:rPr>
              <w:t>号]，</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属于工业企业，因此，项目选址符合青口汽车城控制性详细规划的土地利用规划要求。</w:t>
            </w:r>
          </w:p>
          <w:p w14:paraId="5260FDDB">
            <w:pPr>
              <w:pStyle w:val="91"/>
              <w:keepNext w:val="0"/>
              <w:keepLines w:val="0"/>
              <w:pageBreakBefore w:val="0"/>
              <w:widowControl w:val="0"/>
              <w:tabs>
                <w:tab w:val="left" w:pos="4347"/>
              </w:tabs>
              <w:kinsoku/>
              <w:wordWrap/>
              <w:overflowPunct/>
              <w:topLinePunct w:val="0"/>
              <w:bidi w:val="0"/>
              <w:adjustRightInd w:val="0"/>
              <w:snapToGrid w:val="0"/>
              <w:spacing w:line="360" w:lineRule="auto"/>
              <w:jc w:val="both"/>
              <w:textAlignment w:val="auto"/>
              <w:outlineLvl w:val="2"/>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环境功能区划符合性分析</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 xml:space="preserve"> </w:t>
            </w:r>
          </w:p>
          <w:p w14:paraId="22EC5C61">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①水环境：根据水环境质量现状调查结果可知，本项目附近主要地表水体为陶江，符合环境质量标准要求。项目厂区生活污水经现有工程已建化粪池收集处理后，生产废水经现有工程已建污水处理设施处理达标后，分别通过市政污水管网纳入福建青口海峡环保有限公司（青口新区污水处理厂），对区域水环境质量影响较小。</w:t>
            </w:r>
          </w:p>
          <w:p w14:paraId="5A31316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②大气环境：根据大气环境质量现状调查结果可知，项目区域大气环境达到《环境空气质量标准》（GB3095-2012）中二级标准，区域大气环境具有一定的容量。项目废气经采取有效的治理措施处理后达标排放，对区域大气环境质量影响较小。</w:t>
            </w:r>
          </w:p>
          <w:p w14:paraId="1D34E63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③声环境：项目声环境功能区划为3类功能区，根据预测结果，采取相应的减振、隔声措施后，项目对周边声环境贡献值较小，周边声环境影响较小。</w:t>
            </w:r>
          </w:p>
          <w:p w14:paraId="1D2FD6F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综合分析，项目建设不会突破当地环境质量底线。</w:t>
            </w:r>
          </w:p>
          <w:p w14:paraId="28D44432">
            <w:pPr>
              <w:pStyle w:val="91"/>
              <w:keepNext w:val="0"/>
              <w:keepLines w:val="0"/>
              <w:pageBreakBefore w:val="0"/>
              <w:widowControl w:val="0"/>
              <w:tabs>
                <w:tab w:val="left" w:pos="4347"/>
              </w:tabs>
              <w:kinsoku/>
              <w:wordWrap/>
              <w:overflowPunct/>
              <w:topLinePunct w:val="0"/>
              <w:bidi w:val="0"/>
              <w:adjustRightInd w:val="0"/>
              <w:snapToGrid w:val="0"/>
              <w:spacing w:line="360" w:lineRule="auto"/>
              <w:jc w:val="both"/>
              <w:textAlignment w:val="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与周边相容性分析</w:t>
            </w:r>
          </w:p>
          <w:p w14:paraId="237C3311">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项目选址位于工业用地，周边均为工业企业，主要从事汽车配件、机械模具等的生产，距离最近敏感目标卜洲村约73m，</w:t>
            </w:r>
            <w:r>
              <w:rPr>
                <w:rFonts w:hint="eastAsia" w:ascii="Times New Roman" w:hAnsi="Times New Roman" w:eastAsia="宋体" w:cs="Times New Roman"/>
                <w:color w:val="000000" w:themeColor="text1"/>
                <w:spacing w:val="0"/>
                <w:sz w:val="24"/>
                <w:szCs w:val="24"/>
                <w:highlight w:val="none"/>
                <w:lang w:eastAsia="zh-CN"/>
                <w14:textFill>
                  <w14:solidFill>
                    <w14:schemeClr w14:val="tx1"/>
                  </w14:solidFill>
                </w14:textFill>
              </w:rPr>
              <w:t>项目周边环境现状示意图详见附图</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pacing w:val="0"/>
                <w:sz w:val="24"/>
                <w:szCs w:val="24"/>
                <w:highlight w:val="none"/>
                <w:lang w:eastAsia="zh-CN"/>
                <w14:textFill>
                  <w14:solidFill>
                    <w14:schemeClr w14:val="tx1"/>
                  </w14:solidFill>
                </w14:textFill>
              </w:rPr>
              <w:t>项目周边环境现状拍摄图详见附图</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环境现状监测资料可知，项目所在区域环境质量较好，满足其相应的功能区规划要求。建设单位在切实落实本评价提出的各项污染治理措施的前提下，可实现污染物达标排放，且各污染物排放源强较低，运营期产生的“三废”及噪声对周边环境影响不明显，因此，项目建设与周边环境基本相容。</w:t>
            </w:r>
          </w:p>
          <w:p w14:paraId="78862B9E">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14:paraId="718FA29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14:paraId="7E0BB4F8">
            <w:pPr>
              <w:pStyle w:val="91"/>
              <w:tabs>
                <w:tab w:val="left" w:pos="4347"/>
              </w:tabs>
              <w:adjustRightInd/>
              <w:spacing w:line="360" w:lineRule="auto"/>
              <w:jc w:val="both"/>
              <w:outlineLvl w:val="2"/>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生态环境分区管控</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要求的符合性分析</w:t>
            </w:r>
          </w:p>
          <w:p w14:paraId="6CA539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eastAsia" w:ascii="Times New Roman" w:hAnsi="Times New Roman" w:eastAsia="宋体"/>
                <w:color w:val="000000" w:themeColor="text1"/>
                <w:sz w:val="24"/>
                <w:szCs w:val="24"/>
                <w14:textFill>
                  <w14:solidFill>
                    <w14:schemeClr w14:val="tx1"/>
                  </w14:solidFill>
                </w14:textFill>
              </w:rPr>
              <w:t>《福州市生态环境局关于发布福州市2024年生态环境分区管控动态更新成果的通知》（榕环保综〔2025〕1号）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，项目与福州市生态环境分区管控方案要求符合性分析如下（本项目生态环境分区管控综合查询详见附件</w:t>
            </w:r>
            <w:r>
              <w:rPr>
                <w:rFonts w:hint="eastAsia"/>
                <w:color w:val="000000" w:themeColor="text1"/>
                <w:lang w:val="en-US" w:eastAsia="zh-CN"/>
                <w14:textFill>
                  <w14:solidFill>
                    <w14:schemeClr w14:val="tx1"/>
                  </w14:solidFill>
                </w14:textFill>
              </w:rPr>
              <w:t>十五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65D42C1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生态红线</w:t>
            </w:r>
          </w:p>
          <w:p w14:paraId="58E6AFA4">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建设单位针对现有工程车间布局进行调整，并</w:t>
            </w:r>
            <w:r>
              <w:rPr>
                <w:rFonts w:hint="eastAsia" w:ascii="Times New Roman" w:hAnsi="Times New Roman" w:eastAsia="宋体"/>
                <w:color w:val="000000" w:themeColor="text1"/>
                <w:sz w:val="24"/>
                <w:szCs w:val="24"/>
                <w:lang w:val="en-US" w:eastAsia="zh-CN"/>
                <w14:textFill>
                  <w14:solidFill>
                    <w14:schemeClr w14:val="tx1"/>
                  </w14:solidFill>
                </w14:textFill>
              </w:rPr>
              <w:t>租赁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远洋（福建）阀门制造有限公司已建厂房</w:t>
            </w:r>
            <w:r>
              <w:rPr>
                <w:rFonts w:hint="eastAsia" w:ascii="Times New Roman" w:hAnsi="Times New Roman" w:eastAsia="宋体"/>
                <w:color w:val="000000" w:themeColor="text1"/>
                <w:sz w:val="24"/>
                <w:szCs w:val="24"/>
                <w:lang w:val="en-US" w:eastAsia="zh-CN"/>
                <w14:textFill>
                  <w14:solidFill>
                    <w14:schemeClr w14:val="tx1"/>
                  </w14:solidFill>
                </w14:textFill>
              </w:rPr>
              <w:t>进行扩建</w:t>
            </w:r>
            <w:r>
              <w:rPr>
                <w:rFonts w:hint="eastAsia"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lang w:val="en-US" w:eastAsia="zh-CN"/>
                <w14:textFill>
                  <w14:solidFill>
                    <w14:schemeClr w14:val="tx1"/>
                  </w14:solidFill>
                </w14:textFill>
              </w:rPr>
              <w:t>出租方</w:t>
            </w:r>
            <w:r>
              <w:rPr>
                <w:rFonts w:hint="eastAsia" w:ascii="Times New Roman" w:hAnsi="Times New Roman" w:eastAsia="宋体"/>
                <w:color w:val="000000" w:themeColor="text1"/>
                <w:sz w:val="24"/>
                <w:szCs w:val="24"/>
                <w14:textFill>
                  <w14:solidFill>
                    <w14:schemeClr w14:val="tx1"/>
                  </w14:solidFill>
                </w14:textFill>
              </w:rPr>
              <w:t>已取得不动产权证[闽</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20</w:t>
            </w:r>
            <w:r>
              <w:rPr>
                <w:rFonts w:hint="eastAsia" w:ascii="Times New Roman" w:hAnsi="Times New Roman" w:eastAsia="宋体"/>
                <w:color w:val="000000" w:themeColor="text1"/>
                <w:sz w:val="24"/>
                <w:szCs w:val="24"/>
                <w:lang w:val="en-US" w:eastAsia="zh-CN"/>
                <w14:textFill>
                  <w14:solidFill>
                    <w14:schemeClr w14:val="tx1"/>
                  </w14:solidFill>
                </w14:textFill>
              </w:rPr>
              <w:t>19）</w:t>
            </w:r>
            <w:r>
              <w:rPr>
                <w:rFonts w:hint="eastAsia" w:ascii="Times New Roman" w:hAnsi="Times New Roman" w:eastAsia="宋体"/>
                <w:color w:val="000000" w:themeColor="text1"/>
                <w:sz w:val="24"/>
                <w:szCs w:val="24"/>
                <w14:textFill>
                  <w14:solidFill>
                    <w14:schemeClr w14:val="tx1"/>
                  </w14:solidFill>
                </w14:textFill>
              </w:rPr>
              <w:t>闽侯县不动产权第</w:t>
            </w:r>
            <w:r>
              <w:rPr>
                <w:rFonts w:hint="eastAsia" w:ascii="Times New Roman" w:hAnsi="Times New Roman" w:eastAsia="宋体"/>
                <w:color w:val="000000" w:themeColor="text1"/>
                <w:sz w:val="24"/>
                <w:szCs w:val="24"/>
                <w:lang w:val="en-US" w:eastAsia="zh-CN"/>
                <w14:textFill>
                  <w14:solidFill>
                    <w14:schemeClr w14:val="tx1"/>
                  </w14:solidFill>
                </w14:textFill>
              </w:rPr>
              <w:t>0014141</w:t>
            </w:r>
            <w:r>
              <w:rPr>
                <w:rFonts w:hint="eastAsia" w:ascii="Times New Roman" w:hAnsi="Times New Roman" w:eastAsia="宋体"/>
                <w:color w:val="000000" w:themeColor="text1"/>
                <w:sz w:val="24"/>
                <w:szCs w:val="24"/>
                <w14:textFill>
                  <w14:solidFill>
                    <w14:schemeClr w14:val="tx1"/>
                  </w14:solidFill>
                </w14:textFill>
              </w:rPr>
              <w:t>号]，属于工业用地，经对照福州市</w:t>
            </w:r>
            <w:r>
              <w:rPr>
                <w:rFonts w:hint="eastAsia" w:ascii="Times New Roman" w:hAnsi="Times New Roman" w:eastAsia="宋体"/>
                <w:color w:val="000000" w:themeColor="text1"/>
                <w:sz w:val="24"/>
                <w:szCs w:val="24"/>
                <w:lang w:eastAsia="zh-CN"/>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三区三线</w:t>
            </w:r>
            <w:r>
              <w:rPr>
                <w:rFonts w:hint="eastAsia" w:ascii="Times New Roman" w:hAnsi="Times New Roman" w:eastAsia="宋体"/>
                <w:color w:val="000000" w:themeColor="text1"/>
                <w:sz w:val="24"/>
                <w:szCs w:val="24"/>
                <w:lang w:eastAsia="zh-CN"/>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生态保护红线划定成果</w:t>
            </w:r>
            <w:r>
              <w:rPr>
                <w:rFonts w:hint="eastAsia" w:ascii="Times New Roman" w:hAnsi="Times New Roman" w:eastAsia="宋体"/>
                <w:color w:val="000000" w:themeColor="text1"/>
                <w:sz w:val="24"/>
                <w:szCs w:val="24"/>
                <w14:textFill>
                  <w14:solidFill>
                    <w14:schemeClr w14:val="tx1"/>
                  </w14:solidFill>
                </w14:textFill>
              </w:rPr>
              <w:t>和一般生态空间划定成果</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项目</w:t>
            </w:r>
            <w:r>
              <w:rPr>
                <w:rFonts w:ascii="Times New Roman" w:hAnsi="Times New Roman" w:eastAsia="宋体"/>
                <w:color w:val="000000" w:themeColor="text1"/>
                <w:sz w:val="24"/>
                <w:szCs w:val="24"/>
                <w14:textFill>
                  <w14:solidFill>
                    <w14:schemeClr w14:val="tx1"/>
                  </w14:solidFill>
                </w14:textFill>
              </w:rPr>
              <w:t>选址不涉及</w:t>
            </w:r>
            <w:r>
              <w:rPr>
                <w:rFonts w:hint="eastAsia" w:ascii="Times New Roman" w:hAnsi="Times New Roman" w:eastAsia="宋体"/>
                <w:color w:val="000000" w:themeColor="text1"/>
                <w:sz w:val="24"/>
                <w:szCs w:val="24"/>
                <w14:textFill>
                  <w14:solidFill>
                    <w14:schemeClr w14:val="tx1"/>
                  </w14:solidFill>
                </w14:textFill>
              </w:rPr>
              <w:t>福州市</w:t>
            </w:r>
            <w:r>
              <w:rPr>
                <w:rFonts w:ascii="Times New Roman" w:hAnsi="Times New Roman" w:eastAsia="宋体"/>
                <w:color w:val="000000" w:themeColor="text1"/>
                <w:sz w:val="24"/>
                <w:szCs w:val="24"/>
                <w14:textFill>
                  <w14:solidFill>
                    <w14:schemeClr w14:val="tx1"/>
                  </w14:solidFill>
                </w14:textFill>
              </w:rPr>
              <w:t>陆域生态保护红线，不涉及生态环境敏感区域、各类自然保护地、沿海基干林带、省级以上生态公益林和天然阔叶林，不涉及陆域一般生态空间。</w:t>
            </w:r>
          </w:p>
          <w:p w14:paraId="79558A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因此项目建设与生态保护红线</w:t>
            </w:r>
            <w:r>
              <w:rPr>
                <w:rFonts w:hint="eastAsia" w:ascii="Times New Roman" w:hAnsi="Times New Roman" w:eastAsia="宋体"/>
                <w:color w:val="000000" w:themeColor="text1"/>
                <w:sz w:val="24"/>
                <w:szCs w:val="24"/>
                <w14:textFill>
                  <w14:solidFill>
                    <w14:schemeClr w14:val="tx1"/>
                  </w14:solidFill>
                </w14:textFill>
              </w:rPr>
              <w:t>及</w:t>
            </w:r>
            <w:r>
              <w:rPr>
                <w:rFonts w:ascii="Times New Roman" w:hAnsi="Times New Roman" w:eastAsia="宋体"/>
                <w:color w:val="000000" w:themeColor="text1"/>
                <w:sz w:val="24"/>
                <w:szCs w:val="24"/>
                <w14:textFill>
                  <w14:solidFill>
                    <w14:schemeClr w14:val="tx1"/>
                  </w14:solidFill>
                </w14:textFill>
              </w:rPr>
              <w:t>一般生态空间管控要求不冲突。</w:t>
            </w:r>
          </w:p>
          <w:p w14:paraId="7737F72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环境质量底线</w:t>
            </w:r>
          </w:p>
          <w:p w14:paraId="11C31FCD">
            <w:p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根据福州市人民政府网站发布的公布的福州市环境质量状况，项目所在区域环境空气符合《环境空气质量标准》</w:t>
            </w:r>
            <w:r>
              <w:rPr>
                <w:rFonts w:hint="eastAsia" w:ascii="Times New Roman" w:hAnsi="Times New Roman" w:eastAsia="宋体"/>
                <w:color w:val="000000" w:themeColor="text1"/>
                <w:sz w:val="24"/>
                <w:szCs w:val="24"/>
                <w:lang w:eastAsia="zh-CN"/>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GB3095-2012</w:t>
            </w:r>
            <w:r>
              <w:rPr>
                <w:rFonts w:hint="eastAsia" w:ascii="Times New Roman" w:hAnsi="Times New Roman" w:eastAsia="宋体"/>
                <w:color w:val="000000" w:themeColor="text1"/>
                <w:sz w:val="24"/>
                <w:szCs w:val="24"/>
                <w:lang w:eastAsia="zh-CN"/>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二级标准、地表水质量各项指标均满足《地表水环境质量标准》</w:t>
            </w:r>
            <w:r>
              <w:rPr>
                <w:rFonts w:hint="eastAsia" w:ascii="Times New Roman" w:hAnsi="Times New Roman" w:eastAsia="宋体"/>
                <w:color w:val="000000" w:themeColor="text1"/>
                <w:sz w:val="24"/>
                <w:szCs w:val="24"/>
                <w:lang w:eastAsia="zh-CN"/>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GB3838-2002</w:t>
            </w:r>
            <w:r>
              <w:rPr>
                <w:rFonts w:hint="eastAsia" w:ascii="Times New Roman" w:hAnsi="Times New Roman" w:eastAsia="宋体"/>
                <w:color w:val="000000" w:themeColor="text1"/>
                <w:sz w:val="24"/>
                <w:szCs w:val="24"/>
                <w:lang w:eastAsia="zh-CN"/>
                <w14:textFill>
                  <w14:solidFill>
                    <w14:schemeClr w14:val="tx1"/>
                  </w14:solidFill>
                </w14:textFill>
              </w:rPr>
              <w:t>）</w:t>
            </w:r>
            <w:r>
              <w:rPr>
                <w:rFonts w:ascii="Times New Roman" w:hAnsi="Times New Roman" w:eastAsia="宋体"/>
                <w:color w:val="000000" w:themeColor="text1"/>
                <w:sz w:val="24"/>
                <w:szCs w:val="24"/>
                <w14:textFill>
                  <w14:solidFill>
                    <w14:schemeClr w14:val="tx1"/>
                  </w14:solidFill>
                </w14:textFill>
              </w:rPr>
              <w:t>中</w:t>
            </w:r>
            <w:r>
              <w:rPr>
                <w:rFonts w:hint="eastAsia" w:ascii="Times New Roman" w:hAnsi="Times New Roman" w:eastAsia="宋体" w:cs="宋体"/>
                <w:color w:val="000000" w:themeColor="text1"/>
                <w:sz w:val="24"/>
                <w:szCs w:val="24"/>
                <w14:textFill>
                  <w14:solidFill>
                    <w14:schemeClr w14:val="tx1"/>
                  </w14:solidFill>
                </w14:textFill>
              </w:rPr>
              <w:t>Ⅲ</w:t>
            </w:r>
            <w:r>
              <w:rPr>
                <w:rFonts w:hint="eastAsia" w:ascii="Times New Roman" w:hAnsi="Times New Roman" w:eastAsia="宋体"/>
                <w:color w:val="000000" w:themeColor="text1"/>
                <w:sz w:val="24"/>
                <w:szCs w:val="24"/>
                <w14:textFill>
                  <w14:solidFill>
                    <w14:schemeClr w14:val="tx1"/>
                  </w14:solidFill>
                </w14:textFill>
              </w:rPr>
              <w:t>类</w:t>
            </w:r>
            <w:r>
              <w:rPr>
                <w:rFonts w:ascii="Times New Roman" w:hAnsi="Times New Roman" w:eastAsia="宋体"/>
                <w:color w:val="000000" w:themeColor="text1"/>
                <w:sz w:val="24"/>
                <w:szCs w:val="24"/>
                <w14:textFill>
                  <w14:solidFill>
                    <w14:schemeClr w14:val="tx1"/>
                  </w14:solidFill>
                </w14:textFill>
              </w:rPr>
              <w:t>标准。</w:t>
            </w:r>
          </w:p>
          <w:p w14:paraId="148D65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项目厂区生活污水经现有工程已建化粪池收集处理后，生产废水经</w:t>
            </w:r>
            <w:r>
              <w:rPr>
                <w:rFonts w:hint="eastAsia" w:cs="Times New Roman"/>
                <w:color w:val="000000" w:themeColor="text1"/>
                <w:spacing w:val="0"/>
                <w:sz w:val="24"/>
                <w:szCs w:val="24"/>
                <w:highlight w:val="none"/>
                <w:lang w:val="en-US" w:eastAsia="zh-CN"/>
                <w14:textFill>
                  <w14:solidFill>
                    <w14:schemeClr w14:val="tx1"/>
                  </w14:solidFill>
                </w14:textFill>
              </w:rPr>
              <w:t>自</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建污水处理设施处理达标后，分别通过市政污水管网纳入福建青口海峡环保有限公司（青口新区污水处理厂），对区域水环境质量影响较小。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废气经采取有效的治理措施后达标排放，对区域大气环境质量影响较小。项目厂区车间地面已全部硬化，生产过程不排放持久性及重金属等污染物，要求建设单位严格按照本评价要求进行分区防渗防控，则对地下水和土壤的影响较小。</w:t>
            </w:r>
          </w:p>
          <w:p w14:paraId="55E07106">
            <w:pPr>
              <w:pStyle w:val="7"/>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因此</w:t>
            </w:r>
            <w:r>
              <w:rPr>
                <w:rFonts w:ascii="Times New Roman" w:hAnsi="Times New Roman" w:eastAsia="宋体"/>
                <w:color w:val="000000" w:themeColor="text1"/>
                <w:sz w:val="24"/>
                <w:szCs w:val="24"/>
                <w14:textFill>
                  <w14:solidFill>
                    <w14:schemeClr w14:val="tx1"/>
                  </w14:solidFill>
                </w14:textFill>
              </w:rPr>
              <w:t>项目建设不会突破区域环境质量底线。</w:t>
            </w:r>
          </w:p>
          <w:p w14:paraId="5BB5096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（3）资源利用上线</w:t>
            </w:r>
          </w:p>
          <w:p w14:paraId="17533158">
            <w:pPr>
              <w:spacing w:line="360" w:lineRule="auto"/>
              <w:ind w:firstLine="480" w:firstLineChars="200"/>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本项目</w:t>
            </w:r>
            <w:r>
              <w:rPr>
                <w:rFonts w:hint="eastAsia" w:ascii="Times New Roman" w:hAnsi="Times New Roman" w:eastAsia="宋体"/>
                <w:color w:val="000000" w:themeColor="text1"/>
                <w:sz w:val="24"/>
                <w:szCs w:val="24"/>
                <w:lang w:val="en-US" w:eastAsia="zh-CN"/>
                <w14:textFill>
                  <w14:solidFill>
                    <w14:schemeClr w14:val="tx1"/>
                  </w14:solidFill>
                </w14:textFill>
              </w:rPr>
              <w:t>租赁</w:t>
            </w:r>
            <w:r>
              <w:rPr>
                <w:rFonts w:hint="eastAsia" w:ascii="Times New Roman" w:hAnsi="Times New Roman" w:eastAsia="宋体"/>
                <w:color w:val="000000" w:themeColor="text1"/>
                <w:sz w:val="24"/>
                <w:szCs w:val="24"/>
                <w14:textFill>
                  <w14:solidFill>
                    <w14:schemeClr w14:val="tx1"/>
                  </w14:solidFill>
                </w14:textFill>
              </w:rPr>
              <w:t>已取得不动产权证的土地，因此不会突破土地资源利用上线。</w:t>
            </w:r>
            <w:r>
              <w:rPr>
                <w:rFonts w:ascii="Times New Roman" w:hAnsi="Times New Roman" w:eastAsia="宋体"/>
                <w:color w:val="000000" w:themeColor="text1"/>
                <w:sz w:val="24"/>
                <w:szCs w:val="24"/>
                <w14:textFill>
                  <w14:solidFill>
                    <w14:schemeClr w14:val="tx1"/>
                  </w14:solidFill>
                </w14:textFill>
              </w:rPr>
              <w:t>项目</w:t>
            </w:r>
            <w:r>
              <w:rPr>
                <w:rFonts w:hint="eastAsia" w:ascii="Times New Roman" w:hAnsi="Times New Roman" w:eastAsia="宋体"/>
                <w:color w:val="000000" w:themeColor="text1"/>
                <w:sz w:val="24"/>
                <w:szCs w:val="24"/>
                <w14:textFill>
                  <w14:solidFill>
                    <w14:schemeClr w14:val="tx1"/>
                  </w14:solidFill>
                </w14:textFill>
              </w:rPr>
              <w:t>不使用高污染燃料，主要使用电能</w:t>
            </w:r>
            <w:r>
              <w:rPr>
                <w:rFonts w:hint="eastAsia" w:ascii="Times New Roman" w:hAnsi="Times New Roman" w:eastAsia="宋体"/>
                <w:color w:val="000000" w:themeColor="text1"/>
                <w:sz w:val="24"/>
                <w:szCs w:val="24"/>
                <w:lang w:val="en-US" w:eastAsia="zh-CN"/>
                <w14:textFill>
                  <w14:solidFill>
                    <w14:schemeClr w14:val="tx1"/>
                  </w14:solidFill>
                </w14:textFill>
              </w:rPr>
              <w:t>和天然气</w:t>
            </w:r>
            <w:r>
              <w:rPr>
                <w:rFonts w:hint="eastAsia" w:ascii="Times New Roman" w:hAnsi="Times New Roman" w:eastAsia="宋体"/>
                <w:color w:val="000000" w:themeColor="text1"/>
                <w:sz w:val="24"/>
                <w:szCs w:val="24"/>
                <w14:textFill>
                  <w14:solidFill>
                    <w14:schemeClr w14:val="tx1"/>
                  </w14:solidFill>
                </w14:textFill>
              </w:rPr>
              <w:t>，属于清洁能源，符合能源资源利用上线要求。项目用水量不大，不属于高耗水项目，因此项目建设不会突破水资源利用上线。</w:t>
            </w:r>
          </w:p>
          <w:p w14:paraId="6057F0E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生态环境准入清单</w:t>
            </w:r>
          </w:p>
          <w:p w14:paraId="4F6A8D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根据</w:t>
            </w:r>
            <w:r>
              <w:rPr>
                <w:rFonts w:hint="eastAsia" w:ascii="Times New Roman" w:hAnsi="Times New Roman" w:eastAsia="宋体"/>
                <w:color w:val="000000" w:themeColor="text1"/>
                <w:sz w:val="24"/>
                <w:szCs w:val="24"/>
                <w14:textFill>
                  <w14:solidFill>
                    <w14:schemeClr w14:val="tx1"/>
                  </w14:solidFill>
                </w14:textFill>
              </w:rPr>
              <w:t>《福州市生态环境局关于发布福州市2024年生态环境分区管控动态更新成果的通知》（榕环保综〔2025〕1号）</w:t>
            </w:r>
            <w:r>
              <w:rPr>
                <w:rFonts w:hint="eastAsia" w:ascii="Times New Roman" w:hAnsi="Times New Roman" w:eastAsia="宋体"/>
                <w:color w:val="000000" w:themeColor="text1"/>
                <w:sz w:val="24"/>
                <w:szCs w:val="24"/>
                <w:lang w:val="en-US" w:eastAsia="zh-CN"/>
                <w14:textFill>
                  <w14:solidFill>
                    <w14:schemeClr w14:val="tx1"/>
                  </w14:solidFill>
                </w14:textFill>
              </w:rPr>
              <w:t>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福建省生态环境分区管控平台查询结果</w:t>
            </w:r>
            <w:r>
              <w:rPr>
                <w:rFonts w:hint="eastAsia" w:ascii="Times New Roman" w:hAnsi="Times New Roman" w:eastAsia="宋体"/>
                <w:color w:val="000000" w:themeColor="text1"/>
                <w:sz w:val="24"/>
                <w:szCs w:val="24"/>
                <w:lang w:val="en-US" w:eastAsia="zh-CN"/>
                <w14:textFill>
                  <w14:solidFill>
                    <w14:schemeClr w14:val="tx1"/>
                  </w14:solidFill>
                </w14:textFill>
              </w:rPr>
              <w:t>，本项目位于闽侯县祥谦镇洋下村，属于重点管控单元，本项目与福州市陆域和福建闽侯青口汽车工业园区环境管控单元准入要求符合性分析详见表1-3、表1-4。</w:t>
            </w:r>
          </w:p>
          <w:p w14:paraId="07D392A3">
            <w:pPr>
              <w:pStyle w:val="85"/>
              <w:keepNext w:val="0"/>
              <w:keepLines w:val="0"/>
              <w:pageBreakBefore w:val="0"/>
              <w:widowControl w:val="0"/>
              <w:kinsoku/>
              <w:wordWrap w:val="0"/>
              <w:overflowPunct w:val="0"/>
              <w:topLinePunct w:val="0"/>
              <w:autoSpaceDE/>
              <w:autoSpaceDN w:val="0"/>
              <w:bidi w:val="0"/>
              <w:adjustRightInd/>
              <w:snapToGrid/>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p>
        </w:tc>
      </w:tr>
    </w:tbl>
    <w:p w14:paraId="7B369D67">
      <w:pPr>
        <w:spacing w:line="360" w:lineRule="auto"/>
        <w:outlineLvl w:val="9"/>
        <w:rPr>
          <w:rFonts w:hint="default" w:ascii="Times New Roman" w:hAnsi="Times New Roman" w:eastAsia="黑体" w:cs="Times New Roman"/>
          <w:color w:val="000000" w:themeColor="text1"/>
          <w:sz w:val="30"/>
          <w14:textFill>
            <w14:solidFill>
              <w14:schemeClr w14:val="tx1"/>
            </w14:solidFill>
          </w14:textFill>
        </w:rPr>
        <w:sectPr>
          <w:footerReference r:id="rId5"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0"/>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3162"/>
      </w:tblGrid>
      <w:tr w14:paraId="0446B6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369" w:type="pct"/>
            <w:noWrap w:val="0"/>
            <w:vAlign w:val="center"/>
          </w:tcPr>
          <w:p w14:paraId="6E73DB26">
            <w:pPr>
              <w:autoSpaceDE w:val="0"/>
              <w:autoSpaceDN w:val="0"/>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其他符合性分析</w:t>
            </w:r>
          </w:p>
        </w:tc>
        <w:tc>
          <w:tcPr>
            <w:tcW w:w="4630" w:type="pct"/>
            <w:noWrap w:val="0"/>
            <w:vAlign w:val="center"/>
          </w:tcPr>
          <w:p w14:paraId="2C9F3D68">
            <w:pPr>
              <w:keepNext/>
              <w:keepLines w:val="0"/>
              <w:pageBreakBefore w:val="0"/>
              <w:widowControl w:val="0"/>
              <w:kinsoku/>
              <w:wordWrap/>
              <w:overflowPunct w:val="0"/>
              <w:topLinePunct w:val="0"/>
              <w:autoSpaceDE/>
              <w:autoSpaceDN/>
              <w:bidi w:val="0"/>
              <w:adjustRightInd/>
              <w:snapToGrid w:val="0"/>
              <w:spacing w:before="157" w:beforeLines="50" w:after="0" w:line="240" w:lineRule="auto"/>
              <w:ind w:left="0" w:firstLine="0" w:firstLineChars="0"/>
              <w:jc w:val="center"/>
              <w:textAlignment w:val="auto"/>
              <w:outlineLvl w:val="9"/>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1-3  与福州市陆域环境管控单元准入要求符合性分析</w:t>
            </w:r>
          </w:p>
          <w:tbl>
            <w:tblPr>
              <w:tblStyle w:val="30"/>
              <w:tblW w:w="4993"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558"/>
              <w:gridCol w:w="590"/>
              <w:gridCol w:w="8641"/>
              <w:gridCol w:w="2560"/>
              <w:gridCol w:w="579"/>
            </w:tblGrid>
            <w:tr w14:paraId="5A649F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215" w:type="pct"/>
                  <w:noWrap w:val="0"/>
                  <w:vAlign w:val="center"/>
                </w:tcPr>
                <w:p w14:paraId="521D43B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适用范围</w:t>
                  </w:r>
                </w:p>
              </w:tc>
              <w:tc>
                <w:tcPr>
                  <w:tcW w:w="3570" w:type="pct"/>
                  <w:gridSpan w:val="2"/>
                  <w:noWrap w:val="0"/>
                  <w:vAlign w:val="center"/>
                </w:tcPr>
                <w:p w14:paraId="6125100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准入要求</w:t>
                  </w:r>
                </w:p>
              </w:tc>
              <w:tc>
                <w:tcPr>
                  <w:tcW w:w="990" w:type="pct"/>
                  <w:noWrap w:val="0"/>
                  <w:vAlign w:val="center"/>
                </w:tcPr>
                <w:p w14:paraId="0095C00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本项目情况</w:t>
                  </w:r>
                </w:p>
              </w:tc>
              <w:tc>
                <w:tcPr>
                  <w:tcW w:w="223" w:type="pct"/>
                  <w:noWrap w:val="0"/>
                  <w:vAlign w:val="center"/>
                </w:tcPr>
                <w:p w14:paraId="726C65F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符合性</w:t>
                  </w:r>
                </w:p>
              </w:tc>
            </w:tr>
            <w:tr w14:paraId="081F01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215" w:type="pct"/>
                  <w:vMerge w:val="restart"/>
                  <w:noWrap w:val="0"/>
                  <w:vAlign w:val="center"/>
                </w:tcPr>
                <w:p w14:paraId="5D5BF96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福州市</w:t>
                  </w:r>
                  <w:r>
                    <w:rPr>
                      <w:rFonts w:hint="default" w:ascii="Times New Roman" w:hAnsi="Times New Roman" w:eastAsia="宋体" w:cs="Times New Roman"/>
                      <w:b w:val="0"/>
                      <w:bCs w:val="0"/>
                      <w:color w:val="000000" w:themeColor="text1"/>
                      <w:sz w:val="21"/>
                      <w:szCs w:val="21"/>
                      <w14:textFill>
                        <w14:solidFill>
                          <w14:schemeClr w14:val="tx1"/>
                        </w14:solidFill>
                      </w14:textFill>
                    </w:rPr>
                    <w:t>陆域</w:t>
                  </w:r>
                </w:p>
              </w:tc>
              <w:tc>
                <w:tcPr>
                  <w:tcW w:w="228" w:type="pct"/>
                  <w:vMerge w:val="restart"/>
                  <w:noWrap w:val="0"/>
                  <w:vAlign w:val="center"/>
                </w:tcPr>
                <w:p w14:paraId="175D6D8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空间布局约束</w:t>
                  </w:r>
                </w:p>
              </w:tc>
              <w:tc>
                <w:tcPr>
                  <w:tcW w:w="3341" w:type="pct"/>
                  <w:noWrap w:val="0"/>
                  <w:vAlign w:val="center"/>
                </w:tcPr>
                <w:p w14:paraId="11321F20">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优先保护单元中的生态保护红线</w:t>
                  </w:r>
                </w:p>
                <w:p w14:paraId="069B5C27">
                  <w:pPr>
                    <w:pStyle w:val="11"/>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1.</w:t>
                  </w:r>
                  <w:r>
                    <w:rPr>
                      <w:rFonts w:hint="eastAsia" w:ascii="Times New Roman" w:hAnsi="Times New Roman" w:eastAsia="宋体"/>
                      <w:b w:val="0"/>
                      <w:bCs w:val="0"/>
                      <w:color w:val="000000" w:themeColor="text1"/>
                      <w:sz w:val="21"/>
                      <w:szCs w:val="21"/>
                      <w:lang w:eastAsia="zh-CN"/>
                      <w14:textFill>
                        <w14:solidFill>
                          <w14:schemeClr w14:val="tx1"/>
                        </w14:solidFill>
                      </w14:textFill>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2781149E">
                  <w:pPr>
                    <w:pStyle w:val="11"/>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right="0" w:rightChars="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管护巡护、保护执法、科学研究、调查监测、测绘导航、防灾减灾救灾、军事国防、疫情防控等活动及相关的必要设施修筑。</w:t>
                  </w:r>
                </w:p>
                <w:p w14:paraId="7485FEEF">
                  <w:pPr>
                    <w:pStyle w:val="11"/>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13AB6232">
                  <w:pPr>
                    <w:pStyle w:val="11"/>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经依法批准的考古调查发掘、古生物化石调查发掘、标本采集和文物保护活动。</w:t>
                  </w:r>
                </w:p>
                <w:p w14:paraId="3C677FA0">
                  <w:pPr>
                    <w:pStyle w:val="11"/>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按规定对人工商品林进行抚育采伐，或以提升森林质量、优化栖息地、建设生物防火隔离带等为目的的树种更新，依法开展的竹林采伐经营。</w:t>
                  </w:r>
                </w:p>
                <w:p w14:paraId="27C65F20">
                  <w:pPr>
                    <w:pStyle w:val="11"/>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不破坏生态功能的适度参观旅游、科普宣教及符合相关规划的配套性服务设施和相关的必要公共设施建设及维护。</w:t>
                  </w:r>
                </w:p>
                <w:p w14:paraId="36D4F592">
                  <w:pPr>
                    <w:pStyle w:val="11"/>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必须且无法避让、符合县级以上国土空间规划的线性基础设施、通讯和防洪、供水设施建设和船舶航行、航道疏浚清淤等活动；已有的合法水利、交通运输等设施运行维护改造。</w:t>
                  </w:r>
                </w:p>
                <w:p w14:paraId="1CB24BA8">
                  <w:pPr>
                    <w:pStyle w:val="11"/>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5873845A">
                  <w:pPr>
                    <w:pStyle w:val="11"/>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依据县级以上国土空间规划和生态保护修复专项规划开展的生态修复。</w:t>
                  </w:r>
                </w:p>
                <w:p w14:paraId="6EDB43E2">
                  <w:pPr>
                    <w:pStyle w:val="11"/>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0" w:rightChars="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（9）法律法规规定允许的其他人为活动。</w:t>
                  </w:r>
                </w:p>
                <w:p w14:paraId="6723B822">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2.依据《福建省自然资源厅福建省生态环境厅福建省林业局关于进一步加强生态保护红线监管的通知（试行）》（闽自然资发〔2023〕56号），允许占用生态保护红线的重大项目范围：</w:t>
                  </w:r>
                </w:p>
                <w:p w14:paraId="0B91C476">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（1）党中央、国务院发布文件或批准规划中明确具体名称的项目和国务院批准的项目。</w:t>
                  </w:r>
                </w:p>
                <w:p w14:paraId="6967F407">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（2）中央军委及其有关部门批准的军事国防项目。</w:t>
                  </w:r>
                </w:p>
                <w:p w14:paraId="0BEA0473">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（3）国家级规划（指国务院及其有关部门正式颁布）明确的交通、水利项目。</w:t>
                  </w:r>
                </w:p>
                <w:p w14:paraId="398BABB7">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（4）国家级规划明确的电网项目，国家级规划明确的且符合国家产业政策的能源矿产勘查开采、油气管线、水电、核电项目。</w:t>
                  </w:r>
                </w:p>
                <w:p w14:paraId="00965A5B">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（5）为贯彻落实党中央、国务院重大决策部署，国务院投资主管部门或国务院投资主管部门会同有关部门确认的交通、能源、水利等基础设施项目。</w:t>
                  </w:r>
                </w:p>
                <w:p w14:paraId="3BC6A661">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textAlignment w:val="auto"/>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（6）按照国家重大项目用地保障工作机制要求，国家发展改革委会同有关部门确认的需中央加大建</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设用地保障力度，确实难以避让的国家重大项目。</w:t>
                  </w:r>
                </w:p>
              </w:tc>
              <w:tc>
                <w:tcPr>
                  <w:tcW w:w="990" w:type="pct"/>
                  <w:noWrap w:val="0"/>
                  <w:vAlign w:val="center"/>
                </w:tcPr>
                <w:p w14:paraId="6701FF94">
                  <w:pPr>
                    <w:pStyle w:val="11"/>
                    <w:keepNext w:val="0"/>
                    <w:keepLines w:val="0"/>
                    <w:pageBreakBefore w:val="0"/>
                    <w:kinsoku/>
                    <w:wordWrap/>
                    <w:overflowPunct/>
                    <w:topLinePunct w:val="0"/>
                    <w:autoSpaceDE/>
                    <w:autoSpaceDN/>
                    <w:bidi w:val="0"/>
                    <w:spacing w:before="0" w:after="0" w:line="240" w:lineRule="auto"/>
                    <w:ind w:right="0" w:firstLine="0" w:firstLineChars="0"/>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本项目租赁</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远洋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福建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阀门制造有限公司</w:t>
                  </w:r>
                  <w:r>
                    <w:rPr>
                      <w:rFonts w:hint="eastAsia" w:ascii="Times New Roman" w:hAnsi="Times New Roman" w:eastAsia="宋体"/>
                      <w:b w:val="0"/>
                      <w:bCs w:val="0"/>
                      <w:color w:val="000000" w:themeColor="text1"/>
                      <w:sz w:val="21"/>
                      <w:szCs w:val="21"/>
                      <w:lang w:eastAsia="zh-CN"/>
                      <w14:textFill>
                        <w14:solidFill>
                          <w14:schemeClr w14:val="tx1"/>
                        </w14:solidFill>
                      </w14:textFill>
                    </w:rPr>
                    <w:t>闽侯县祥谦镇洋下村洋辅路5号已建厂房进行</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改</w:t>
                  </w:r>
                  <w:r>
                    <w:rPr>
                      <w:rFonts w:hint="eastAsia" w:ascii="Times New Roman" w:hAnsi="Times New Roman" w:eastAsia="宋体"/>
                      <w:b w:val="0"/>
                      <w:bCs w:val="0"/>
                      <w:color w:val="000000" w:themeColor="text1"/>
                      <w:sz w:val="21"/>
                      <w:szCs w:val="21"/>
                      <w:lang w:eastAsia="zh-CN"/>
                      <w14:textFill>
                        <w14:solidFill>
                          <w14:schemeClr w14:val="tx1"/>
                        </w14:solidFill>
                      </w14:textFill>
                    </w:rPr>
                    <w:t>扩建</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，出租方厂房已取得不动产权证</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不</w:t>
                  </w:r>
                  <w:r>
                    <w:rPr>
                      <w:rFonts w:hint="eastAsia" w:ascii="Times New Roman" w:hAnsi="Times New Roman" w:eastAsia="宋体"/>
                      <w:b w:val="0"/>
                      <w:bCs w:val="0"/>
                      <w:color w:val="000000" w:themeColor="text1"/>
                      <w:sz w:val="21"/>
                      <w:szCs w:val="21"/>
                      <w:lang w:eastAsia="zh-CN"/>
                      <w14:textFill>
                        <w14:solidFill>
                          <w14:schemeClr w14:val="tx1"/>
                        </w14:solidFill>
                      </w14:textFill>
                    </w:rPr>
                    <w:t>涉及生态保护红线。</w:t>
                  </w:r>
                </w:p>
              </w:tc>
              <w:tc>
                <w:tcPr>
                  <w:tcW w:w="223" w:type="pct"/>
                  <w:noWrap w:val="0"/>
                  <w:vAlign w:val="center"/>
                </w:tcPr>
                <w:p w14:paraId="78FEEEB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符合</w:t>
                  </w:r>
                </w:p>
              </w:tc>
            </w:tr>
            <w:tr w14:paraId="445D74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215" w:type="pct"/>
                  <w:vMerge w:val="continue"/>
                  <w:noWrap w:val="0"/>
                  <w:vAlign w:val="center"/>
                </w:tcPr>
                <w:p w14:paraId="1165616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228" w:type="pct"/>
                  <w:vMerge w:val="continue"/>
                  <w:noWrap w:val="0"/>
                  <w:vAlign w:val="center"/>
                </w:tcPr>
                <w:p w14:paraId="10F5787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3341" w:type="pct"/>
                  <w:noWrap w:val="0"/>
                  <w:vAlign w:val="center"/>
                </w:tcPr>
                <w:p w14:paraId="2EB83D1A">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二、优先保护单元中的一般生态空间</w:t>
                  </w:r>
                </w:p>
                <w:p w14:paraId="30837513">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1.一般生态空间以保护和修复生态环境、提供生态产品和服务为首要任务，因地制宜地发展不影响主体功能定位的适宜产业。</w:t>
                  </w:r>
                </w:p>
                <w:p w14:paraId="12DA8673">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2.一般生态空间内未纳入生态保护红线的饮用水水源保护区等各类法定保护地，其管控要求依照相关法律法规执行。</w:t>
                  </w:r>
                </w:p>
                <w:p w14:paraId="19BC2FCF">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3.一般生态空间内现有合法的水泥厂、矿山开发等生产性设施及生活垃圾处置等民生工程予以保留，应按照法律法规要求落实污染防治和生态保护措施，避免对生态功能造成破坏。</w:t>
                  </w:r>
                </w:p>
              </w:tc>
              <w:tc>
                <w:tcPr>
                  <w:tcW w:w="990" w:type="pct"/>
                  <w:noWrap w:val="0"/>
                  <w:vAlign w:val="center"/>
                </w:tcPr>
                <w:p w14:paraId="0A16D71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本项目租赁</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远洋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福建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阀门制造有限公司</w:t>
                  </w:r>
                  <w:r>
                    <w:rPr>
                      <w:rFonts w:hint="eastAsia" w:ascii="Times New Roman" w:hAnsi="Times New Roman" w:eastAsia="宋体"/>
                      <w:b w:val="0"/>
                      <w:bCs w:val="0"/>
                      <w:color w:val="000000" w:themeColor="text1"/>
                      <w:sz w:val="21"/>
                      <w:szCs w:val="21"/>
                      <w:lang w:eastAsia="zh-CN"/>
                      <w14:textFill>
                        <w14:solidFill>
                          <w14:schemeClr w14:val="tx1"/>
                        </w14:solidFill>
                      </w14:textFill>
                    </w:rPr>
                    <w:t>闽侯县祥谦镇洋下村洋辅路5号已建厂房进行</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改</w:t>
                  </w:r>
                  <w:r>
                    <w:rPr>
                      <w:rFonts w:hint="eastAsia" w:ascii="Times New Roman" w:hAnsi="Times New Roman" w:eastAsia="宋体"/>
                      <w:b w:val="0"/>
                      <w:bCs w:val="0"/>
                      <w:color w:val="000000" w:themeColor="text1"/>
                      <w:sz w:val="21"/>
                      <w:szCs w:val="21"/>
                      <w:lang w:eastAsia="zh-CN"/>
                      <w14:textFill>
                        <w14:solidFill>
                          <w14:schemeClr w14:val="tx1"/>
                        </w14:solidFill>
                      </w14:textFill>
                    </w:rPr>
                    <w:t>扩建</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，出租方厂房已取得不动产权证</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项目不涉及一般生态空间。</w:t>
                  </w:r>
                </w:p>
              </w:tc>
              <w:tc>
                <w:tcPr>
                  <w:tcW w:w="223" w:type="pct"/>
                  <w:noWrap w:val="0"/>
                  <w:vAlign w:val="center"/>
                </w:tcPr>
                <w:p w14:paraId="3A032D1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符合</w:t>
                  </w:r>
                </w:p>
              </w:tc>
            </w:tr>
            <w:tr w14:paraId="4FA134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215" w:type="pct"/>
                  <w:vMerge w:val="continue"/>
                  <w:noWrap w:val="0"/>
                  <w:vAlign w:val="center"/>
                </w:tcPr>
                <w:p w14:paraId="47CF9EE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228" w:type="pct"/>
                  <w:vMerge w:val="continue"/>
                  <w:noWrap w:val="0"/>
                  <w:vAlign w:val="center"/>
                </w:tcPr>
                <w:p w14:paraId="2DCAF8E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3341" w:type="pct"/>
                  <w:noWrap w:val="0"/>
                  <w:vAlign w:val="center"/>
                </w:tcPr>
                <w:p w14:paraId="387B6A12">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left"/>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三</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、其他要求</w:t>
                  </w:r>
                </w:p>
                <w:p w14:paraId="6AB146DC">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left"/>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1.福州市石化中上游项目重点在福州江阴港城经济区、可门港经济区化工新材料产业园布局。</w:t>
                  </w:r>
                </w:p>
                <w:p w14:paraId="596EAA13">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left"/>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2.禁止在闽江马尾罗星塔以上流域范围新、扩建制革项目，严控新（扩）建植物制浆、印染、合成革及人造革、电镀项目。</w:t>
                  </w:r>
                </w:p>
                <w:p w14:paraId="46A793D3">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left"/>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3.禁止在通风廊道和主导风向的上风向布局大气重污染企业，推进建成区大气重污染企业搬迁或升级改造、环境风险企业搬迁或关闭退出。</w:t>
                  </w:r>
                </w:p>
                <w:p w14:paraId="3FFB4CCF">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left"/>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4.禁止新、改、扩建生产高VOCs含量有机溶剂型涂料、油墨和胶黏剂的项目。</w:t>
                  </w:r>
                </w:p>
                <w:p w14:paraId="1C2430FE">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left"/>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5.持续加强闽清等地建陶产业的环境综合治理，充分衔接国土空间规划和生态环境分区管控，并对照产业政策、城市总体发展规划等要求，进一步明确发展定位，优化产业布局和规模。</w:t>
                  </w:r>
                </w:p>
                <w:p w14:paraId="0A158CBB">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left"/>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6.新建、扩建的涉及重点重金属污染物</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64A87772">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left"/>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7.禁止在流域上游新建、扩建重污染企业和项目。</w:t>
                  </w:r>
                </w:p>
                <w:p w14:paraId="3B7BB77F">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left"/>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8.重要敏感水体及富营养化湖库生态缓冲带除相关政府部门批准的科学研究活动外，禁止其它可能对保护区构成危害或不良影响的大规模生产、建设活动。</w:t>
                  </w:r>
                </w:p>
                <w:p w14:paraId="667A9F02">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left"/>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9.新、改、扩建煤电、钢铁、建材、石化、化工等“两高”项目，严格落实国家、省、市产业规划、产业政策、“三线一单”、规划环评，以及产能置换、煤炭消费减量替代、区域污染削减等相关要求。</w:t>
                  </w:r>
                </w:p>
                <w:p w14:paraId="1B53AD1C">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left"/>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10.单元内涉及永久基本农田的，应按照《福建省基本农田保护条例》（2010年修正本）、《国土资源部关于全面实行永久基本农田特殊保护的通知》（国土资规〔2018〕1号）、《中共中央国务院关于加强耕地保护和改进占补平衡的意见》（2017年1月9日）等相关文件要求进行严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990" w:type="pct"/>
                  <w:noWrap w:val="0"/>
                  <w:vAlign w:val="center"/>
                </w:tcPr>
                <w:p w14:paraId="057ECF2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1.项目不属于石化项目；</w:t>
                  </w:r>
                </w:p>
                <w:p w14:paraId="48F5712B">
                  <w:pPr>
                    <w:pStyle w:val="11"/>
                    <w:keepNext w:val="0"/>
                    <w:keepLines w:val="0"/>
                    <w:pageBreakBefore w:val="0"/>
                    <w:kinsoku/>
                    <w:wordWrap/>
                    <w:overflowPunct/>
                    <w:topLinePunct w:val="0"/>
                    <w:autoSpaceDE/>
                    <w:autoSpaceDN/>
                    <w:bidi w:val="0"/>
                    <w:spacing w:before="0" w:after="0" w:line="240" w:lineRule="auto"/>
                    <w:ind w:right="0" w:firstLine="0" w:firstLineChars="0"/>
                    <w:jc w:val="left"/>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2.项目不属于制革项目，也不属于植物制浆、印染、合成革及人造革、电镀项目；</w:t>
                  </w:r>
                </w:p>
                <w:p w14:paraId="61D424C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3.项目废气经处理后可达标排放，不属于大气重污染企业；</w:t>
                  </w:r>
                </w:p>
                <w:p w14:paraId="4ACD1DD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4.项目不属于生产高VOCs含量有机溶剂型涂料、油墨和胶黏剂的项目；</w:t>
                  </w:r>
                </w:p>
                <w:p w14:paraId="30C1218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5.项目不属于建陶行业；</w:t>
                  </w:r>
                </w:p>
                <w:p w14:paraId="1037C746">
                  <w:pPr>
                    <w:keepNext w:val="0"/>
                    <w:keepLines w:val="0"/>
                    <w:pageBreakBefore w:val="0"/>
                    <w:kinsoku/>
                    <w:wordWrap/>
                    <w:overflowPunct/>
                    <w:topLinePunct w:val="0"/>
                    <w:autoSpaceDE/>
                    <w:autoSpaceDN/>
                    <w:bidi w:val="0"/>
                    <w:spacing w:line="240" w:lineRule="auto"/>
                    <w:ind w:right="0" w:firstLine="0" w:firstLineChars="0"/>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6.项目不涉及重点重金属污染物排放，不属于低端落后产能项目，不涉及使用汞的电石法（聚）氯乙烯生产工艺，不属于电镀企业；</w:t>
                  </w:r>
                </w:p>
                <w:p w14:paraId="083F86A8">
                  <w:pPr>
                    <w:pStyle w:val="11"/>
                    <w:keepNext w:val="0"/>
                    <w:keepLines w:val="0"/>
                    <w:pageBreakBefore w:val="0"/>
                    <w:kinsoku/>
                    <w:wordWrap/>
                    <w:overflowPunct/>
                    <w:topLinePunct w:val="0"/>
                    <w:autoSpaceDE/>
                    <w:autoSpaceDN/>
                    <w:bidi w:val="0"/>
                    <w:spacing w:before="0" w:after="0" w:line="240" w:lineRule="auto"/>
                    <w:ind w:right="0" w:firstLine="0" w:firstLineChars="0"/>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7.项目不属于重污染企业和项目；</w:t>
                  </w:r>
                </w:p>
                <w:p w14:paraId="069E684D">
                  <w:pPr>
                    <w:keepNext w:val="0"/>
                    <w:keepLines w:val="0"/>
                    <w:pageBreakBefore w:val="0"/>
                    <w:kinsoku/>
                    <w:wordWrap/>
                    <w:overflowPunct/>
                    <w:topLinePunct w:val="0"/>
                    <w:autoSpaceDE/>
                    <w:autoSpaceDN/>
                    <w:bidi w:val="0"/>
                    <w:spacing w:line="240" w:lineRule="auto"/>
                    <w:ind w:right="0" w:firstLine="0" w:firstLineChars="0"/>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8.项目不位于重要敏感水体及富营养化湖库生态缓冲带；</w:t>
                  </w:r>
                </w:p>
                <w:p w14:paraId="33E00B4F">
                  <w:pPr>
                    <w:pStyle w:val="11"/>
                    <w:keepNext w:val="0"/>
                    <w:keepLines w:val="0"/>
                    <w:pageBreakBefore w:val="0"/>
                    <w:kinsoku/>
                    <w:wordWrap/>
                    <w:overflowPunct/>
                    <w:topLinePunct w:val="0"/>
                    <w:autoSpaceDE/>
                    <w:autoSpaceDN/>
                    <w:bidi w:val="0"/>
                    <w:spacing w:before="0" w:after="0" w:line="240" w:lineRule="auto"/>
                    <w:ind w:right="0" w:firstLine="0" w:firstLineChars="0"/>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9.项目不属于煤电、钢铁、建材、石化、化工等“两高”项目；</w:t>
                  </w:r>
                </w:p>
                <w:p w14:paraId="16B1868D">
                  <w:pPr>
                    <w:keepNext w:val="0"/>
                    <w:keepLines w:val="0"/>
                    <w:pageBreakBefore w:val="0"/>
                    <w:kinsoku/>
                    <w:wordWrap/>
                    <w:overflowPunct/>
                    <w:topLinePunct w:val="0"/>
                    <w:autoSpaceDE/>
                    <w:autoSpaceDN/>
                    <w:bidi w:val="0"/>
                    <w:spacing w:line="240" w:lineRule="auto"/>
                    <w:ind w:right="0" w:firstLine="0" w:firstLineChars="0"/>
                    <w:textAlignment w:val="auto"/>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10.项目用地不涉及永久基本农田、防风固沙林、农田保护林。</w:t>
                  </w:r>
                </w:p>
              </w:tc>
              <w:tc>
                <w:tcPr>
                  <w:tcW w:w="223" w:type="pct"/>
                  <w:noWrap w:val="0"/>
                  <w:vAlign w:val="center"/>
                </w:tcPr>
                <w:p w14:paraId="29DAB30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符合</w:t>
                  </w:r>
                </w:p>
              </w:tc>
            </w:tr>
            <w:tr w14:paraId="5583C9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215" w:type="pct"/>
                  <w:vMerge w:val="continue"/>
                  <w:noWrap w:val="0"/>
                  <w:vAlign w:val="center"/>
                </w:tcPr>
                <w:p w14:paraId="55C4092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228" w:type="pct"/>
                  <w:noWrap w:val="0"/>
                  <w:vAlign w:val="center"/>
                </w:tcPr>
                <w:p w14:paraId="68DFDA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污染物排放管控</w:t>
                  </w:r>
                </w:p>
              </w:tc>
              <w:tc>
                <w:tcPr>
                  <w:tcW w:w="3341" w:type="pct"/>
                  <w:noWrap w:val="0"/>
                  <w:vAlign w:val="center"/>
                </w:tcPr>
                <w:p w14:paraId="1CD627D9">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firstLine="0" w:firstLineChars="0"/>
                    <w:jc w:val="left"/>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14:textFill>
                        <w14:solidFill>
                          <w14:schemeClr w14:val="tx1"/>
                        </w14:solidFill>
                      </w14:textFill>
                    </w:rPr>
                    <w:t>工业类新（改、扩）建项目新增主要污染物（水污染物化学需氧量、氨氮和大气污染物二氧化硫、氮氧化物）排放总量指标应符合区域环境质量和总量控制要求，立足于通过</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以新带老</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、削减存量，努力实现区域、企业自身总量平衡。总量指标来源、审核和监督管理按照</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榕环保综〔2017〕90号</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等相关文件执行。</w:t>
                  </w:r>
                </w:p>
                <w:p w14:paraId="4E032159">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firstLine="0" w:firstLineChars="0"/>
                    <w:jc w:val="left"/>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2.新、改、扩建涉VOCs排放项目，应从源头加强控制，使用低（无）VOCs含量的原辅材料，实施新建项目VOCs排放区域内1.2及以上倍量替代。</w:t>
                  </w:r>
                </w:p>
                <w:p w14:paraId="7C92735F">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firstLine="0" w:firstLineChars="0"/>
                    <w:jc w:val="left"/>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0B8F0E1D">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firstLine="0" w:firstLineChars="0"/>
                    <w:jc w:val="left"/>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4.氟化工、印染、电镀等行业企业实行水污染物特别排放限值。</w:t>
                  </w:r>
                </w:p>
                <w:p w14:paraId="603F64DA">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firstLine="0" w:firstLineChars="0"/>
                    <w:jc w:val="left"/>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5.新、改、扩建重点行业</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b w:val="0"/>
                      <w:bCs w:val="0"/>
                      <w:color w:val="000000" w:themeColor="text1"/>
                      <w:sz w:val="21"/>
                      <w:szCs w:val="21"/>
                      <w14:textFill>
                        <w14:solidFill>
                          <w14:schemeClr w14:val="tx1"/>
                        </w14:solidFill>
                      </w14:textFill>
                    </w:rPr>
                    <w:t>建设项目要遵循重点重金属污染物排放</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等量替代</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原则，总量来源原则上应是同一重点行业内的削减量，当同一重点行业无法满足时可从其他重点行业调剂。</w:t>
                  </w:r>
                </w:p>
                <w:p w14:paraId="126F1868">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firstLine="0" w:firstLineChars="0"/>
                    <w:jc w:val="left"/>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6.每小时35（含）—65蒸吨燃煤锅炉和位于县级及以上城市建成区内保留的燃煤、燃油、燃生物质锅炉，原则上2024年底前必须全面实现超低排放。</w:t>
                  </w:r>
                </w:p>
                <w:p w14:paraId="22471A89">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firstLine="0" w:firstLineChars="0"/>
                    <w:jc w:val="left"/>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7.水泥行业新改扩建项目严格对照超低排放、能效标杆水平建设实施；现有项目超低排放改造应按文件（闽环规〔2023〕2号）的时限要求分步推进，2025年底前全面完成</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［3］［4］</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p>
                <w:p w14:paraId="4B85C6EA">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firstLine="0" w:firstLineChars="0"/>
                    <w:jc w:val="left"/>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8.化工园区新建项目实施</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禁限控</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990" w:type="pct"/>
                  <w:noWrap w:val="0"/>
                  <w:vAlign w:val="center"/>
                </w:tcPr>
                <w:p w14:paraId="453975D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1.项目</w:t>
                  </w:r>
                  <w:r>
                    <w:rPr>
                      <w:rFonts w:hint="default" w:ascii="Times New Roman" w:hAnsi="Times New Roman" w:eastAsia="宋体" w:cs="Times New Roman"/>
                      <w:b w:val="0"/>
                      <w:bCs w:val="0"/>
                      <w:color w:val="000000" w:themeColor="text1"/>
                      <w:sz w:val="21"/>
                      <w:szCs w:val="21"/>
                      <w14:textFill>
                        <w14:solidFill>
                          <w14:schemeClr w14:val="tx1"/>
                        </w14:solidFill>
                      </w14:textFill>
                    </w:rPr>
                    <w:t>新增主要污染物</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将依法取得总量指标来源。</w:t>
                  </w:r>
                </w:p>
                <w:p w14:paraId="73EBA03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2.项目使用</w:t>
                  </w:r>
                  <w:r>
                    <w:rPr>
                      <w:rFonts w:hint="default" w:ascii="Times New Roman" w:hAnsi="Times New Roman" w:eastAsia="宋体" w:cs="Times New Roman"/>
                      <w:b w:val="0"/>
                      <w:bCs w:val="0"/>
                      <w:color w:val="000000" w:themeColor="text1"/>
                      <w:sz w:val="21"/>
                      <w:szCs w:val="21"/>
                      <w14:textFill>
                        <w14:solidFill>
                          <w14:schemeClr w14:val="tx1"/>
                        </w14:solidFill>
                      </w14:textFill>
                    </w:rPr>
                    <w:t>低（无）VOCs含量的原辅材料</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。项目VOCs排放量将在区域内实施1.2及以上倍量替代；</w:t>
                  </w:r>
                </w:p>
                <w:p w14:paraId="046E59B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3.项目不属于钢铁、水泥、平板玻璃、有色金属冶炼、化工等工业项目；</w:t>
                  </w:r>
                </w:p>
                <w:p w14:paraId="5AE9988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4.项目不属于氟化工、印染、电镀等行业企业；</w:t>
                  </w:r>
                </w:p>
                <w:p w14:paraId="23F8851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5.项目不属于重点行业，不涉及重点重金属污染物排放；</w:t>
                  </w:r>
                </w:p>
                <w:p w14:paraId="5DFD5531">
                  <w:pPr>
                    <w:pStyle w:val="11"/>
                    <w:keepNext w:val="0"/>
                    <w:keepLines w:val="0"/>
                    <w:pageBreakBefore w:val="0"/>
                    <w:kinsoku/>
                    <w:wordWrap/>
                    <w:overflowPunct/>
                    <w:topLinePunct w:val="0"/>
                    <w:autoSpaceDE/>
                    <w:autoSpaceDN/>
                    <w:bidi w:val="0"/>
                    <w:spacing w:before="0" w:after="0" w:line="240" w:lineRule="auto"/>
                    <w:ind w:right="0" w:firstLine="0" w:firstLineChars="0"/>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6.项目不涉及燃煤、燃油、燃生物质锅炉使用；</w:t>
                  </w:r>
                </w:p>
                <w:p w14:paraId="02E0FC8D">
                  <w:pPr>
                    <w:keepNext w:val="0"/>
                    <w:keepLines w:val="0"/>
                    <w:pageBreakBefore w:val="0"/>
                    <w:kinsoku/>
                    <w:wordWrap/>
                    <w:overflowPunct/>
                    <w:topLinePunct w:val="0"/>
                    <w:autoSpaceDE/>
                    <w:autoSpaceDN/>
                    <w:bidi w:val="0"/>
                    <w:spacing w:line="240" w:lineRule="auto"/>
                    <w:ind w:right="0" w:firstLine="0" w:firstLineChars="0"/>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7.项目不属于水泥行业；</w:t>
                  </w:r>
                </w:p>
                <w:p w14:paraId="43D4B75D">
                  <w:pPr>
                    <w:pStyle w:val="11"/>
                    <w:keepNext w:val="0"/>
                    <w:keepLines w:val="0"/>
                    <w:pageBreakBefore w:val="0"/>
                    <w:kinsoku/>
                    <w:wordWrap/>
                    <w:overflowPunct/>
                    <w:topLinePunct w:val="0"/>
                    <w:autoSpaceDE/>
                    <w:autoSpaceDN/>
                    <w:bidi w:val="0"/>
                    <w:spacing w:before="0" w:after="0" w:line="240" w:lineRule="auto"/>
                    <w:ind w:right="0" w:firstLine="0" w:firstLineChars="0"/>
                    <w:textAlignment w:val="auto"/>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8.项目不属于化工项目，选址不位于化工园区，不属于印染、皮革、农药、医药、涂料等行业。</w:t>
                  </w:r>
                </w:p>
              </w:tc>
              <w:tc>
                <w:tcPr>
                  <w:tcW w:w="223" w:type="pct"/>
                  <w:noWrap w:val="0"/>
                  <w:vAlign w:val="center"/>
                </w:tcPr>
                <w:p w14:paraId="45EC605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2BB077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215" w:type="pct"/>
                  <w:vMerge w:val="continue"/>
                  <w:noWrap w:val="0"/>
                  <w:vAlign w:val="center"/>
                </w:tcPr>
                <w:p w14:paraId="28CFA5B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228" w:type="pct"/>
                  <w:noWrap w:val="0"/>
                  <w:vAlign w:val="center"/>
                </w:tcPr>
                <w:p w14:paraId="63B51A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环境风险防控</w:t>
                  </w:r>
                </w:p>
              </w:tc>
              <w:tc>
                <w:tcPr>
                  <w:tcW w:w="3341" w:type="pct"/>
                  <w:noWrap w:val="0"/>
                  <w:vAlign w:val="center"/>
                </w:tcPr>
                <w:p w14:paraId="523B9BE7">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无</w:t>
                  </w:r>
                </w:p>
              </w:tc>
              <w:tc>
                <w:tcPr>
                  <w:tcW w:w="990" w:type="pct"/>
                  <w:noWrap w:val="0"/>
                  <w:vAlign w:val="center"/>
                </w:tcPr>
                <w:p w14:paraId="7C7096A9">
                  <w:pPr>
                    <w:pStyle w:val="11"/>
                    <w:keepNext w:val="0"/>
                    <w:keepLines w:val="0"/>
                    <w:pageBreakBefore w:val="0"/>
                    <w:kinsoku/>
                    <w:wordWrap/>
                    <w:overflowPunct/>
                    <w:topLinePunct w:val="0"/>
                    <w:autoSpaceDE/>
                    <w:autoSpaceDN/>
                    <w:bidi w:val="0"/>
                    <w:spacing w:before="0" w:after="0" w:line="240" w:lineRule="auto"/>
                    <w:ind w:right="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223" w:type="pct"/>
                  <w:noWrap w:val="0"/>
                  <w:vAlign w:val="center"/>
                </w:tcPr>
                <w:p w14:paraId="43C1247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14:paraId="79A744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215" w:type="pct"/>
                  <w:vMerge w:val="continue"/>
                  <w:noWrap w:val="0"/>
                  <w:vAlign w:val="center"/>
                </w:tcPr>
                <w:p w14:paraId="442FBC9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228" w:type="pct"/>
                  <w:noWrap w:val="0"/>
                  <w:vAlign w:val="center"/>
                </w:tcPr>
                <w:p w14:paraId="3324F4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资源开发效率要求</w:t>
                  </w:r>
                </w:p>
              </w:tc>
              <w:tc>
                <w:tcPr>
                  <w:tcW w:w="3341" w:type="pct"/>
                  <w:noWrap w:val="0"/>
                  <w:vAlign w:val="center"/>
                </w:tcPr>
                <w:p w14:paraId="46E3F081">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firstLine="0" w:firstLineChars="0"/>
                    <w:jc w:val="left"/>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5289AE11">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firstLine="0" w:firstLineChars="0"/>
                    <w:jc w:val="left"/>
                    <w:textAlignment w:val="auto"/>
                    <w:outlineLvl w:val="9"/>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2.按照“提气、转电、控煤”的发展思路，推动陶瓷行业进一步优化用能结构，实现能源消费清洁低碳化</w:t>
                  </w:r>
                </w:p>
              </w:tc>
              <w:tc>
                <w:tcPr>
                  <w:tcW w:w="990" w:type="pct"/>
                  <w:noWrap w:val="0"/>
                  <w:vAlign w:val="center"/>
                </w:tcPr>
                <w:p w14:paraId="41F4AC8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1.项目不涉及燃煤、燃油、燃生物质等高污染燃料锅炉的使用，能源采用天然气；</w:t>
                  </w:r>
                </w:p>
                <w:p w14:paraId="3C6F45F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2.项目不属于陶瓷行业。</w:t>
                  </w:r>
                </w:p>
              </w:tc>
              <w:tc>
                <w:tcPr>
                  <w:tcW w:w="223" w:type="pct"/>
                  <w:noWrap w:val="0"/>
                  <w:vAlign w:val="center"/>
                </w:tcPr>
                <w:p w14:paraId="17F73DD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14:paraId="0ABAF5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5000" w:type="pct"/>
                  <w:gridSpan w:val="5"/>
                  <w:noWrap w:val="0"/>
                  <w:vAlign w:val="center"/>
                </w:tcPr>
                <w:p w14:paraId="601B8CFC">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备注：</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 xml:space="preserve">［1］重点重金属污染物：包括铅、汞、镉、铬、砷、铊和锑，对其中铅、汞、镉、铬和砷五种重点重金属污染物排放量实施总量控制。 </w:t>
                  </w:r>
                </w:p>
                <w:p w14:paraId="466F082D">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重点行业：包括涉重有色金属矿采选业（铜、铅锌、镍钴、锡、锑和汞矿采选），涉重有色金属冶炼业（铜、铅锌、镍钴、锡、锑和汞冶炼），铅蓄电池制造业，电镀行业，化学原料及化学制品制造业（电石法（聚）氯乙烯制造、铬盐制造、以工业固体废物为原料的锌无机化合物工业），皮革鞣制加工业等6个行业。</w:t>
                  </w:r>
                </w:p>
                <w:p w14:paraId="7B040272">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［3］水泥行业超低排放实施范围：包括水泥熟料生产企业和独立水泥粉磨站（含生产特种水泥、协同处置固废的水泥企业）。</w:t>
                  </w:r>
                </w:p>
                <w:p w14:paraId="603E9F9F">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［4］水泥企业超低排放：是指所有生产环节（破碎、粉磨、配料、熟料煅烧、烘干、协同处置等，以及原料、燃料和产品储存运输）的大气污染物有组织、无组织排放及运输过程达到超低排放要求。</w:t>
                  </w:r>
                </w:p>
              </w:tc>
            </w:tr>
          </w:tbl>
          <w:p w14:paraId="724C09C2">
            <w:pPr>
              <w:keepNext/>
              <w:keepLines w:val="0"/>
              <w:pageBreakBefore w:val="0"/>
              <w:widowControl w:val="0"/>
              <w:kinsoku/>
              <w:wordWrap/>
              <w:overflowPunct w:val="0"/>
              <w:topLinePunct w:val="0"/>
              <w:autoSpaceDE/>
              <w:autoSpaceDN/>
              <w:bidi w:val="0"/>
              <w:adjustRightInd/>
              <w:snapToGrid w:val="0"/>
              <w:spacing w:before="157" w:beforeLines="50" w:after="0" w:line="240" w:lineRule="auto"/>
              <w:ind w:left="0" w:firstLine="0" w:firstLineChars="0"/>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表1-4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与</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福州市陆域环境管控单元准入要求</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的符合性分析</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（摘录）</w:t>
            </w:r>
          </w:p>
          <w:tbl>
            <w:tblPr>
              <w:tblStyle w:val="30"/>
              <w:tblW w:w="130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062"/>
              <w:gridCol w:w="1120"/>
              <w:gridCol w:w="918"/>
              <w:gridCol w:w="939"/>
              <w:gridCol w:w="3562"/>
              <w:gridCol w:w="4511"/>
              <w:gridCol w:w="888"/>
            </w:tblGrid>
            <w:tr w14:paraId="29E534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08" w:type="pct"/>
                  <w:noWrap w:val="0"/>
                  <w:vAlign w:val="center"/>
                </w:tcPr>
                <w:p w14:paraId="64428EDF">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14:textFill>
                        <w14:solidFill>
                          <w14:schemeClr w14:val="tx1"/>
                        </w14:solidFill>
                      </w14:textFill>
                    </w:rPr>
                    <w:t>环境管控单元编码</w:t>
                  </w:r>
                </w:p>
              </w:tc>
              <w:tc>
                <w:tcPr>
                  <w:tcW w:w="430" w:type="pct"/>
                  <w:noWrap w:val="0"/>
                  <w:vAlign w:val="center"/>
                </w:tcPr>
                <w:p w14:paraId="5BC86F5E">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14:textFill>
                        <w14:solidFill>
                          <w14:schemeClr w14:val="tx1"/>
                        </w14:solidFill>
                      </w14:textFill>
                    </w:rPr>
                    <w:t>环境管控单元名称</w:t>
                  </w:r>
                </w:p>
              </w:tc>
              <w:tc>
                <w:tcPr>
                  <w:tcW w:w="353" w:type="pct"/>
                  <w:noWrap w:val="0"/>
                  <w:vAlign w:val="center"/>
                </w:tcPr>
                <w:p w14:paraId="5941B4C6">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14:textFill>
                        <w14:solidFill>
                          <w14:schemeClr w14:val="tx1"/>
                        </w14:solidFill>
                      </w14:textFill>
                    </w:rPr>
                    <w:t>管控单元类别</w:t>
                  </w:r>
                </w:p>
              </w:tc>
              <w:tc>
                <w:tcPr>
                  <w:tcW w:w="1731" w:type="pct"/>
                  <w:gridSpan w:val="2"/>
                  <w:tcBorders>
                    <w:right w:val="single" w:color="auto" w:sz="4" w:space="0"/>
                  </w:tcBorders>
                  <w:noWrap w:val="0"/>
                  <w:vAlign w:val="center"/>
                </w:tcPr>
                <w:p w14:paraId="486C7EB3">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14:textFill>
                        <w14:solidFill>
                          <w14:schemeClr w14:val="tx1"/>
                        </w14:solidFill>
                      </w14:textFill>
                    </w:rPr>
                    <w:t>管控要求</w:t>
                  </w:r>
                </w:p>
              </w:tc>
              <w:tc>
                <w:tcPr>
                  <w:tcW w:w="1735" w:type="pct"/>
                  <w:tcBorders>
                    <w:left w:val="single" w:color="auto" w:sz="4" w:space="0"/>
                  </w:tcBorders>
                  <w:noWrap w:val="0"/>
                  <w:vAlign w:val="center"/>
                </w:tcPr>
                <w:p w14:paraId="49350303">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t>本项目</w:t>
                  </w:r>
                </w:p>
              </w:tc>
              <w:tc>
                <w:tcPr>
                  <w:tcW w:w="341" w:type="pct"/>
                  <w:noWrap w:val="0"/>
                  <w:vAlign w:val="center"/>
                </w:tcPr>
                <w:p w14:paraId="036BF543">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t>符合性</w:t>
                  </w:r>
                </w:p>
              </w:tc>
            </w:tr>
            <w:tr w14:paraId="355F24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08" w:type="pct"/>
                  <w:vMerge w:val="restart"/>
                  <w:noWrap w:val="0"/>
                  <w:vAlign w:val="center"/>
                </w:tcPr>
                <w:p w14:paraId="5ED8D57F">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ZH35012120001</w:t>
                  </w:r>
                </w:p>
              </w:tc>
              <w:tc>
                <w:tcPr>
                  <w:tcW w:w="430" w:type="pct"/>
                  <w:vMerge w:val="restart"/>
                  <w:noWrap w:val="0"/>
                  <w:vAlign w:val="center"/>
                </w:tcPr>
                <w:p w14:paraId="44CE5601">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福建闽侯青口汽车工业园区</w:t>
                  </w:r>
                </w:p>
              </w:tc>
              <w:tc>
                <w:tcPr>
                  <w:tcW w:w="353" w:type="pct"/>
                  <w:vMerge w:val="restart"/>
                  <w:noWrap w:val="0"/>
                  <w:vAlign w:val="center"/>
                </w:tcPr>
                <w:p w14:paraId="2A3CE4F8">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t>重点管控单元</w:t>
                  </w:r>
                </w:p>
              </w:tc>
              <w:tc>
                <w:tcPr>
                  <w:tcW w:w="361" w:type="pct"/>
                  <w:noWrap w:val="0"/>
                  <w:vAlign w:val="center"/>
                </w:tcPr>
                <w:p w14:paraId="66B6D9A5">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空间布局约束</w:t>
                  </w:r>
                </w:p>
              </w:tc>
              <w:tc>
                <w:tcPr>
                  <w:tcW w:w="1370" w:type="pct"/>
                  <w:tcBorders>
                    <w:right w:val="single" w:color="auto" w:sz="4" w:space="0"/>
                  </w:tcBorders>
                  <w:noWrap w:val="0"/>
                  <w:vAlign w:val="center"/>
                </w:tcPr>
                <w:p w14:paraId="6129C946">
                  <w:pPr>
                    <w:adjustRightInd w:val="0"/>
                    <w:snapToGrid w:val="0"/>
                    <w:jc w:val="both"/>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1.禁止在园区及其上游汇水区域内新建畜禽养殖项目。</w:t>
                  </w:r>
                </w:p>
                <w:p w14:paraId="410A0792">
                  <w:pPr>
                    <w:adjustRightInd w:val="0"/>
                    <w:snapToGrid w:val="0"/>
                    <w:jc w:val="both"/>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2.现有电镀企业不得进行改、扩建，限制新建电镀企业。</w:t>
                  </w:r>
                </w:p>
                <w:p w14:paraId="3357C4B5">
                  <w:pPr>
                    <w:adjustRightInd w:val="0"/>
                    <w:snapToGrid w:val="0"/>
                    <w:jc w:val="both"/>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3.严格限制新建、扩建食品、轻工、石材、建材等与园区规划产业不符的项目。</w:t>
                  </w:r>
                </w:p>
                <w:p w14:paraId="357F7333">
                  <w:pPr>
                    <w:adjustRightInd w:val="0"/>
                    <w:snapToGrid w:val="0"/>
                    <w:jc w:val="both"/>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4.居住用地周边禁止布局潜在废气扰民的建设项目。</w:t>
                  </w:r>
                </w:p>
              </w:tc>
              <w:tc>
                <w:tcPr>
                  <w:tcW w:w="1735" w:type="pct"/>
                  <w:tcBorders>
                    <w:left w:val="single" w:color="auto" w:sz="4" w:space="0"/>
                  </w:tcBorders>
                  <w:noWrap w:val="0"/>
                  <w:vAlign w:val="center"/>
                </w:tcPr>
                <w:p w14:paraId="55FC71C7">
                  <w:pPr>
                    <w:adjustRightInd w:val="0"/>
                    <w:snapToGrid w:val="0"/>
                    <w:jc w:val="both"/>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t>1.项目不属于</w:t>
                  </w: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畜禽养殖项目</w:t>
                  </w:r>
                  <w: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t>；</w:t>
                  </w:r>
                </w:p>
                <w:p w14:paraId="139CC426">
                  <w:pPr>
                    <w:adjustRightInd w:val="0"/>
                    <w:snapToGrid w:val="0"/>
                    <w:jc w:val="both"/>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t>.项目</w:t>
                  </w: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不属于电镀企业；</w:t>
                  </w:r>
                </w:p>
                <w:p w14:paraId="7E450120">
                  <w:pPr>
                    <w:adjustRightInd w:val="0"/>
                    <w:snapToGrid w:val="0"/>
                    <w:jc w:val="both"/>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3.项目从事汽车配件的生产，不属于</w:t>
                  </w:r>
                  <w: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t>规划环评</w:t>
                  </w: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及跟踪规划环评中</w:t>
                  </w:r>
                  <w: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t>限制入规划区项目</w:t>
                  </w: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w:t>
                  </w:r>
                </w:p>
                <w:p w14:paraId="1F9358DE">
                  <w:pPr>
                    <w:adjustRightInd w:val="0"/>
                    <w:snapToGrid w:val="0"/>
                    <w:jc w:val="both"/>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4.项目产生的废气经采取有效措施后，废气源强较低，正常情况下，对周边居住区造成的环境影响很小。</w:t>
                  </w:r>
                </w:p>
              </w:tc>
              <w:tc>
                <w:tcPr>
                  <w:tcW w:w="341" w:type="pct"/>
                  <w:noWrap w:val="0"/>
                  <w:vAlign w:val="center"/>
                </w:tcPr>
                <w:p w14:paraId="5DF7D67D">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lang w:eastAsia="zh-CN"/>
                      <w14:textFill>
                        <w14:solidFill>
                          <w14:schemeClr w14:val="tx1"/>
                        </w14:solidFill>
                      </w14:textFill>
                    </w:rPr>
                    <w:t>符合</w:t>
                  </w:r>
                </w:p>
              </w:tc>
            </w:tr>
            <w:tr w14:paraId="5C5319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08" w:type="pct"/>
                  <w:vMerge w:val="continue"/>
                  <w:noWrap w:val="0"/>
                  <w:vAlign w:val="center"/>
                </w:tcPr>
                <w:p w14:paraId="53A913DD">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p>
              </w:tc>
              <w:tc>
                <w:tcPr>
                  <w:tcW w:w="430" w:type="pct"/>
                  <w:vMerge w:val="continue"/>
                  <w:noWrap w:val="0"/>
                  <w:vAlign w:val="center"/>
                </w:tcPr>
                <w:p w14:paraId="4671B9A9">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p>
              </w:tc>
              <w:tc>
                <w:tcPr>
                  <w:tcW w:w="353" w:type="pct"/>
                  <w:vMerge w:val="continue"/>
                  <w:noWrap w:val="0"/>
                  <w:vAlign w:val="center"/>
                </w:tcPr>
                <w:p w14:paraId="1E250A68">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p>
              </w:tc>
              <w:tc>
                <w:tcPr>
                  <w:tcW w:w="361" w:type="pct"/>
                  <w:noWrap w:val="0"/>
                  <w:vAlign w:val="center"/>
                </w:tcPr>
                <w:p w14:paraId="68419681">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污染物排放管控</w:t>
                  </w:r>
                </w:p>
              </w:tc>
              <w:tc>
                <w:tcPr>
                  <w:tcW w:w="1370" w:type="pct"/>
                  <w:tcBorders>
                    <w:right w:val="single" w:color="auto" w:sz="4" w:space="0"/>
                  </w:tcBorders>
                  <w:noWrap w:val="0"/>
                  <w:vAlign w:val="center"/>
                </w:tcPr>
                <w:p w14:paraId="3478AC33">
                  <w:pPr>
                    <w:adjustRightInd w:val="0"/>
                    <w:snapToGrid w:val="0"/>
                    <w:jc w:val="both"/>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1.完善建设污水收集管网，做到雨污分流，保证园区内所有工业废水、生活污水纳入污水处理厂处理并达标排放。</w:t>
                  </w:r>
                </w:p>
                <w:p w14:paraId="3890F0D7">
                  <w:pPr>
                    <w:adjustRightInd w:val="0"/>
                    <w:snapToGrid w:val="0"/>
                    <w:jc w:val="both"/>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2.根据区域发展需要择机建设电镀中心，实现污染物集中控制。</w:t>
                  </w:r>
                </w:p>
                <w:p w14:paraId="3A6B085E">
                  <w:pPr>
                    <w:adjustRightInd w:val="0"/>
                    <w:snapToGrid w:val="0"/>
                    <w:jc w:val="both"/>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3.落实新增VOCs排放总量控制要求。</w:t>
                  </w:r>
                </w:p>
              </w:tc>
              <w:tc>
                <w:tcPr>
                  <w:tcW w:w="1735" w:type="pct"/>
                  <w:tcBorders>
                    <w:left w:val="single" w:color="auto" w:sz="4" w:space="0"/>
                  </w:tcBorders>
                  <w:noWrap w:val="0"/>
                  <w:vAlign w:val="center"/>
                </w:tcPr>
                <w:p w14:paraId="4648FEBB">
                  <w:pPr>
                    <w:adjustRightInd w:val="0"/>
                    <w:snapToGrid w:val="0"/>
                    <w:jc w:val="both"/>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1.项目出租方实行雨、污分流，项目厂区生活污水经</w:t>
                  </w:r>
                  <w:r>
                    <w:rPr>
                      <w:rFonts w:hint="eastAsia" w:cs="Times New Roman"/>
                      <w:iCs/>
                      <w:color w:val="000000" w:themeColor="text1"/>
                      <w:kern w:val="0"/>
                      <w:sz w:val="21"/>
                      <w:szCs w:val="21"/>
                      <w:lang w:val="en-US" w:eastAsia="zh-CN"/>
                      <w14:textFill>
                        <w14:solidFill>
                          <w14:schemeClr w14:val="tx1"/>
                        </w14:solidFill>
                      </w14:textFill>
                    </w:rPr>
                    <w:t>出租方</w:t>
                  </w: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已建化粪池收集处理后，生产废水经</w:t>
                  </w:r>
                  <w:r>
                    <w:rPr>
                      <w:rFonts w:hint="eastAsia" w:cs="Times New Roman"/>
                      <w:iCs/>
                      <w:color w:val="000000" w:themeColor="text1"/>
                      <w:kern w:val="0"/>
                      <w:sz w:val="21"/>
                      <w:szCs w:val="21"/>
                      <w:lang w:val="en-US" w:eastAsia="zh-CN"/>
                      <w14:textFill>
                        <w14:solidFill>
                          <w14:schemeClr w14:val="tx1"/>
                        </w14:solidFill>
                      </w14:textFill>
                    </w:rPr>
                    <w:t>自</w:t>
                  </w: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建污水处理设施处理达标后，分别通过市政污水管网纳入福建青口海峡环保有限公司（青口新区污水处理厂）；</w:t>
                  </w:r>
                </w:p>
                <w:p w14:paraId="4D7FBFA4">
                  <w:pPr>
                    <w:adjustRightInd w:val="0"/>
                    <w:snapToGrid w:val="0"/>
                    <w:jc w:val="both"/>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2.项目不属于电镀行业；</w:t>
                  </w:r>
                </w:p>
                <w:p w14:paraId="58B59B73">
                  <w:pPr>
                    <w:adjustRightInd w:val="0"/>
                    <w:snapToGrid w:val="0"/>
                    <w:jc w:val="both"/>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3.项目新增</w:t>
                  </w:r>
                  <w:r>
                    <w:rPr>
                      <w:rFonts w:hint="default" w:ascii="Times New Roman" w:hAnsi="Times New Roman" w:eastAsia="宋体" w:cs="Times New Roman"/>
                      <w:iCs/>
                      <w:color w:val="000000" w:themeColor="text1"/>
                      <w:kern w:val="0"/>
                      <w:sz w:val="21"/>
                      <w:szCs w:val="21"/>
                      <w14:textFill>
                        <w14:solidFill>
                          <w14:schemeClr w14:val="tx1"/>
                        </w14:solidFill>
                      </w14:textFill>
                    </w:rPr>
                    <w:t>VOC</w:t>
                  </w: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s排放拟</w:t>
                  </w:r>
                  <w:r>
                    <w:rPr>
                      <w:rFonts w:hint="default" w:ascii="Times New Roman" w:hAnsi="Times New Roman" w:eastAsia="宋体" w:cs="Times New Roman"/>
                      <w:iCs/>
                      <w:color w:val="000000" w:themeColor="text1"/>
                      <w:kern w:val="0"/>
                      <w:sz w:val="21"/>
                      <w:szCs w:val="21"/>
                      <w14:textFill>
                        <w14:solidFill>
                          <w14:schemeClr w14:val="tx1"/>
                        </w14:solidFill>
                      </w14:textFill>
                    </w:rPr>
                    <w:t>实行区域内</w:t>
                  </w:r>
                  <w: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t>1.2及以上倍量替代</w:t>
                  </w:r>
                  <w:r>
                    <w:rPr>
                      <w:rFonts w:hint="eastAsia" w:ascii="Times New Roman" w:hAnsi="Times New Roman" w:eastAsia="宋体" w:cs="Times New Roman"/>
                      <w:iCs/>
                      <w:color w:val="000000" w:themeColor="text1"/>
                      <w:kern w:val="0"/>
                      <w:sz w:val="21"/>
                      <w:szCs w:val="21"/>
                      <w:lang w:eastAsia="zh-CN"/>
                      <w14:textFill>
                        <w14:solidFill>
                          <w14:schemeClr w14:val="tx1"/>
                        </w14:solidFill>
                      </w14:textFill>
                    </w:rPr>
                    <w:t>。</w:t>
                  </w:r>
                </w:p>
              </w:tc>
              <w:tc>
                <w:tcPr>
                  <w:tcW w:w="341" w:type="pct"/>
                  <w:noWrap w:val="0"/>
                  <w:vAlign w:val="center"/>
                </w:tcPr>
                <w:p w14:paraId="78E4DA67">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lang w:eastAsia="zh-CN"/>
                      <w14:textFill>
                        <w14:solidFill>
                          <w14:schemeClr w14:val="tx1"/>
                        </w14:solidFill>
                      </w14:textFill>
                    </w:rPr>
                    <w:t>符合</w:t>
                  </w:r>
                </w:p>
              </w:tc>
            </w:tr>
            <w:tr w14:paraId="57555A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08" w:type="pct"/>
                  <w:vMerge w:val="continue"/>
                  <w:noWrap w:val="0"/>
                  <w:vAlign w:val="center"/>
                </w:tcPr>
                <w:p w14:paraId="2F65BAE9">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p>
              </w:tc>
              <w:tc>
                <w:tcPr>
                  <w:tcW w:w="430" w:type="pct"/>
                  <w:vMerge w:val="continue"/>
                  <w:noWrap w:val="0"/>
                  <w:vAlign w:val="center"/>
                </w:tcPr>
                <w:p w14:paraId="0A0DF375">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p>
              </w:tc>
              <w:tc>
                <w:tcPr>
                  <w:tcW w:w="353" w:type="pct"/>
                  <w:vMerge w:val="continue"/>
                  <w:noWrap w:val="0"/>
                  <w:vAlign w:val="center"/>
                </w:tcPr>
                <w:p w14:paraId="4360019C">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p>
              </w:tc>
              <w:tc>
                <w:tcPr>
                  <w:tcW w:w="361" w:type="pct"/>
                  <w:noWrap w:val="0"/>
                  <w:vAlign w:val="center"/>
                </w:tcPr>
                <w:p w14:paraId="623CC7EC">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环境风险防控</w:t>
                  </w:r>
                </w:p>
              </w:tc>
              <w:tc>
                <w:tcPr>
                  <w:tcW w:w="1370" w:type="pct"/>
                  <w:tcBorders>
                    <w:right w:val="single" w:color="auto" w:sz="4" w:space="0"/>
                  </w:tcBorders>
                  <w:noWrap w:val="0"/>
                  <w:vAlign w:val="center"/>
                </w:tcPr>
                <w:p w14:paraId="26F61148">
                  <w:pPr>
                    <w:adjustRightInd w:val="0"/>
                    <w:snapToGrid w:val="0"/>
                    <w:jc w:val="both"/>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1.建立健全环境风险防控体系，制定环境风险应急预案，建设事故应急池，成立应急组织机构，防止在处理安全生产事故过程中产生的可能严重污染水体的消防废水、废液直接排入水体。</w:t>
                  </w:r>
                </w:p>
                <w:p w14:paraId="79D66026">
                  <w:pPr>
                    <w:adjustRightInd w:val="0"/>
                    <w:snapToGrid w:val="0"/>
                    <w:jc w:val="both"/>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2.应采取有效措施防止园区建设对区域地下水、土壤造成污染。</w:t>
                  </w:r>
                </w:p>
              </w:tc>
              <w:tc>
                <w:tcPr>
                  <w:tcW w:w="1735" w:type="pct"/>
                  <w:tcBorders>
                    <w:left w:val="single" w:color="auto" w:sz="4" w:space="0"/>
                  </w:tcBorders>
                  <w:noWrap w:val="0"/>
                  <w:vAlign w:val="center"/>
                </w:tcPr>
                <w:p w14:paraId="6009453D">
                  <w:pPr>
                    <w:adjustRightInd w:val="0"/>
                    <w:snapToGrid w:val="0"/>
                    <w:jc w:val="both"/>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t>1.项目环境风险潜势为Ⅰ，评价工作级别简单分析，</w:t>
                  </w: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要求项目</w:t>
                  </w:r>
                  <w: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t>严格按照要求健全环境风险防控体系，制定环境风险应急预案，成立应急组织机构，</w:t>
                  </w: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与园区</w:t>
                  </w:r>
                  <w:r>
                    <w:rPr>
                      <w:rFonts w:hint="eastAsia" w:cs="Times New Roman"/>
                      <w:iCs/>
                      <w:color w:val="000000" w:themeColor="text1"/>
                      <w:kern w:val="0"/>
                      <w:sz w:val="21"/>
                      <w:szCs w:val="21"/>
                      <w:lang w:val="en-US" w:eastAsia="zh-CN"/>
                      <w14:textFill>
                        <w14:solidFill>
                          <w14:schemeClr w14:val="tx1"/>
                        </w14:solidFill>
                      </w14:textFill>
                    </w:rPr>
                    <w:t>建立</w:t>
                  </w: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应急联控机制，配备相应的应急堵漏材料，采用有效的防控措施后，避免在处理安全生产事故过程中产生的可能严重污染水体的消防废水、废液直接排入水体。</w:t>
                  </w:r>
                </w:p>
                <w:p w14:paraId="419F742B">
                  <w:pPr>
                    <w:adjustRightInd w:val="0"/>
                    <w:snapToGrid w:val="0"/>
                    <w:jc w:val="both"/>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2.项目建设后，项目厂区车间地面全部硬化，生产过程不排放持久性及重金属等污染物，严格按照要求进行分区防渗防控，可有效避免对地下水、土壤造成污染。</w:t>
                  </w:r>
                </w:p>
              </w:tc>
              <w:tc>
                <w:tcPr>
                  <w:tcW w:w="341" w:type="pct"/>
                  <w:noWrap w:val="0"/>
                  <w:vAlign w:val="center"/>
                </w:tcPr>
                <w:p w14:paraId="767EAF0A">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lang w:eastAsia="zh-CN"/>
                      <w14:textFill>
                        <w14:solidFill>
                          <w14:schemeClr w14:val="tx1"/>
                        </w14:solidFill>
                      </w14:textFill>
                    </w:rPr>
                    <w:t>符合</w:t>
                  </w:r>
                </w:p>
              </w:tc>
            </w:tr>
            <w:tr w14:paraId="46AB19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08" w:type="pct"/>
                  <w:vMerge w:val="continue"/>
                  <w:noWrap w:val="0"/>
                  <w:vAlign w:val="center"/>
                </w:tcPr>
                <w:p w14:paraId="5D861D40">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p>
              </w:tc>
              <w:tc>
                <w:tcPr>
                  <w:tcW w:w="430" w:type="pct"/>
                  <w:vMerge w:val="continue"/>
                  <w:noWrap w:val="0"/>
                  <w:vAlign w:val="center"/>
                </w:tcPr>
                <w:p w14:paraId="29F01D23">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p>
              </w:tc>
              <w:tc>
                <w:tcPr>
                  <w:tcW w:w="353" w:type="pct"/>
                  <w:vMerge w:val="continue"/>
                  <w:noWrap w:val="0"/>
                  <w:vAlign w:val="center"/>
                </w:tcPr>
                <w:p w14:paraId="127945F0">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p>
              </w:tc>
              <w:tc>
                <w:tcPr>
                  <w:tcW w:w="361" w:type="pct"/>
                  <w:noWrap w:val="0"/>
                  <w:vAlign w:val="center"/>
                </w:tcPr>
                <w:p w14:paraId="0E2D2594">
                  <w:pPr>
                    <w:adjustRightInd w:val="0"/>
                    <w:snapToGrid w:val="0"/>
                    <w:jc w:val="center"/>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资源开发效率要求</w:t>
                  </w:r>
                </w:p>
              </w:tc>
              <w:tc>
                <w:tcPr>
                  <w:tcW w:w="1370" w:type="pct"/>
                  <w:tcBorders>
                    <w:right w:val="single" w:color="auto" w:sz="4" w:space="0"/>
                  </w:tcBorders>
                  <w:noWrap w:val="0"/>
                  <w:vAlign w:val="center"/>
                </w:tcPr>
                <w:p w14:paraId="7E2B5814">
                  <w:pPr>
                    <w:adjustRightInd w:val="0"/>
                    <w:snapToGrid w:val="0"/>
                    <w:jc w:val="both"/>
                    <w:rPr>
                      <w:rFonts w:hint="default"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使用燃煤锅及燃油锅炉企业尽快进行能源改造，近期可使用生物质颗粒，远期鼓励以LNG或电能替代其它能源。</w:t>
                  </w:r>
                </w:p>
              </w:tc>
              <w:tc>
                <w:tcPr>
                  <w:tcW w:w="1735" w:type="pct"/>
                  <w:tcBorders>
                    <w:left w:val="single" w:color="auto" w:sz="4" w:space="0"/>
                  </w:tcBorders>
                  <w:noWrap w:val="0"/>
                  <w:vAlign w:val="center"/>
                </w:tcPr>
                <w:p w14:paraId="2C23DFC0">
                  <w:pPr>
                    <w:adjustRightInd w:val="0"/>
                    <w:snapToGrid w:val="0"/>
                    <w:jc w:val="both"/>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项目不涉及</w:t>
                  </w:r>
                  <w:r>
                    <w:rPr>
                      <w:rFonts w:hint="eastAsia" w:ascii="Times New Roman" w:hAnsi="Times New Roman" w:eastAsia="宋体" w:cs="Times New Roman"/>
                      <w:iCs/>
                      <w:color w:val="000000" w:themeColor="text1"/>
                      <w:kern w:val="0"/>
                      <w:sz w:val="21"/>
                      <w:szCs w:val="21"/>
                      <w14:textFill>
                        <w14:solidFill>
                          <w14:schemeClr w14:val="tx1"/>
                        </w14:solidFill>
                      </w14:textFill>
                    </w:rPr>
                    <w:t>高污染燃料</w:t>
                  </w:r>
                  <w:r>
                    <w:rPr>
                      <w:rFonts w:hint="eastAsia" w:ascii="Times New Roman" w:hAnsi="Times New Roman" w:eastAsia="宋体" w:cs="Times New Roman"/>
                      <w:iCs/>
                      <w:color w:val="000000" w:themeColor="text1"/>
                      <w:kern w:val="0"/>
                      <w:sz w:val="21"/>
                      <w:szCs w:val="21"/>
                      <w:lang w:val="en-US" w:eastAsia="zh-CN"/>
                      <w14:textFill>
                        <w14:solidFill>
                          <w14:schemeClr w14:val="tx1"/>
                        </w14:solidFill>
                      </w14:textFill>
                    </w:rPr>
                    <w:t>使用，使用天然气。</w:t>
                  </w:r>
                </w:p>
              </w:tc>
              <w:tc>
                <w:tcPr>
                  <w:tcW w:w="341" w:type="pct"/>
                  <w:noWrap w:val="0"/>
                  <w:vAlign w:val="center"/>
                </w:tcPr>
                <w:p w14:paraId="73F6A2A0">
                  <w:pPr>
                    <w:adjustRightInd w:val="0"/>
                    <w:snapToGrid w:val="0"/>
                    <w:jc w:val="center"/>
                    <w:rPr>
                      <w:rFonts w:hint="default" w:ascii="Times New Roman" w:hAnsi="Times New Roman" w:eastAsia="宋体" w:cs="Times New Roman"/>
                      <w:i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lang w:eastAsia="zh-CN"/>
                      <w14:textFill>
                        <w14:solidFill>
                          <w14:schemeClr w14:val="tx1"/>
                        </w14:solidFill>
                      </w14:textFill>
                    </w:rPr>
                    <w:t>符合</w:t>
                  </w:r>
                </w:p>
              </w:tc>
            </w:tr>
          </w:tbl>
          <w:p w14:paraId="6F8E3B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综上所述，项目建设与福州市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生态环境分区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管控要求相符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（福建省生态环境分区管控数据查询截图详见附图16、生态环境分区管控综合查询报告书截图详见附件十五）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4F760E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14A8B9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p w14:paraId="76831917">
            <w:pPr>
              <w:pStyle w:val="85"/>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color w:val="000000" w:themeColor="text1"/>
                <w:sz w:val="24"/>
                <w:szCs w:val="32"/>
                <w:highlight w:val="none"/>
                <w14:textFill>
                  <w14:solidFill>
                    <w14:schemeClr w14:val="tx1"/>
                  </w14:solidFill>
                </w14:textFill>
              </w:rPr>
            </w:pPr>
            <w:r>
              <w:rPr>
                <w:rFonts w:hint="eastAsia" w:ascii="Times New Roman" w:hAnsi="Times New Roman" w:cs="Times New Roman"/>
                <w:b/>
                <w:bCs/>
                <w:color w:val="000000" w:themeColor="text1"/>
                <w:sz w:val="24"/>
                <w:szCs w:val="32"/>
                <w:highlight w:val="none"/>
                <w:lang w:val="en-US" w:eastAsia="zh-CN"/>
                <w14:textFill>
                  <w14:solidFill>
                    <w14:schemeClr w14:val="tx1"/>
                  </w14:solidFill>
                </w14:textFill>
              </w:rPr>
              <w:t>6</w:t>
            </w:r>
            <w:r>
              <w:rPr>
                <w:rFonts w:hint="default" w:ascii="Times New Roman" w:hAnsi="Times New Roman" w:cs="Times New Roman"/>
                <w:b/>
                <w:bCs/>
                <w:color w:val="000000" w:themeColor="text1"/>
                <w:sz w:val="24"/>
                <w:szCs w:val="32"/>
                <w:highlight w:val="none"/>
                <w14:textFill>
                  <w14:solidFill>
                    <w14:schemeClr w14:val="tx1"/>
                  </w14:solidFill>
                </w14:textFill>
              </w:rPr>
              <w:t>、与挥发性有机物污染防治相关政策符合性分析</w:t>
            </w:r>
          </w:p>
          <w:p w14:paraId="7E339A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本项目与挥发性有机物污染防治相关政策符合性分析详见表</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32"/>
                <w14:textFill>
                  <w14:solidFill>
                    <w14:schemeClr w14:val="tx1"/>
                  </w14:solidFill>
                </w14:textFill>
              </w:rPr>
              <w:t>。</w:t>
            </w:r>
          </w:p>
          <w:p w14:paraId="6A6E0D0F">
            <w:pPr>
              <w:keepNext/>
              <w:keepLines w:val="0"/>
              <w:pageBreakBefore w:val="0"/>
              <w:widowControl w:val="0"/>
              <w:kinsoku/>
              <w:wordWrap/>
              <w:overflowPunct w:val="0"/>
              <w:topLinePunct w:val="0"/>
              <w:autoSpaceDE/>
              <w:autoSpaceDN/>
              <w:bidi w:val="0"/>
              <w:adjustRightInd/>
              <w:snapToGrid w:val="0"/>
              <w:spacing w:before="157" w:beforeLines="50" w:after="0" w:line="240" w:lineRule="auto"/>
              <w:ind w:left="0" w:firstLine="0" w:firstLineChars="0"/>
              <w:jc w:val="center"/>
              <w:textAlignment w:val="auto"/>
              <w:outlineLvl w:val="9"/>
              <w:rPr>
                <w:rFonts w:hint="default" w:ascii="Times New Roman" w:hAnsi="Times New Roman" w:eastAsia="黑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挥发性有机物污染防治政策相关内容</w:t>
            </w:r>
          </w:p>
          <w:tbl>
            <w:tblPr>
              <w:tblStyle w:val="30"/>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45"/>
              <w:gridCol w:w="2046"/>
              <w:gridCol w:w="6004"/>
              <w:gridCol w:w="3514"/>
              <w:gridCol w:w="828"/>
            </w:tblGrid>
            <w:tr w14:paraId="1A1361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10" w:type="pct"/>
                  <w:noWrap w:val="0"/>
                  <w:vAlign w:val="center"/>
                </w:tcPr>
                <w:p w14:paraId="0D7287FE">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790" w:type="pct"/>
                  <w:noWrap w:val="0"/>
                  <w:vAlign w:val="center"/>
                </w:tcPr>
                <w:p w14:paraId="7BD1C26D">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相关文件名称</w:t>
                  </w:r>
                </w:p>
              </w:tc>
              <w:tc>
                <w:tcPr>
                  <w:tcW w:w="2320" w:type="pct"/>
                  <w:tcBorders>
                    <w:right w:val="single" w:color="auto" w:sz="4" w:space="0"/>
                  </w:tcBorders>
                  <w:noWrap w:val="0"/>
                  <w:vAlign w:val="center"/>
                </w:tcPr>
                <w:p w14:paraId="60E657E9">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相关内容</w:t>
                  </w:r>
                </w:p>
              </w:tc>
              <w:tc>
                <w:tcPr>
                  <w:tcW w:w="1358" w:type="pct"/>
                  <w:tcBorders>
                    <w:left w:val="single" w:color="auto" w:sz="4" w:space="0"/>
                    <w:right w:val="single" w:color="auto" w:sz="4" w:space="0"/>
                  </w:tcBorders>
                  <w:noWrap w:val="0"/>
                  <w:vAlign w:val="center"/>
                </w:tcPr>
                <w:p w14:paraId="00D59EF9">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项目情况</w:t>
                  </w:r>
                </w:p>
              </w:tc>
              <w:tc>
                <w:tcPr>
                  <w:tcW w:w="320" w:type="pct"/>
                  <w:tcBorders>
                    <w:left w:val="single" w:color="auto" w:sz="4" w:space="0"/>
                  </w:tcBorders>
                  <w:noWrap w:val="0"/>
                  <w:vAlign w:val="center"/>
                </w:tcPr>
                <w:p w14:paraId="40FE3978">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符合性</w:t>
                  </w:r>
                </w:p>
              </w:tc>
            </w:tr>
            <w:tr w14:paraId="257B14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10" w:type="pct"/>
                  <w:noWrap w:val="0"/>
                  <w:vAlign w:val="center"/>
                </w:tcPr>
                <w:p w14:paraId="12A3CCEB">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790" w:type="pct"/>
                  <w:noWrap w:val="0"/>
                  <w:vAlign w:val="center"/>
                </w:tcPr>
                <w:p w14:paraId="2B682E99">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福建省</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十四五</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空气质量改善规划</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（2022年）</w:t>
                  </w:r>
                </w:p>
              </w:tc>
              <w:tc>
                <w:tcPr>
                  <w:tcW w:w="2320" w:type="pct"/>
                  <w:tcBorders>
                    <w:right w:val="single" w:color="auto" w:sz="4" w:space="0"/>
                  </w:tcBorders>
                  <w:noWrap w:val="0"/>
                  <w:vAlign w:val="center"/>
                </w:tcPr>
                <w:p w14:paraId="6A3336AE">
                  <w:pPr>
                    <w:pStyle w:val="102"/>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推广使用水性、高固体分、无溶剂、粉末等低VOCs含量涂料，</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木质家具制造、汽车零部件、工程机械使用比例达到50%以上；</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严格执行涂料、油墨、胶粘剂、清洗剂VOCs含量限值标准，加大抽检力度，确保生产、销售、进口、使用符合标准的产品。严格涉VOCs建设项目环境影响评价，VOCs排放实行区域内等量替代，福州、厦门、漳州、泉州、莆田、宁德实施VOCs倍量替代。</w:t>
                  </w:r>
                </w:p>
              </w:tc>
              <w:tc>
                <w:tcPr>
                  <w:tcW w:w="1358" w:type="pct"/>
                  <w:tcBorders>
                    <w:left w:val="single" w:color="auto" w:sz="4" w:space="0"/>
                    <w:right w:val="single" w:color="auto" w:sz="4" w:space="0"/>
                  </w:tcBorders>
                  <w:noWrap w:val="0"/>
                  <w:vAlign w:val="center"/>
                </w:tcPr>
                <w:p w14:paraId="331BAF65">
                  <w:pPr>
                    <w:pStyle w:val="102"/>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使用塑粉、电泳漆、PVC涂料（胶）等低VOCs含量原料，</w:t>
                  </w:r>
                  <w:r>
                    <w:rPr>
                      <w:rFonts w:hint="eastAsia" w:cs="Times New Roman"/>
                      <w:color w:val="000000" w:themeColor="text1"/>
                      <w:sz w:val="21"/>
                      <w:szCs w:val="21"/>
                      <w:lang w:val="en-US" w:eastAsia="zh-CN"/>
                      <w14:textFill>
                        <w14:solidFill>
                          <w14:schemeClr w14:val="tx1"/>
                        </w14:solidFill>
                      </w14:textFill>
                    </w:rPr>
                    <w:t>仅在客户有要求时少量使用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油性漆和有机溶剂；</w:t>
                  </w:r>
                  <w:r>
                    <w:rPr>
                      <w:rFonts w:hint="default" w:ascii="Times New Roman" w:hAnsi="Times New Roman" w:cs="Times New Roman"/>
                      <w:color w:val="000000" w:themeColor="text1"/>
                      <w:sz w:val="21"/>
                      <w:szCs w:val="21"/>
                      <w14:textFill>
                        <w14:solidFill>
                          <w14:schemeClr w14:val="tx1"/>
                        </w14:solidFill>
                      </w14:textFill>
                    </w:rPr>
                    <w:t>项目排放的VOC</w:t>
                  </w:r>
                  <w:r>
                    <w:rPr>
                      <w:rFonts w:hint="default" w:ascii="Times New Roman" w:hAnsi="Times New Roman" w:cs="Times New Roman"/>
                      <w:color w:val="000000" w:themeColor="text1"/>
                      <w:sz w:val="21"/>
                      <w:szCs w:val="21"/>
                      <w:vertAlign w:val="subscript"/>
                      <w14:textFill>
                        <w14:solidFill>
                          <w14:schemeClr w14:val="tx1"/>
                        </w14:solidFill>
                      </w14:textFill>
                    </w:rPr>
                    <w:t>S</w:t>
                  </w:r>
                  <w:r>
                    <w:rPr>
                      <w:rFonts w:hint="default" w:ascii="Times New Roman" w:hAnsi="Times New Roman" w:cs="Times New Roman"/>
                      <w:color w:val="000000" w:themeColor="text1"/>
                      <w:sz w:val="21"/>
                      <w:szCs w:val="21"/>
                      <w14:textFill>
                        <w14:solidFill>
                          <w14:schemeClr w14:val="tx1"/>
                        </w14:solidFill>
                      </w14:textFill>
                    </w:rPr>
                    <w:t>拟实行区域内倍量替代</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320" w:type="pct"/>
                  <w:tcBorders>
                    <w:left w:val="single" w:color="auto" w:sz="4" w:space="0"/>
                  </w:tcBorders>
                  <w:noWrap w:val="0"/>
                  <w:vAlign w:val="center"/>
                </w:tcPr>
                <w:p w14:paraId="4CCB638E">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74468C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10" w:type="pct"/>
                  <w:noWrap w:val="0"/>
                  <w:vAlign w:val="center"/>
                </w:tcPr>
                <w:p w14:paraId="59D05E3A">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790" w:type="pct"/>
                  <w:noWrap w:val="0"/>
                  <w:vAlign w:val="center"/>
                </w:tcPr>
                <w:p w14:paraId="5D3A64FD">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福州市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十四五</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生态环境保护规划</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榕政办〔2021〕123号</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2320" w:type="pct"/>
                  <w:tcBorders>
                    <w:right w:val="single" w:color="auto" w:sz="4" w:space="0"/>
                  </w:tcBorders>
                  <w:noWrap w:val="0"/>
                  <w:vAlign w:val="center"/>
                </w:tcPr>
                <w:p w14:paraId="31B56169">
                  <w:pPr>
                    <w:pStyle w:val="102"/>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强化挥发性有机物整治。</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实行挥发性有机物排放倍量替代。加大涉VOCs企业源头替代力度，推广使用低</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无</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VOCs原辅材料替代，禁止生产高VOCs含量有机溶剂型涂料、油墨和胶黏剂的新、改、扩建项目，推进重点企业</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油改水</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治理，提高有机溶剂回收率。</w:t>
                  </w:r>
                </w:p>
              </w:tc>
              <w:tc>
                <w:tcPr>
                  <w:tcW w:w="1358" w:type="pct"/>
                  <w:tcBorders>
                    <w:left w:val="single" w:color="auto" w:sz="4" w:space="0"/>
                    <w:right w:val="single" w:color="auto" w:sz="4" w:space="0"/>
                  </w:tcBorders>
                  <w:noWrap w:val="0"/>
                  <w:vAlign w:val="center"/>
                </w:tcPr>
                <w:p w14:paraId="1769CA8A">
                  <w:pPr>
                    <w:pStyle w:val="102"/>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项目排放的VOC</w:t>
                  </w:r>
                  <w:r>
                    <w:rPr>
                      <w:rFonts w:hint="default" w:ascii="Times New Roman" w:hAnsi="Times New Roman" w:cs="Times New Roman"/>
                      <w:color w:val="000000" w:themeColor="text1"/>
                      <w:sz w:val="21"/>
                      <w:szCs w:val="21"/>
                      <w:vertAlign w:val="subscript"/>
                      <w14:textFill>
                        <w14:solidFill>
                          <w14:schemeClr w14:val="tx1"/>
                        </w14:solidFill>
                      </w14:textFill>
                    </w:rPr>
                    <w:t>S</w:t>
                  </w:r>
                  <w:r>
                    <w:rPr>
                      <w:rFonts w:hint="default" w:ascii="Times New Roman" w:hAnsi="Times New Roman" w:cs="Times New Roman"/>
                      <w:color w:val="000000" w:themeColor="text1"/>
                      <w:sz w:val="21"/>
                      <w:szCs w:val="21"/>
                      <w14:textFill>
                        <w14:solidFill>
                          <w14:schemeClr w14:val="tx1"/>
                        </w14:solidFill>
                      </w14:textFill>
                    </w:rPr>
                    <w:t>拟实行区域内倍量替代</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使用塑粉、电泳漆、PVC涂料（胶）等低VOCs含量原料，</w:t>
                  </w:r>
                  <w:r>
                    <w:rPr>
                      <w:rFonts w:hint="eastAsia" w:cs="Times New Roman"/>
                      <w:color w:val="000000" w:themeColor="text1"/>
                      <w:sz w:val="21"/>
                      <w:szCs w:val="21"/>
                      <w:lang w:val="en-US" w:eastAsia="zh-CN"/>
                      <w14:textFill>
                        <w14:solidFill>
                          <w14:schemeClr w14:val="tx1"/>
                        </w14:solidFill>
                      </w14:textFill>
                    </w:rPr>
                    <w:t>仅在客户有要求时少量使用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油性漆和有机溶剂，少量使用丝印油墨及洗网水，项目不涉及</w:t>
                  </w:r>
                  <w:r>
                    <w:rPr>
                      <w:rFonts w:hint="eastAsia" w:ascii="Times New Roman" w:hAnsi="Times New Roman" w:eastAsia="宋体" w:cs="Times New Roman"/>
                      <w:color w:val="000000" w:themeColor="text1"/>
                      <w:sz w:val="21"/>
                      <w:szCs w:val="21"/>
                      <w14:textFill>
                        <w14:solidFill>
                          <w14:schemeClr w14:val="tx1"/>
                        </w14:solidFill>
                      </w14:textFill>
                    </w:rPr>
                    <w:t>VOCs含量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原料的生产，全部外购。</w:t>
                  </w:r>
                </w:p>
              </w:tc>
              <w:tc>
                <w:tcPr>
                  <w:tcW w:w="320" w:type="pct"/>
                  <w:tcBorders>
                    <w:left w:val="single" w:color="auto" w:sz="4" w:space="0"/>
                  </w:tcBorders>
                  <w:noWrap w:val="0"/>
                  <w:vAlign w:val="center"/>
                </w:tcPr>
                <w:p w14:paraId="7BE947AD">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5DB13C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10" w:type="pct"/>
                  <w:noWrap w:val="0"/>
                  <w:vAlign w:val="center"/>
                </w:tcPr>
                <w:p w14:paraId="3A02A63D">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790" w:type="pct"/>
                  <w:noWrap w:val="0"/>
                  <w:vAlign w:val="center"/>
                </w:tcPr>
                <w:p w14:paraId="7354FA5F">
                  <w:pPr>
                    <w:pStyle w:val="10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福建省重点行业挥发性有机物污染防治工作方案</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闽环保大气〔2017〕6号</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2320" w:type="pct"/>
                  <w:tcBorders>
                    <w:right w:val="single" w:color="auto" w:sz="4" w:space="0"/>
                  </w:tcBorders>
                  <w:noWrap w:val="0"/>
                  <w:vAlign w:val="top"/>
                </w:tcPr>
                <w:p w14:paraId="2CD3537D">
                  <w:pPr>
                    <w:pStyle w:val="102"/>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二、主要任务</w:t>
                  </w:r>
                </w:p>
                <w:p w14:paraId="50118746">
                  <w:pPr>
                    <w:pStyle w:val="102"/>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（三）加快推进重点行业VOCs专项整治</w:t>
                  </w:r>
                </w:p>
                <w:p w14:paraId="154F8CC7">
                  <w:pPr>
                    <w:pStyle w:val="102"/>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（2）加强化工企业污染综合整治</w:t>
                  </w:r>
                </w:p>
                <w:p w14:paraId="3FE80A62">
                  <w:pPr>
                    <w:pStyle w:val="102"/>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提升有机化工</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含有机化学原料、合成材料、日用化工、涂料、油墨、胶粘剂、染料、化学溶剂、试剂生产等</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、医药化工、塑料制品企业装备水平，严格控制跑冒滴漏。</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排放VOCs的生产工序要在密闭空间或设备中实施，产生的含VOCs废气需进行净化处理，净化效率应不低于80%。</w:t>
                  </w:r>
                </w:p>
              </w:tc>
              <w:tc>
                <w:tcPr>
                  <w:tcW w:w="1358" w:type="pct"/>
                  <w:tcBorders>
                    <w:left w:val="single" w:color="auto" w:sz="4" w:space="0"/>
                    <w:right w:val="single" w:color="auto" w:sz="4" w:space="0"/>
                  </w:tcBorders>
                  <w:noWrap w:val="0"/>
                  <w:vAlign w:val="center"/>
                </w:tcPr>
                <w:p w14:paraId="510681A9">
                  <w:pPr>
                    <w:pStyle w:val="102"/>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w:t>
                  </w:r>
                  <w:r>
                    <w:rPr>
                      <w:rFonts w:hint="eastAsia" w:ascii="Times New Roman" w:hAnsi="Times New Roman" w:cs="Times New Roman"/>
                      <w:color w:val="000000" w:themeColor="text1"/>
                      <w:sz w:val="21"/>
                      <w:szCs w:val="21"/>
                      <w:lang w:val="en-US" w:eastAsia="zh-CN"/>
                      <w14:textFill>
                        <w14:solidFill>
                          <w14:schemeClr w14:val="tx1"/>
                        </w14:solidFill>
                      </w14:textFill>
                    </w:rPr>
                    <w:t>拟在</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电泳、电泳烘干、喷胶</w:t>
                  </w:r>
                  <w:r>
                    <w:rPr>
                      <w:rFonts w:hint="eastAsia" w:cs="Times New Roman"/>
                      <w:color w:val="000000" w:themeColor="text1"/>
                      <w:sz w:val="21"/>
                      <w:szCs w:val="21"/>
                      <w:highlight w:val="none"/>
                      <w:lang w:val="en-US" w:eastAsia="zh-CN"/>
                      <w14:textFill>
                        <w14:solidFill>
                          <w14:schemeClr w14:val="tx1"/>
                        </w14:solidFill>
                      </w14:textFill>
                    </w:rPr>
                    <w:t>/喷漆</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烘干</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喷粉烘干、丝印烘干</w:t>
                  </w:r>
                  <w:r>
                    <w:rPr>
                      <w:rFonts w:hint="eastAsia" w:cs="Times New Roman"/>
                      <w:color w:val="000000" w:themeColor="text1"/>
                      <w:sz w:val="21"/>
                      <w:szCs w:val="21"/>
                      <w:lang w:val="en-US" w:eastAsia="zh-CN"/>
                      <w14:textFill>
                        <w14:solidFill>
                          <w14:schemeClr w14:val="tx1"/>
                        </w14:solidFill>
                      </w14:textFill>
                    </w:rPr>
                    <w:t>等产生有机废气</w:t>
                  </w:r>
                  <w:r>
                    <w:rPr>
                      <w:rFonts w:hint="eastAsia" w:ascii="Times New Roman" w:hAnsi="Times New Roman" w:cs="Times New Roman"/>
                      <w:color w:val="000000" w:themeColor="text1"/>
                      <w:sz w:val="21"/>
                      <w:szCs w:val="21"/>
                      <w:lang w:val="en-US" w:eastAsia="zh-CN"/>
                      <w14:textFill>
                        <w14:solidFill>
                          <w14:schemeClr w14:val="tx1"/>
                        </w14:solidFill>
                      </w14:textFill>
                    </w:rPr>
                    <w:t>工序设置集气罩，</w:t>
                  </w:r>
                  <w:r>
                    <w:rPr>
                      <w:rFonts w:hint="default" w:ascii="Times New Roman" w:hAnsi="Times New Roman" w:cs="Times New Roman"/>
                      <w:color w:val="000000" w:themeColor="text1"/>
                      <w:sz w:val="21"/>
                      <w:szCs w:val="21"/>
                      <w:lang w:val="en-US" w:eastAsia="zh-CN"/>
                      <w14:textFill>
                        <w14:solidFill>
                          <w14:schemeClr w14:val="tx1"/>
                        </w14:solidFill>
                      </w14:textFill>
                    </w:rPr>
                    <w:t>将产生的</w:t>
                  </w:r>
                  <w:r>
                    <w:rPr>
                      <w:rFonts w:hint="default" w:ascii="Times New Roman" w:hAnsi="Times New Roman" w:cs="Times New Roman"/>
                      <w:color w:val="000000" w:themeColor="text1"/>
                      <w:sz w:val="21"/>
                      <w:szCs w:val="21"/>
                      <w14:textFill>
                        <w14:solidFill>
                          <w14:schemeClr w14:val="tx1"/>
                        </w14:solidFill>
                      </w14:textFill>
                    </w:rPr>
                    <w:t>VOCs</w:t>
                  </w:r>
                  <w:r>
                    <w:rPr>
                      <w:rFonts w:hint="default" w:ascii="Times New Roman" w:hAnsi="Times New Roman" w:cs="Times New Roman"/>
                      <w:color w:val="000000" w:themeColor="text1"/>
                      <w:sz w:val="21"/>
                      <w:szCs w:val="21"/>
                      <w:lang w:val="en-US" w:eastAsia="zh-CN"/>
                      <w14:textFill>
                        <w14:solidFill>
                          <w14:schemeClr w14:val="tx1"/>
                        </w14:solidFill>
                      </w14:textFill>
                    </w:rPr>
                    <w:t>收集后通过</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pacing w:val="0"/>
                      <w:sz w:val="21"/>
                      <w:szCs w:val="21"/>
                      <w:highlight w:val="none"/>
                      <w:lang w:val="en-US" w:eastAsia="zh-CN"/>
                      <w14:textFill>
                        <w14:solidFill>
                          <w14:schemeClr w14:val="tx1"/>
                        </w14:solidFill>
                      </w14:textFill>
                    </w:rPr>
                    <w:t>水</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喷淋+干式过滤</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+活性炭吸附</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+排气筒</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处理后排放</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320" w:type="pct"/>
                  <w:tcBorders>
                    <w:left w:val="single" w:color="auto" w:sz="4" w:space="0"/>
                  </w:tcBorders>
                  <w:noWrap w:val="0"/>
                  <w:vAlign w:val="center"/>
                </w:tcPr>
                <w:p w14:paraId="4CBDE6B7">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442631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6" w:hRule="atLeast"/>
                <w:jc w:val="center"/>
              </w:trPr>
              <w:tc>
                <w:tcPr>
                  <w:tcW w:w="210" w:type="pct"/>
                  <w:noWrap w:val="0"/>
                  <w:vAlign w:val="center"/>
                </w:tcPr>
                <w:p w14:paraId="6EF5E76C">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p>
              </w:tc>
              <w:tc>
                <w:tcPr>
                  <w:tcW w:w="790" w:type="pct"/>
                  <w:noWrap w:val="0"/>
                  <w:vAlign w:val="center"/>
                </w:tcPr>
                <w:p w14:paraId="02C02854">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《福建省重点行业挥发性有机物排放控制要求</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试行</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的通知》</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闽环保大气〔2017〕9号</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2320" w:type="pct"/>
                  <w:tcBorders>
                    <w:right w:val="single" w:color="auto" w:sz="4" w:space="0"/>
                  </w:tcBorders>
                  <w:noWrap w:val="0"/>
                  <w:vAlign w:val="top"/>
                </w:tcPr>
                <w:p w14:paraId="52D9AE97">
                  <w:pPr>
                    <w:pStyle w:val="91"/>
                    <w:keepNext w:val="0"/>
                    <w:keepLines w:val="0"/>
                    <w:pageBreakBefore w:val="0"/>
                    <w:widowControl w:val="0"/>
                    <w:tabs>
                      <w:tab w:val="left" w:pos="4347"/>
                    </w:tabs>
                    <w:kinsoku/>
                    <w:wordWrap/>
                    <w:overflowPunct/>
                    <w:topLinePunct w:val="0"/>
                    <w:autoSpaceDE w:val="0"/>
                    <w:autoSpaceDN w:val="0"/>
                    <w:bidi w:val="0"/>
                    <w:adjustRightInd w:val="0"/>
                    <w:snapToGrid w:val="0"/>
                    <w:spacing w:line="240" w:lineRule="auto"/>
                    <w:jc w:val="left"/>
                    <w:textAlignment w:val="auto"/>
                    <w:outlineLvl w:val="2"/>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工艺过程控制要求</w:t>
                  </w:r>
                </w:p>
                <w:p w14:paraId="33DEF605">
                  <w:pPr>
                    <w:pStyle w:val="91"/>
                    <w:keepNext w:val="0"/>
                    <w:keepLines w:val="0"/>
                    <w:pageBreakBefore w:val="0"/>
                    <w:widowControl w:val="0"/>
                    <w:tabs>
                      <w:tab w:val="left" w:pos="4347"/>
                    </w:tabs>
                    <w:kinsoku/>
                    <w:wordWrap/>
                    <w:overflowPunct/>
                    <w:topLinePunct w:val="0"/>
                    <w:autoSpaceDE w:val="0"/>
                    <w:autoSpaceDN w:val="0"/>
                    <w:bidi w:val="0"/>
                    <w:adjustRightInd w:val="0"/>
                    <w:snapToGrid w:val="0"/>
                    <w:spacing w:line="240" w:lineRule="auto"/>
                    <w:jc w:val="left"/>
                    <w:textAlignment w:val="auto"/>
                    <w:outlineLvl w:val="2"/>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含VOCs物料应储存于密闭容器中。盛装含VOCs物料的容器应存放于储存室内，或至少设置遮阳挡雨等设施；</w:t>
                  </w:r>
                </w:p>
                <w:p w14:paraId="16750FD3">
                  <w:pPr>
                    <w:pStyle w:val="91"/>
                    <w:keepNext w:val="0"/>
                    <w:keepLines w:val="0"/>
                    <w:pageBreakBefore w:val="0"/>
                    <w:widowControl w:val="0"/>
                    <w:tabs>
                      <w:tab w:val="left" w:pos="4347"/>
                    </w:tabs>
                    <w:kinsoku/>
                    <w:wordWrap/>
                    <w:overflowPunct/>
                    <w:topLinePunct w:val="0"/>
                    <w:autoSpaceDE w:val="0"/>
                    <w:autoSpaceDN w:val="0"/>
                    <w:bidi w:val="0"/>
                    <w:adjustRightInd w:val="0"/>
                    <w:snapToGrid w:val="0"/>
                    <w:spacing w:line="240" w:lineRule="auto"/>
                    <w:jc w:val="left"/>
                    <w:textAlignment w:val="auto"/>
                    <w:outlineLvl w:val="2"/>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其他控制要求</w:t>
                  </w:r>
                </w:p>
                <w:p w14:paraId="45906AAF">
                  <w:pPr>
                    <w:pStyle w:val="102"/>
                    <w:keepNext w:val="0"/>
                    <w:keepLines w:val="0"/>
                    <w:pageBreakBefore w:val="0"/>
                    <w:widowControl w:val="0"/>
                    <w:kinsoku/>
                    <w:wordWrap/>
                    <w:overflowPunct/>
                    <w:topLinePunct w:val="0"/>
                    <w:bidi w:val="0"/>
                    <w:adjustRightInd w:val="0"/>
                    <w:snapToGrid w:val="0"/>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产生有废气</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生产工艺和装置均设有收集系统和净化处理装置；所有产生VOCs的生产车间</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或生产设施</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c>
                <w:tcPr>
                  <w:tcW w:w="1358" w:type="pct"/>
                  <w:tcBorders>
                    <w:left w:val="single" w:color="auto" w:sz="4" w:space="0"/>
                    <w:right w:val="single" w:color="auto" w:sz="4" w:space="0"/>
                  </w:tcBorders>
                  <w:noWrap w:val="0"/>
                  <w:vAlign w:val="center"/>
                </w:tcPr>
                <w:p w14:paraId="02B6C6A3">
                  <w:pPr>
                    <w:pStyle w:val="102"/>
                    <w:keepNext w:val="0"/>
                    <w:keepLines w:val="0"/>
                    <w:pageBreakBefore w:val="0"/>
                    <w:widowControl w:val="0"/>
                    <w:numPr>
                      <w:ilvl w:val="0"/>
                      <w:numId w:val="0"/>
                    </w:numPr>
                    <w:kinsoku/>
                    <w:wordWrap/>
                    <w:overflowPunct/>
                    <w:topLinePunct w:val="0"/>
                    <w:autoSpaceDE/>
                    <w:autoSpaceDN w:val="0"/>
                    <w:bidi w:val="0"/>
                    <w:adjustRightInd w:val="0"/>
                    <w:snapToGrid w:val="0"/>
                    <w:spacing w:line="240" w:lineRule="auto"/>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（1）项目各类液态原料采用密闭桶装暂存；</w:t>
                  </w:r>
                </w:p>
                <w:p w14:paraId="321B7D1C">
                  <w:pPr>
                    <w:pStyle w:val="10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本项目</w:t>
                  </w:r>
                  <w:r>
                    <w:rPr>
                      <w:rFonts w:hint="eastAsia" w:ascii="Times New Roman" w:hAnsi="Times New Roman" w:cs="Times New Roman"/>
                      <w:color w:val="000000" w:themeColor="text1"/>
                      <w:sz w:val="21"/>
                      <w:szCs w:val="21"/>
                      <w:lang w:val="en-US" w:eastAsia="zh-CN"/>
                      <w14:textFill>
                        <w14:solidFill>
                          <w14:schemeClr w14:val="tx1"/>
                        </w14:solidFill>
                      </w14:textFill>
                    </w:rPr>
                    <w:t>拟在</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电泳、电泳烘干、喷胶烘干、</w:t>
                  </w:r>
                  <w:r>
                    <w:rPr>
                      <w:rFonts w:hint="eastAsia" w:ascii="Times New Roman" w:hAnsi="Times New Roman" w:cs="Times New Roman"/>
                      <w:color w:val="000000" w:themeColor="text1"/>
                      <w:sz w:val="21"/>
                      <w:szCs w:val="21"/>
                      <w:lang w:val="en-US" w:eastAsia="zh-CN"/>
                      <w14:textFill>
                        <w14:solidFill>
                          <w14:schemeClr w14:val="tx1"/>
                        </w14:solidFill>
                      </w14:textFill>
                    </w:rPr>
                    <w:t>喷粉烘干、丝印烘干工序设置集气罩，</w:t>
                  </w:r>
                  <w:r>
                    <w:rPr>
                      <w:rFonts w:hint="default" w:ascii="Times New Roman" w:hAnsi="Times New Roman" w:cs="Times New Roman"/>
                      <w:color w:val="000000" w:themeColor="text1"/>
                      <w:sz w:val="21"/>
                      <w:szCs w:val="21"/>
                      <w:lang w:val="en-US" w:eastAsia="zh-CN"/>
                      <w14:textFill>
                        <w14:solidFill>
                          <w14:schemeClr w14:val="tx1"/>
                        </w14:solidFill>
                      </w14:textFill>
                    </w:rPr>
                    <w:t>设计收集效率≥</w:t>
                  </w:r>
                  <w:r>
                    <w:rPr>
                      <w:rFonts w:hint="eastAsia" w:ascii="Times New Roman" w:hAnsi="Times New Roman" w:cs="Times New Roman"/>
                      <w:color w:val="000000" w:themeColor="text1"/>
                      <w:sz w:val="21"/>
                      <w:szCs w:val="21"/>
                      <w:lang w:val="en-US" w:eastAsia="zh-CN"/>
                      <w14:textFill>
                        <w14:solidFill>
                          <w14:schemeClr w14:val="tx1"/>
                        </w14:solidFill>
                      </w14:textFill>
                    </w:rPr>
                    <w:t>9</w:t>
                  </w:r>
                  <w:r>
                    <w:rPr>
                      <w:rFonts w:hint="default" w:ascii="Times New Roman" w:hAnsi="Times New Roman" w:cs="Times New Roman"/>
                      <w:color w:val="000000" w:themeColor="text1"/>
                      <w:sz w:val="21"/>
                      <w:szCs w:val="21"/>
                      <w14:textFill>
                        <w14:solidFill>
                          <w14:schemeClr w14:val="tx1"/>
                        </w14:solidFill>
                      </w14:textFill>
                    </w:rPr>
                    <w:t>0%</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将产生的</w:t>
                  </w:r>
                  <w:r>
                    <w:rPr>
                      <w:rFonts w:hint="default" w:ascii="Times New Roman" w:hAnsi="Times New Roman" w:cs="Times New Roman"/>
                      <w:color w:val="000000" w:themeColor="text1"/>
                      <w:sz w:val="21"/>
                      <w:szCs w:val="21"/>
                      <w14:textFill>
                        <w14:solidFill>
                          <w14:schemeClr w14:val="tx1"/>
                        </w14:solidFill>
                      </w14:textFill>
                    </w:rPr>
                    <w:t>VOCs</w:t>
                  </w:r>
                  <w:r>
                    <w:rPr>
                      <w:rFonts w:hint="default" w:ascii="Times New Roman" w:hAnsi="Times New Roman" w:cs="Times New Roman"/>
                      <w:color w:val="000000" w:themeColor="text1"/>
                      <w:sz w:val="21"/>
                      <w:szCs w:val="21"/>
                      <w:lang w:val="en-US" w:eastAsia="zh-CN"/>
                      <w14:textFill>
                        <w14:solidFill>
                          <w14:schemeClr w14:val="tx1"/>
                        </w14:solidFill>
                      </w14:textFill>
                    </w:rPr>
                    <w:t>收集后通过</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pacing w:val="0"/>
                      <w:sz w:val="21"/>
                      <w:szCs w:val="21"/>
                      <w:highlight w:val="none"/>
                      <w:lang w:val="en-US" w:eastAsia="zh-CN"/>
                      <w14:textFill>
                        <w14:solidFill>
                          <w14:schemeClr w14:val="tx1"/>
                        </w14:solidFill>
                      </w14:textFill>
                    </w:rPr>
                    <w:t>水</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喷淋+干式过滤</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+活性炭吸附</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处理后排放</w:t>
                  </w:r>
                  <w:r>
                    <w:rPr>
                      <w:rFonts w:hint="default" w:ascii="Times New Roman" w:hAnsi="Times New Roman" w:cs="Times New Roman"/>
                      <w:color w:val="000000" w:themeColor="text1"/>
                      <w:sz w:val="21"/>
                      <w:szCs w:val="21"/>
                      <w:lang w:val="en-US" w:eastAsia="zh-CN"/>
                      <w14:textFill>
                        <w14:solidFill>
                          <w14:schemeClr w14:val="tx1"/>
                        </w14:solidFill>
                      </w14:textFill>
                    </w:rPr>
                    <w:t>，拟将</w:t>
                  </w:r>
                  <w:r>
                    <w:rPr>
                      <w:rFonts w:hint="default" w:ascii="Times New Roman" w:hAnsi="Times New Roman" w:cs="Times New Roman"/>
                      <w:color w:val="000000" w:themeColor="text1"/>
                      <w:sz w:val="21"/>
                      <w:szCs w:val="21"/>
                      <w14:textFill>
                        <w14:solidFill>
                          <w14:schemeClr w14:val="tx1"/>
                        </w14:solidFill>
                      </w14:textFill>
                    </w:rPr>
                    <w:t>更换的</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废活性炭</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等</w:t>
                  </w:r>
                  <w:r>
                    <w:rPr>
                      <w:rFonts w:hint="eastAsia" w:ascii="Times New Roman" w:hAnsi="Times New Roman" w:cs="Times New Roman"/>
                      <w:color w:val="000000" w:themeColor="text1"/>
                      <w:sz w:val="21"/>
                      <w:szCs w:val="21"/>
                      <w:lang w:val="en-US" w:eastAsia="zh-CN"/>
                      <w14:textFill>
                        <w14:solidFill>
                          <w14:schemeClr w14:val="tx1"/>
                        </w14:solidFill>
                      </w14:textFill>
                    </w:rPr>
                    <w:t>当作</w:t>
                  </w:r>
                  <w:r>
                    <w:rPr>
                      <w:rFonts w:hint="default" w:ascii="Times New Roman" w:hAnsi="Times New Roman" w:cs="Times New Roman"/>
                      <w:color w:val="000000" w:themeColor="text1"/>
                      <w:sz w:val="21"/>
                      <w:szCs w:val="21"/>
                      <w14:textFill>
                        <w14:solidFill>
                          <w14:schemeClr w14:val="tx1"/>
                        </w14:solidFill>
                      </w14:textFill>
                    </w:rPr>
                    <w:t>危险废物</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袋装密闭暂存于危险废物</w:t>
                  </w:r>
                  <w:r>
                    <w:rPr>
                      <w:rFonts w:hint="eastAsia" w:ascii="Times New Roman" w:hAnsi="Times New Roman" w:cs="Times New Roman"/>
                      <w:color w:val="000000" w:themeColor="text1"/>
                      <w:sz w:val="21"/>
                      <w:szCs w:val="21"/>
                      <w:lang w:val="en-US" w:eastAsia="zh-CN"/>
                      <w14:textFill>
                        <w14:solidFill>
                          <w14:schemeClr w14:val="tx1"/>
                        </w14:solidFill>
                      </w14:textFill>
                    </w:rPr>
                    <w:t>贮存</w:t>
                  </w:r>
                  <w:r>
                    <w:rPr>
                      <w:rFonts w:hint="default" w:ascii="Times New Roman" w:hAnsi="Times New Roman" w:cs="Times New Roman"/>
                      <w:color w:val="000000" w:themeColor="text1"/>
                      <w:sz w:val="21"/>
                      <w:szCs w:val="21"/>
                      <w14:textFill>
                        <w14:solidFill>
                          <w14:schemeClr w14:val="tx1"/>
                        </w14:solidFill>
                      </w14:textFill>
                    </w:rPr>
                    <w:t>间内</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320" w:type="pct"/>
                  <w:tcBorders>
                    <w:left w:val="single" w:color="auto" w:sz="4" w:space="0"/>
                  </w:tcBorders>
                  <w:noWrap w:val="0"/>
                  <w:vAlign w:val="center"/>
                </w:tcPr>
                <w:p w14:paraId="62C3B76F">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1DB3BD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6" w:hRule="atLeast"/>
                <w:jc w:val="center"/>
              </w:trPr>
              <w:tc>
                <w:tcPr>
                  <w:tcW w:w="210" w:type="pct"/>
                  <w:noWrap w:val="0"/>
                  <w:vAlign w:val="center"/>
                </w:tcPr>
                <w:p w14:paraId="445E9862">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790" w:type="pct"/>
                  <w:noWrap w:val="0"/>
                  <w:vAlign w:val="center"/>
                </w:tcPr>
                <w:p w14:paraId="40D8F890">
                  <w:pPr>
                    <w:pStyle w:val="102"/>
                    <w:adjustRightInd w:val="0"/>
                    <w:snapToGrid w:val="0"/>
                    <w:spacing w:line="240" w:lineRule="auto"/>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《福建省2020年挥发性有机物治理攻坚实施方案》的通知（闽环保大气〔2020〕6号）</w:t>
                  </w:r>
                </w:p>
              </w:tc>
              <w:tc>
                <w:tcPr>
                  <w:tcW w:w="2320" w:type="pct"/>
                  <w:tcBorders>
                    <w:right w:val="single" w:color="auto" w:sz="4" w:space="0"/>
                  </w:tcBorders>
                  <w:noWrap w:val="0"/>
                  <w:vAlign w:val="center"/>
                </w:tcPr>
                <w:p w14:paraId="3906C1F7">
                  <w:pPr>
                    <w:pStyle w:val="102"/>
                    <w:adjustRightInd w:val="0"/>
                    <w:snapToGrid w:val="0"/>
                    <w:spacing w:line="240" w:lineRule="auto"/>
                    <w:jc w:val="left"/>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（1）大力推进源头替代，有效减少VOCs产生；</w:t>
                  </w:r>
                </w:p>
                <w:p w14:paraId="08DFF2CA">
                  <w:pPr>
                    <w:pStyle w:val="102"/>
                    <w:adjustRightInd w:val="0"/>
                    <w:snapToGrid w:val="0"/>
                    <w:spacing w:line="240" w:lineRule="auto"/>
                    <w:jc w:val="left"/>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渣、液）、废吸附剂等通过加盖、封装等方式密闭，妥善存放，集中清运，交有资质的单位处置，不得随意丢弃；</w:t>
                  </w:r>
                </w:p>
                <w:p w14:paraId="5434D703">
                  <w:pPr>
                    <w:pStyle w:val="102"/>
                    <w:adjustRightInd w:val="0"/>
                    <w:snapToGrid w:val="0"/>
                    <w:spacing w:line="240" w:lineRule="auto"/>
                    <w:jc w:val="left"/>
                    <w:rPr>
                      <w:rFonts w:hint="default"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聚焦治污设施</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三率</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，提升综合治理效率</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除恶臭异味治理外，一般不采用低温等离子、光催化、光氧化等技术。优先采用密闭设备、在密闭空间中操作或采用全密闭集气罩收集方式；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采用活性炭吸附技术的，应选择碘值不低于800毫克/克的活性炭，并按设计要求足量添加、及时更换。</w:t>
                  </w:r>
                </w:p>
              </w:tc>
              <w:tc>
                <w:tcPr>
                  <w:tcW w:w="1358" w:type="pct"/>
                  <w:tcBorders>
                    <w:left w:val="single" w:color="auto" w:sz="4" w:space="0"/>
                    <w:right w:val="single" w:color="auto" w:sz="4" w:space="0"/>
                  </w:tcBorders>
                  <w:noWrap w:val="0"/>
                  <w:vAlign w:val="center"/>
                </w:tcPr>
                <w:p w14:paraId="3C15B19D">
                  <w:pPr>
                    <w:pStyle w:val="102"/>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（1）项目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使用塑粉、电泳漆等为原料，属于低VOCs含量原料；</w:t>
                  </w:r>
                </w:p>
                <w:p w14:paraId="06FCE486">
                  <w:pPr>
                    <w:pStyle w:val="102"/>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塑粉</w:t>
                  </w:r>
                  <w:r>
                    <w:rPr>
                      <w:rFonts w:hint="default" w:ascii="Times New Roman" w:hAnsi="Times New Roman" w:cs="Times New Roman"/>
                      <w:color w:val="000000" w:themeColor="text1"/>
                      <w:sz w:val="21"/>
                      <w:szCs w:val="21"/>
                      <w:lang w:val="en-US" w:eastAsia="zh-CN"/>
                      <w14:textFill>
                        <w14:solidFill>
                          <w14:schemeClr w14:val="tx1"/>
                        </w14:solidFill>
                      </w14:textFill>
                    </w:rPr>
                    <w:t>采用密闭袋装暂存</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电泳漆</w:t>
                  </w:r>
                  <w:r>
                    <w:rPr>
                      <w:rFonts w:hint="eastAsia" w:ascii="Times New Roman" w:hAnsi="Times New Roman" w:cs="Times New Roman"/>
                      <w:color w:val="000000" w:themeColor="text1"/>
                      <w:sz w:val="21"/>
                      <w:szCs w:val="21"/>
                      <w:lang w:val="en-US" w:eastAsia="zh-CN"/>
                      <w14:textFill>
                        <w14:solidFill>
                          <w14:schemeClr w14:val="tx1"/>
                        </w14:solidFill>
                      </w14:textFill>
                    </w:rPr>
                    <w:t>密闭桶装暂存</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拟在电泳槽上方和烘干固化炉进出口设置局部气体收集措施，</w:t>
                  </w:r>
                  <w:r>
                    <w:rPr>
                      <w:rFonts w:hint="default" w:ascii="Times New Roman" w:hAnsi="Times New Roman" w:cs="Times New Roman"/>
                      <w:color w:val="000000" w:themeColor="text1"/>
                      <w:sz w:val="21"/>
                      <w:szCs w:val="21"/>
                      <w:lang w:val="en-US" w:eastAsia="zh-CN"/>
                      <w14:textFill>
                        <w14:solidFill>
                          <w14:schemeClr w14:val="tx1"/>
                        </w14:solidFill>
                      </w14:textFill>
                    </w:rPr>
                    <w:t>设计收集效率≥</w:t>
                  </w:r>
                  <w:r>
                    <w:rPr>
                      <w:rFonts w:hint="eastAsia" w:ascii="Times New Roman" w:hAnsi="Times New Roman" w:cs="Times New Roman"/>
                      <w:color w:val="000000" w:themeColor="text1"/>
                      <w:sz w:val="21"/>
                      <w:szCs w:val="21"/>
                      <w:lang w:val="en-US" w:eastAsia="zh-CN"/>
                      <w14:textFill>
                        <w14:solidFill>
                          <w14:schemeClr w14:val="tx1"/>
                        </w14:solidFill>
                      </w14:textFill>
                    </w:rPr>
                    <w:t>9</w:t>
                  </w:r>
                  <w:r>
                    <w:rPr>
                      <w:rFonts w:hint="default" w:ascii="Times New Roman" w:hAnsi="Times New Roman" w:cs="Times New Roman"/>
                      <w:color w:val="000000" w:themeColor="text1"/>
                      <w:sz w:val="21"/>
                      <w:szCs w:val="21"/>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拟将</w:t>
                  </w:r>
                  <w:r>
                    <w:rPr>
                      <w:rFonts w:hint="default" w:ascii="Times New Roman" w:hAnsi="Times New Roman" w:cs="Times New Roman"/>
                      <w:color w:val="000000" w:themeColor="text1"/>
                      <w:sz w:val="21"/>
                      <w:szCs w:val="21"/>
                      <w14:textFill>
                        <w14:solidFill>
                          <w14:schemeClr w14:val="tx1"/>
                        </w14:solidFill>
                      </w14:textFill>
                    </w:rPr>
                    <w:t>更换的</w:t>
                  </w:r>
                  <w:r>
                    <w:rPr>
                      <w:rFonts w:hint="eastAsia" w:ascii="Times New Roman" w:hAnsi="Times New Roman" w:cs="Times New Roman"/>
                      <w:color w:val="000000" w:themeColor="text1"/>
                      <w:sz w:val="21"/>
                      <w:szCs w:val="21"/>
                      <w:lang w:val="en-US" w:eastAsia="zh-CN"/>
                      <w14:textFill>
                        <w14:solidFill>
                          <w14:schemeClr w14:val="tx1"/>
                        </w14:solidFill>
                      </w14:textFill>
                    </w:rPr>
                    <w:t>废活性炭当作</w:t>
                  </w:r>
                  <w:r>
                    <w:rPr>
                      <w:rFonts w:hint="default" w:ascii="Times New Roman" w:hAnsi="Times New Roman" w:cs="Times New Roman"/>
                      <w:color w:val="000000" w:themeColor="text1"/>
                      <w:sz w:val="21"/>
                      <w:szCs w:val="21"/>
                      <w14:textFill>
                        <w14:solidFill>
                          <w14:schemeClr w14:val="tx1"/>
                        </w14:solidFill>
                      </w14:textFill>
                    </w:rPr>
                    <w:t>危险废物</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密闭暂存于危险废物</w:t>
                  </w:r>
                  <w:r>
                    <w:rPr>
                      <w:rFonts w:hint="eastAsia" w:ascii="Times New Roman" w:hAnsi="Times New Roman" w:cs="Times New Roman"/>
                      <w:color w:val="000000" w:themeColor="text1"/>
                      <w:sz w:val="21"/>
                      <w:szCs w:val="21"/>
                      <w:lang w:val="en-US" w:eastAsia="zh-CN"/>
                      <w14:textFill>
                        <w14:solidFill>
                          <w14:schemeClr w14:val="tx1"/>
                        </w14:solidFill>
                      </w14:textFill>
                    </w:rPr>
                    <w:t>贮存</w:t>
                  </w:r>
                  <w:r>
                    <w:rPr>
                      <w:rFonts w:hint="default" w:ascii="Times New Roman" w:hAnsi="Times New Roman" w:cs="Times New Roman"/>
                      <w:color w:val="000000" w:themeColor="text1"/>
                      <w:sz w:val="21"/>
                      <w:szCs w:val="21"/>
                      <w14:textFill>
                        <w14:solidFill>
                          <w14:schemeClr w14:val="tx1"/>
                        </w14:solidFill>
                      </w14:textFill>
                    </w:rPr>
                    <w:t>间内</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定期委托有资质单位统一处置；</w:t>
                  </w:r>
                </w:p>
                <w:p w14:paraId="17CF6576">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本项目</w:t>
                  </w:r>
                  <w:r>
                    <w:rPr>
                      <w:rFonts w:hint="eastAsia" w:ascii="Times New Roman" w:hAnsi="Times New Roman" w:cs="Times New Roman"/>
                      <w:color w:val="000000" w:themeColor="text1"/>
                      <w:sz w:val="21"/>
                      <w:szCs w:val="21"/>
                      <w:lang w:val="en-US" w:eastAsia="zh-CN"/>
                      <w14:textFill>
                        <w14:solidFill>
                          <w14:schemeClr w14:val="tx1"/>
                        </w14:solidFill>
                      </w14:textFill>
                    </w:rPr>
                    <w:t>拟在</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电泳、电泳烘干、喷胶</w:t>
                  </w:r>
                  <w:r>
                    <w:rPr>
                      <w:rFonts w:hint="eastAsia" w:cs="Times New Roman"/>
                      <w:color w:val="000000" w:themeColor="text1"/>
                      <w:sz w:val="21"/>
                      <w:szCs w:val="21"/>
                      <w:highlight w:val="none"/>
                      <w:lang w:val="en-US" w:eastAsia="zh-CN"/>
                      <w14:textFill>
                        <w14:solidFill>
                          <w14:schemeClr w14:val="tx1"/>
                        </w14:solidFill>
                      </w14:textFill>
                    </w:rPr>
                    <w:t>/喷漆</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烘干</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喷粉烘干、丝印烘干</w:t>
                  </w:r>
                  <w:r>
                    <w:rPr>
                      <w:rFonts w:hint="eastAsia" w:cs="Times New Roman"/>
                      <w:color w:val="000000" w:themeColor="text1"/>
                      <w:sz w:val="21"/>
                      <w:szCs w:val="21"/>
                      <w:lang w:val="en-US" w:eastAsia="zh-CN"/>
                      <w14:textFill>
                        <w14:solidFill>
                          <w14:schemeClr w14:val="tx1"/>
                        </w14:solidFill>
                      </w14:textFill>
                    </w:rPr>
                    <w:t>等产生有机废气</w:t>
                  </w:r>
                  <w:r>
                    <w:rPr>
                      <w:rFonts w:hint="eastAsia" w:ascii="Times New Roman" w:hAnsi="Times New Roman" w:cs="Times New Roman"/>
                      <w:color w:val="000000" w:themeColor="text1"/>
                      <w:sz w:val="21"/>
                      <w:szCs w:val="21"/>
                      <w:lang w:val="en-US" w:eastAsia="zh-CN"/>
                      <w14:textFill>
                        <w14:solidFill>
                          <w14:schemeClr w14:val="tx1"/>
                        </w14:solidFill>
                      </w14:textFill>
                    </w:rPr>
                    <w:t>工序设置集气罩，</w:t>
                  </w:r>
                  <w:r>
                    <w:rPr>
                      <w:rFonts w:hint="default" w:ascii="Times New Roman" w:hAnsi="Times New Roman" w:cs="Times New Roman"/>
                      <w:color w:val="000000" w:themeColor="text1"/>
                      <w:sz w:val="21"/>
                      <w:szCs w:val="21"/>
                      <w:lang w:val="en-US" w:eastAsia="zh-CN"/>
                      <w14:textFill>
                        <w14:solidFill>
                          <w14:schemeClr w14:val="tx1"/>
                        </w14:solidFill>
                      </w14:textFill>
                    </w:rPr>
                    <w:t>将产生的</w:t>
                  </w:r>
                  <w:r>
                    <w:rPr>
                      <w:rFonts w:hint="default" w:ascii="Times New Roman" w:hAnsi="Times New Roman" w:cs="Times New Roman"/>
                      <w:color w:val="000000" w:themeColor="text1"/>
                      <w:sz w:val="21"/>
                      <w:szCs w:val="21"/>
                      <w14:textFill>
                        <w14:solidFill>
                          <w14:schemeClr w14:val="tx1"/>
                        </w14:solidFill>
                      </w14:textFill>
                    </w:rPr>
                    <w:t>VOCs</w:t>
                  </w:r>
                  <w:r>
                    <w:rPr>
                      <w:rFonts w:hint="default" w:ascii="Times New Roman" w:hAnsi="Times New Roman" w:cs="Times New Roman"/>
                      <w:color w:val="000000" w:themeColor="text1"/>
                      <w:sz w:val="21"/>
                      <w:szCs w:val="21"/>
                      <w:lang w:val="en-US" w:eastAsia="zh-CN"/>
                      <w14:textFill>
                        <w14:solidFill>
                          <w14:schemeClr w14:val="tx1"/>
                        </w14:solidFill>
                      </w14:textFill>
                    </w:rPr>
                    <w:t>收集后通过</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pacing w:val="0"/>
                      <w:sz w:val="21"/>
                      <w:szCs w:val="21"/>
                      <w:highlight w:val="none"/>
                      <w:lang w:val="en-US" w:eastAsia="zh-CN"/>
                      <w14:textFill>
                        <w14:solidFill>
                          <w14:schemeClr w14:val="tx1"/>
                        </w14:solidFill>
                      </w14:textFill>
                    </w:rPr>
                    <w:t>水</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喷淋+干式过滤</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+活性炭吸附</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+排气筒</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处理后排放</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采用</w:t>
                  </w:r>
                  <w:r>
                    <w:rPr>
                      <w:rFonts w:hint="eastAsia" w:ascii="Times New Roman" w:hAnsi="Times New Roman" w:eastAsia="宋体" w:cs="Times New Roman"/>
                      <w:color w:val="000000" w:themeColor="text1"/>
                      <w:sz w:val="21"/>
                      <w:szCs w:val="21"/>
                      <w14:textFill>
                        <w14:solidFill>
                          <w14:schemeClr w14:val="tx1"/>
                        </w14:solidFill>
                      </w14:textFill>
                    </w:rPr>
                    <w:t>碘值不低于800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w:t>
                  </w:r>
                  <w:r>
                    <w:rPr>
                      <w:rFonts w:hint="eastAsia" w:ascii="Times New Roman" w:hAnsi="Times New Roman" w:eastAsia="宋体" w:cs="Times New Roman"/>
                      <w:color w:val="000000" w:themeColor="text1"/>
                      <w:sz w:val="21"/>
                      <w:szCs w:val="21"/>
                      <w14:textFill>
                        <w14:solidFill>
                          <w14:schemeClr w14:val="tx1"/>
                        </w14:solidFill>
                      </w14:textFill>
                    </w:rPr>
                    <w:t>的活性炭</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并定期更换。</w:t>
                  </w:r>
                </w:p>
              </w:tc>
              <w:tc>
                <w:tcPr>
                  <w:tcW w:w="320" w:type="pct"/>
                  <w:tcBorders>
                    <w:left w:val="single" w:color="auto" w:sz="4" w:space="0"/>
                  </w:tcBorders>
                  <w:noWrap w:val="0"/>
                  <w:vAlign w:val="center"/>
                </w:tcPr>
                <w:p w14:paraId="30C4FAA1">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767595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10" w:type="pct"/>
                  <w:noWrap w:val="0"/>
                  <w:vAlign w:val="center"/>
                </w:tcPr>
                <w:p w14:paraId="3DCCBCA3">
                  <w:pPr>
                    <w:pStyle w:val="102"/>
                    <w:adjustRightInd w:val="0"/>
                    <w:snapToGrid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w:t>
                  </w:r>
                </w:p>
              </w:tc>
              <w:tc>
                <w:tcPr>
                  <w:tcW w:w="790" w:type="pct"/>
                  <w:noWrap w:val="0"/>
                  <w:vAlign w:val="center"/>
                </w:tcPr>
                <w:p w14:paraId="7E203D88">
                  <w:pPr>
                    <w:pStyle w:val="102"/>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福州市生态环境保护委员会办公室关于印发</w:t>
                  </w:r>
                  <w:r>
                    <w:rPr>
                      <w:rFonts w:hint="default" w:ascii="Times New Roman" w:hAnsi="Times New Roman" w:cs="Times New Roman"/>
                      <w:color w:val="000000" w:themeColor="text1"/>
                      <w:sz w:val="21"/>
                      <w:szCs w:val="21"/>
                      <w:lang w:val="en-US" w:eastAsia="zh-CN"/>
                      <w14:textFill>
                        <w14:solidFill>
                          <w14:schemeClr w14:val="tx1"/>
                        </w14:solidFill>
                      </w14:textFill>
                    </w:rPr>
                    <w:t>2022年度福州市蓝天碧海净土保卫战行动计划通知</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榕环委办</w:t>
                  </w:r>
                  <w:r>
                    <w:rPr>
                      <w:rFonts w:hint="default" w:ascii="Times New Roman" w:hAnsi="Times New Roman" w:cs="Times New Roman"/>
                      <w:color w:val="000000" w:themeColor="text1"/>
                      <w:sz w:val="21"/>
                      <w:szCs w:val="21"/>
                      <w:lang w:val="en-US" w:eastAsia="zh-CN"/>
                      <w14:textFill>
                        <w14:solidFill>
                          <w14:schemeClr w14:val="tx1"/>
                        </w14:solidFill>
                      </w14:textFill>
                    </w:rPr>
                    <w:t>[2022]49号</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2320" w:type="pct"/>
                  <w:tcBorders>
                    <w:right w:val="single" w:color="auto" w:sz="4" w:space="0"/>
                  </w:tcBorders>
                  <w:noWrap w:val="0"/>
                  <w:vAlign w:val="center"/>
                </w:tcPr>
                <w:p w14:paraId="51050F9F">
                  <w:pPr>
                    <w:pStyle w:val="102"/>
                    <w:adjustRightInd w:val="0"/>
                    <w:snapToGrid w:val="0"/>
                    <w:spacing w:line="240" w:lineRule="auto"/>
                    <w:jc w:val="left"/>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四是严格涉VOCs建设项目环境影响评价审批。新、改、扩建涉VOCs排放项目，应使用低</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无</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VOCs涂料、粘胶剂等，实施新建项目VOCs排放区域内1.2及以上倍量替代。VOCs年排放量大于5吨的新建项目投运前应安装VOCs在线监控设备，并接入市生态云平台。</w:t>
                  </w:r>
                </w:p>
              </w:tc>
              <w:tc>
                <w:tcPr>
                  <w:tcW w:w="1358" w:type="pct"/>
                  <w:tcBorders>
                    <w:left w:val="single" w:color="auto" w:sz="4" w:space="0"/>
                    <w:right w:val="single" w:color="auto" w:sz="4" w:space="0"/>
                  </w:tcBorders>
                  <w:noWrap w:val="0"/>
                  <w:vAlign w:val="center"/>
                </w:tcPr>
                <w:p w14:paraId="75B4F954">
                  <w:pPr>
                    <w:pStyle w:val="102"/>
                    <w:adjustRightInd w:val="0"/>
                    <w:snapToGrid w:val="0"/>
                    <w:spacing w:line="240" w:lineRule="auto"/>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使用塑粉、电泳漆、PVC涂料（胶）等低VOCs含量原料，</w:t>
                  </w:r>
                  <w:r>
                    <w:rPr>
                      <w:rFonts w:hint="eastAsia" w:cs="Times New Roman"/>
                      <w:color w:val="000000" w:themeColor="text1"/>
                      <w:sz w:val="21"/>
                      <w:szCs w:val="21"/>
                      <w:lang w:val="en-US" w:eastAsia="zh-CN"/>
                      <w14:textFill>
                        <w14:solidFill>
                          <w14:schemeClr w14:val="tx1"/>
                        </w14:solidFill>
                      </w14:textFill>
                    </w:rPr>
                    <w:t>仅在客户有要求时少量使用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油性漆和有机溶剂，少量使用丝印油墨及洗网水；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项目VOCs排放拟实行区域内倍量替代，</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项目VOCs</w:t>
                  </w:r>
                  <w:r>
                    <w:rPr>
                      <w:rFonts w:hint="default" w:ascii="Times New Roman" w:hAnsi="Times New Roman" w:cs="Times New Roman"/>
                      <w:b w:val="0"/>
                      <w:bCs w:val="0"/>
                      <w:color w:val="000000" w:themeColor="text1"/>
                      <w:sz w:val="21"/>
                      <w:szCs w:val="21"/>
                      <w14:textFill>
                        <w14:solidFill>
                          <w14:schemeClr w14:val="tx1"/>
                        </w14:solidFill>
                      </w14:textFill>
                    </w:rPr>
                    <w:t>年排放量</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小于5</w:t>
                  </w:r>
                  <w:r>
                    <w:rPr>
                      <w:rFonts w:hint="default" w:ascii="Times New Roman" w:hAnsi="Times New Roman" w:cs="Times New Roman"/>
                      <w:b w:val="0"/>
                      <w:bCs w:val="0"/>
                      <w:color w:val="000000" w:themeColor="text1"/>
                      <w:sz w:val="21"/>
                      <w:szCs w:val="21"/>
                      <w14:textFill>
                        <w14:solidFill>
                          <w14:schemeClr w14:val="tx1"/>
                        </w14:solidFill>
                      </w14:textFill>
                    </w:rPr>
                    <w:t>吨</w:t>
                  </w:r>
                  <w:r>
                    <w:rPr>
                      <w:rFonts w:hint="default"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不需</w:t>
                  </w:r>
                  <w:r>
                    <w:rPr>
                      <w:rFonts w:hint="default" w:ascii="Times New Roman" w:hAnsi="Times New Roman" w:cs="Times New Roman"/>
                      <w:b w:val="0"/>
                      <w:bCs w:val="0"/>
                      <w:color w:val="000000" w:themeColor="text1"/>
                      <w:sz w:val="21"/>
                      <w:szCs w:val="21"/>
                      <w14:textFill>
                        <w14:solidFill>
                          <w14:schemeClr w14:val="tx1"/>
                        </w14:solidFill>
                      </w14:textFill>
                    </w:rPr>
                    <w:t>安装VOCs在线监控设备</w:t>
                  </w:r>
                  <w:r>
                    <w:rPr>
                      <w:rFonts w:hint="default" w:ascii="Times New Roman" w:hAnsi="Times New Roman" w:cs="Times New Roman"/>
                      <w:b w:val="0"/>
                      <w:bCs w:val="0"/>
                      <w:color w:val="000000" w:themeColor="text1"/>
                      <w:sz w:val="21"/>
                      <w:szCs w:val="21"/>
                      <w:lang w:eastAsia="zh-CN"/>
                      <w14:textFill>
                        <w14:solidFill>
                          <w14:schemeClr w14:val="tx1"/>
                        </w14:solidFill>
                      </w14:textFill>
                    </w:rPr>
                    <w:t>。</w:t>
                  </w:r>
                </w:p>
              </w:tc>
              <w:tc>
                <w:tcPr>
                  <w:tcW w:w="320" w:type="pct"/>
                  <w:tcBorders>
                    <w:left w:val="single" w:color="auto" w:sz="4" w:space="0"/>
                  </w:tcBorders>
                  <w:noWrap w:val="0"/>
                  <w:vAlign w:val="center"/>
                </w:tcPr>
                <w:p w14:paraId="4FEF94E5">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1B4265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10" w:type="pct"/>
                  <w:noWrap w:val="0"/>
                  <w:vAlign w:val="center"/>
                </w:tcPr>
                <w:p w14:paraId="1F6EDE0C">
                  <w:pPr>
                    <w:pStyle w:val="102"/>
                    <w:adjustRightInd w:val="0"/>
                    <w:snapToGrid w:val="0"/>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w:t>
                  </w:r>
                </w:p>
              </w:tc>
              <w:tc>
                <w:tcPr>
                  <w:tcW w:w="790" w:type="pct"/>
                  <w:noWrap w:val="0"/>
                  <w:vAlign w:val="center"/>
                </w:tcPr>
                <w:p w14:paraId="05BDB336">
                  <w:pPr>
                    <w:pStyle w:val="102"/>
                    <w:adjustRightInd w:val="0"/>
                    <w:snapToGrid w:val="0"/>
                    <w:spacing w:line="240" w:lineRule="auto"/>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《闽侯县人民政府办公室关于印发2022年闽侯县持续改善空气质量行动计划的通知》</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侯政办发〔2022〕10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号</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2320" w:type="pct"/>
                  <w:tcBorders>
                    <w:right w:val="single" w:color="auto" w:sz="4" w:space="0"/>
                  </w:tcBorders>
                  <w:noWrap w:val="0"/>
                  <w:vAlign w:val="center"/>
                </w:tcPr>
                <w:p w14:paraId="58933A54">
                  <w:pPr>
                    <w:pStyle w:val="102"/>
                    <w:adjustRightInd w:val="0"/>
                    <w:snapToGrid w:val="0"/>
                    <w:spacing w:line="240" w:lineRule="auto"/>
                    <w:jc w:val="left"/>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严格涉VOCs建设项目环境影响评价审批，新、改、扩建涉VOCs排放项目，应使用低</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无</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VOCs涂料、粘胶剂等，实施新建项目VOCs排放区域内倍量替代。VOCs年排放量大于10吨的新建项目投运前应安装VOCs在线监控设备，并接入市生态云平台。</w:t>
                  </w:r>
                </w:p>
              </w:tc>
              <w:tc>
                <w:tcPr>
                  <w:tcW w:w="1358" w:type="pct"/>
                  <w:tcBorders>
                    <w:left w:val="single" w:color="auto" w:sz="4" w:space="0"/>
                    <w:right w:val="single" w:color="auto" w:sz="4" w:space="0"/>
                  </w:tcBorders>
                  <w:noWrap w:val="0"/>
                  <w:vAlign w:val="center"/>
                </w:tcPr>
                <w:p w14:paraId="39C80CFC">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使用塑粉、电泳漆、PVC涂料（胶）等低VOCs含量原料，</w:t>
                  </w:r>
                  <w:r>
                    <w:rPr>
                      <w:rFonts w:hint="eastAsia" w:cs="Times New Roman"/>
                      <w:color w:val="000000" w:themeColor="text1"/>
                      <w:sz w:val="21"/>
                      <w:szCs w:val="21"/>
                      <w:lang w:val="en-US" w:eastAsia="zh-CN"/>
                      <w14:textFill>
                        <w14:solidFill>
                          <w14:schemeClr w14:val="tx1"/>
                        </w14:solidFill>
                      </w14:textFill>
                    </w:rPr>
                    <w:t>仅在客户有要求时少量使用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油性漆和有机溶剂，少量使用丝印油墨及洗网水；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项目VOCs排放拟实行区域内倍量替代，</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项目VOCs</w:t>
                  </w:r>
                  <w:r>
                    <w:rPr>
                      <w:rFonts w:hint="default" w:ascii="Times New Roman" w:hAnsi="Times New Roman" w:cs="Times New Roman"/>
                      <w:b w:val="0"/>
                      <w:bCs w:val="0"/>
                      <w:color w:val="000000" w:themeColor="text1"/>
                      <w:sz w:val="21"/>
                      <w:szCs w:val="21"/>
                      <w14:textFill>
                        <w14:solidFill>
                          <w14:schemeClr w14:val="tx1"/>
                        </w14:solidFill>
                      </w14:textFill>
                    </w:rPr>
                    <w:t>年排放量</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远小于</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10</w:t>
                  </w:r>
                  <w:r>
                    <w:rPr>
                      <w:rFonts w:hint="default" w:ascii="Times New Roman" w:hAnsi="Times New Roman" w:cs="Times New Roman"/>
                      <w:b w:val="0"/>
                      <w:bCs w:val="0"/>
                      <w:color w:val="000000" w:themeColor="text1"/>
                      <w:sz w:val="21"/>
                      <w:szCs w:val="21"/>
                      <w14:textFill>
                        <w14:solidFill>
                          <w14:schemeClr w14:val="tx1"/>
                        </w14:solidFill>
                      </w14:textFill>
                    </w:rPr>
                    <w:t>吨</w:t>
                  </w:r>
                  <w:r>
                    <w:rPr>
                      <w:rFonts w:hint="default"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不需</w:t>
                  </w:r>
                  <w:r>
                    <w:rPr>
                      <w:rFonts w:hint="default" w:ascii="Times New Roman" w:hAnsi="Times New Roman" w:cs="Times New Roman"/>
                      <w:b w:val="0"/>
                      <w:bCs w:val="0"/>
                      <w:color w:val="000000" w:themeColor="text1"/>
                      <w:sz w:val="21"/>
                      <w:szCs w:val="21"/>
                      <w14:textFill>
                        <w14:solidFill>
                          <w14:schemeClr w14:val="tx1"/>
                        </w14:solidFill>
                      </w14:textFill>
                    </w:rPr>
                    <w:t>安装VOCs在线监控设备</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p>
              </w:tc>
              <w:tc>
                <w:tcPr>
                  <w:tcW w:w="320" w:type="pct"/>
                  <w:tcBorders>
                    <w:left w:val="single" w:color="auto" w:sz="4" w:space="0"/>
                  </w:tcBorders>
                  <w:noWrap w:val="0"/>
                  <w:vAlign w:val="center"/>
                </w:tcPr>
                <w:p w14:paraId="5A214DE5">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3A4CCF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10" w:type="pct"/>
                  <w:vMerge w:val="restart"/>
                  <w:noWrap w:val="0"/>
                  <w:vAlign w:val="center"/>
                </w:tcPr>
                <w:p w14:paraId="2AF41FD7">
                  <w:pPr>
                    <w:pStyle w:val="102"/>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790" w:type="pct"/>
                  <w:vMerge w:val="restart"/>
                  <w:noWrap w:val="0"/>
                  <w:vAlign w:val="center"/>
                </w:tcPr>
                <w:p w14:paraId="22463E21">
                  <w:pPr>
                    <w:pStyle w:val="102"/>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《挥发性有机物无组织排放控制标准》(GB37822-2019)</w:t>
                  </w:r>
                </w:p>
              </w:tc>
              <w:tc>
                <w:tcPr>
                  <w:tcW w:w="2320" w:type="pct"/>
                  <w:tcBorders>
                    <w:right w:val="single" w:color="auto" w:sz="4" w:space="0"/>
                  </w:tcBorders>
                  <w:noWrap w:val="0"/>
                  <w:vAlign w:val="center"/>
                </w:tcPr>
                <w:p w14:paraId="6F7065EF">
                  <w:pPr>
                    <w:pStyle w:val="102"/>
                    <w:adjustRightInd w:val="0"/>
                    <w:snapToGrid w:val="0"/>
                    <w:spacing w:line="240" w:lineRule="auto"/>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VOCs物料应储存于密闭的容器、包装袋、储罐、储库、料仓中。</w:t>
                  </w:r>
                </w:p>
                <w:p w14:paraId="5E2E284C">
                  <w:pPr>
                    <w:pStyle w:val="102"/>
                    <w:adjustRightInd w:val="0"/>
                    <w:snapToGrid w:val="0"/>
                    <w:spacing w:line="240" w:lineRule="auto"/>
                    <w:jc w:val="left"/>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5.1.2 盛装VOCs物料的容器或包装袋应存放于室内，或存放于设置有雨棚、遮阳和防渗设施的专用场地。盛装VOCs物料的容器或包装袋在非取用状态时应加盖、封口，保持密闭。</w:t>
                  </w:r>
                </w:p>
              </w:tc>
              <w:tc>
                <w:tcPr>
                  <w:tcW w:w="1358" w:type="pct"/>
                  <w:tcBorders>
                    <w:left w:val="single" w:color="auto" w:sz="4" w:space="0"/>
                    <w:right w:val="single" w:color="auto" w:sz="4" w:space="0"/>
                  </w:tcBorders>
                  <w:noWrap w:val="0"/>
                  <w:vAlign w:val="center"/>
                </w:tcPr>
                <w:p w14:paraId="04FA0682">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塑粉</w:t>
                  </w:r>
                  <w:r>
                    <w:rPr>
                      <w:rFonts w:hint="default" w:ascii="Times New Roman" w:hAnsi="Times New Roman" w:cs="Times New Roman"/>
                      <w:color w:val="000000" w:themeColor="text1"/>
                      <w:sz w:val="21"/>
                      <w:szCs w:val="21"/>
                      <w:lang w:val="en-US" w:eastAsia="zh-CN"/>
                      <w14:textFill>
                        <w14:solidFill>
                          <w14:schemeClr w14:val="tx1"/>
                        </w14:solidFill>
                      </w14:textFill>
                    </w:rPr>
                    <w:t>采用密闭袋装暂存在原料仓库</w:t>
                  </w:r>
                  <w:r>
                    <w:rPr>
                      <w:rFonts w:hint="eastAsia" w:ascii="Times New Roman" w:hAnsi="Times New Roman" w:cs="Times New Roman"/>
                      <w:color w:val="000000" w:themeColor="text1"/>
                      <w:sz w:val="21"/>
                      <w:szCs w:val="21"/>
                      <w:lang w:val="en-US" w:eastAsia="zh-CN"/>
                      <w14:textFill>
                        <w14:solidFill>
                          <w14:schemeClr w14:val="tx1"/>
                        </w14:solidFill>
                      </w14:textFill>
                    </w:rPr>
                    <w:t>，常温下不产生VOCs，</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电泳漆</w:t>
                  </w:r>
                  <w:r>
                    <w:rPr>
                      <w:rFonts w:hint="eastAsia" w:cs="Times New Roman"/>
                      <w:color w:val="000000" w:themeColor="text1"/>
                      <w:sz w:val="21"/>
                      <w:szCs w:val="21"/>
                      <w:lang w:val="en-US" w:eastAsia="zh-CN"/>
                      <w14:textFill>
                        <w14:solidFill>
                          <w14:schemeClr w14:val="tx1"/>
                        </w14:solidFill>
                      </w14:textFill>
                    </w:rPr>
                    <w:t>、涂料、烤漆、稀释剂等</w:t>
                  </w:r>
                  <w:r>
                    <w:rPr>
                      <w:rFonts w:hint="eastAsia" w:ascii="Times New Roman" w:hAnsi="Times New Roman" w:cs="Times New Roman"/>
                      <w:color w:val="000000" w:themeColor="text1"/>
                      <w:sz w:val="21"/>
                      <w:szCs w:val="21"/>
                      <w:lang w:val="en-US" w:eastAsia="zh-CN"/>
                      <w14:textFill>
                        <w14:solidFill>
                          <w14:schemeClr w14:val="tx1"/>
                        </w14:solidFill>
                      </w14:textFill>
                    </w:rPr>
                    <w:t>采用密闭桶装暂存。</w:t>
                  </w:r>
                </w:p>
              </w:tc>
              <w:tc>
                <w:tcPr>
                  <w:tcW w:w="320" w:type="pct"/>
                  <w:tcBorders>
                    <w:left w:val="single" w:color="auto" w:sz="4" w:space="0"/>
                  </w:tcBorders>
                  <w:noWrap w:val="0"/>
                  <w:vAlign w:val="center"/>
                </w:tcPr>
                <w:p w14:paraId="76E34AAE">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3C0876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10" w:type="pct"/>
                  <w:vMerge w:val="continue"/>
                  <w:noWrap w:val="0"/>
                  <w:vAlign w:val="center"/>
                </w:tcPr>
                <w:p w14:paraId="4AAE9EAE">
                  <w:pPr>
                    <w:pStyle w:val="102"/>
                    <w:adjustRightInd w:val="0"/>
                    <w:snapToGrid w:val="0"/>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790" w:type="pct"/>
                  <w:vMerge w:val="continue"/>
                  <w:noWrap w:val="0"/>
                  <w:vAlign w:val="center"/>
                </w:tcPr>
                <w:p w14:paraId="1DB767C6">
                  <w:pPr>
                    <w:pStyle w:val="102"/>
                    <w:adjustRightInd w:val="0"/>
                    <w:snapToGrid w:val="0"/>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20" w:type="pct"/>
                  <w:tcBorders>
                    <w:right w:val="single" w:color="auto" w:sz="4" w:space="0"/>
                  </w:tcBorders>
                  <w:noWrap w:val="0"/>
                  <w:vAlign w:val="center"/>
                </w:tcPr>
                <w:p w14:paraId="1A94C0F7">
                  <w:pPr>
                    <w:pStyle w:val="102"/>
                    <w:adjustRightInd w:val="0"/>
                    <w:snapToGrid w:val="0"/>
                    <w:spacing w:line="240" w:lineRule="auto"/>
                    <w:jc w:val="left"/>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6.1.1 液态VOC物料应采用密闭管道输送。采用非管道输送方式转移液态VOC物料时，应采用密闭容器、罐车。</w:t>
                  </w:r>
                </w:p>
                <w:p w14:paraId="4F4C9BB4">
                  <w:pPr>
                    <w:pStyle w:val="102"/>
                    <w:adjustRightInd w:val="0"/>
                    <w:snapToGrid w:val="0"/>
                    <w:spacing w:line="240" w:lineRule="auto"/>
                    <w:jc w:val="left"/>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6.1.2 粉状、粒状VOCs物料应采用气力输送设备、管状带式输送机、螺旋输送机等密闭输送方式或者采用密闭的包装袋、容器或罐车进行物料转移。</w:t>
                  </w:r>
                </w:p>
              </w:tc>
              <w:tc>
                <w:tcPr>
                  <w:tcW w:w="1358" w:type="pct"/>
                  <w:tcBorders>
                    <w:left w:val="single" w:color="auto" w:sz="4" w:space="0"/>
                    <w:right w:val="single" w:color="auto" w:sz="4" w:space="0"/>
                  </w:tcBorders>
                  <w:noWrap w:val="0"/>
                  <w:vAlign w:val="center"/>
                </w:tcPr>
                <w:p w14:paraId="4EC70157">
                  <w:pPr>
                    <w:pStyle w:val="102"/>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6.1.1</w:t>
                  </w:r>
                  <w:r>
                    <w:rPr>
                      <w:rFonts w:hint="eastAsia" w:ascii="Times New Roman" w:hAnsi="Times New Roman" w:cs="Times New Roman"/>
                      <w:color w:val="000000" w:themeColor="text1"/>
                      <w:sz w:val="21"/>
                      <w:szCs w:val="21"/>
                      <w:lang w:val="en-US" w:eastAsia="zh-CN"/>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电泳漆</w:t>
                  </w:r>
                  <w:r>
                    <w:rPr>
                      <w:rFonts w:hint="eastAsia" w:cs="Times New Roman"/>
                      <w:color w:val="000000" w:themeColor="text1"/>
                      <w:sz w:val="21"/>
                      <w:szCs w:val="21"/>
                      <w:lang w:val="en-US" w:eastAsia="zh-CN"/>
                      <w14:textFill>
                        <w14:solidFill>
                          <w14:schemeClr w14:val="tx1"/>
                        </w14:solidFill>
                      </w14:textFill>
                    </w:rPr>
                    <w:t>、涂料、烤漆、稀释剂</w:t>
                  </w:r>
                  <w:r>
                    <w:rPr>
                      <w:rFonts w:hint="eastAsia" w:ascii="Times New Roman" w:hAnsi="Times New Roman" w:cs="Times New Roman"/>
                      <w:color w:val="000000" w:themeColor="text1"/>
                      <w:sz w:val="21"/>
                      <w:szCs w:val="21"/>
                      <w:lang w:val="en-US" w:eastAsia="zh-CN"/>
                      <w14:textFill>
                        <w14:solidFill>
                          <w14:schemeClr w14:val="tx1"/>
                        </w14:solidFill>
                      </w14:textFill>
                    </w:rPr>
                    <w:t>密闭桶装暂存及输送</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p w14:paraId="17265ED4">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6.1.2</w:t>
                  </w:r>
                  <w:r>
                    <w:rPr>
                      <w:rFonts w:hint="default" w:ascii="Times New Roman" w:hAnsi="Times New Roman" w:cs="Times New Roman"/>
                      <w:color w:val="000000" w:themeColor="text1"/>
                      <w:sz w:val="21"/>
                      <w:szCs w:val="21"/>
                      <w:lang w:val="en-US" w:eastAsia="zh-CN"/>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塑粉</w:t>
                  </w:r>
                  <w:r>
                    <w:rPr>
                      <w:rFonts w:hint="default" w:ascii="Times New Roman" w:hAnsi="Times New Roman" w:cs="Times New Roman"/>
                      <w:color w:val="000000" w:themeColor="text1"/>
                      <w:sz w:val="21"/>
                      <w:szCs w:val="21"/>
                      <w:lang w:val="en-US" w:eastAsia="zh-CN"/>
                      <w14:textFill>
                        <w14:solidFill>
                          <w14:schemeClr w14:val="tx1"/>
                        </w14:solidFill>
                      </w14:textFill>
                    </w:rPr>
                    <w:t>采用密闭袋装暂存在原料仓库</w:t>
                  </w:r>
                  <w:r>
                    <w:rPr>
                      <w:rFonts w:hint="eastAsia" w:ascii="Times New Roman" w:hAnsi="Times New Roman" w:cs="Times New Roman"/>
                      <w:color w:val="000000" w:themeColor="text1"/>
                      <w:sz w:val="21"/>
                      <w:szCs w:val="21"/>
                      <w:lang w:val="en-US" w:eastAsia="zh-CN"/>
                      <w14:textFill>
                        <w14:solidFill>
                          <w14:schemeClr w14:val="tx1"/>
                        </w14:solidFill>
                      </w14:textFill>
                    </w:rPr>
                    <w:t>，常温下不产生VOCs。</w:t>
                  </w:r>
                </w:p>
              </w:tc>
              <w:tc>
                <w:tcPr>
                  <w:tcW w:w="320" w:type="pct"/>
                  <w:tcBorders>
                    <w:left w:val="single" w:color="auto" w:sz="4" w:space="0"/>
                  </w:tcBorders>
                  <w:noWrap w:val="0"/>
                  <w:vAlign w:val="center"/>
                </w:tcPr>
                <w:p w14:paraId="74197092">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63F3B4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10" w:type="pct"/>
                  <w:vMerge w:val="continue"/>
                  <w:noWrap w:val="0"/>
                  <w:vAlign w:val="center"/>
                </w:tcPr>
                <w:p w14:paraId="4A1F27B4">
                  <w:pPr>
                    <w:pStyle w:val="102"/>
                    <w:adjustRightInd w:val="0"/>
                    <w:snapToGrid w:val="0"/>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790" w:type="pct"/>
                  <w:vMerge w:val="continue"/>
                  <w:noWrap w:val="0"/>
                  <w:vAlign w:val="center"/>
                </w:tcPr>
                <w:p w14:paraId="1BC38DF7">
                  <w:pPr>
                    <w:pStyle w:val="102"/>
                    <w:adjustRightInd w:val="0"/>
                    <w:snapToGrid w:val="0"/>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20" w:type="pct"/>
                  <w:tcBorders>
                    <w:right w:val="single" w:color="auto" w:sz="4" w:space="0"/>
                  </w:tcBorders>
                  <w:noWrap w:val="0"/>
                  <w:vAlign w:val="center"/>
                </w:tcPr>
                <w:p w14:paraId="3F9AE008">
                  <w:pPr>
                    <w:pStyle w:val="102"/>
                    <w:adjustRightInd w:val="0"/>
                    <w:snapToGrid w:val="0"/>
                    <w:spacing w:line="240" w:lineRule="auto"/>
                    <w:jc w:val="left"/>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7.3.1 企业应建立台账，记录含 VOCs 原辅材料和含VOCs产品的名称、使用量、回收量、废弃量、去向以及VOCs含量等信息。台账保存期限不少于3年。</w:t>
                  </w:r>
                </w:p>
                <w:p w14:paraId="4A41DB9B">
                  <w:pPr>
                    <w:pStyle w:val="102"/>
                    <w:adjustRightInd w:val="0"/>
                    <w:snapToGrid w:val="0"/>
                    <w:spacing w:line="240" w:lineRule="auto"/>
                    <w:jc w:val="left"/>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7.3.3 载有VOC物料的设备及其管道在开停工车、检维修和清洗时，应在退料阶段将残存物料退净，并用密闭容器盛装，退料过程废气应排至VOCs废气收集处理系统</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清洗及吹扫过程排气应排至VOCs 废气收集处理系统。</w:t>
                  </w:r>
                </w:p>
              </w:tc>
              <w:tc>
                <w:tcPr>
                  <w:tcW w:w="1358" w:type="pct"/>
                  <w:tcBorders>
                    <w:left w:val="single" w:color="auto" w:sz="4" w:space="0"/>
                    <w:right w:val="single" w:color="auto" w:sz="4" w:space="0"/>
                  </w:tcBorders>
                  <w:noWrap w:val="0"/>
                  <w:vAlign w:val="center"/>
                </w:tcPr>
                <w:p w14:paraId="345B5AE3">
                  <w:pPr>
                    <w:pStyle w:val="102"/>
                    <w:keepNext w:val="0"/>
                    <w:keepLines w:val="0"/>
                    <w:pageBreakBefore w:val="0"/>
                    <w:widowControl w:val="0"/>
                    <w:kinsoku/>
                    <w:wordWrap/>
                    <w:overflowPunct/>
                    <w:topLinePunct w:val="0"/>
                    <w:autoSpaceDE/>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7.3.1项目将严格按照要求制定</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含VOCs原辅材料</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购买台账，</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台账保存期限不少于3年</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p>
                <w:p w14:paraId="0EE60AC0">
                  <w:pPr>
                    <w:pStyle w:val="10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7.3.2项目在</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退料过程废气</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将</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排至VOCs废气收集处理系统</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清洗及吹扫过程排气</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将</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排至VOCs废气收集处理系统</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处理达标后排放。</w:t>
                  </w:r>
                </w:p>
              </w:tc>
              <w:tc>
                <w:tcPr>
                  <w:tcW w:w="320" w:type="pct"/>
                  <w:tcBorders>
                    <w:left w:val="single" w:color="auto" w:sz="4" w:space="0"/>
                  </w:tcBorders>
                  <w:noWrap w:val="0"/>
                  <w:vAlign w:val="center"/>
                </w:tcPr>
                <w:p w14:paraId="3DE69EE8">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71F78C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10" w:type="pct"/>
                  <w:vMerge w:val="continue"/>
                  <w:noWrap w:val="0"/>
                  <w:vAlign w:val="center"/>
                </w:tcPr>
                <w:p w14:paraId="1A22D1B3">
                  <w:pPr>
                    <w:pStyle w:val="102"/>
                    <w:adjustRightInd w:val="0"/>
                    <w:snapToGrid w:val="0"/>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790" w:type="pct"/>
                  <w:vMerge w:val="continue"/>
                  <w:noWrap w:val="0"/>
                  <w:vAlign w:val="center"/>
                </w:tcPr>
                <w:p w14:paraId="083FE4D4">
                  <w:pPr>
                    <w:pStyle w:val="102"/>
                    <w:adjustRightInd w:val="0"/>
                    <w:snapToGrid w:val="0"/>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320" w:type="pct"/>
                  <w:tcBorders>
                    <w:right w:val="single" w:color="auto" w:sz="4" w:space="0"/>
                  </w:tcBorders>
                  <w:noWrap w:val="0"/>
                  <w:vAlign w:val="center"/>
                </w:tcPr>
                <w:p w14:paraId="05583C26">
                  <w:pPr>
                    <w:pStyle w:val="102"/>
                    <w:adjustRightInd w:val="0"/>
                    <w:snapToGrid w:val="0"/>
                    <w:spacing w:line="240" w:lineRule="auto"/>
                    <w:jc w:val="left"/>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10.1.2 VOCs废气收集处理系统应与生产工艺设备同步运行。VOCs 废气收集处理系统发生故障或检修时，对应的生产工艺设备应停止运行，待检修完毕后同步投入使用</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生产工艺设备不能停止运行或不能及时停止运行的，应设置废气应急处理设施或采取其他替代措施。</w:t>
                  </w:r>
                </w:p>
                <w:p w14:paraId="649CB7C7">
                  <w:pPr>
                    <w:pStyle w:val="102"/>
                    <w:adjustRightInd w:val="0"/>
                    <w:snapToGrid w:val="0"/>
                    <w:spacing w:line="240" w:lineRule="auto"/>
                    <w:jc w:val="left"/>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10.2.1 企业应考虑生产工艺、操作方式、废气性质、处理方法等因素，对VOCs废气进行分类收集。</w:t>
                  </w:r>
                </w:p>
                <w:p w14:paraId="5B99DAE2">
                  <w:pPr>
                    <w:pStyle w:val="102"/>
                    <w:adjustRightInd w:val="0"/>
                    <w:snapToGrid w:val="0"/>
                    <w:spacing w:line="240" w:lineRule="auto"/>
                    <w:jc w:val="left"/>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10.4 记录要求</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358" w:type="pct"/>
                  <w:tcBorders>
                    <w:left w:val="single" w:color="auto" w:sz="4" w:space="0"/>
                    <w:right w:val="single" w:color="auto" w:sz="4" w:space="0"/>
                  </w:tcBorders>
                  <w:noWrap w:val="0"/>
                  <w:vAlign w:val="center"/>
                </w:tcPr>
                <w:p w14:paraId="08DD7515">
                  <w:pPr>
                    <w:pStyle w:val="102"/>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10.1.2项目</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废气收集处理系统</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将</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与生产工艺设备同步运行。VOCs废气收集处理系统发生故障或检修时，对应的生产工艺设备应停止运行，待检修完毕后同步投入使用</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p w14:paraId="7D454CB8">
                  <w:pPr>
                    <w:pStyle w:val="102"/>
                    <w:keepNext w:val="0"/>
                    <w:keepLines w:val="0"/>
                    <w:pageBreakBefore w:val="0"/>
                    <w:widowControl w:val="0"/>
                    <w:kinsoku/>
                    <w:wordWrap/>
                    <w:overflowPunct/>
                    <w:topLinePunct w:val="0"/>
                    <w:autoSpaceDE/>
                    <w:autoSpaceDN w:val="0"/>
                    <w:bidi w:val="0"/>
                    <w:adjustRightInd w:val="0"/>
                    <w:snapToGrid w:val="0"/>
                    <w:spacing w:line="240" w:lineRule="auto"/>
                    <w:jc w:val="left"/>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10.2.1</w:t>
                  </w:r>
                  <w:r>
                    <w:rPr>
                      <w:rFonts w:hint="default" w:ascii="Times New Roman" w:hAnsi="Times New Roman" w:cs="Times New Roman"/>
                      <w:color w:val="000000" w:themeColor="text1"/>
                      <w:sz w:val="21"/>
                      <w:szCs w:val="21"/>
                      <w:highlight w:val="none"/>
                      <w14:textFill>
                        <w14:solidFill>
                          <w14:schemeClr w14:val="tx1"/>
                        </w14:solidFill>
                      </w14:textFill>
                    </w:rPr>
                    <w:t>本项目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拟在电泳、电泳烘干、喷胶烘干、喷粉烘干和丝印烘干工序设置集气罩，</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设计收集效率≥</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9</w:t>
                  </w:r>
                  <w:r>
                    <w:rPr>
                      <w:rFonts w:hint="default" w:ascii="Times New Roman" w:hAnsi="Times New Roman" w:cs="Times New Roman"/>
                      <w:color w:val="000000" w:themeColor="text1"/>
                      <w:sz w:val="21"/>
                      <w:szCs w:val="21"/>
                      <w:highlight w:val="none"/>
                      <w14:textFill>
                        <w14:solidFill>
                          <w14:schemeClr w14:val="tx1"/>
                        </w14:solidFill>
                      </w14:textFill>
                    </w:rPr>
                    <w:t>0%</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将产生的</w:t>
                  </w:r>
                  <w:r>
                    <w:rPr>
                      <w:rFonts w:hint="default" w:ascii="Times New Roman" w:hAnsi="Times New Roman" w:cs="Times New Roman"/>
                      <w:color w:val="000000" w:themeColor="text1"/>
                      <w:sz w:val="21"/>
                      <w:szCs w:val="21"/>
                      <w:highlight w:val="none"/>
                      <w14:textFill>
                        <w14:solidFill>
                          <w14:schemeClr w14:val="tx1"/>
                        </w14:solidFill>
                      </w14:textFill>
                    </w:rPr>
                    <w:t>VOCs</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收集后通过</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pacing w:val="0"/>
                      <w:sz w:val="21"/>
                      <w:szCs w:val="21"/>
                      <w:highlight w:val="none"/>
                      <w:lang w:val="en-US" w:eastAsia="zh-CN"/>
                      <w14:textFill>
                        <w14:solidFill>
                          <w14:schemeClr w14:val="tx1"/>
                        </w14:solidFill>
                      </w14:textFill>
                    </w:rPr>
                    <w:t>水</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液喷淋+干式过滤</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+活性炭吸附</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处理后排放</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p w14:paraId="53E604DB">
                  <w:pPr>
                    <w:pStyle w:val="102"/>
                    <w:adjustRightInd w:val="0"/>
                    <w:snapToGrid w:val="0"/>
                    <w:spacing w:line="240" w:lineRule="auto"/>
                    <w:jc w:val="left"/>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10.4项目</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将严格按照要求制定</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废气收集系统、VOCs处理设施</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运行台账，</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台账保存期限不少于3年</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20" w:type="pct"/>
                  <w:tcBorders>
                    <w:left w:val="single" w:color="auto" w:sz="4" w:space="0"/>
                  </w:tcBorders>
                  <w:noWrap w:val="0"/>
                  <w:vAlign w:val="center"/>
                </w:tcPr>
                <w:p w14:paraId="15BDDE81">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3241C6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10" w:type="pct"/>
                  <w:noWrap w:val="0"/>
                  <w:vAlign w:val="center"/>
                </w:tcPr>
                <w:p w14:paraId="069F0D77">
                  <w:pPr>
                    <w:pStyle w:val="102"/>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790" w:type="pct"/>
                  <w:noWrap w:val="0"/>
                  <w:vAlign w:val="center"/>
                </w:tcPr>
                <w:p w14:paraId="42D96A8F">
                  <w:pPr>
                    <w:pStyle w:val="102"/>
                    <w:adjustRightInd w:val="0"/>
                    <w:snapToGrid w:val="0"/>
                    <w:spacing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《挥发性有机物（VOCs）污染防治技术政策》（公告2013年 第31号）</w:t>
                  </w:r>
                </w:p>
              </w:tc>
              <w:tc>
                <w:tcPr>
                  <w:tcW w:w="2320" w:type="pct"/>
                  <w:tcBorders>
                    <w:right w:val="single" w:color="auto" w:sz="4" w:space="0"/>
                  </w:tcBorders>
                  <w:noWrap w:val="0"/>
                  <w:vAlign w:val="center"/>
                </w:tcPr>
                <w:p w14:paraId="76281702">
                  <w:pPr>
                    <w:pStyle w:val="102"/>
                    <w:keepNext w:val="0"/>
                    <w:keepLines w:val="0"/>
                    <w:pageBreakBefore w:val="0"/>
                    <w:numPr>
                      <w:ilvl w:val="0"/>
                      <w:numId w:val="0"/>
                    </w:numPr>
                    <w:kinsoku/>
                    <w:wordWrap/>
                    <w:overflowPunct/>
                    <w:topLinePunct w:val="0"/>
                    <w:bidi w:val="0"/>
                    <w:adjustRightInd w:val="0"/>
                    <w:snapToGrid w:val="0"/>
                    <w:spacing w:line="240" w:lineRule="auto"/>
                    <w:jc w:val="left"/>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1.含VOCs产品的使用过程中，应采取废气收集措施，提高废气收集效率，减少废气的无组织排放与逸散，并对收集后的废气进行回收或处理后达标排放。</w:t>
                  </w:r>
                </w:p>
                <w:p w14:paraId="15643EF8">
                  <w:pPr>
                    <w:pStyle w:val="102"/>
                    <w:keepNext w:val="0"/>
                    <w:keepLines w:val="0"/>
                    <w:pageBreakBefore w:val="0"/>
                    <w:numPr>
                      <w:ilvl w:val="0"/>
                      <w:numId w:val="0"/>
                    </w:numPr>
                    <w:kinsoku/>
                    <w:wordWrap/>
                    <w:overflowPunct/>
                    <w:topLinePunct w:val="0"/>
                    <w:bidi w:val="0"/>
                    <w:adjustRightInd w:val="0"/>
                    <w:snapToGrid w:val="0"/>
                    <w:spacing w:line="240" w:lineRule="auto"/>
                    <w:jc w:val="left"/>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对于含低浓度VOCs的废气，有回收价值时可采用吸附技术、吸收技术对有机溶剂回收后达标排放；不宜回收时，可采用吸附浓缩燃烧技术、生物技术、吸收技术、等离子体技术或紫外光高级氧化技术等净化后达标排放。</w:t>
                  </w:r>
                </w:p>
                <w:p w14:paraId="3CA7878B">
                  <w:pPr>
                    <w:pStyle w:val="102"/>
                    <w:keepNext w:val="0"/>
                    <w:keepLines w:val="0"/>
                    <w:pageBreakBefore w:val="0"/>
                    <w:numPr>
                      <w:ilvl w:val="0"/>
                      <w:numId w:val="0"/>
                    </w:numPr>
                    <w:kinsoku/>
                    <w:wordWrap/>
                    <w:overflowPunct/>
                    <w:topLinePunct w:val="0"/>
                    <w:bidi w:val="0"/>
                    <w:adjustRightInd w:val="0"/>
                    <w:snapToGrid w:val="0"/>
                    <w:spacing w:line="240" w:lineRule="auto"/>
                    <w:jc w:val="left"/>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3.对于不能再生的过滤材料、吸附剂及催化剂等净化材料，应按照国家固体废物管理的相关规定处理处置。</w:t>
                  </w:r>
                </w:p>
                <w:p w14:paraId="3B045D99">
                  <w:pPr>
                    <w:pStyle w:val="10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4.企业应建立健全VOCs治理设施的运行维护规程和台账等日常管理制度，并根据工艺要求定期对各类设备、电气、自控仪表等进行检修维护，确保设施的稳定运行。</w:t>
                  </w:r>
                </w:p>
              </w:tc>
              <w:tc>
                <w:tcPr>
                  <w:tcW w:w="1358" w:type="pct"/>
                  <w:tcBorders>
                    <w:left w:val="single" w:color="auto" w:sz="4" w:space="0"/>
                    <w:right w:val="single" w:color="auto" w:sz="4" w:space="0"/>
                  </w:tcBorders>
                  <w:noWrap w:val="0"/>
                  <w:vAlign w:val="center"/>
                </w:tcPr>
                <w:p w14:paraId="6ADDFBBB">
                  <w:pPr>
                    <w:pStyle w:val="102"/>
                    <w:keepNext w:val="0"/>
                    <w:keepLines w:val="0"/>
                    <w:pageBreakBefore w:val="0"/>
                    <w:kinsoku/>
                    <w:wordWrap/>
                    <w:overflowPunct/>
                    <w:topLinePunct w:val="0"/>
                    <w:bidi w:val="0"/>
                    <w:adjustRightInd w:val="0"/>
                    <w:snapToGrid w:val="0"/>
                    <w:spacing w:line="240" w:lineRule="auto"/>
                    <w:jc w:val="left"/>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cs="Times New Roman"/>
                      <w:color w:val="000000" w:themeColor="text1"/>
                      <w:sz w:val="21"/>
                      <w:szCs w:val="21"/>
                      <w:highlight w:val="none"/>
                      <w14:textFill>
                        <w14:solidFill>
                          <w14:schemeClr w14:val="tx1"/>
                        </w14:solidFill>
                      </w14:textFill>
                    </w:rPr>
                    <w:t>本项目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拟在电泳、电泳烘干、喷胶烘干、喷粉烘干和丝印烘干工序设置集气罩，</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设计收集效率≥</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9</w:t>
                  </w:r>
                  <w:r>
                    <w:rPr>
                      <w:rFonts w:hint="default" w:ascii="Times New Roman" w:hAnsi="Times New Roman" w:cs="Times New Roman"/>
                      <w:color w:val="000000" w:themeColor="text1"/>
                      <w:sz w:val="21"/>
                      <w:szCs w:val="21"/>
                      <w:highlight w:val="none"/>
                      <w14:textFill>
                        <w14:solidFill>
                          <w14:schemeClr w14:val="tx1"/>
                        </w14:solidFill>
                      </w14:textFill>
                    </w:rPr>
                    <w:t>0%</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将产生的</w:t>
                  </w:r>
                  <w:r>
                    <w:rPr>
                      <w:rFonts w:hint="default" w:ascii="Times New Roman" w:hAnsi="Times New Roman" w:cs="Times New Roman"/>
                      <w:color w:val="000000" w:themeColor="text1"/>
                      <w:sz w:val="21"/>
                      <w:szCs w:val="21"/>
                      <w:highlight w:val="none"/>
                      <w14:textFill>
                        <w14:solidFill>
                          <w14:schemeClr w14:val="tx1"/>
                        </w14:solidFill>
                      </w14:textFill>
                    </w:rPr>
                    <w:t>VOCs</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收集后通过</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pacing w:val="0"/>
                      <w:sz w:val="21"/>
                      <w:szCs w:val="21"/>
                      <w:highlight w:val="none"/>
                      <w:lang w:val="en-US" w:eastAsia="zh-CN"/>
                      <w14:textFill>
                        <w14:solidFill>
                          <w14:schemeClr w14:val="tx1"/>
                        </w14:solidFill>
                      </w14:textFill>
                    </w:rPr>
                    <w:t>水</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喷淋+干式过滤</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+活性炭吸附</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处理后排放</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p w14:paraId="1BB67E82">
                  <w:pPr>
                    <w:pStyle w:val="102"/>
                    <w:keepNext w:val="0"/>
                    <w:keepLines w:val="0"/>
                    <w:pageBreakBefore w:val="0"/>
                    <w:kinsoku/>
                    <w:wordWrap/>
                    <w:overflowPunct/>
                    <w:topLinePunct w:val="0"/>
                    <w:bidi w:val="0"/>
                    <w:adjustRightInd w:val="0"/>
                    <w:snapToGrid w:val="0"/>
                    <w:spacing w:line="240" w:lineRule="auto"/>
                    <w:jc w:val="left"/>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2.本项目废气排放量较少，属于低浓度VOCs的废气，项目有机废气采用</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pacing w:val="0"/>
                      <w:sz w:val="21"/>
                      <w:szCs w:val="21"/>
                      <w:highlight w:val="none"/>
                      <w:lang w:val="en-US" w:eastAsia="zh-CN"/>
                      <w14:textFill>
                        <w14:solidFill>
                          <w14:schemeClr w14:val="tx1"/>
                        </w14:solidFill>
                      </w14:textFill>
                    </w:rPr>
                    <w:t>水</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喷淋+干式过滤</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+活性炭吸附</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”装置处理</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后通过排气筒达标排放；</w:t>
                  </w:r>
                </w:p>
                <w:p w14:paraId="5C783057">
                  <w:pPr>
                    <w:pStyle w:val="102"/>
                    <w:keepNext w:val="0"/>
                    <w:keepLines w:val="0"/>
                    <w:pageBreakBefore w:val="0"/>
                    <w:kinsoku/>
                    <w:wordWrap/>
                    <w:overflowPunct/>
                    <w:topLinePunct w:val="0"/>
                    <w:bidi w:val="0"/>
                    <w:adjustRightInd w:val="0"/>
                    <w:snapToGrid w:val="0"/>
                    <w:spacing w:line="240" w:lineRule="auto"/>
                    <w:jc w:val="left"/>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3.项目废气设施产生的</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废活性炭当作</w:t>
                  </w:r>
                  <w:r>
                    <w:rPr>
                      <w:rFonts w:hint="default" w:ascii="Times New Roman" w:hAnsi="Times New Roman" w:cs="Times New Roman"/>
                      <w:color w:val="000000" w:themeColor="text1"/>
                      <w:sz w:val="21"/>
                      <w:szCs w:val="21"/>
                      <w:highlight w:val="none"/>
                      <w14:textFill>
                        <w14:solidFill>
                          <w14:schemeClr w14:val="tx1"/>
                        </w14:solidFill>
                      </w14:textFill>
                    </w:rPr>
                    <w:t>危险废物</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委托处置；</w:t>
                  </w:r>
                </w:p>
                <w:p w14:paraId="0FC1F956">
                  <w:pPr>
                    <w:pStyle w:val="102"/>
                    <w:keepNext w:val="0"/>
                    <w:keepLines w:val="0"/>
                    <w:pageBreakBefore w:val="0"/>
                    <w:kinsoku/>
                    <w:wordWrap/>
                    <w:overflowPunct/>
                    <w:topLinePunct w:val="0"/>
                    <w:bidi w:val="0"/>
                    <w:adjustRightInd w:val="0"/>
                    <w:snapToGrid w:val="0"/>
                    <w:spacing w:line="240" w:lineRule="auto"/>
                    <w:jc w:val="left"/>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4.项目将建立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健全VOCs治理设施的运行维护规程和台账等日常管理制度，定期更换活性炭、定期委托检测，确保废气设施正常稳定运行。</w:t>
                  </w:r>
                </w:p>
              </w:tc>
              <w:tc>
                <w:tcPr>
                  <w:tcW w:w="320" w:type="pct"/>
                  <w:tcBorders>
                    <w:left w:val="single" w:color="auto" w:sz="4" w:space="0"/>
                  </w:tcBorders>
                  <w:noWrap w:val="0"/>
                  <w:vAlign w:val="center"/>
                </w:tcPr>
                <w:p w14:paraId="2A55BF3C">
                  <w:pPr>
                    <w:pStyle w:val="10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bl>
          <w:p w14:paraId="20913080">
            <w:pPr>
              <w:pStyle w:val="85"/>
              <w:keepNext w:val="0"/>
              <w:keepLines w:val="0"/>
              <w:pageBreakBefore w:val="0"/>
              <w:widowControl w:val="0"/>
              <w:kinsoku/>
              <w:wordWrap w:val="0"/>
              <w:overflowPunct w:val="0"/>
              <w:topLinePunct w:val="0"/>
              <w:autoSpaceDE/>
              <w:autoSpaceDN w:val="0"/>
              <w:bidi w:val="0"/>
              <w:adjustRightInd/>
              <w:snapToGrid/>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r>
    </w:tbl>
    <w:p w14:paraId="256821F6">
      <w:pPr>
        <w:rPr>
          <w:rFonts w:hint="default"/>
          <w:color w:val="000000" w:themeColor="text1"/>
          <w14:textFill>
            <w14:solidFill>
              <w14:schemeClr w14:val="tx1"/>
            </w14:solidFill>
          </w14:textFill>
        </w:rPr>
        <w:sectPr>
          <w:pgSz w:w="16838" w:h="11906" w:orient="landscape"/>
          <w:pgMar w:top="1417" w:right="1417" w:bottom="1417" w:left="1417" w:header="851" w:footer="1077" w:gutter="0"/>
          <w:pgBorders>
            <w:top w:val="none" w:sz="0" w:space="0"/>
            <w:left w:val="none" w:sz="0" w:space="0"/>
            <w:bottom w:val="none" w:sz="0" w:space="0"/>
            <w:right w:val="none" w:sz="0" w:space="0"/>
          </w:pgBorders>
          <w:pgNumType w:fmt="decimal"/>
          <w:cols w:space="720" w:num="1"/>
          <w:docGrid w:linePitch="312" w:charSpace="0"/>
        </w:sectPr>
      </w:pPr>
    </w:p>
    <w:p w14:paraId="02428055">
      <w:pPr>
        <w:pStyle w:val="2"/>
        <w:tabs>
          <w:tab w:val="left" w:pos="0"/>
        </w:tabs>
        <w:spacing w:before="0" w:after="0" w:line="360" w:lineRule="auto"/>
        <w:ind w:left="0" w:firstLine="0"/>
        <w:jc w:val="center"/>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二、建设项目工程分析</w:t>
      </w:r>
      <w:bookmarkEnd w:id="6"/>
      <w:bookmarkEnd w:id="7"/>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863"/>
      </w:tblGrid>
      <w:tr w14:paraId="2BD28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dxa"/>
            <w:noWrap w:val="0"/>
            <w:vAlign w:val="center"/>
          </w:tcPr>
          <w:p w14:paraId="6AAB0727">
            <w:pPr>
              <w:pStyle w:val="25"/>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建设内容</w:t>
            </w:r>
          </w:p>
        </w:tc>
        <w:tc>
          <w:tcPr>
            <w:tcW w:w="8863" w:type="dxa"/>
            <w:noWrap w:val="0"/>
            <w:vAlign w:val="top"/>
          </w:tcPr>
          <w:p w14:paraId="364025C4">
            <w:pPr>
              <w:pStyle w:val="3"/>
              <w:spacing w:before="120" w:after="120"/>
              <w:ind w:firstLine="0"/>
              <w:rPr>
                <w:rFonts w:hint="default" w:ascii="Times New Roman" w:hAnsi="Times New Roman" w:eastAsia="宋体" w:cs="Times New Roman"/>
                <w:b/>
                <w:bCs/>
                <w:color w:val="000000" w:themeColor="text1"/>
                <w:szCs w:val="32"/>
                <w:lang w:val="en-US" w:eastAsia="zh-CN"/>
                <w14:textFill>
                  <w14:solidFill>
                    <w14:schemeClr w14:val="tx1"/>
                  </w14:solidFill>
                </w14:textFill>
              </w:rPr>
            </w:pPr>
            <w:r>
              <w:rPr>
                <w:rFonts w:hint="default" w:ascii="Times New Roman" w:hAnsi="Times New Roman" w:eastAsia="宋体" w:cs="Times New Roman"/>
                <w:b/>
                <w:bCs/>
                <w:color w:val="000000" w:themeColor="text1"/>
                <w:szCs w:val="32"/>
                <w:lang w:val="en-US" w:eastAsia="zh-CN"/>
                <w14:textFill>
                  <w14:solidFill>
                    <w14:schemeClr w14:val="tx1"/>
                  </w14:solidFill>
                </w14:textFill>
              </w:rPr>
              <w:t>2.1项目由来</w:t>
            </w:r>
          </w:p>
          <w:p w14:paraId="0803F7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（1）企业概况</w:t>
            </w:r>
          </w:p>
          <w:p w14:paraId="77DE8A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福州术立新能源科技有限公司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名“福州术立智能科技有限公司”）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成立于20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日，企业的经营范围为：汽车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部件及配件制造；密封件制造；金属表面处理及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热处理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加工；涂装设备制造，钢压延加工；金属切削加工服务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。（营业执照详见附件三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法定代表人身份证详见附件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四</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03DE77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现有</w:t>
            </w:r>
            <w:r>
              <w:rPr>
                <w:rFonts w:hint="eastAsia" w:ascii="Times New Roman" w:hAnsi="Times New Roman" w:eastAsia="宋体" w:cs="Times New Roman"/>
                <w:color w:val="000000" w:themeColor="text1"/>
                <w:sz w:val="24"/>
                <w:szCs w:val="24"/>
                <w:lang w:eastAsia="zh-CN"/>
                <w14:textFill>
                  <w14:solidFill>
                    <w14:schemeClr w14:val="tx1"/>
                  </w14:solidFill>
                </w14:textFill>
              </w:rPr>
              <w:t>年产10万套汽车金属零配件涂装生产线项目</w:t>
            </w:r>
          </w:p>
          <w:p w14:paraId="1162D0C7">
            <w:pPr>
              <w:pStyle w:val="146"/>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建设单位于2017年11月12日委托宁夏智诚安环技术咨询有限公司编制《福州术立</w:t>
            </w:r>
            <w:r>
              <w:rPr>
                <w:rFonts w:hint="eastAsia" w:cs="Times New Roman"/>
                <w:color w:val="000000" w:themeColor="text1"/>
                <w:highlight w:val="none"/>
                <w:lang w:val="en-US" w:eastAsia="zh-CN"/>
                <w14:textFill>
                  <w14:solidFill>
                    <w14:schemeClr w14:val="tx1"/>
                  </w14:solidFill>
                </w14:textFill>
              </w:rPr>
              <w:t>智能科技</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限公司年产10万套汽车金属零配件涂装生产线项目环境影响报告书》，并于2018年6月25日取得原闽侯县环境保护局的批复（侯环保评〔2018〕17号）。该项目位于福建省福州市闽侯县祥谦镇洋下村，系租赁远洋（福建）阀门制造有限公司3#厂房1</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2层，租赁厂房建筑面积约为2880m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，主要用于汽车金属零配件的设计生产。该项目于2021年4月5日完成环境保护自主验收，形成</w:t>
            </w:r>
            <w:r>
              <w:rPr>
                <w:rFonts w:hint="default" w:ascii="Times New Roman" w:hAnsi="Times New Roman" w:eastAsia="宋体"/>
                <w:color w:val="000000" w:themeColor="text1"/>
                <w:sz w:val="24"/>
                <w:szCs w:val="24"/>
                <w:lang w:val="zh-CN"/>
                <w14:textFill>
                  <w14:solidFill>
                    <w14:schemeClr w14:val="tx1"/>
                  </w14:solidFill>
                </w14:textFill>
              </w:rPr>
              <w:t>年涂装10万套汽车金属零配件</w:t>
            </w:r>
            <w:r>
              <w:rPr>
                <w:rFonts w:hint="eastAsia" w:ascii="Times New Roman" w:hAnsi="Times New Roman" w:eastAsia="宋体"/>
                <w:color w:val="000000" w:themeColor="text1"/>
                <w:sz w:val="24"/>
                <w:szCs w:val="24"/>
                <w:lang w:val="en-US" w:eastAsia="zh-CN"/>
                <w14:textFill>
                  <w14:solidFill>
                    <w14:schemeClr w14:val="tx1"/>
                  </w14:solidFill>
                </w14:textFill>
              </w:rPr>
              <w:t>的</w:t>
            </w:r>
            <w:r>
              <w:rPr>
                <w:rFonts w:hint="eastAsia"/>
                <w:color w:val="000000" w:themeColor="text1"/>
                <w:sz w:val="24"/>
                <w:szCs w:val="24"/>
                <w:lang w:val="en-US" w:eastAsia="zh-CN"/>
                <w14:textFill>
                  <w14:solidFill>
                    <w14:schemeClr w14:val="tx1"/>
                  </w14:solidFill>
                </w14:textFill>
              </w:rPr>
              <w:t>生产</w:t>
            </w:r>
            <w:r>
              <w:rPr>
                <w:rFonts w:hint="eastAsia" w:ascii="Times New Roman" w:hAnsi="Times New Roman" w:eastAsia="宋体"/>
                <w:color w:val="000000" w:themeColor="text1"/>
                <w:sz w:val="24"/>
                <w:szCs w:val="24"/>
                <w:lang w:val="en-US" w:eastAsia="zh-CN"/>
                <w14:textFill>
                  <w14:solidFill>
                    <w14:schemeClr w14:val="tx1"/>
                  </w14:solidFill>
                </w14:textFill>
              </w:rPr>
              <w:t>规模，并于2021年6月2日取得排污许可证（编号：91350121MA2YGHD24T001W）</w:t>
            </w:r>
            <w:r>
              <w:rPr>
                <w:rFonts w:hint="eastAsia"/>
                <w:color w:val="000000" w:themeColor="text1"/>
                <w:sz w:val="24"/>
                <w:szCs w:val="24"/>
                <w:lang w:val="en-US" w:eastAsia="zh-CN"/>
                <w14:textFill>
                  <w14:solidFill>
                    <w14:schemeClr w14:val="tx1"/>
                  </w14:solidFill>
                </w14:textFill>
              </w:rPr>
              <w:t>，因补充噪声模块及建设单位名称变更，于</w:t>
            </w:r>
            <w:r>
              <w:rPr>
                <w:rFonts w:hint="eastAsia" w:ascii="Times New Roman" w:hAnsi="Times New Roman" w:eastAsia="宋体"/>
                <w:color w:val="000000" w:themeColor="text1"/>
                <w:sz w:val="24"/>
                <w:szCs w:val="24"/>
                <w:lang w:val="en-US" w:eastAsia="zh-CN"/>
                <w14:textFill>
                  <w14:solidFill>
                    <w14:schemeClr w14:val="tx1"/>
                  </w14:solidFill>
                </w14:textFill>
              </w:rPr>
              <w:t>2025年6月20日重新申请排污证，有效期自2025年6月20日至2030年6月19日。</w:t>
            </w:r>
          </w:p>
          <w:p w14:paraId="158EFC65">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福州轩逸达智能科技有限公司汽车配件生产项目</w:t>
            </w:r>
          </w:p>
          <w:p w14:paraId="766E9C69">
            <w:pPr>
              <w:pStyle w:val="96"/>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福州轩逸达智能科技有限公司</w:t>
            </w:r>
            <w:r>
              <w:rPr>
                <w:rFonts w:hint="eastAsia" w:cs="Times New Roman"/>
                <w:color w:val="000000" w:themeColor="text1"/>
                <w:sz w:val="24"/>
                <w:szCs w:val="24"/>
                <w:lang w:val="en-US" w:eastAsia="zh-CN"/>
                <w14:textFill>
                  <w14:solidFill>
                    <w14:schemeClr w14:val="tx1"/>
                  </w14:solidFill>
                </w14:textFill>
              </w:rPr>
              <w:t>租赁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远洋</w:t>
            </w:r>
            <w:r>
              <w:rPr>
                <w:rFonts w:hint="eastAsia" w:cs="Times New Roman"/>
                <w:color w:val="000000" w:themeColor="text1"/>
                <w:sz w:val="24"/>
                <w:szCs w:val="24"/>
                <w:highlight w:val="none"/>
                <w:lang w:val="en-US" w:eastAsia="zh-CN"/>
                <w14:textFill>
                  <w14:solidFill>
                    <w14:schemeClr w14:val="tx1"/>
                  </w14:solidFill>
                </w14:textFill>
              </w:rPr>
              <w:t>公司2#厂房从事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汽车配件生产</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于2023年委托编制</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《福州轩逸达智能科技有限公司汽车配件生产项目环境影响报告表》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于2023年10月取得福州市闽侯生态环境局批复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（榕侯环评〔2023〕52号）</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由于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公司</w:t>
            </w:r>
            <w:r>
              <w:rPr>
                <w:rFonts w:hint="eastAsia" w:cs="Times New Roman"/>
                <w:color w:val="000000" w:themeColor="text1"/>
                <w:sz w:val="24"/>
                <w:szCs w:val="24"/>
                <w:highlight w:val="none"/>
                <w:lang w:val="en-US" w:eastAsia="zh-CN"/>
                <w14:textFill>
                  <w14:solidFill>
                    <w14:schemeClr w14:val="tx1"/>
                  </w14:solidFill>
                </w14:textFill>
              </w:rPr>
              <w:t>生产经营方向调整，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汽车配件生产项目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已建成未投产</w:t>
            </w:r>
            <w:r>
              <w:rPr>
                <w:rFonts w:hint="eastAsia" w:cs="Times New Roman"/>
                <w:color w:val="000000" w:themeColor="text1"/>
                <w:sz w:val="24"/>
                <w:szCs w:val="24"/>
                <w:highlight w:val="none"/>
                <w:lang w:val="en-US" w:eastAsia="zh-CN"/>
                <w14:textFill>
                  <w14:solidFill>
                    <w14:schemeClr w14:val="tx1"/>
                  </w14:solidFill>
                </w14:textFill>
              </w:rPr>
              <w:t>，拟将资产整体转给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福州术立新能源科技有限公司</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760C190D">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本改扩建</w:t>
            </w:r>
            <w:r>
              <w:rPr>
                <w:rFonts w:hint="eastAsia" w:ascii="Times New Roman" w:hAnsi="Times New Roman" w:eastAsia="宋体" w:cs="Times New Roman"/>
                <w:color w:val="000000" w:themeColor="text1"/>
                <w:sz w:val="24"/>
                <w:szCs w:val="24"/>
                <w:lang w:eastAsia="zh-CN"/>
                <w14:textFill>
                  <w14:solidFill>
                    <w14:schemeClr w14:val="tx1"/>
                  </w14:solidFill>
                </w14:textFill>
              </w:rPr>
              <w:t>项目</w:t>
            </w:r>
          </w:p>
          <w:p w14:paraId="187CCC2B">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为适应市场需求，建设单位拟调整产品方案，租赁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远洋</w:t>
            </w:r>
            <w:r>
              <w:rPr>
                <w:rFonts w:hint="eastAsia" w:cs="Times New Roman"/>
                <w:color w:val="000000" w:themeColor="text1"/>
                <w:sz w:val="24"/>
                <w:szCs w:val="24"/>
                <w:highlight w:val="none"/>
                <w:lang w:val="en-US" w:eastAsia="zh-CN"/>
                <w14:textFill>
                  <w14:solidFill>
                    <w14:schemeClr w14:val="tx1"/>
                  </w14:solidFill>
                </w14:textFill>
              </w:rPr>
              <w:t>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3#厂房</w:t>
            </w:r>
            <w:r>
              <w:rPr>
                <w:rFonts w:hint="eastAsia" w:cs="Times New Roman"/>
                <w:color w:val="000000" w:themeColor="text1"/>
                <w:sz w:val="24"/>
                <w:szCs w:val="24"/>
                <w:highlight w:val="none"/>
                <w:lang w:val="en-US" w:eastAsia="zh-CN"/>
                <w14:textFill>
                  <w14:solidFill>
                    <w14:schemeClr w14:val="tx1"/>
                  </w14:solidFill>
                </w14:textFill>
              </w:rPr>
              <w:t>3~4层，</w:t>
            </w:r>
            <w:r>
              <w:rPr>
                <w:rFonts w:hint="eastAsia" w:cs="Times New Roman"/>
                <w:color w:val="000000" w:themeColor="text1"/>
                <w:sz w:val="24"/>
                <w:szCs w:val="24"/>
                <w:lang w:val="en-US" w:eastAsia="zh-CN"/>
                <w14:textFill>
                  <w14:solidFill>
                    <w14:schemeClr w14:val="tx1"/>
                  </w14:solidFill>
                </w14:textFill>
              </w:rPr>
              <w:t>增加喷粉和喷胶线，同时整合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远洋公司</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#厂房</w:t>
            </w:r>
            <w:r>
              <w:rPr>
                <w:rFonts w:hint="eastAsia" w:cs="Times New Roman"/>
                <w:color w:val="000000" w:themeColor="text1"/>
                <w:sz w:val="24"/>
                <w:szCs w:val="24"/>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福州轩逸达智能科技有限公司</w:t>
            </w:r>
            <w:r>
              <w:rPr>
                <w:rFonts w:hint="eastAsia" w:cs="Times New Roman"/>
                <w:color w:val="000000" w:themeColor="text1"/>
                <w:sz w:val="24"/>
                <w:szCs w:val="24"/>
                <w:lang w:val="en-US" w:eastAsia="zh-CN"/>
                <w14:textFill>
                  <w14:solidFill>
                    <w14:schemeClr w14:val="tx1"/>
                  </w14:solidFill>
                </w14:textFill>
              </w:rPr>
              <w:t>资产，改扩建后，术立公司租赁厂房包括远洋公司</w:t>
            </w:r>
            <w:r>
              <w:rPr>
                <w:rFonts w:hint="default" w:ascii="Times New Roman" w:hAnsi="Times New Roman" w:eastAsia="宋体" w:cs="Times New Roman"/>
                <w:color w:val="000000" w:themeColor="text1"/>
                <w:sz w:val="24"/>
                <w:szCs w:val="24"/>
                <w:lang w:eastAsia="zh-CN"/>
                <w14:textFill>
                  <w14:solidFill>
                    <w14:schemeClr w14:val="tx1"/>
                  </w14:solidFill>
                </w14:textFill>
              </w:rPr>
              <w:t>2#厂房、3#厂房</w:t>
            </w:r>
            <w:r>
              <w:rPr>
                <w:rFonts w:hint="eastAsia" w:cs="Times New Roman"/>
                <w:color w:val="000000" w:themeColor="text1"/>
                <w:sz w:val="24"/>
                <w:szCs w:val="24"/>
                <w:lang w:val="en-US" w:eastAsia="zh-CN"/>
                <w14:textFill>
                  <w14:solidFill>
                    <w14:schemeClr w14:val="tx1"/>
                  </w14:solidFill>
                </w14:textFill>
              </w:rPr>
              <w:t>1~4</w:t>
            </w:r>
            <w:r>
              <w:rPr>
                <w:rFonts w:hint="default" w:ascii="Times New Roman" w:hAnsi="Times New Roman" w:eastAsia="宋体" w:cs="Times New Roman"/>
                <w:color w:val="000000" w:themeColor="text1"/>
                <w:sz w:val="24"/>
                <w:szCs w:val="24"/>
                <w:lang w:eastAsia="zh-CN"/>
                <w14:textFill>
                  <w14:solidFill>
                    <w14:schemeClr w14:val="tx1"/>
                  </w14:solidFill>
                </w14:textFill>
              </w:rPr>
              <w:t>F</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仓库及综合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楼</w:t>
            </w:r>
            <w:r>
              <w:rPr>
                <w:rFonts w:hint="eastAsia" w:cs="Times New Roman"/>
                <w:color w:val="000000" w:themeColor="text1"/>
                <w:sz w:val="24"/>
                <w:szCs w:val="24"/>
                <w:lang w:val="en-US" w:eastAsia="zh-CN"/>
                <w14:textFill>
                  <w14:solidFill>
                    <w14:schemeClr w14:val="tx1"/>
                  </w14:solidFill>
                </w14:textFill>
              </w:rPr>
              <w:t>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，现有工程厂房面积为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2880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，新增</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租赁厂房面积</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eastAsia="zh-CN"/>
                <w14:textFill>
                  <w14:solidFill>
                    <w14:schemeClr w14:val="tx1"/>
                  </w14:solidFill>
                </w14:textFill>
              </w:rPr>
              <w:instrText xml:space="preserve"> = 11000-2880 \* MERGEFORMAT </w:instrTex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8120</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，共计11000m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cs="Times New Roman"/>
                <w:color w:val="000000" w:themeColor="text1"/>
                <w:sz w:val="24"/>
                <w:szCs w:val="24"/>
                <w:vertAlign w:val="baseline"/>
                <w:lang w:val="en-US" w:eastAsia="zh-CN"/>
                <w14:textFill>
                  <w14:solidFill>
                    <w14:schemeClr w14:val="tx1"/>
                  </w14:solidFill>
                </w14:textFill>
              </w:rPr>
              <w:t>，租赁办公面积</w:t>
            </w:r>
            <w:r>
              <w:rPr>
                <w:rFonts w:hint="eastAsia" w:cs="Times New Roman"/>
                <w:color w:val="000000" w:themeColor="text1"/>
                <w:sz w:val="24"/>
                <w:szCs w:val="24"/>
                <w:vertAlign w:val="baseline"/>
                <w:lang w:val="en-US" w:eastAsia="zh-CN"/>
                <w14:textFill>
                  <w14:solidFill>
                    <w14:schemeClr w14:val="tx1"/>
                  </w14:solidFill>
                </w14:textFill>
              </w:rPr>
              <w:fldChar w:fldCharType="begin"/>
            </w:r>
            <w:r>
              <w:rPr>
                <w:rFonts w:hint="eastAsia" w:cs="Times New Roman"/>
                <w:color w:val="000000" w:themeColor="text1"/>
                <w:sz w:val="24"/>
                <w:szCs w:val="24"/>
                <w:vertAlign w:val="baseline"/>
                <w:lang w:val="en-US" w:eastAsia="zh-CN"/>
                <w14:textFill>
                  <w14:solidFill>
                    <w14:schemeClr w14:val="tx1"/>
                  </w14:solidFill>
                </w14:textFill>
              </w:rPr>
              <w:instrText xml:space="preserve"> = 13758-11000 \* MERGEFORMAT </w:instrText>
            </w:r>
            <w:r>
              <w:rPr>
                <w:rFonts w:hint="eastAsia" w:cs="Times New Roman"/>
                <w:color w:val="000000" w:themeColor="text1"/>
                <w:sz w:val="24"/>
                <w:szCs w:val="24"/>
                <w:vertAlign w:val="baseline"/>
                <w:lang w:val="en-US" w:eastAsia="zh-CN"/>
                <w14:textFill>
                  <w14:solidFill>
                    <w14:schemeClr w14:val="tx1"/>
                  </w14:solidFill>
                </w14:textFill>
              </w:rPr>
              <w:fldChar w:fldCharType="separate"/>
            </w:r>
            <w:r>
              <w:rPr>
                <w:rFonts w:hint="eastAsia" w:cs="Times New Roman"/>
                <w:color w:val="000000" w:themeColor="text1"/>
                <w:sz w:val="24"/>
                <w:szCs w:val="24"/>
                <w:vertAlign w:val="baseline"/>
                <w:lang w:val="en-US" w:eastAsia="zh-CN"/>
                <w14:textFill>
                  <w14:solidFill>
                    <w14:schemeClr w14:val="tx1"/>
                  </w14:solidFill>
                </w14:textFill>
              </w:rPr>
              <w:t>2758</w:t>
            </w:r>
            <w:r>
              <w:rPr>
                <w:rFonts w:hint="eastAsia" w:cs="Times New Roman"/>
                <w:color w:val="000000" w:themeColor="text1"/>
                <w:sz w:val="24"/>
                <w:szCs w:val="24"/>
                <w:vertAlign w:val="baseli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现有工程年加工</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汽车配件</w:t>
            </w:r>
            <w:r>
              <w:rPr>
                <w:rFonts w:hint="eastAsia" w:cs="Times New Roman"/>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0万件，新增年加工</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汽车配件</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20万件，共计年加工汽车配件30万件</w:t>
            </w:r>
            <w:r>
              <w:rPr>
                <w:rFonts w:hint="eastAsia" w:cs="Times New Roman"/>
                <w:color w:val="000000" w:themeColor="text1"/>
                <w:kern w:val="2"/>
                <w:sz w:val="24"/>
                <w:szCs w:val="24"/>
                <w:highlight w:val="none"/>
                <w:lang w:val="en-US" w:eastAsia="zh-CN" w:bidi="ar-SA"/>
                <w14:textFill>
                  <w14:solidFill>
                    <w14:schemeClr w14:val="tx1"/>
                  </w14:solidFill>
                </w14:textFill>
              </w:rPr>
              <w:t>，涉及</w:t>
            </w:r>
            <w:r>
              <w:rPr>
                <w:rFonts w:hint="eastAsia" w:cs="Times New Roman"/>
                <w:color w:val="000000" w:themeColor="text1"/>
                <w:sz w:val="24"/>
                <w:szCs w:val="24"/>
                <w:lang w:val="en-US" w:eastAsia="zh-CN"/>
                <w14:textFill>
                  <w14:solidFill>
                    <w14:schemeClr w14:val="tx1"/>
                  </w14:solidFill>
                </w14:textFill>
              </w:rPr>
              <w:t>生产工艺包括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电泳、喷粉</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喷胶</w:t>
            </w:r>
            <w:r>
              <w:rPr>
                <w:rFonts w:hint="eastAsia" w:cs="Times New Roman"/>
                <w:color w:val="000000" w:themeColor="text1"/>
                <w:sz w:val="24"/>
                <w:szCs w:val="24"/>
                <w:lang w:val="en-US" w:eastAsia="zh-CN"/>
                <w14:textFill>
                  <w14:solidFill>
                    <w14:schemeClr w14:val="tx1"/>
                  </w14:solidFill>
                </w14:textFill>
              </w:rPr>
              <w:t>、喷漆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等</w:t>
            </w:r>
            <w:r>
              <w:rPr>
                <w:rFonts w:hint="eastAsia" w:cs="Times New Roman"/>
                <w:color w:val="000000" w:themeColor="text1"/>
                <w:kern w:val="2"/>
                <w:sz w:val="24"/>
                <w:szCs w:val="24"/>
                <w:highlight w:val="none"/>
                <w:lang w:val="en-US" w:eastAsia="zh-CN" w:bidi="ar-SA"/>
                <w14:textFill>
                  <w14:solidFill>
                    <w14:schemeClr w14:val="tx1"/>
                  </w14:solidFill>
                </w14:textFill>
              </w:rPr>
              <w:t>。建设单位于</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2025年11月5日在闽侯县工业和信息化局完成</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汽车零部件生产线技术改造项目</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备案，备案编号：闽工信备〔2025〕A080066号。</w:t>
            </w:r>
          </w:p>
          <w:p w14:paraId="72BEA0A0">
            <w:pPr>
              <w:pStyle w:val="7"/>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中华人民共和国环境保护法》（2015年）、《中华人民共和国环境影响评价法》（2018年）、《建设项目环境保护管理条例》（2017年）和《建设项目环境影响评价分类管理名录》（2021年版）的相关规定，该项目属于</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三十、金属制品业33-67金属表面处理及热处理加工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其他（年用非溶剂型低VOCs含量涂料10吨以下的除外）</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三十三、汽车制造业36-71汽车零部件及配件制造367</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，应编制环境影响报告表。因此，建设单位委托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我</w:t>
            </w:r>
            <w:r>
              <w:rPr>
                <w:rFonts w:hint="default" w:ascii="Times New Roman" w:hAnsi="Times New Roman" w:eastAsia="宋体" w:cs="Times New Roman"/>
                <w:color w:val="000000" w:themeColor="text1"/>
                <w:sz w:val="24"/>
                <w:szCs w:val="24"/>
                <w:highlight w:val="none"/>
                <w14:textFill>
                  <w14:solidFill>
                    <w14:schemeClr w14:val="tx1"/>
                  </w14:solidFill>
                </w14:textFill>
              </w:rPr>
              <w:t>司编制该项目的环境影响报告表（委托书见附件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highlight w:val="none"/>
                <w14:textFill>
                  <w14:solidFill>
                    <w14:schemeClr w14:val="tx1"/>
                  </w14:solidFill>
                </w14:textFill>
              </w:rPr>
              <w:t>）。本环评单位接受委托后，立即派技术人员踏勘现场和收集有关资料，并依照《中华人民共和国环境影响评价法》等有关规定编制成报告表，供建设单位报生态环境主管部门对建设项目环境影响评价审批和作为污染防治设施建设的依据。</w:t>
            </w:r>
          </w:p>
          <w:p w14:paraId="02BE1F13">
            <w:pPr>
              <w:pStyle w:val="83"/>
              <w:numPr>
                <w:ilvl w:val="0"/>
                <w:numId w:val="0"/>
              </w:numPr>
              <w:autoSpaceDE/>
              <w:autoSpaceDN/>
              <w:spacing w:after="0" w:line="240" w:lineRule="auto"/>
              <w:ind w:left="0" w:leftChars="0" w:firstLine="200" w:firstLineChars="0"/>
              <w:outlineLvl w:val="9"/>
              <w:rPr>
                <w:rFonts w:hint="default" w:ascii="Times New Roman" w:hAnsi="Times New Roman" w:eastAsia="宋体" w:cs="宋体"/>
                <w:bCs/>
                <w:color w:val="000000" w:themeColor="text1"/>
                <w:szCs w:val="21"/>
                <w:lang w:val="en-US" w:eastAsia="zh-CN"/>
                <w14:textFill>
                  <w14:solidFill>
                    <w14:schemeClr w14:val="tx1"/>
                  </w14:solidFill>
                </w14:textFill>
              </w:rPr>
            </w:pPr>
            <w:r>
              <w:rPr>
                <w:rFonts w:hint="default" w:ascii="Times New Roman" w:hAnsi="Times New Roman" w:eastAsia="宋体" w:cs="宋体"/>
                <w:bCs/>
                <w:color w:val="000000" w:themeColor="text1"/>
                <w:szCs w:val="21"/>
                <w:lang w:val="en-US" w:eastAsia="zh-CN"/>
                <w14:textFill>
                  <w14:solidFill>
                    <w14:schemeClr w14:val="tx1"/>
                  </w14:solidFill>
                </w14:textFill>
              </w:rPr>
              <w:t>表2.1-1  建设项目环境影响评价分类管理名录（摘录）</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5"/>
              <w:gridCol w:w="2640"/>
              <w:gridCol w:w="2913"/>
              <w:gridCol w:w="1725"/>
              <w:gridCol w:w="911"/>
            </w:tblGrid>
            <w:tr w14:paraId="6E89B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pct"/>
                  <w:gridSpan w:val="2"/>
                  <w:tcBorders>
                    <w:tl2br w:val="single" w:color="auto" w:sz="4" w:space="0"/>
                    <w:tr2bl w:val="nil"/>
                  </w:tcBorders>
                  <w:shd w:val="clear" w:color="auto" w:fill="auto"/>
                  <w:noWrap w:val="0"/>
                  <w:vAlign w:val="top"/>
                </w:tcPr>
                <w:p w14:paraId="356897C5">
                  <w:pPr>
                    <w:keepNext w:val="0"/>
                    <w:keepLines w:val="0"/>
                    <w:pageBreakBefore w:val="0"/>
                    <w:widowControl w:val="0"/>
                    <w:kinsoku/>
                    <w:wordWrap/>
                    <w:overflowPunct/>
                    <w:topLinePunct w:val="0"/>
                    <w:autoSpaceDE/>
                    <w:autoSpaceDN/>
                    <w:bidi w:val="0"/>
                    <w:adjustRightInd w:val="0"/>
                    <w:snapToGrid w:val="0"/>
                    <w:spacing w:line="240" w:lineRule="auto"/>
                    <w:jc w:val="right"/>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环评类别</w:t>
                  </w:r>
                </w:p>
                <w:p w14:paraId="32BC4838">
                  <w:pPr>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项目类别</w:t>
                  </w:r>
                </w:p>
              </w:tc>
              <w:tc>
                <w:tcPr>
                  <w:tcW w:w="1684" w:type="pct"/>
                  <w:tcBorders>
                    <w:tl2br w:val="nil"/>
                    <w:tr2bl w:val="nil"/>
                  </w:tcBorders>
                  <w:shd w:val="clear" w:color="auto" w:fill="auto"/>
                  <w:noWrap w:val="0"/>
                  <w:vAlign w:val="center"/>
                </w:tcPr>
                <w:p w14:paraId="3C8336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报告书</w:t>
                  </w:r>
                </w:p>
              </w:tc>
              <w:tc>
                <w:tcPr>
                  <w:tcW w:w="997" w:type="pct"/>
                  <w:tcBorders>
                    <w:tl2br w:val="nil"/>
                    <w:tr2bl w:val="nil"/>
                  </w:tcBorders>
                  <w:shd w:val="clear" w:color="auto" w:fill="A4A4A4"/>
                  <w:noWrap w:val="0"/>
                  <w:vAlign w:val="center"/>
                </w:tcPr>
                <w:p w14:paraId="3357D6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报告表</w:t>
                  </w:r>
                </w:p>
              </w:tc>
              <w:tc>
                <w:tcPr>
                  <w:tcW w:w="526" w:type="pct"/>
                  <w:tcBorders>
                    <w:tl2br w:val="nil"/>
                    <w:tr2bl w:val="nil"/>
                  </w:tcBorders>
                  <w:noWrap w:val="0"/>
                  <w:vAlign w:val="center"/>
                </w:tcPr>
                <w:p w14:paraId="68130D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登记表</w:t>
                  </w:r>
                </w:p>
              </w:tc>
            </w:tr>
            <w:tr w14:paraId="64CBA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shd w:val="clear" w:color="auto" w:fill="A4A4A4"/>
                  <w:noWrap w:val="0"/>
                  <w:vAlign w:val="center"/>
                </w:tcPr>
                <w:p w14:paraId="7F27B8E3">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三十、金属制品业 33</w:t>
                  </w:r>
                </w:p>
              </w:tc>
            </w:tr>
            <w:tr w14:paraId="33AF5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tcBorders>
                    <w:tl2br w:val="nil"/>
                    <w:tr2bl w:val="nil"/>
                  </w:tcBorders>
                  <w:shd w:val="clear" w:color="auto" w:fill="auto"/>
                  <w:noWrap w:val="0"/>
                  <w:vAlign w:val="center"/>
                </w:tcPr>
                <w:p w14:paraId="6FF53C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67</w:t>
                  </w:r>
                </w:p>
              </w:tc>
              <w:tc>
                <w:tcPr>
                  <w:tcW w:w="1527" w:type="pct"/>
                  <w:tcBorders>
                    <w:tl2br w:val="nil"/>
                    <w:tr2bl w:val="nil"/>
                  </w:tcBorders>
                  <w:shd w:val="clear" w:color="auto" w:fill="auto"/>
                  <w:noWrap w:val="0"/>
                  <w:vAlign w:val="center"/>
                </w:tcPr>
                <w:p w14:paraId="02FABA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14:textFill>
                        <w14:solidFill>
                          <w14:schemeClr w14:val="tx1"/>
                        </w14:solidFill>
                      </w14:textFill>
                    </w:rPr>
                    <w:t>金属表面处理及热处理加工</w:t>
                  </w:r>
                </w:p>
              </w:tc>
              <w:tc>
                <w:tcPr>
                  <w:tcW w:w="1684" w:type="pct"/>
                  <w:tcBorders>
                    <w:tl2br w:val="nil"/>
                    <w:tr2bl w:val="nil"/>
                  </w:tcBorders>
                  <w:shd w:val="clear" w:color="auto" w:fill="auto"/>
                  <w:noWrap w:val="0"/>
                  <w:vAlign w:val="center"/>
                </w:tcPr>
                <w:p w14:paraId="03787848">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b w:val="0"/>
                      <w:bCs w:val="0"/>
                      <w:color w:val="000000" w:themeColor="text1"/>
                      <w:sz w:val="21"/>
                      <w:szCs w:val="24"/>
                      <w14:textFill>
                        <w14:solidFill>
                          <w14:schemeClr w14:val="tx1"/>
                        </w14:solidFill>
                      </w14:textFill>
                    </w:rPr>
                    <w:t>有电镀工艺的；有钝化工艺的热镀锌；使用有机涂层的（喷粉、喷塑、浸塑和电泳除外；年用溶剂型涂料（含稀释剂）10吨以下和用非溶剂型低VOCs含量涂料的除外）</w:t>
                  </w:r>
                </w:p>
              </w:tc>
              <w:tc>
                <w:tcPr>
                  <w:tcW w:w="997" w:type="pct"/>
                  <w:tcBorders>
                    <w:tl2br w:val="nil"/>
                    <w:tr2bl w:val="nil"/>
                  </w:tcBorders>
                  <w:shd w:val="clear" w:color="auto" w:fill="A4A4A4"/>
                  <w:noWrap w:val="0"/>
                  <w:vAlign w:val="center"/>
                </w:tcPr>
                <w:p w14:paraId="30CD02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4"/>
                      <w:lang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其他</w:t>
                  </w:r>
                  <w:r>
                    <w:rPr>
                      <w:rFonts w:hint="default" w:ascii="Times New Roman" w:hAnsi="Times New Roman" w:eastAsia="宋体" w:cs="Times New Roman"/>
                      <w:color w:val="000000" w:themeColor="text1"/>
                      <w:sz w:val="21"/>
                      <w:szCs w:val="24"/>
                      <w:lang w:eastAsia="zh-CN"/>
                      <w14:textFill>
                        <w14:solidFill>
                          <w14:schemeClr w14:val="tx1"/>
                        </w14:solidFill>
                      </w14:textFill>
                    </w:rPr>
                    <w:t>（</w:t>
                  </w:r>
                  <w:r>
                    <w:rPr>
                      <w:rFonts w:hint="default" w:ascii="Times New Roman" w:hAnsi="Times New Roman" w:eastAsia="宋体" w:cs="Times New Roman"/>
                      <w:color w:val="000000" w:themeColor="text1"/>
                      <w:sz w:val="21"/>
                      <w:szCs w:val="24"/>
                      <w14:textFill>
                        <w14:solidFill>
                          <w14:schemeClr w14:val="tx1"/>
                        </w14:solidFill>
                      </w14:textFill>
                    </w:rPr>
                    <w:t>年用非溶剂型低VOCs含量涂料10吨以下的除外</w:t>
                  </w:r>
                  <w:r>
                    <w:rPr>
                      <w:rFonts w:hint="default" w:ascii="Times New Roman" w:hAnsi="Times New Roman" w:eastAsia="宋体" w:cs="Times New Roman"/>
                      <w:color w:val="000000" w:themeColor="text1"/>
                      <w:sz w:val="21"/>
                      <w:szCs w:val="24"/>
                      <w:lang w:eastAsia="zh-CN"/>
                      <w14:textFill>
                        <w14:solidFill>
                          <w14:schemeClr w14:val="tx1"/>
                        </w14:solidFill>
                      </w14:textFill>
                    </w:rPr>
                    <w:t>）</w:t>
                  </w:r>
                </w:p>
              </w:tc>
              <w:tc>
                <w:tcPr>
                  <w:tcW w:w="526" w:type="pct"/>
                  <w:tcBorders>
                    <w:tl2br w:val="nil"/>
                    <w:tr2bl w:val="nil"/>
                  </w:tcBorders>
                  <w:noWrap w:val="0"/>
                  <w:vAlign w:val="center"/>
                </w:tcPr>
                <w:p w14:paraId="7FDCFF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4"/>
                      <w:lang w:eastAsia="zh-CN"/>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w:t>
                  </w:r>
                </w:p>
              </w:tc>
            </w:tr>
            <w:tr w14:paraId="3F00B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shd w:val="clear" w:color="auto" w:fill="A4A4A4"/>
                  <w:noWrap w:val="0"/>
                  <w:vAlign w:val="center"/>
                </w:tcPr>
                <w:p w14:paraId="4ACB2291">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三十三、汽车制造业 36</w:t>
                  </w:r>
                </w:p>
              </w:tc>
            </w:tr>
            <w:tr w14:paraId="4E9DF4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tcBorders>
                    <w:tl2br w:val="nil"/>
                    <w:tr2bl w:val="nil"/>
                  </w:tcBorders>
                  <w:shd w:val="clear" w:color="auto" w:fill="auto"/>
                  <w:noWrap w:val="0"/>
                  <w:vAlign w:val="center"/>
                </w:tcPr>
                <w:p w14:paraId="53DF9A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71</w:t>
                  </w:r>
                </w:p>
              </w:tc>
              <w:tc>
                <w:tcPr>
                  <w:tcW w:w="1527" w:type="pct"/>
                  <w:tcBorders>
                    <w:tl2br w:val="nil"/>
                    <w:tr2bl w:val="nil"/>
                  </w:tcBorders>
                  <w:shd w:val="clear" w:color="auto" w:fill="auto"/>
                  <w:noWrap w:val="0"/>
                  <w:vAlign w:val="center"/>
                </w:tcPr>
                <w:p w14:paraId="1C779C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14:textFill>
                        <w14:solidFill>
                          <w14:schemeClr w14:val="tx1"/>
                        </w14:solidFill>
                      </w14:textFill>
                    </w:rPr>
                  </w:pPr>
                  <w:r>
                    <w:rPr>
                      <w:rFonts w:hint="default" w:ascii="Times New Roman" w:hAnsi="Times New Roman" w:eastAsia="宋体" w:cs="Times New Roman"/>
                      <w:color w:val="000000" w:themeColor="text1"/>
                      <w:spacing w:val="-2"/>
                      <w:sz w:val="21"/>
                      <w14:textFill>
                        <w14:solidFill>
                          <w14:schemeClr w14:val="tx1"/>
                        </w14:solidFill>
                      </w14:textFill>
                    </w:rPr>
                    <w:t>汽车整车制造361；汽车用发动机制造362；改装汽车制造363；低速汽车制造364；电车制造365；汽车车身、挂车制造366；汽车零部件及配件制造367</w:t>
                  </w:r>
                </w:p>
              </w:tc>
              <w:tc>
                <w:tcPr>
                  <w:tcW w:w="1684" w:type="pct"/>
                  <w:tcBorders>
                    <w:tl2br w:val="nil"/>
                    <w:tr2bl w:val="nil"/>
                  </w:tcBorders>
                  <w:shd w:val="clear" w:color="auto" w:fill="auto"/>
                  <w:noWrap w:val="0"/>
                  <w:vAlign w:val="center"/>
                </w:tcPr>
                <w:p w14:paraId="6046C7C3">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b w:val="0"/>
                      <w:bCs w:val="0"/>
                      <w:color w:val="000000" w:themeColor="text1"/>
                      <w:sz w:val="21"/>
                      <w:szCs w:val="24"/>
                      <w14:textFill>
                        <w14:solidFill>
                          <w14:schemeClr w14:val="tx1"/>
                        </w14:solidFill>
                      </w14:textFill>
                    </w:rPr>
                  </w:pPr>
                  <w:r>
                    <w:rPr>
                      <w:rFonts w:hint="default" w:ascii="Times New Roman" w:hAnsi="Times New Roman" w:eastAsia="宋体" w:cs="Times New Roman"/>
                      <w:b w:val="0"/>
                      <w:bCs w:val="0"/>
                      <w:color w:val="000000" w:themeColor="text1"/>
                      <w:sz w:val="21"/>
                      <w:szCs w:val="24"/>
                      <w14:textFill>
                        <w14:solidFill>
                          <w14:schemeClr w14:val="tx1"/>
                        </w14:solidFill>
                      </w14:textFill>
                    </w:rPr>
                    <w:t>汽车整车制造（仅组装的除外）；汽车用发动机制造（仅组装的除外）；有电镀工艺的；年用溶剂型涂料（含稀释剂）10吨及以上的</w:t>
                  </w:r>
                </w:p>
              </w:tc>
              <w:tc>
                <w:tcPr>
                  <w:tcW w:w="997" w:type="pct"/>
                  <w:tcBorders>
                    <w:tl2br w:val="nil"/>
                    <w:tr2bl w:val="nil"/>
                  </w:tcBorders>
                  <w:shd w:val="clear" w:color="auto" w:fill="A4A4A4"/>
                  <w:noWrap w:val="0"/>
                  <w:vAlign w:val="center"/>
                </w:tcPr>
                <w:p w14:paraId="60CB1B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其他（年用非溶剂型低VOCs含量涂料10吨以下的除外）</w:t>
                  </w:r>
                </w:p>
              </w:tc>
              <w:tc>
                <w:tcPr>
                  <w:tcW w:w="526" w:type="pct"/>
                  <w:tcBorders>
                    <w:tl2br w:val="nil"/>
                    <w:tr2bl w:val="nil"/>
                  </w:tcBorders>
                  <w:noWrap w:val="0"/>
                  <w:vAlign w:val="center"/>
                </w:tcPr>
                <w:p w14:paraId="125BFA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w:t>
                  </w:r>
                </w:p>
              </w:tc>
            </w:tr>
          </w:tbl>
          <w:p w14:paraId="247ADCD4">
            <w:pPr>
              <w:pStyle w:val="3"/>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2.</w:t>
            </w:r>
            <w:r>
              <w:rPr>
                <w:rFonts w:hint="default"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工程概况</w:t>
            </w:r>
          </w:p>
          <w:p w14:paraId="33C51A62">
            <w:pPr>
              <w:pStyle w:val="96"/>
              <w:spacing w:line="360" w:lineRule="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2.2.1</w:t>
            </w:r>
            <w:r>
              <w:rPr>
                <w:rFonts w:hint="eastAsia" w:cs="Times New Roman"/>
                <w:b/>
                <w:bCs/>
                <w:color w:val="000000" w:themeColor="text1"/>
                <w:sz w:val="24"/>
                <w:highlight w:val="none"/>
                <w:lang w:val="en-US" w:eastAsia="zh-CN"/>
                <w14:textFill>
                  <w14:solidFill>
                    <w14:schemeClr w14:val="tx1"/>
                  </w14:solidFill>
                </w14:textFill>
              </w:rPr>
              <w:t>出租方</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基本情况</w:t>
            </w:r>
          </w:p>
          <w:p w14:paraId="0FE330ED">
            <w:pPr>
              <w:pStyle w:val="96"/>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远洋</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福建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阀门制造有限公司</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以下简称</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远洋公司</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成立于2007年6月15日，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公司地址</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福建省福州市闽侯县祥谦镇洋下村洋辅路5号</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法定代表人为林一鸣，远洋公司占地面积22944m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建有厂房3座，</w:t>
            </w:r>
            <w:r>
              <w:rPr>
                <w:rFonts w:hint="eastAsia" w:cs="Times New Roman"/>
                <w:color w:val="000000" w:themeColor="text1"/>
                <w:sz w:val="24"/>
                <w:szCs w:val="24"/>
                <w:lang w:val="en-US" w:eastAsia="zh-CN"/>
                <w14:textFill>
                  <w14:solidFill>
                    <w14:schemeClr w14:val="tx1"/>
                  </w14:solidFill>
                </w14:textFill>
              </w:rPr>
              <w:t>仓库及综合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1座，原从事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阀门、管配件、伸缩件、过滤器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汽车轮毂等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的生产，《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远洋</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福建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阀门制造有限公司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环境影响报告表》于2007年06月取得原闽侯县环境保护局的批复，于2012年07月通过原闽侯县环境保护局竣工环保验收（见附件六），由于企业自身经营问题，现未在厂区内从事生产加工活动，生产厂房全部用于出租。</w:t>
            </w:r>
          </w:p>
          <w:p w14:paraId="70C59417">
            <w:pPr>
              <w:pStyle w:val="96"/>
              <w:spacing w:line="360" w:lineRule="auto"/>
              <w:ind w:firstLine="480" w:firstLineChars="200"/>
              <w:rPr>
                <w:rFonts w:hint="default" w:ascii="Times New Roman" w:hAnsi="Times New Roman" w:eastAsia="宋体" w:cs="黑体"/>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远洋</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福建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阀门制造有限公司</w:t>
            </w:r>
            <w:r>
              <w:rPr>
                <w:rFonts w:hint="eastAsia" w:cs="Times New Roman"/>
                <w:color w:val="000000" w:themeColor="text1"/>
                <w:sz w:val="24"/>
                <w:szCs w:val="24"/>
                <w:highlight w:val="none"/>
                <w:lang w:val="en-US" w:eastAsia="zh-CN"/>
                <w14:textFill>
                  <w14:solidFill>
                    <w14:schemeClr w14:val="tx1"/>
                  </w14:solidFill>
                </w14:textFill>
              </w:rPr>
              <w:t>厂区范围内共有生产厂房3栋，其中1#厂房</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租赁</w:t>
            </w:r>
            <w:r>
              <w:rPr>
                <w:rFonts w:hint="eastAsia" w:cs="Times New Roman"/>
                <w:color w:val="000000" w:themeColor="text1"/>
                <w:sz w:val="24"/>
                <w:szCs w:val="24"/>
                <w:highlight w:val="none"/>
                <w:lang w:val="en-US" w:eastAsia="zh-CN"/>
                <w14:textFill>
                  <w14:solidFill>
                    <w14:schemeClr w14:val="tx1"/>
                  </w14:solidFill>
                </w14:textFill>
              </w:rPr>
              <w:t>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福州朗贤术立新能源科技有限公司使用</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2#厂房租赁</w:t>
            </w:r>
            <w:r>
              <w:rPr>
                <w:rFonts w:hint="eastAsia" w:cs="Times New Roman"/>
                <w:color w:val="000000" w:themeColor="text1"/>
                <w:kern w:val="2"/>
                <w:sz w:val="24"/>
                <w:szCs w:val="24"/>
                <w:highlight w:val="none"/>
                <w:lang w:val="en-US" w:eastAsia="zh-CN" w:bidi="ar-SA"/>
                <w14:textFill>
                  <w14:solidFill>
                    <w14:schemeClr w14:val="tx1"/>
                  </w14:solidFill>
                </w14:textFill>
              </w:rPr>
              <w:t>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福州轩逸达智能科技有限公司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使用</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3#厂房1-2F租赁给建设单位使用，三家企业均</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从事汽车配件的电泳、喷粉等涂装加</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工</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463F2E4C">
            <w:pPr>
              <w:pStyle w:val="96"/>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福州轩逸达智能科技有限公司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于2023年委托编制</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《福州轩逸达智能科技有限公司汽车配件生产项目环境影响报告表》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于2023年10月取得福州市闽侯生态环境局批复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（榕侯环评〔2023〕52号）</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汽车配件生产项目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已建成未投产，因市场变动及经营原因，拟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与福州术立新能源科技有限公司做资源整合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，将已建设备、车间转售于建设单位使用。该公司已向福州市闽侯生态环境局申请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注销《福州轩逸达智能科技有限公司汽车配件生产项目环境影响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报告表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的批复（榕侯环评〔2023〕52号）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3F712E9F">
            <w:pPr>
              <w:pStyle w:val="86"/>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项目生活污水依托远洋公司已建化粪池处理后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通过市政管网纳入福建青口海峡环保有限公司（青口新区污水处理厂）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处理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，生产废水处理设施由建设单位自建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另外，本项目将依托远洋公司厂区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内现有给水管网、排水管网、供电管网、给水消防</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等公用设施</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474E4D8">
            <w:pPr>
              <w:pStyle w:val="96"/>
              <w:spacing w:line="360" w:lineRule="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14:textFill>
                  <w14:solidFill>
                    <w14:schemeClr w14:val="tx1"/>
                  </w14:solidFill>
                </w14:textFill>
              </w:rPr>
              <w:t>项目基本概况</w:t>
            </w:r>
          </w:p>
          <w:p w14:paraId="74FD65B8">
            <w:pPr>
              <w:pStyle w:val="96"/>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项目名称：汽车零部件生产线技术改造项目</w:t>
            </w:r>
          </w:p>
          <w:p w14:paraId="4F778F52">
            <w:pPr>
              <w:pStyle w:val="96"/>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建设单位：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福州术立新能源科技有限公司</w:t>
            </w:r>
          </w:p>
          <w:p w14:paraId="4FD210F4">
            <w:pPr>
              <w:pStyle w:val="96"/>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建设地点：福州市闽侯县祥谦镇洋下村洋辅路5号</w:t>
            </w:r>
          </w:p>
          <w:p w14:paraId="7A55B34B">
            <w:pPr>
              <w:pStyle w:val="96"/>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总投资：</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75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00万元</w:t>
            </w:r>
          </w:p>
          <w:p w14:paraId="5F2C86EF">
            <w:pPr>
              <w:pStyle w:val="96"/>
              <w:spacing w:line="360" w:lineRule="auto"/>
              <w:ind w:firstLine="480" w:firstLineChars="200"/>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eastAsia" w:ascii="Times New Roman" w:hAnsi="Times New Roman" w:cs="Times New Roman"/>
                <w:color w:val="000000" w:themeColor="text1"/>
                <w:sz w:val="24"/>
                <w:highlight w:val="none"/>
                <w:lang w:val="en-US" w:eastAsia="zh-CN"/>
                <w14:textFill>
                  <w14:solidFill>
                    <w14:schemeClr w14:val="tx1"/>
                  </w14:solidFill>
                </w14:textFill>
              </w:rPr>
              <w:t>建筑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面积：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现有工程租赁厂房面积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2880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，新增</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租赁厂房面积</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eastAsia="zh-CN"/>
                <w14:textFill>
                  <w14:solidFill>
                    <w14:schemeClr w14:val="tx1"/>
                  </w14:solidFill>
                </w14:textFill>
              </w:rPr>
              <w:instrText xml:space="preserve"> = 11000-2880 \* MERGEFORMAT </w:instrTex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8120</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，租赁厂房面积共11000m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cs="Times New Roman"/>
                <w:color w:val="000000" w:themeColor="text1"/>
                <w:sz w:val="24"/>
                <w:szCs w:val="24"/>
                <w:vertAlign w:val="baseline"/>
                <w:lang w:val="en-US" w:eastAsia="zh-CN"/>
                <w14:textFill>
                  <w14:solidFill>
                    <w14:schemeClr w14:val="tx1"/>
                  </w14:solidFill>
                </w14:textFill>
              </w:rPr>
              <w:t>，租赁办公面积</w:t>
            </w:r>
            <w:r>
              <w:rPr>
                <w:rFonts w:hint="eastAsia" w:cs="Times New Roman"/>
                <w:color w:val="000000" w:themeColor="text1"/>
                <w:sz w:val="24"/>
                <w:szCs w:val="24"/>
                <w:vertAlign w:val="baseline"/>
                <w:lang w:val="en-US" w:eastAsia="zh-CN"/>
                <w14:textFill>
                  <w14:solidFill>
                    <w14:schemeClr w14:val="tx1"/>
                  </w14:solidFill>
                </w14:textFill>
              </w:rPr>
              <w:fldChar w:fldCharType="begin"/>
            </w:r>
            <w:r>
              <w:rPr>
                <w:rFonts w:hint="eastAsia" w:cs="Times New Roman"/>
                <w:color w:val="000000" w:themeColor="text1"/>
                <w:sz w:val="24"/>
                <w:szCs w:val="24"/>
                <w:vertAlign w:val="baseline"/>
                <w:lang w:val="en-US" w:eastAsia="zh-CN"/>
                <w14:textFill>
                  <w14:solidFill>
                    <w14:schemeClr w14:val="tx1"/>
                  </w14:solidFill>
                </w14:textFill>
              </w:rPr>
              <w:instrText xml:space="preserve"> = 13758-11000 \* MERGEFORMAT </w:instrText>
            </w:r>
            <w:r>
              <w:rPr>
                <w:rFonts w:hint="eastAsia" w:cs="Times New Roman"/>
                <w:color w:val="000000" w:themeColor="text1"/>
                <w:sz w:val="24"/>
                <w:szCs w:val="24"/>
                <w:vertAlign w:val="baseline"/>
                <w:lang w:val="en-US" w:eastAsia="zh-CN"/>
                <w14:textFill>
                  <w14:solidFill>
                    <w14:schemeClr w14:val="tx1"/>
                  </w14:solidFill>
                </w14:textFill>
              </w:rPr>
              <w:fldChar w:fldCharType="separate"/>
            </w:r>
            <w:r>
              <w:rPr>
                <w:rFonts w:hint="eastAsia" w:cs="Times New Roman"/>
                <w:color w:val="000000" w:themeColor="text1"/>
                <w:sz w:val="24"/>
                <w:szCs w:val="24"/>
                <w:vertAlign w:val="baseline"/>
                <w:lang w:val="en-US" w:eastAsia="zh-CN"/>
                <w14:textFill>
                  <w14:solidFill>
                    <w14:schemeClr w14:val="tx1"/>
                  </w14:solidFill>
                </w14:textFill>
              </w:rPr>
              <w:t>2758</w:t>
            </w:r>
            <w:r>
              <w:rPr>
                <w:rFonts w:hint="eastAsia" w:cs="Times New Roman"/>
                <w:color w:val="000000" w:themeColor="text1"/>
                <w:sz w:val="24"/>
                <w:szCs w:val="24"/>
                <w:vertAlign w:val="baseli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全厂共计13758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p>
          <w:p w14:paraId="53EC9AAC">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（6）生产规模：</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新增</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年生产汽车配件</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20万</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件</w:t>
            </w:r>
            <w:r>
              <w:rPr>
                <w:rFonts w:hint="eastAsia" w:cs="Times New Roman"/>
                <w:color w:val="000000" w:themeColor="text1"/>
                <w:sz w:val="24"/>
                <w:highlight w:val="none"/>
                <w:lang w:val="en-US" w:eastAsia="zh-CN"/>
                <w14:textFill>
                  <w14:solidFill>
                    <w14:schemeClr w14:val="tx1"/>
                  </w14:solidFill>
                </w14:textFill>
              </w:rPr>
              <w:t>，扩建后全厂生产汽车配件30万件</w:t>
            </w:r>
          </w:p>
          <w:p w14:paraId="16BBB393">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（7）项目性质：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改扩建</w:t>
            </w:r>
          </w:p>
          <w:p w14:paraId="637059D2">
            <w:pPr>
              <w:pStyle w:val="96"/>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highlight w:val="none"/>
                <w14:textFill>
                  <w14:solidFill>
                    <w14:schemeClr w14:val="tx1"/>
                  </w14:solidFill>
                </w14:textFill>
              </w:rPr>
              <w:t>生产定员：</w:t>
            </w:r>
            <w:r>
              <w:rPr>
                <w:rFonts w:hint="eastAsia" w:ascii="Times New Roman" w:hAnsi="Times New Roman" w:cs="Times New Roman"/>
                <w:color w:val="000000" w:themeColor="text1"/>
                <w:sz w:val="24"/>
                <w:highlight w:val="none"/>
                <w:lang w:val="en-US" w:eastAsia="zh-CN"/>
                <w14:textFill>
                  <w14:solidFill>
                    <w14:schemeClr w14:val="tx1"/>
                  </w14:solidFill>
                </w14:textFill>
              </w:rPr>
              <w:t>新增</w:t>
            </w:r>
            <w:r>
              <w:rPr>
                <w:rFonts w:hint="default" w:ascii="Times New Roman" w:hAnsi="Times New Roman" w:eastAsia="宋体" w:cs="Times New Roman"/>
                <w:color w:val="000000" w:themeColor="text1"/>
                <w:sz w:val="24"/>
                <w:highlight w:val="none"/>
                <w14:textFill>
                  <w14:solidFill>
                    <w14:schemeClr w14:val="tx1"/>
                  </w14:solidFill>
                </w14:textFill>
              </w:rPr>
              <w:t>职工人数</w:t>
            </w:r>
            <w:r>
              <w:rPr>
                <w:rFonts w:hint="eastAsia" w:ascii="Times New Roman" w:hAnsi="Times New Roman" w:cs="Times New Roman"/>
                <w:color w:val="000000" w:themeColor="text1"/>
                <w:sz w:val="24"/>
                <w:highlight w:val="none"/>
                <w:lang w:val="en-US" w:eastAsia="zh-CN"/>
                <w14:textFill>
                  <w14:solidFill>
                    <w14:schemeClr w14:val="tx1"/>
                  </w14:solidFill>
                </w14:textFill>
              </w:rPr>
              <w:t>45</w:t>
            </w:r>
            <w:r>
              <w:rPr>
                <w:rFonts w:hint="default" w:ascii="Times New Roman" w:hAnsi="Times New Roman" w:eastAsia="宋体" w:cs="Times New Roman"/>
                <w:color w:val="000000" w:themeColor="text1"/>
                <w:sz w:val="24"/>
                <w:highlight w:val="none"/>
                <w14:textFill>
                  <w14:solidFill>
                    <w14:schemeClr w14:val="tx1"/>
                  </w14:solidFill>
                </w14:textFill>
              </w:rPr>
              <w:t>人，</w:t>
            </w:r>
            <w:r>
              <w:rPr>
                <w:rFonts w:hint="eastAsia" w:cs="Times New Roman"/>
                <w:color w:val="000000" w:themeColor="text1"/>
                <w:sz w:val="24"/>
                <w:highlight w:val="none"/>
                <w:lang w:val="en-US" w:eastAsia="zh-CN"/>
                <w14:textFill>
                  <w14:solidFill>
                    <w14:schemeClr w14:val="tx1"/>
                  </w14:solidFill>
                </w14:textFill>
              </w:rPr>
              <w:t>扩建后全厂职工人数90人，均不在厂区</w:t>
            </w:r>
            <w:r>
              <w:rPr>
                <w:rFonts w:hint="default" w:ascii="Times New Roman" w:hAnsi="Times New Roman" w:eastAsia="宋体" w:cs="Times New Roman"/>
                <w:color w:val="000000" w:themeColor="text1"/>
                <w:sz w:val="24"/>
                <w:highlight w:val="none"/>
                <w14:textFill>
                  <w14:solidFill>
                    <w14:schemeClr w14:val="tx1"/>
                  </w14:solidFill>
                </w14:textFill>
              </w:rPr>
              <w:t>食宿</w:t>
            </w:r>
          </w:p>
          <w:p w14:paraId="78205030">
            <w:pPr>
              <w:pStyle w:val="111"/>
              <w:spacing w:line="360" w:lineRule="auto"/>
              <w:ind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highlight w:val="none"/>
                <w14:textFill>
                  <w14:solidFill>
                    <w14:schemeClr w14:val="tx1"/>
                  </w14:solidFill>
                </w14:textFill>
              </w:rPr>
              <w:t>工作制度：</w:t>
            </w:r>
            <w:r>
              <w:rPr>
                <w:rFonts w:hint="default" w:ascii="Times New Roman" w:hAnsi="Times New Roman" w:eastAsia="宋体" w:cs="Times New Roman"/>
                <w:color w:val="000000" w:themeColor="text1"/>
                <w:highlight w:val="none"/>
                <w:lang w:val="en-US" w:eastAsia="zh-CN"/>
                <w14:textFill>
                  <w14:solidFill>
                    <w14:schemeClr w14:val="tx1"/>
                  </w14:solidFill>
                </w14:textFill>
              </w:rPr>
              <w:t>全厂</w:t>
            </w:r>
            <w:r>
              <w:rPr>
                <w:rFonts w:hint="default" w:ascii="Times New Roman" w:hAnsi="Times New Roman" w:eastAsia="宋体" w:cs="Times New Roman"/>
                <w:color w:val="000000" w:themeColor="text1"/>
                <w:highlight w:val="none"/>
                <w14:textFill>
                  <w14:solidFill>
                    <w14:schemeClr w14:val="tx1"/>
                  </w14:solidFill>
                </w14:textFill>
              </w:rPr>
              <w:t>实行</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两</w:t>
            </w:r>
            <w:r>
              <w:rPr>
                <w:rFonts w:hint="default" w:ascii="Times New Roman" w:hAnsi="Times New Roman" w:eastAsia="宋体" w:cs="Times New Roman"/>
                <w:color w:val="000000" w:themeColor="text1"/>
                <w:highlight w:val="none"/>
                <w14:textFill>
                  <w14:solidFill>
                    <w14:schemeClr w14:val="tx1"/>
                  </w14:solidFill>
                </w14:textFill>
              </w:rPr>
              <w:t>班制，每</w:t>
            </w:r>
            <w:r>
              <w:rPr>
                <w:rFonts w:hint="default" w:ascii="Times New Roman" w:hAnsi="Times New Roman" w:eastAsia="宋体" w:cs="Times New Roman"/>
                <w:color w:val="000000" w:themeColor="text1"/>
                <w:highlight w:val="none"/>
                <w:lang w:val="en-US" w:eastAsia="zh-CN"/>
                <w14:textFill>
                  <w14:solidFill>
                    <w14:schemeClr w14:val="tx1"/>
                  </w14:solidFill>
                </w14:textFill>
              </w:rPr>
              <w:t>班8</w:t>
            </w:r>
            <w:r>
              <w:rPr>
                <w:rFonts w:hint="default" w:ascii="Times New Roman" w:hAnsi="Times New Roman" w:eastAsia="宋体" w:cs="Times New Roman"/>
                <w:color w:val="000000" w:themeColor="text1"/>
                <w:highlight w:val="none"/>
                <w14:textFill>
                  <w14:solidFill>
                    <w14:schemeClr w14:val="tx1"/>
                  </w14:solidFill>
                </w14:textFill>
              </w:rPr>
              <w:t>小时</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年工作日300天</w:t>
            </w:r>
            <w:r>
              <w:rPr>
                <w:rFonts w:hint="default" w:ascii="Times New Roman" w:hAnsi="Times New Roman" w:eastAsia="宋体" w:cs="Times New Roman"/>
                <w:color w:val="000000" w:themeColor="text1"/>
                <w:highlight w:val="none"/>
                <w:lang w:eastAsia="zh-CN"/>
                <w14:textFill>
                  <w14:solidFill>
                    <w14:schemeClr w14:val="tx1"/>
                  </w14:solidFill>
                </w14:textFill>
              </w:rPr>
              <w:t>。</w:t>
            </w:r>
          </w:p>
          <w:p w14:paraId="2C0A8859">
            <w:pPr>
              <w:keepNext w:val="0"/>
              <w:keepLines w:val="0"/>
              <w:pageBreakBefore w:val="0"/>
              <w:widowControl w:val="0"/>
              <w:kinsoku/>
              <w:wordWrap/>
              <w:overflowPunct/>
              <w:topLinePunct w:val="0"/>
              <w:autoSpaceDE/>
              <w:autoSpaceDN/>
              <w:bidi w:val="0"/>
              <w:adjustRightInd/>
              <w:snapToGrid/>
              <w:spacing w:before="120" w:beforeLines="50" w:line="360" w:lineRule="auto"/>
              <w:textAlignment w:val="auto"/>
              <w:rPr>
                <w:rFonts w:hint="eastAsia" w:ascii="Times New Roman" w:hAnsi="Times New Roman" w:eastAsia="宋体" w:cs="Times New Roman"/>
                <w:b/>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highlight w:val="none"/>
                <w14:textFill>
                  <w14:solidFill>
                    <w14:schemeClr w14:val="tx1"/>
                  </w14:solidFill>
                </w14:textFill>
              </w:rPr>
              <w:t>项目组成及</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产品方案</w:t>
            </w:r>
          </w:p>
          <w:p w14:paraId="788CEB13">
            <w:pPr>
              <w:spacing w:line="360" w:lineRule="auto"/>
              <w:ind w:firstLine="480" w:firstLineChars="200"/>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项目组成</w:t>
            </w:r>
          </w:p>
          <w:p w14:paraId="4EFDA5E5">
            <w:pPr>
              <w:spacing w:line="360" w:lineRule="auto"/>
              <w:ind w:firstLine="480" w:firstLineChars="200"/>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工程</w:t>
            </w:r>
            <w:r>
              <w:rPr>
                <w:rFonts w:hint="default" w:ascii="Times New Roman" w:hAnsi="Times New Roman" w:eastAsia="宋体" w:cs="Times New Roman"/>
                <w:color w:val="000000" w:themeColor="text1"/>
                <w:sz w:val="24"/>
                <w:szCs w:val="24"/>
                <w:highlight w:val="none"/>
                <w14:textFill>
                  <w14:solidFill>
                    <w14:schemeClr w14:val="tx1"/>
                  </w14:solidFill>
                </w14:textFill>
              </w:rPr>
              <w:t>组成</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见</w:t>
            </w:r>
            <w:r>
              <w:rPr>
                <w:rFonts w:hint="default" w:ascii="Times New Roman" w:hAnsi="Times New Roman" w:eastAsia="宋体" w:cs="Times New Roman"/>
                <w:color w:val="000000" w:themeColor="text1"/>
                <w:sz w:val="24"/>
                <w:szCs w:val="24"/>
                <w:highlight w:val="none"/>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tc>
      </w:tr>
    </w:tbl>
    <w:p w14:paraId="3B4FD6CA">
      <w:pPr>
        <w:pStyle w:val="25"/>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1906" w:h="16838"/>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1C7233D0">
      <w:pPr>
        <w:pStyle w:val="83"/>
        <w:numPr>
          <w:ilvl w:val="0"/>
          <w:numId w:val="0"/>
        </w:numPr>
        <w:autoSpaceDE/>
        <w:autoSpaceDN/>
        <w:spacing w:after="0" w:line="240" w:lineRule="auto"/>
        <w:ind w:left="0" w:leftChars="0" w:firstLine="200" w:firstLineChars="0"/>
        <w:outlineLvl w:val="9"/>
        <w:rPr>
          <w:rFonts w:hint="default" w:ascii="Times New Roman" w:hAnsi="Times New Roman" w:eastAsia="宋体" w:cs="宋体"/>
          <w:bCs/>
          <w:color w:val="000000" w:themeColor="text1"/>
          <w:szCs w:val="21"/>
          <w:lang w:val="en-US" w:eastAsia="zh-CN"/>
          <w14:textFill>
            <w14:solidFill>
              <w14:schemeClr w14:val="tx1"/>
            </w14:solidFill>
          </w14:textFill>
        </w:rPr>
      </w:pPr>
      <w:r>
        <w:rPr>
          <w:rFonts w:hint="default" w:ascii="Times New Roman" w:hAnsi="Times New Roman" w:eastAsia="宋体" w:cs="宋体"/>
          <w:bCs/>
          <w:color w:val="000000" w:themeColor="text1"/>
          <w:szCs w:val="21"/>
          <w:lang w:val="en-US" w:eastAsia="zh-CN"/>
          <w14:textFill>
            <w14:solidFill>
              <w14:schemeClr w14:val="tx1"/>
            </w14:solidFill>
          </w14:textFill>
        </w:rPr>
        <w:t>表2.2-1  项目工程组成表</w:t>
      </w:r>
    </w:p>
    <w:p w14:paraId="0F7C857F">
      <w:pPr>
        <w:pStyle w:val="25"/>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6838" w:h="11906" w:orient="landscape"/>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863"/>
      </w:tblGrid>
      <w:tr w14:paraId="09AD5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dxa"/>
            <w:noWrap w:val="0"/>
            <w:vAlign w:val="center"/>
          </w:tcPr>
          <w:p w14:paraId="34252FBC">
            <w:pPr>
              <w:pStyle w:val="25"/>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建设内容</w:t>
            </w:r>
          </w:p>
        </w:tc>
        <w:tc>
          <w:tcPr>
            <w:tcW w:w="8863" w:type="dxa"/>
            <w:noWrap w:val="0"/>
            <w:vAlign w:val="top"/>
          </w:tcPr>
          <w:p w14:paraId="602A62D5">
            <w:pPr>
              <w:keepNext w:val="0"/>
              <w:keepLines w:val="0"/>
              <w:pageBreakBefore w:val="0"/>
              <w:widowControl w:val="0"/>
              <w:numPr>
                <w:ilvl w:val="0"/>
                <w:numId w:val="5"/>
              </w:numPr>
              <w:tabs>
                <w:tab w:val="left" w:pos="5184"/>
              </w:tabs>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产品方案</w:t>
            </w:r>
          </w:p>
          <w:p w14:paraId="511A76F6">
            <w:pPr>
              <w:tabs>
                <w:tab w:val="left" w:pos="5184"/>
              </w:tabs>
              <w:spacing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项目产品方案情况见表2.2-2。</w:t>
            </w:r>
          </w:p>
          <w:p w14:paraId="29335190">
            <w:pPr>
              <w:pStyle w:val="83"/>
              <w:numPr>
                <w:ilvl w:val="0"/>
                <w:numId w:val="0"/>
              </w:numPr>
              <w:autoSpaceDE/>
              <w:autoSpaceDN/>
              <w:spacing w:after="0" w:line="240" w:lineRule="auto"/>
              <w:ind w:left="0" w:leftChars="0" w:firstLine="200" w:firstLineChars="0"/>
              <w:outlineLvl w:val="9"/>
              <w:rPr>
                <w:rFonts w:hint="eastAsia" w:ascii="Times New Roman" w:hAnsi="Times New Roman" w:eastAsia="宋体" w:cs="宋体"/>
                <w:bCs/>
                <w:color w:val="000000" w:themeColor="text1"/>
                <w:szCs w:val="21"/>
                <w:lang w:val="en-US" w:eastAsia="zh-CN"/>
                <w14:textFill>
                  <w14:solidFill>
                    <w14:schemeClr w14:val="tx1"/>
                  </w14:solidFill>
                </w14:textFill>
              </w:rPr>
            </w:pPr>
            <w:r>
              <w:rPr>
                <w:rFonts w:hint="eastAsia" w:ascii="Times New Roman" w:hAnsi="Times New Roman" w:eastAsia="宋体" w:cs="宋体"/>
                <w:bCs/>
                <w:color w:val="000000" w:themeColor="text1"/>
                <w:szCs w:val="21"/>
                <w:lang w:val="en-US" w:eastAsia="zh-CN"/>
                <w14:textFill>
                  <w14:solidFill>
                    <w14:schemeClr w14:val="tx1"/>
                  </w14:solidFill>
                </w14:textFill>
              </w:rPr>
              <w:t>表2.2</w:t>
            </w:r>
            <w:r>
              <w:rPr>
                <w:rFonts w:hint="default" w:ascii="Times New Roman" w:hAnsi="Times New Roman" w:eastAsia="宋体" w:cs="宋体"/>
                <w:bCs/>
                <w:color w:val="000000" w:themeColor="text1"/>
                <w:szCs w:val="21"/>
                <w:lang w:val="en-US" w:eastAsia="zh-CN"/>
                <w14:textFill>
                  <w14:solidFill>
                    <w14:schemeClr w14:val="tx1"/>
                  </w14:solidFill>
                </w14:textFill>
              </w:rPr>
              <w:t xml:space="preserve">-2 </w:t>
            </w:r>
            <w:r>
              <w:rPr>
                <w:rFonts w:hint="eastAsia" w:ascii="Times New Roman" w:hAnsi="Times New Roman" w:eastAsia="宋体" w:cs="宋体"/>
                <w:bCs/>
                <w:color w:val="000000" w:themeColor="text1"/>
                <w:szCs w:val="21"/>
                <w:lang w:val="en-US" w:eastAsia="zh-CN"/>
                <w14:textFill>
                  <w14:solidFill>
                    <w14:schemeClr w14:val="tx1"/>
                  </w14:solidFill>
                </w14:textFill>
              </w:rPr>
              <w:t xml:space="preserve">项目产品方案表 </w:t>
            </w:r>
          </w:p>
          <w:p w14:paraId="21112E3A">
            <w:pPr>
              <w:keepNext w:val="0"/>
              <w:keepLines w:val="0"/>
              <w:pageBreakBefore w:val="0"/>
              <w:widowControl w:val="0"/>
              <w:kinsoku/>
              <w:wordWrap/>
              <w:overflowPunct/>
              <w:topLinePunct w:val="0"/>
              <w:autoSpaceDE/>
              <w:autoSpaceDN/>
              <w:bidi w:val="0"/>
              <w:adjustRightInd/>
              <w:snapToGrid/>
              <w:spacing w:before="191" w:beforeLines="50" w:line="360" w:lineRule="auto"/>
              <w:jc w:val="center"/>
              <w:textAlignment w:val="auto"/>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451B347E">
            <w:pPr>
              <w:keepNext w:val="0"/>
              <w:keepLines w:val="0"/>
              <w:pageBreakBefore w:val="0"/>
              <w:widowControl w:val="0"/>
              <w:kinsoku/>
              <w:wordWrap/>
              <w:overflowPunct/>
              <w:topLinePunct w:val="0"/>
              <w:autoSpaceDE/>
              <w:autoSpaceDN/>
              <w:bidi w:val="0"/>
              <w:adjustRightInd/>
              <w:snapToGrid/>
              <w:spacing w:before="191" w:beforeLines="50" w:line="360" w:lineRule="auto"/>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14:textFill>
                  <w14:solidFill>
                    <w14:schemeClr w14:val="tx1"/>
                  </w14:solidFill>
                </w14:textFill>
              </w:rPr>
              <w:t>项目主要原辅材料</w:t>
            </w:r>
          </w:p>
          <w:p w14:paraId="6A6BB3CB">
            <w:pPr>
              <w:tabs>
                <w:tab w:val="left" w:pos="5184"/>
              </w:tabs>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原辅材料用量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及成分介绍</w:t>
            </w:r>
          </w:p>
          <w:p w14:paraId="153521DD">
            <w:pPr>
              <w:tabs>
                <w:tab w:val="left" w:pos="5184"/>
              </w:tabs>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项目工程的原辅材料变化情况详见表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，主要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原辅料理化</w:t>
            </w:r>
            <w:r>
              <w:rPr>
                <w:rFonts w:hint="default" w:ascii="Times New Roman" w:hAnsi="Times New Roman" w:eastAsia="宋体" w:cs="Times New Roman"/>
                <w:color w:val="000000" w:themeColor="text1"/>
                <w:sz w:val="24"/>
                <w:szCs w:val="24"/>
                <w:highlight w:val="none"/>
                <w14:textFill>
                  <w14:solidFill>
                    <w14:schemeClr w14:val="tx1"/>
                  </w14:solidFill>
                </w14:textFill>
              </w:rPr>
              <w:t>性质详见表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17762C2C">
            <w:pPr>
              <w:pStyle w:val="83"/>
              <w:numPr>
                <w:ilvl w:val="0"/>
                <w:numId w:val="0"/>
              </w:numPr>
              <w:autoSpaceDE/>
              <w:autoSpaceDN/>
              <w:spacing w:after="0" w:line="240" w:lineRule="auto"/>
              <w:ind w:left="0" w:leftChars="0" w:firstLine="200" w:firstLineChars="0"/>
              <w:outlineLvl w:val="9"/>
              <w:rPr>
                <w:rFonts w:hint="default" w:ascii="Times New Roman" w:hAnsi="Times New Roman" w:eastAsia="宋体" w:cs="宋体"/>
                <w:bCs/>
                <w:color w:val="000000" w:themeColor="text1"/>
                <w:szCs w:val="21"/>
                <w:lang w:val="en-US" w:eastAsia="zh-CN"/>
                <w14:textFill>
                  <w14:solidFill>
                    <w14:schemeClr w14:val="tx1"/>
                  </w14:solidFill>
                </w14:textFill>
              </w:rPr>
            </w:pPr>
            <w:r>
              <w:rPr>
                <w:rFonts w:hint="default" w:ascii="Times New Roman" w:hAnsi="Times New Roman" w:eastAsia="宋体" w:cs="宋体"/>
                <w:bCs/>
                <w:color w:val="000000" w:themeColor="text1"/>
                <w:szCs w:val="21"/>
                <w:lang w:val="en-US" w:eastAsia="zh-CN"/>
                <w14:textFill>
                  <w14:solidFill>
                    <w14:schemeClr w14:val="tx1"/>
                  </w14:solidFill>
                </w14:textFill>
              </w:rPr>
              <w:t>表2.2-</w:t>
            </w:r>
            <w:r>
              <w:rPr>
                <w:rFonts w:hint="eastAsia" w:ascii="Times New Roman" w:hAnsi="Times New Roman" w:eastAsia="宋体" w:cs="宋体"/>
                <w:bCs/>
                <w:color w:val="000000" w:themeColor="text1"/>
                <w:szCs w:val="21"/>
                <w:lang w:val="en-US" w:eastAsia="zh-CN"/>
                <w14:textFill>
                  <w14:solidFill>
                    <w14:schemeClr w14:val="tx1"/>
                  </w14:solidFill>
                </w14:textFill>
              </w:rPr>
              <w:t>3</w:t>
            </w:r>
            <w:r>
              <w:rPr>
                <w:rFonts w:hint="default" w:ascii="Times New Roman" w:hAnsi="Times New Roman" w:eastAsia="宋体" w:cs="宋体"/>
                <w:bCs/>
                <w:color w:val="000000" w:themeColor="text1"/>
                <w:szCs w:val="21"/>
                <w:lang w:val="en-US" w:eastAsia="zh-CN"/>
                <w14:textFill>
                  <w14:solidFill>
                    <w14:schemeClr w14:val="tx1"/>
                  </w14:solidFill>
                </w14:textFill>
              </w:rPr>
              <w:t xml:space="preserve">  项目主要原辅料用量情况表</w:t>
            </w:r>
          </w:p>
          <w:p w14:paraId="1301FDF8">
            <w:pPr>
              <w:pStyle w:val="83"/>
              <w:numPr>
                <w:ilvl w:val="0"/>
                <w:numId w:val="0"/>
              </w:numPr>
              <w:autoSpaceDE/>
              <w:autoSpaceDN/>
              <w:spacing w:after="0" w:line="240" w:lineRule="auto"/>
              <w:ind w:left="0" w:leftChars="0" w:firstLine="200" w:firstLineChars="0"/>
              <w:outlineLvl w:val="9"/>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657B16E1">
            <w:pPr>
              <w:pStyle w:val="83"/>
              <w:numPr>
                <w:ilvl w:val="0"/>
                <w:numId w:val="0"/>
              </w:numPr>
              <w:autoSpaceDE/>
              <w:autoSpaceDN/>
              <w:spacing w:after="0" w:line="240" w:lineRule="auto"/>
              <w:ind w:left="0" w:leftChars="0" w:firstLine="200" w:firstLineChars="0"/>
              <w:outlineLvl w:val="9"/>
              <w:rPr>
                <w:rFonts w:hint="default" w:ascii="Times New Roman" w:hAnsi="Times New Roman" w:eastAsia="宋体" w:cs="宋体"/>
                <w:bCs/>
                <w:color w:val="000000" w:themeColor="text1"/>
                <w:szCs w:val="21"/>
                <w:lang w:val="en-US" w:eastAsia="zh-CN"/>
                <w14:textFill>
                  <w14:solidFill>
                    <w14:schemeClr w14:val="tx1"/>
                  </w14:solidFill>
                </w14:textFill>
              </w:rPr>
            </w:pPr>
            <w:r>
              <w:rPr>
                <w:rFonts w:hint="default" w:ascii="Times New Roman" w:hAnsi="Times New Roman" w:eastAsia="宋体" w:cs="宋体"/>
                <w:bCs/>
                <w:color w:val="000000" w:themeColor="text1"/>
                <w:szCs w:val="21"/>
                <w:lang w:val="en-US" w:eastAsia="zh-CN"/>
                <w14:textFill>
                  <w14:solidFill>
                    <w14:schemeClr w14:val="tx1"/>
                  </w14:solidFill>
                </w14:textFill>
              </w:rPr>
              <w:t>表2.2-</w:t>
            </w:r>
            <w:r>
              <w:rPr>
                <w:rFonts w:hint="eastAsia" w:ascii="Times New Roman" w:hAnsi="Times New Roman" w:eastAsia="宋体" w:cs="宋体"/>
                <w:bCs/>
                <w:color w:val="000000" w:themeColor="text1"/>
                <w:szCs w:val="21"/>
                <w:lang w:val="en-US" w:eastAsia="zh-CN"/>
                <w14:textFill>
                  <w14:solidFill>
                    <w14:schemeClr w14:val="tx1"/>
                  </w14:solidFill>
                </w14:textFill>
              </w:rPr>
              <w:t>4</w:t>
            </w:r>
            <w:r>
              <w:rPr>
                <w:rFonts w:hint="default" w:ascii="Times New Roman" w:hAnsi="Times New Roman" w:eastAsia="宋体" w:cs="宋体"/>
                <w:bCs/>
                <w:color w:val="000000" w:themeColor="text1"/>
                <w:szCs w:val="21"/>
                <w:lang w:val="en-US" w:eastAsia="zh-CN"/>
                <w14:textFill>
                  <w14:solidFill>
                    <w14:schemeClr w14:val="tx1"/>
                  </w14:solidFill>
                </w14:textFill>
              </w:rPr>
              <w:t xml:space="preserve">  项目主要原辅料性质介绍</w:t>
            </w:r>
          </w:p>
          <w:p w14:paraId="61F2A721">
            <w:pPr>
              <w:pStyle w:val="83"/>
              <w:numPr>
                <w:ilvl w:val="0"/>
                <w:numId w:val="0"/>
              </w:numPr>
              <w:autoSpaceDE/>
              <w:autoSpaceDN/>
              <w:spacing w:after="0" w:line="240" w:lineRule="auto"/>
              <w:ind w:left="0" w:leftChars="0" w:firstLine="200" w:firstLineChars="0"/>
              <w:outlineLvl w:val="9"/>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6C20418E">
            <w:pPr>
              <w:spacing w:before="120" w:beforeLines="50" w:line="360" w:lineRule="auto"/>
              <w:ind w:firstLine="482"/>
              <w:jc w:val="left"/>
              <w:rPr>
                <w:rFonts w:ascii="Times New Roman" w:hAnsi="Times New Roman" w:eastAsia="宋体"/>
                <w:b/>
                <w:bCs/>
                <w:color w:val="000000" w:themeColor="text1"/>
                <w:sz w:val="24"/>
                <w14:textFill>
                  <w14:solidFill>
                    <w14:schemeClr w14:val="tx1"/>
                  </w14:solidFill>
                </w14:textFill>
              </w:rPr>
            </w:pPr>
            <w:r>
              <w:rPr>
                <w:rFonts w:ascii="Times New Roman" w:hAnsi="Times New Roman" w:eastAsia="宋体"/>
                <w:b/>
                <w:bCs/>
                <w:color w:val="000000" w:themeColor="text1"/>
                <w:sz w:val="24"/>
                <w14:textFill>
                  <w14:solidFill>
                    <w14:schemeClr w14:val="tx1"/>
                  </w14:solidFill>
                </w14:textFill>
              </w:rPr>
              <w:t>漆料用量</w:t>
            </w:r>
            <w:r>
              <w:rPr>
                <w:rFonts w:hint="eastAsia" w:ascii="Times New Roman" w:hAnsi="Times New Roman" w:eastAsia="宋体"/>
                <w:b/>
                <w:bCs/>
                <w:color w:val="000000" w:themeColor="text1"/>
                <w:sz w:val="24"/>
                <w14:textFill>
                  <w14:solidFill>
                    <w14:schemeClr w14:val="tx1"/>
                  </w14:solidFill>
                </w14:textFill>
              </w:rPr>
              <w:t>核算</w:t>
            </w:r>
            <w:r>
              <w:rPr>
                <w:rFonts w:ascii="Times New Roman" w:hAnsi="Times New Roman" w:eastAsia="宋体"/>
                <w:b/>
                <w:bCs/>
                <w:color w:val="000000" w:themeColor="text1"/>
                <w:sz w:val="24"/>
                <w14:textFill>
                  <w14:solidFill>
                    <w14:schemeClr w14:val="tx1"/>
                  </w14:solidFill>
                </w14:textFill>
              </w:rPr>
              <w:t>采用以下公式计算：</w:t>
            </w:r>
          </w:p>
          <w:p w14:paraId="73A87A24">
            <w:pPr>
              <w:spacing w:line="360" w:lineRule="auto"/>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drawing>
                <wp:inline distT="0" distB="0" distL="114300" distR="114300">
                  <wp:extent cx="1534795" cy="265430"/>
                  <wp:effectExtent l="0" t="0" r="8255" b="1270"/>
                  <wp:docPr id="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
                          <pic:cNvPicPr>
                            <a:picLocks noChangeAspect="1"/>
                          </pic:cNvPicPr>
                        </pic:nvPicPr>
                        <pic:blipFill>
                          <a:blip r:embed="rId10"/>
                          <a:stretch>
                            <a:fillRect/>
                          </a:stretch>
                        </pic:blipFill>
                        <pic:spPr>
                          <a:xfrm>
                            <a:off x="0" y="0"/>
                            <a:ext cx="1534795" cy="265430"/>
                          </a:xfrm>
                          <a:prstGeom prst="rect">
                            <a:avLst/>
                          </a:prstGeom>
                          <a:noFill/>
                          <a:ln>
                            <a:noFill/>
                          </a:ln>
                        </pic:spPr>
                      </pic:pic>
                    </a:graphicData>
                  </a:graphic>
                </wp:inline>
              </w:drawing>
            </w:r>
          </w:p>
          <w:p w14:paraId="51883A60">
            <w:pPr>
              <w:spacing w:line="300" w:lineRule="auto"/>
              <w:ind w:firstLine="48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14:textFill>
                  <w14:solidFill>
                    <w14:schemeClr w14:val="tx1"/>
                  </w14:solidFill>
                </w14:textFill>
              </w:rPr>
              <w:t>其</w:t>
            </w:r>
            <w:r>
              <w:rPr>
                <w:rFonts w:ascii="Times New Roman" w:hAnsi="Times New Roman" w:eastAsia="宋体"/>
                <w:color w:val="000000" w:themeColor="text1"/>
                <w:sz w:val="24"/>
                <w14:textFill>
                  <w14:solidFill>
                    <w14:schemeClr w14:val="tx1"/>
                  </w14:solidFill>
                </w14:textFill>
              </w:rPr>
              <w:t>中：m—漆料总用量（t/a）；</w:t>
            </w:r>
          </w:p>
          <w:p w14:paraId="5C3C9834">
            <w:pPr>
              <w:spacing w:line="300" w:lineRule="auto"/>
              <w:ind w:firstLine="1200" w:firstLineChars="5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s—喷漆总面积（m</w:t>
            </w:r>
            <w:r>
              <w:rPr>
                <w:rFonts w:ascii="Times New Roman" w:hAnsi="Times New Roman" w:eastAsia="宋体"/>
                <w:color w:val="000000" w:themeColor="text1"/>
                <w:sz w:val="24"/>
                <w:vertAlign w:val="superscript"/>
                <w14:textFill>
                  <w14:solidFill>
                    <w14:schemeClr w14:val="tx1"/>
                  </w14:solidFill>
                </w14:textFill>
              </w:rPr>
              <w:t>2</w:t>
            </w:r>
            <w:r>
              <w:rPr>
                <w:rFonts w:ascii="Times New Roman" w:hAnsi="Times New Roman" w:eastAsia="宋体"/>
                <w:color w:val="000000" w:themeColor="text1"/>
                <w:sz w:val="24"/>
                <w14:textFill>
                  <w14:solidFill>
                    <w14:schemeClr w14:val="tx1"/>
                  </w14:solidFill>
                </w14:textFill>
              </w:rPr>
              <w:t>/a）；</w:t>
            </w:r>
          </w:p>
          <w:p w14:paraId="0E8772BB">
            <w:pPr>
              <w:spacing w:line="300" w:lineRule="auto"/>
              <w:ind w:firstLine="1200" w:firstLineChars="5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δ—涂层厚度（μm）；</w:t>
            </w:r>
          </w:p>
          <w:p w14:paraId="37949804">
            <w:pPr>
              <w:spacing w:line="300" w:lineRule="auto"/>
              <w:ind w:firstLine="1200" w:firstLineChars="5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ρ—漆料密度（g/cm</w:t>
            </w:r>
            <w:r>
              <w:rPr>
                <w:rFonts w:ascii="Times New Roman" w:hAnsi="Times New Roman" w:eastAsia="宋体"/>
                <w:color w:val="000000" w:themeColor="text1"/>
                <w:sz w:val="24"/>
                <w:vertAlign w:val="superscript"/>
                <w14:textFill>
                  <w14:solidFill>
                    <w14:schemeClr w14:val="tx1"/>
                  </w14:solidFill>
                </w14:textFill>
              </w:rPr>
              <w:t>3</w:t>
            </w:r>
            <w:r>
              <w:rPr>
                <w:rFonts w:ascii="Times New Roman" w:hAnsi="Times New Roman" w:eastAsia="宋体"/>
                <w:color w:val="000000" w:themeColor="text1"/>
                <w:sz w:val="24"/>
                <w14:textFill>
                  <w14:solidFill>
                    <w14:schemeClr w14:val="tx1"/>
                  </w14:solidFill>
                </w14:textFill>
              </w:rPr>
              <w:t>）；</w:t>
            </w:r>
          </w:p>
          <w:p w14:paraId="61B5DDE1">
            <w:pPr>
              <w:spacing w:line="300" w:lineRule="auto"/>
              <w:ind w:firstLine="1200" w:firstLineChars="5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NV--已</w:t>
            </w:r>
            <w:r>
              <w:rPr>
                <w:rFonts w:hint="eastAsia" w:ascii="Times New Roman" w:hAnsi="Times New Roman" w:eastAsia="宋体"/>
                <w:color w:val="000000" w:themeColor="text1"/>
                <w:sz w:val="24"/>
                <w14:textFill>
                  <w14:solidFill>
                    <w14:schemeClr w14:val="tx1"/>
                  </w14:solidFill>
                </w14:textFill>
              </w:rPr>
              <w:t>调</w:t>
            </w:r>
            <w:r>
              <w:rPr>
                <w:rFonts w:ascii="Times New Roman" w:hAnsi="Times New Roman" w:eastAsia="宋体"/>
                <w:color w:val="000000" w:themeColor="text1"/>
                <w:sz w:val="24"/>
                <w14:textFill>
                  <w14:solidFill>
                    <w14:schemeClr w14:val="tx1"/>
                  </w14:solidFill>
                </w14:textFill>
              </w:rPr>
              <w:t>配好漆料中的固体份</w:t>
            </w:r>
            <w:r>
              <w:rPr>
                <w:rFonts w:hint="eastAsia" w:ascii="Times New Roman" w:hAnsi="Times New Roman" w:eastAsia="宋体"/>
                <w:color w:val="000000" w:themeColor="text1"/>
                <w:sz w:val="24"/>
                <w14:textFill>
                  <w14:solidFill>
                    <w14:schemeClr w14:val="tx1"/>
                  </w14:solidFill>
                </w14:textFill>
              </w:rPr>
              <w:t>占比</w:t>
            </w:r>
            <w:r>
              <w:rPr>
                <w:rFonts w:ascii="Times New Roman" w:hAnsi="Times New Roman" w:eastAsia="宋体"/>
                <w:color w:val="000000" w:themeColor="text1"/>
                <w:sz w:val="24"/>
                <w14:textFill>
                  <w14:solidFill>
                    <w14:schemeClr w14:val="tx1"/>
                  </w14:solidFill>
                </w14:textFill>
              </w:rPr>
              <w:t>（%）；</w:t>
            </w:r>
          </w:p>
          <w:p w14:paraId="60BE6303">
            <w:pPr>
              <w:spacing w:line="300" w:lineRule="auto"/>
              <w:ind w:firstLine="1200" w:firstLineChars="5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ε--上漆率</w:t>
            </w:r>
            <w:r>
              <w:rPr>
                <w:rFonts w:hint="eastAsia" w:ascii="Times New Roman" w:hAnsi="Times New Roman" w:eastAsia="宋体"/>
                <w:color w:val="000000" w:themeColor="text1"/>
                <w:sz w:val="24"/>
                <w14:textFill>
                  <w14:solidFill>
                    <w14:schemeClr w14:val="tx1"/>
                  </w14:solidFill>
                </w14:textFill>
              </w:rPr>
              <w:t>。</w:t>
            </w:r>
          </w:p>
          <w:p w14:paraId="25283404">
            <w:pPr>
              <w:spacing w:line="360" w:lineRule="auto"/>
              <w:ind w:firstLine="480" w:firstLineChars="200"/>
              <w:rPr>
                <w:rFonts w:hint="eastAsia" w:ascii="Times New Roman" w:hAnsi="Times New Roman" w:eastAsia="宋体"/>
                <w:bCs/>
                <w:color w:val="000000" w:themeColor="text1"/>
                <w:sz w:val="24"/>
                <w:szCs w:val="24"/>
                <w:lang w:val="en-US" w:eastAsia="zh-CN"/>
                <w14:textFill>
                  <w14:solidFill>
                    <w14:schemeClr w14:val="tx1"/>
                  </w14:solidFill>
                </w14:textFill>
              </w:rPr>
            </w:pPr>
            <w:r>
              <w:rPr>
                <w:rFonts w:hint="eastAsia" w:ascii="Times New Roman" w:hAnsi="Times New Roman" w:eastAsia="宋体"/>
                <w:bCs/>
                <w:color w:val="000000" w:themeColor="text1"/>
                <w:sz w:val="24"/>
                <w:szCs w:val="24"/>
                <w14:textFill>
                  <w14:solidFill>
                    <w14:schemeClr w14:val="tx1"/>
                  </w14:solidFill>
                </w14:textFill>
              </w:rPr>
              <w:t>根据建设单位提供资料，本项目</w:t>
            </w:r>
            <w:r>
              <w:rPr>
                <w:rFonts w:hint="eastAsia" w:ascii="Times New Roman" w:hAnsi="Times New Roman" w:eastAsia="宋体"/>
                <w:bCs/>
                <w:color w:val="000000" w:themeColor="text1"/>
                <w:sz w:val="24"/>
                <w:szCs w:val="24"/>
                <w:lang w:val="en-US" w:eastAsia="zh-CN"/>
                <w14:textFill>
                  <w14:solidFill>
                    <w14:schemeClr w14:val="tx1"/>
                  </w14:solidFill>
                </w14:textFill>
              </w:rPr>
              <w:t>产品为汽车配件（电池包</w:t>
            </w:r>
            <w:r>
              <w:rPr>
                <w:rFonts w:hint="eastAsia"/>
                <w:bCs/>
                <w:color w:val="000000" w:themeColor="text1"/>
                <w:sz w:val="24"/>
                <w:szCs w:val="24"/>
                <w:lang w:val="en-US" w:eastAsia="zh-CN"/>
                <w14:textFill>
                  <w14:solidFill>
                    <w14:schemeClr w14:val="tx1"/>
                  </w14:solidFill>
                </w14:textFill>
              </w:rPr>
              <w:t>等</w:t>
            </w:r>
            <w:r>
              <w:rPr>
                <w:rFonts w:hint="eastAsia" w:ascii="Times New Roman" w:hAnsi="Times New Roman" w:eastAsia="宋体"/>
                <w:bCs/>
                <w:color w:val="000000" w:themeColor="text1"/>
                <w:sz w:val="24"/>
                <w:szCs w:val="24"/>
                <w:lang w:val="en-US" w:eastAsia="zh-CN"/>
                <w14:textFill>
                  <w14:solidFill>
                    <w14:schemeClr w14:val="tx1"/>
                  </w14:solidFill>
                </w14:textFill>
              </w:rPr>
              <w:t>），尺寸约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1.2m×1.2m×0.36m</w:t>
            </w:r>
            <w:r>
              <w:rPr>
                <w:rFonts w:hint="eastAsia" w:ascii="Times New Roman" w:hAnsi="Times New Roman" w:eastAsia="宋体"/>
                <w:bCs/>
                <w:color w:val="000000" w:themeColor="text1"/>
                <w:sz w:val="24"/>
                <w:szCs w:val="24"/>
                <w14:textFill>
                  <w14:solidFill>
                    <w14:schemeClr w14:val="tx1"/>
                  </w14:solidFill>
                </w14:textFill>
              </w:rPr>
              <w:t>，</w:t>
            </w:r>
            <w:r>
              <w:rPr>
                <w:rFonts w:hint="eastAsia" w:ascii="Times New Roman" w:hAnsi="Times New Roman" w:eastAsia="宋体"/>
                <w:bCs/>
                <w:color w:val="000000" w:themeColor="text1"/>
                <w:sz w:val="24"/>
                <w:szCs w:val="24"/>
                <w:lang w:val="en-US" w:eastAsia="zh-CN"/>
                <w14:textFill>
                  <w14:solidFill>
                    <w14:schemeClr w14:val="tx1"/>
                  </w14:solidFill>
                </w14:textFill>
              </w:rPr>
              <w:t>为长方体状，平均单件表面积为4.608</w:t>
            </w:r>
            <w:r>
              <w:rPr>
                <w:rFonts w:hint="eastAsia" w:ascii="Times New Roman" w:hAnsi="Times New Roman" w:eastAsia="宋体"/>
                <w:bCs/>
                <w:color w:val="000000" w:themeColor="text1"/>
                <w:sz w:val="24"/>
                <w:szCs w:val="24"/>
                <w14:textFill>
                  <w14:solidFill>
                    <w14:schemeClr w14:val="tx1"/>
                  </w14:solidFill>
                </w14:textFill>
              </w:rPr>
              <w:t>m</w:t>
            </w:r>
            <w:r>
              <w:rPr>
                <w:rFonts w:hint="eastAsia" w:ascii="Times New Roman" w:hAnsi="Times New Roman" w:eastAsia="宋体"/>
                <w:bCs/>
                <w:color w:val="000000" w:themeColor="text1"/>
                <w:sz w:val="24"/>
                <w:szCs w:val="24"/>
                <w:vertAlign w:val="superscript"/>
                <w14:textFill>
                  <w14:solidFill>
                    <w14:schemeClr w14:val="tx1"/>
                  </w14:solidFill>
                </w14:textFill>
              </w:rPr>
              <w:t>2</w:t>
            </w:r>
            <w:r>
              <w:rPr>
                <w:rFonts w:hint="eastAsia" w:ascii="Times New Roman" w:hAnsi="Times New Roman" w:eastAsia="宋体"/>
                <w:bCs/>
                <w:color w:val="000000" w:themeColor="text1"/>
                <w:sz w:val="24"/>
                <w:szCs w:val="24"/>
                <w:vertAlign w:val="baseline"/>
                <w:lang w:eastAsia="zh-CN"/>
                <w14:textFill>
                  <w14:solidFill>
                    <w14:schemeClr w14:val="tx1"/>
                  </w14:solidFill>
                </w14:textFill>
              </w:rPr>
              <w:t>，</w:t>
            </w:r>
            <w:r>
              <w:rPr>
                <w:rFonts w:hint="eastAsia" w:ascii="Times New Roman" w:hAnsi="Times New Roman" w:eastAsia="宋体"/>
                <w:bCs/>
                <w:color w:val="000000" w:themeColor="text1"/>
                <w:sz w:val="24"/>
                <w:szCs w:val="24"/>
                <w:vertAlign w:val="baseline"/>
                <w:lang w:val="en-US" w:eastAsia="zh-CN"/>
                <w14:textFill>
                  <w14:solidFill>
                    <w14:schemeClr w14:val="tx1"/>
                  </w14:solidFill>
                </w14:textFill>
              </w:rPr>
              <w:t>其中铝件仅涉及喷粉涂装工序，则通过铁件</w:t>
            </w:r>
            <w:r>
              <w:rPr>
                <w:rFonts w:hint="eastAsia" w:ascii="Times New Roman" w:hAnsi="Times New Roman" w:eastAsia="宋体"/>
                <w:bCs/>
                <w:color w:val="000000" w:themeColor="text1"/>
                <w:sz w:val="24"/>
                <w:szCs w:val="24"/>
                <w14:textFill>
                  <w14:solidFill>
                    <w14:schemeClr w14:val="tx1"/>
                  </w14:solidFill>
                </w14:textFill>
              </w:rPr>
              <w:t>总喷涂面积约为</w:t>
            </w:r>
            <w:r>
              <w:rPr>
                <w:rFonts w:hint="eastAsia" w:ascii="Times New Roman" w:hAnsi="Times New Roman" w:eastAsia="宋体"/>
                <w:bCs/>
                <w:color w:val="000000" w:themeColor="text1"/>
                <w:sz w:val="24"/>
                <w:szCs w:val="24"/>
                <w:lang w:val="en-US" w:eastAsia="zh-CN"/>
                <w14:textFill>
                  <w14:solidFill>
                    <w14:schemeClr w14:val="tx1"/>
                  </w14:solidFill>
                </w14:textFill>
              </w:rPr>
              <w:t>20</w:t>
            </w:r>
            <w:r>
              <w:rPr>
                <w:rFonts w:hint="eastAsia" w:ascii="Times New Roman" w:hAnsi="Times New Roman" w:eastAsia="宋体"/>
                <w:bCs/>
                <w:color w:val="000000" w:themeColor="text1"/>
                <w:sz w:val="24"/>
                <w:szCs w:val="24"/>
                <w14:textFill>
                  <w14:solidFill>
                    <w14:schemeClr w14:val="tx1"/>
                  </w14:solidFill>
                </w14:textFill>
              </w:rPr>
              <w:t>万</w:t>
            </w:r>
            <w:r>
              <w:rPr>
                <w:rFonts w:hint="eastAsia" w:ascii="Times New Roman" w:hAnsi="Times New Roman" w:eastAsia="宋体"/>
                <w:bCs/>
                <w:color w:val="000000" w:themeColor="text1"/>
                <w:sz w:val="24"/>
                <w:szCs w:val="24"/>
                <w:lang w:val="en-US" w:eastAsia="zh-CN"/>
                <w14:textFill>
                  <w14:solidFill>
                    <w14:schemeClr w14:val="tx1"/>
                  </w14:solidFill>
                </w14:textFill>
              </w:rPr>
              <w:t>件×4.608</w:t>
            </w:r>
            <w:r>
              <w:rPr>
                <w:rFonts w:hint="eastAsia" w:ascii="Times New Roman" w:hAnsi="Times New Roman" w:eastAsia="宋体"/>
                <w:bCs/>
                <w:color w:val="000000" w:themeColor="text1"/>
                <w:sz w:val="24"/>
                <w:szCs w:val="24"/>
                <w14:textFill>
                  <w14:solidFill>
                    <w14:schemeClr w14:val="tx1"/>
                  </w14:solidFill>
                </w14:textFill>
              </w:rPr>
              <w:t>m</w:t>
            </w:r>
            <w:r>
              <w:rPr>
                <w:rFonts w:hint="eastAsia" w:ascii="Times New Roman" w:hAnsi="Times New Roman" w:eastAsia="宋体"/>
                <w:bCs/>
                <w:color w:val="000000" w:themeColor="text1"/>
                <w:sz w:val="24"/>
                <w:szCs w:val="24"/>
                <w:vertAlign w:val="superscript"/>
                <w14:textFill>
                  <w14:solidFill>
                    <w14:schemeClr w14:val="tx1"/>
                  </w14:solidFill>
                </w14:textFill>
              </w:rPr>
              <w:t>2</w:t>
            </w:r>
            <w:r>
              <w:rPr>
                <w:rFonts w:hint="eastAsia" w:ascii="Times New Roman" w:hAnsi="Times New Roman" w:eastAsia="宋体"/>
                <w:bCs/>
                <w:color w:val="000000" w:themeColor="text1"/>
                <w:sz w:val="24"/>
                <w:szCs w:val="24"/>
                <w14:textFill>
                  <w14:solidFill>
                    <w14:schemeClr w14:val="tx1"/>
                  </w14:solidFill>
                </w14:textFill>
              </w:rPr>
              <w:t>=</w:t>
            </w:r>
            <w:r>
              <w:rPr>
                <w:rFonts w:hint="eastAsia" w:ascii="Times New Roman" w:hAnsi="Times New Roman" w:eastAsia="宋体"/>
                <w:bCs/>
                <w:color w:val="000000" w:themeColor="text1"/>
                <w:sz w:val="24"/>
                <w:szCs w:val="24"/>
                <w:lang w:val="en-US" w:eastAsia="zh-CN"/>
                <w14:textFill>
                  <w14:solidFill>
                    <w14:schemeClr w14:val="tx1"/>
                  </w14:solidFill>
                </w14:textFill>
              </w:rPr>
              <w:t>921600</w:t>
            </w:r>
            <w:r>
              <w:rPr>
                <w:rFonts w:hint="eastAsia" w:ascii="Times New Roman" w:hAnsi="Times New Roman" w:eastAsia="宋体"/>
                <w:bCs/>
                <w:color w:val="000000" w:themeColor="text1"/>
                <w:sz w:val="24"/>
                <w:szCs w:val="24"/>
                <w14:textFill>
                  <w14:solidFill>
                    <w14:schemeClr w14:val="tx1"/>
                  </w14:solidFill>
                </w14:textFill>
              </w:rPr>
              <w:t>m</w:t>
            </w:r>
            <w:r>
              <w:rPr>
                <w:rFonts w:hint="eastAsia" w:ascii="Times New Roman" w:hAnsi="Times New Roman" w:eastAsia="宋体"/>
                <w:bCs/>
                <w:color w:val="000000" w:themeColor="text1"/>
                <w:sz w:val="24"/>
                <w:szCs w:val="24"/>
                <w:vertAlign w:val="superscript"/>
                <w14:textFill>
                  <w14:solidFill>
                    <w14:schemeClr w14:val="tx1"/>
                  </w14:solidFill>
                </w14:textFill>
              </w:rPr>
              <w:t>2</w:t>
            </w:r>
            <w:r>
              <w:rPr>
                <w:rFonts w:hint="eastAsia" w:ascii="Times New Roman" w:hAnsi="Times New Roman" w:eastAsia="宋体"/>
                <w:bCs/>
                <w:color w:val="000000" w:themeColor="text1"/>
                <w:sz w:val="24"/>
                <w:szCs w:val="24"/>
                <w:vertAlign w:val="baseline"/>
                <w:lang w:eastAsia="zh-CN"/>
                <w14:textFill>
                  <w14:solidFill>
                    <w14:schemeClr w14:val="tx1"/>
                  </w14:solidFill>
                </w14:textFill>
              </w:rPr>
              <w:t>，</w:t>
            </w:r>
            <w:r>
              <w:rPr>
                <w:rFonts w:hint="eastAsia" w:ascii="Times New Roman" w:hAnsi="Times New Roman" w:eastAsia="宋体"/>
                <w:bCs/>
                <w:color w:val="000000" w:themeColor="text1"/>
                <w:sz w:val="24"/>
                <w:szCs w:val="24"/>
                <w:vertAlign w:val="baseline"/>
                <w:lang w:val="en-US" w:eastAsia="zh-CN"/>
                <w14:textFill>
                  <w14:solidFill>
                    <w14:schemeClr w14:val="tx1"/>
                  </w14:solidFill>
                </w14:textFill>
              </w:rPr>
              <w:t>铝件</w:t>
            </w:r>
            <w:r>
              <w:rPr>
                <w:rFonts w:hint="eastAsia" w:ascii="Times New Roman" w:hAnsi="Times New Roman" w:eastAsia="宋体"/>
                <w:bCs/>
                <w:color w:val="000000" w:themeColor="text1"/>
                <w:sz w:val="24"/>
                <w:szCs w:val="24"/>
                <w14:textFill>
                  <w14:solidFill>
                    <w14:schemeClr w14:val="tx1"/>
                  </w14:solidFill>
                </w14:textFill>
              </w:rPr>
              <w:t>总喷涂面积约为</w:t>
            </w:r>
            <w:r>
              <w:rPr>
                <w:rFonts w:hint="eastAsia" w:ascii="Times New Roman" w:hAnsi="Times New Roman" w:eastAsia="宋体"/>
                <w:bCs/>
                <w:color w:val="000000" w:themeColor="text1"/>
                <w:sz w:val="24"/>
                <w:szCs w:val="24"/>
                <w:lang w:val="en-US" w:eastAsia="zh-CN"/>
                <w14:textFill>
                  <w14:solidFill>
                    <w14:schemeClr w14:val="tx1"/>
                  </w14:solidFill>
                </w14:textFill>
              </w:rPr>
              <w:t>10</w:t>
            </w:r>
            <w:r>
              <w:rPr>
                <w:rFonts w:hint="eastAsia" w:ascii="Times New Roman" w:hAnsi="Times New Roman" w:eastAsia="宋体"/>
                <w:bCs/>
                <w:color w:val="000000" w:themeColor="text1"/>
                <w:sz w:val="24"/>
                <w:szCs w:val="24"/>
                <w14:textFill>
                  <w14:solidFill>
                    <w14:schemeClr w14:val="tx1"/>
                  </w14:solidFill>
                </w14:textFill>
              </w:rPr>
              <w:t>万</w:t>
            </w:r>
            <w:r>
              <w:rPr>
                <w:rFonts w:hint="eastAsia" w:ascii="Times New Roman" w:hAnsi="Times New Roman" w:eastAsia="宋体"/>
                <w:bCs/>
                <w:color w:val="000000" w:themeColor="text1"/>
                <w:sz w:val="24"/>
                <w:szCs w:val="24"/>
                <w:lang w:val="en-US" w:eastAsia="zh-CN"/>
                <w14:textFill>
                  <w14:solidFill>
                    <w14:schemeClr w14:val="tx1"/>
                  </w14:solidFill>
                </w14:textFill>
              </w:rPr>
              <w:t>件×4.608</w:t>
            </w:r>
            <w:r>
              <w:rPr>
                <w:rFonts w:hint="eastAsia" w:ascii="Times New Roman" w:hAnsi="Times New Roman" w:eastAsia="宋体"/>
                <w:bCs/>
                <w:color w:val="000000" w:themeColor="text1"/>
                <w:sz w:val="24"/>
                <w:szCs w:val="24"/>
                <w14:textFill>
                  <w14:solidFill>
                    <w14:schemeClr w14:val="tx1"/>
                  </w14:solidFill>
                </w14:textFill>
              </w:rPr>
              <w:t>m</w:t>
            </w:r>
            <w:r>
              <w:rPr>
                <w:rFonts w:hint="eastAsia" w:ascii="Times New Roman" w:hAnsi="Times New Roman" w:eastAsia="宋体"/>
                <w:bCs/>
                <w:color w:val="000000" w:themeColor="text1"/>
                <w:sz w:val="24"/>
                <w:szCs w:val="24"/>
                <w:vertAlign w:val="superscript"/>
                <w14:textFill>
                  <w14:solidFill>
                    <w14:schemeClr w14:val="tx1"/>
                  </w14:solidFill>
                </w14:textFill>
              </w:rPr>
              <w:t>2</w:t>
            </w:r>
            <w:r>
              <w:rPr>
                <w:rFonts w:hint="eastAsia" w:ascii="Times New Roman" w:hAnsi="Times New Roman" w:eastAsia="宋体"/>
                <w:bCs/>
                <w:color w:val="000000" w:themeColor="text1"/>
                <w:sz w:val="24"/>
                <w:szCs w:val="24"/>
                <w14:textFill>
                  <w14:solidFill>
                    <w14:schemeClr w14:val="tx1"/>
                  </w14:solidFill>
                </w14:textFill>
              </w:rPr>
              <w:t>=</w:t>
            </w:r>
            <w:r>
              <w:rPr>
                <w:rFonts w:hint="eastAsia" w:ascii="Times New Roman" w:hAnsi="Times New Roman" w:eastAsia="宋体"/>
                <w:bCs/>
                <w:color w:val="000000" w:themeColor="text1"/>
                <w:sz w:val="24"/>
                <w:szCs w:val="24"/>
                <w:lang w:val="en-US" w:eastAsia="zh-CN"/>
                <w14:textFill>
                  <w14:solidFill>
                    <w14:schemeClr w14:val="tx1"/>
                  </w14:solidFill>
                </w14:textFill>
              </w:rPr>
              <w:t>460800</w:t>
            </w:r>
            <w:r>
              <w:rPr>
                <w:rFonts w:hint="eastAsia" w:ascii="Times New Roman" w:hAnsi="Times New Roman" w:eastAsia="宋体"/>
                <w:bCs/>
                <w:color w:val="000000" w:themeColor="text1"/>
                <w:sz w:val="24"/>
                <w:szCs w:val="24"/>
                <w14:textFill>
                  <w14:solidFill>
                    <w14:schemeClr w14:val="tx1"/>
                  </w14:solidFill>
                </w14:textFill>
              </w:rPr>
              <w:t>m</w:t>
            </w:r>
            <w:r>
              <w:rPr>
                <w:rFonts w:hint="eastAsia" w:ascii="Times New Roman" w:hAnsi="Times New Roman" w:eastAsia="宋体"/>
                <w:bCs/>
                <w:color w:val="000000" w:themeColor="text1"/>
                <w:sz w:val="24"/>
                <w:szCs w:val="24"/>
                <w:vertAlign w:val="superscript"/>
                <w14:textFill>
                  <w14:solidFill>
                    <w14:schemeClr w14:val="tx1"/>
                  </w14:solidFill>
                </w14:textFill>
              </w:rPr>
              <w:t>2</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为了提高</w:t>
            </w:r>
            <w:r>
              <w:rPr>
                <w:rFonts w:hint="eastAsia" w:ascii="Times New Roman" w:hAnsi="Times New Roman" w:eastAsia="宋体"/>
                <w:bCs/>
                <w:color w:val="000000" w:themeColor="text1"/>
                <w:sz w:val="24"/>
                <w:szCs w:val="24"/>
                <w:lang w:val="en-US" w:eastAsia="zh-CN"/>
                <w14:textFill>
                  <w14:solidFill>
                    <w14:schemeClr w14:val="tx1"/>
                  </w14:solidFill>
                </w14:textFill>
              </w:rPr>
              <w:t>汽车配件</w:t>
            </w:r>
            <w:r>
              <w:rPr>
                <w:rFonts w:hint="eastAsia"/>
                <w:bCs/>
                <w:color w:val="000000" w:themeColor="text1"/>
                <w:sz w:val="24"/>
                <w:szCs w:val="24"/>
                <w:lang w:val="en-US" w:eastAsia="zh-CN"/>
                <w14:textFill>
                  <w14:solidFill>
                    <w14:schemeClr w14:val="tx1"/>
                  </w14:solidFill>
                </w14:textFill>
              </w:rPr>
              <w:t>的抗石击性能，其底板下表面需喷涂PVC涂料，喷涂面积约为工件</w:t>
            </w:r>
            <w:r>
              <w:rPr>
                <w:rFonts w:hint="eastAsia" w:ascii="Times New Roman" w:hAnsi="Times New Roman" w:eastAsia="宋体"/>
                <w:bCs/>
                <w:color w:val="000000" w:themeColor="text1"/>
                <w:sz w:val="24"/>
                <w:szCs w:val="24"/>
                <w14:textFill>
                  <w14:solidFill>
                    <w14:schemeClr w14:val="tx1"/>
                  </w14:solidFill>
                </w14:textFill>
              </w:rPr>
              <w:t>面积</w:t>
            </w:r>
            <w:r>
              <w:rPr>
                <w:rFonts w:hint="eastAsia" w:ascii="Times New Roman" w:hAnsi="Times New Roman"/>
                <w:bCs/>
                <w:color w:val="000000" w:themeColor="text1"/>
                <w:sz w:val="24"/>
                <w:szCs w:val="24"/>
                <w:lang w:val="en-US" w:eastAsia="zh-CN"/>
                <w14:textFill>
                  <w14:solidFill>
                    <w14:schemeClr w14:val="tx1"/>
                  </w14:solidFill>
                </w14:textFill>
              </w:rPr>
              <w:t>的1/5，</w:t>
            </w:r>
            <w:r>
              <w:rPr>
                <w:rFonts w:hint="eastAsia" w:ascii="Times New Roman" w:hAnsi="Times New Roman" w:eastAsia="宋体"/>
                <w:bCs/>
                <w:color w:val="000000" w:themeColor="text1"/>
                <w:sz w:val="24"/>
                <w:szCs w:val="24"/>
                <w:lang w:val="en-US" w:eastAsia="zh-CN"/>
                <w14:textFill>
                  <w14:solidFill>
                    <w14:schemeClr w14:val="tx1"/>
                  </w14:solidFill>
                </w14:textFill>
              </w:rPr>
              <w:t>921600</w:t>
            </w:r>
            <w:r>
              <w:rPr>
                <w:rFonts w:hint="eastAsia" w:ascii="Times New Roman" w:hAnsi="Times New Roman"/>
                <w:bCs/>
                <w:color w:val="000000" w:themeColor="text1"/>
                <w:sz w:val="24"/>
                <w:szCs w:val="24"/>
                <w:lang w:val="en-US" w:eastAsia="zh-CN"/>
                <w14:textFill>
                  <w14:solidFill>
                    <w14:schemeClr w14:val="tx1"/>
                  </w14:solidFill>
                </w14:textFill>
              </w:rPr>
              <w:t>/5=184320</w:t>
            </w:r>
            <w:r>
              <w:rPr>
                <w:rFonts w:hint="eastAsia" w:ascii="Times New Roman" w:hAnsi="Times New Roman" w:eastAsia="宋体"/>
                <w:bCs/>
                <w:color w:val="000000" w:themeColor="text1"/>
                <w:sz w:val="24"/>
                <w:szCs w:val="24"/>
                <w14:textFill>
                  <w14:solidFill>
                    <w14:schemeClr w14:val="tx1"/>
                  </w14:solidFill>
                </w14:textFill>
              </w:rPr>
              <w:t>m</w:t>
            </w:r>
            <w:r>
              <w:rPr>
                <w:rFonts w:hint="eastAsia" w:ascii="Times New Roman" w:hAnsi="Times New Roman" w:eastAsia="宋体"/>
                <w:bCs/>
                <w:color w:val="000000" w:themeColor="text1"/>
                <w:sz w:val="24"/>
                <w:szCs w:val="24"/>
                <w:vertAlign w:val="superscript"/>
                <w14:textFill>
                  <w14:solidFill>
                    <w14:schemeClr w14:val="tx1"/>
                  </w14:solidFill>
                </w14:textFill>
              </w:rPr>
              <w:t>2</w:t>
            </w:r>
            <w:r>
              <w:rPr>
                <w:rFonts w:hint="eastAsia" w:ascii="Times New Roman" w:hAnsi="Times New Roman"/>
                <w:bCs/>
                <w:color w:val="000000" w:themeColor="text1"/>
                <w:sz w:val="24"/>
                <w:szCs w:val="24"/>
                <w:vertAlign w:val="baseline"/>
                <w:lang w:eastAsia="zh-CN"/>
                <w14:textFill>
                  <w14:solidFill>
                    <w14:schemeClr w14:val="tx1"/>
                  </w14:solidFill>
                </w14:textFill>
              </w:rPr>
              <w:t>。</w:t>
            </w:r>
          </w:p>
          <w:p w14:paraId="04C83BF2">
            <w:pPr>
              <w:spacing w:line="360" w:lineRule="auto"/>
              <w:ind w:firstLine="480" w:firstLineChars="200"/>
              <w:rPr>
                <w:rFonts w:hint="default" w:ascii="Times New Roman" w:hAnsi="Times New Roman"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正常情况下，本项目不使用喷烤漆，主要在客户有特殊要求时少量使用，年使用量少于0.5t/a，因此在核算用漆量时不考虑喷烤漆的用量，主要核算电泳漆、粉末涂料及喷胶的用量。</w:t>
            </w:r>
          </w:p>
          <w:p w14:paraId="5A4DEB43">
            <w:pPr>
              <w:spacing w:line="360" w:lineRule="auto"/>
              <w:ind w:firstLine="480" w:firstLineChars="200"/>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bCs/>
                <w:color w:val="000000" w:themeColor="text1"/>
                <w:sz w:val="24"/>
                <w:szCs w:val="24"/>
                <w:lang w:val="en-US" w:eastAsia="zh-CN"/>
                <w14:textFill>
                  <w14:solidFill>
                    <w14:schemeClr w14:val="tx1"/>
                  </w14:solidFill>
                </w14:textFill>
              </w:rPr>
              <w:t>电泳漆</w:t>
            </w:r>
            <w:r>
              <w:rPr>
                <w:rFonts w:hint="eastAsia" w:ascii="Times New Roman" w:hAnsi="Times New Roman" w:eastAsia="宋体"/>
                <w:bCs/>
                <w:color w:val="000000" w:themeColor="text1"/>
                <w:sz w:val="24"/>
                <w:szCs w:val="24"/>
                <w14:textFill>
                  <w14:solidFill>
                    <w14:schemeClr w14:val="tx1"/>
                  </w14:solidFill>
                </w14:textFill>
              </w:rPr>
              <w:t>使用时由</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F-1</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色</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F-2乳液</w:t>
            </w:r>
            <w:r>
              <w:rPr>
                <w:rFonts w:hint="eastAsia" w:ascii="Times New Roman" w:hAnsi="Times New Roman" w:eastAsia="宋体"/>
                <w:bCs/>
                <w:color w:val="000000" w:themeColor="text1"/>
                <w:sz w:val="24"/>
                <w:szCs w:val="24"/>
                <w14:textFill>
                  <w14:solidFill>
                    <w14:schemeClr w14:val="tx1"/>
                  </w14:solidFill>
                </w14:textFill>
              </w:rPr>
              <w:t>按</w:t>
            </w:r>
            <w:r>
              <w:rPr>
                <w:rFonts w:hint="eastAsia" w:ascii="Times New Roman" w:hAnsi="Times New Roman" w:eastAsia="宋体"/>
                <w:bCs/>
                <w:color w:val="000000" w:themeColor="text1"/>
                <w:sz w:val="24"/>
                <w:szCs w:val="24"/>
                <w:lang w:val="en-US" w:eastAsia="zh-CN"/>
                <w14:textFill>
                  <w14:solidFill>
                    <w14:schemeClr w14:val="tx1"/>
                  </w14:solidFill>
                </w14:textFill>
              </w:rPr>
              <w:t>1:7</w:t>
            </w:r>
            <w:r>
              <w:rPr>
                <w:rFonts w:hint="eastAsia" w:ascii="Times New Roman" w:hAnsi="Times New Roman" w:eastAsia="宋体"/>
                <w:bCs/>
                <w:color w:val="000000" w:themeColor="text1"/>
                <w:sz w:val="24"/>
                <w:szCs w:val="24"/>
                <w14:textFill>
                  <w14:solidFill>
                    <w14:schemeClr w14:val="tx1"/>
                  </w14:solidFill>
                </w14:textFill>
              </w:rPr>
              <w:t>调配使用，</w:t>
            </w:r>
            <w:r>
              <w:rPr>
                <w:rFonts w:hint="eastAsia" w:ascii="Times New Roman" w:hAnsi="Times New Roman" w:eastAsia="宋体"/>
                <w:bCs/>
                <w:color w:val="000000" w:themeColor="text1"/>
                <w:sz w:val="24"/>
                <w14:textFill>
                  <w14:solidFill>
                    <w14:schemeClr w14:val="tx1"/>
                  </w14:solidFill>
                </w14:textFill>
              </w:rPr>
              <w:t>经调配后</w:t>
            </w:r>
            <w:r>
              <w:rPr>
                <w:rFonts w:ascii="Times New Roman" w:hAnsi="Times New Roman" w:eastAsia="宋体"/>
                <w:color w:val="000000" w:themeColor="text1"/>
                <w:sz w:val="24"/>
                <w14:textFill>
                  <w14:solidFill>
                    <w14:schemeClr w14:val="tx1"/>
                  </w14:solidFill>
                </w14:textFill>
              </w:rPr>
              <w:t>固体份</w:t>
            </w:r>
            <w:r>
              <w:rPr>
                <w:rFonts w:hint="eastAsia" w:ascii="Times New Roman" w:hAnsi="Times New Roman" w:eastAsia="宋体"/>
                <w:color w:val="000000" w:themeColor="text1"/>
                <w:sz w:val="24"/>
                <w14:textFill>
                  <w14:solidFill>
                    <w14:schemeClr w14:val="tx1"/>
                  </w14:solidFill>
                </w14:textFill>
              </w:rPr>
              <w:t>占比约为</w:t>
            </w:r>
            <w:r>
              <w:rPr>
                <w:rFonts w:hint="eastAsia" w:ascii="Times New Roman" w:hAnsi="Times New Roman" w:eastAsia="宋体"/>
                <w:color w:val="000000" w:themeColor="text1"/>
                <w:sz w:val="24"/>
                <w:lang w:val="en-US" w:eastAsia="zh-CN"/>
                <w14:textFill>
                  <w14:solidFill>
                    <w14:schemeClr w14:val="tx1"/>
                  </w14:solidFill>
                </w14:textFill>
              </w:rPr>
              <w:t>37.5</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bCs/>
                <w:color w:val="000000" w:themeColor="text1"/>
                <w:sz w:val="24"/>
                <w:szCs w:val="24"/>
                <w:lang w:val="en-US" w:eastAsia="zh-CN"/>
                <w14:textFill>
                  <w14:solidFill>
                    <w14:schemeClr w14:val="tx1"/>
                  </w14:solidFill>
                </w14:textFill>
              </w:rPr>
              <w:t>电泳漆干膜密度约1.3</w:t>
            </w:r>
            <w:r>
              <w:rPr>
                <w:rFonts w:ascii="Times New Roman" w:hAnsi="Times New Roman" w:eastAsia="宋体"/>
                <w:bCs/>
                <w:color w:val="000000" w:themeColor="text1"/>
                <w:sz w:val="24"/>
                <w:szCs w:val="24"/>
                <w14:textFill>
                  <w14:solidFill>
                    <w14:schemeClr w14:val="tx1"/>
                  </w14:solidFill>
                </w14:textFill>
              </w:rPr>
              <w:t>g/</w:t>
            </w:r>
            <w:r>
              <w:rPr>
                <w:rFonts w:hint="eastAsia" w:ascii="Times New Roman" w:hAnsi="Times New Roman" w:eastAsia="宋体"/>
                <w:bCs/>
                <w:color w:val="000000" w:themeColor="text1"/>
                <w:sz w:val="24"/>
                <w:szCs w:val="24"/>
                <w14:textFill>
                  <w14:solidFill>
                    <w14:schemeClr w14:val="tx1"/>
                  </w14:solidFill>
                </w14:textFill>
              </w:rPr>
              <w:t>c</w:t>
            </w:r>
            <w:r>
              <w:rPr>
                <w:rFonts w:ascii="Times New Roman" w:hAnsi="Times New Roman" w:eastAsia="宋体"/>
                <w:bCs/>
                <w:color w:val="000000" w:themeColor="text1"/>
                <w:sz w:val="24"/>
                <w:szCs w:val="24"/>
                <w14:textFill>
                  <w14:solidFill>
                    <w14:schemeClr w14:val="tx1"/>
                  </w14:solidFill>
                </w14:textFill>
              </w:rPr>
              <w:t>m</w:t>
            </w:r>
            <w:r>
              <w:rPr>
                <w:rFonts w:ascii="Times New Roman" w:hAnsi="Times New Roman" w:eastAsia="宋体"/>
                <w:bCs/>
                <w:color w:val="000000" w:themeColor="text1"/>
                <w:sz w:val="24"/>
                <w:szCs w:val="24"/>
                <w:vertAlign w:val="superscript"/>
                <w14:textFill>
                  <w14:solidFill>
                    <w14:schemeClr w14:val="tx1"/>
                  </w14:solidFill>
                </w14:textFill>
              </w:rPr>
              <w:t>3</w:t>
            </w:r>
            <w:r>
              <w:rPr>
                <w:rFonts w:hint="eastAsia" w:ascii="Times New Roman" w:hAnsi="Times New Roman" w:eastAsia="宋体"/>
                <w:bCs/>
                <w:color w:val="000000" w:themeColor="text1"/>
                <w:sz w:val="24"/>
                <w:szCs w:val="24"/>
                <w:vertAlign w:val="baseline"/>
                <w:lang w:eastAsia="zh-CN"/>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干膜厚度为</w:t>
            </w:r>
            <w:r>
              <w:rPr>
                <w:rFonts w:hint="eastAsia" w:ascii="Times New Roman" w:hAnsi="Times New Roman" w:eastAsia="宋体"/>
                <w:color w:val="000000" w:themeColor="text1"/>
                <w:sz w:val="24"/>
                <w:lang w:val="en-US" w:eastAsia="zh-CN"/>
                <w14:textFill>
                  <w14:solidFill>
                    <w14:schemeClr w14:val="tx1"/>
                  </w14:solidFill>
                </w14:textFill>
              </w:rPr>
              <w:t>20</w:t>
            </w:r>
            <w:r>
              <w:rPr>
                <w:rFonts w:ascii="Times New Roman" w:hAnsi="Times New Roman" w:eastAsia="宋体"/>
                <w:color w:val="000000" w:themeColor="text1"/>
                <w:sz w:val="24"/>
                <w14:textFill>
                  <w14:solidFill>
                    <w14:schemeClr w14:val="tx1"/>
                  </w14:solidFill>
                </w14:textFill>
              </w:rPr>
              <w:t>μm</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bCs/>
                <w:color w:val="000000" w:themeColor="text1"/>
                <w:sz w:val="24"/>
                <w:szCs w:val="24"/>
                <w:vertAlign w:val="baseline"/>
                <w:lang w:val="en-US" w:eastAsia="zh-CN"/>
                <w14:textFill>
                  <w14:solidFill>
                    <w14:schemeClr w14:val="tx1"/>
                  </w14:solidFill>
                </w14:textFill>
              </w:rPr>
              <w:t>粉末涂料</w:t>
            </w:r>
            <w:r>
              <w:rPr>
                <w:rFonts w:hint="eastAsia" w:ascii="Times New Roman" w:hAnsi="Times New Roman" w:eastAsia="宋体"/>
                <w:bCs/>
                <w:color w:val="000000" w:themeColor="text1"/>
                <w:sz w:val="24"/>
                <w:szCs w:val="24"/>
                <w14:textFill>
                  <w14:solidFill>
                    <w14:schemeClr w14:val="tx1"/>
                  </w14:solidFill>
                </w14:textFill>
              </w:rPr>
              <w:t>干膜</w:t>
            </w:r>
            <w:r>
              <w:rPr>
                <w:rFonts w:ascii="Times New Roman" w:hAnsi="Times New Roman" w:eastAsia="宋体"/>
                <w:bCs/>
                <w:color w:val="000000" w:themeColor="text1"/>
                <w:sz w:val="24"/>
                <w:szCs w:val="24"/>
                <w14:textFill>
                  <w14:solidFill>
                    <w14:schemeClr w14:val="tx1"/>
                  </w14:solidFill>
                </w14:textFill>
              </w:rPr>
              <w:t>密度约为1.</w:t>
            </w:r>
            <w:r>
              <w:rPr>
                <w:rFonts w:hint="eastAsia" w:ascii="Times New Roman" w:hAnsi="Times New Roman" w:eastAsia="宋体"/>
                <w:bCs/>
                <w:color w:val="000000" w:themeColor="text1"/>
                <w:sz w:val="24"/>
                <w:szCs w:val="24"/>
                <w:lang w:val="en-US" w:eastAsia="zh-CN"/>
                <w14:textFill>
                  <w14:solidFill>
                    <w14:schemeClr w14:val="tx1"/>
                  </w14:solidFill>
                </w14:textFill>
              </w:rPr>
              <w:t>5</w:t>
            </w:r>
            <w:r>
              <w:rPr>
                <w:rFonts w:ascii="Times New Roman" w:hAnsi="Times New Roman" w:eastAsia="宋体"/>
                <w:bCs/>
                <w:color w:val="000000" w:themeColor="text1"/>
                <w:sz w:val="24"/>
                <w:szCs w:val="24"/>
                <w14:textFill>
                  <w14:solidFill>
                    <w14:schemeClr w14:val="tx1"/>
                  </w14:solidFill>
                </w14:textFill>
              </w:rPr>
              <w:t>g/</w:t>
            </w:r>
            <w:r>
              <w:rPr>
                <w:rFonts w:hint="eastAsia" w:ascii="Times New Roman" w:hAnsi="Times New Roman" w:eastAsia="宋体"/>
                <w:bCs/>
                <w:color w:val="000000" w:themeColor="text1"/>
                <w:sz w:val="24"/>
                <w:szCs w:val="24"/>
                <w14:textFill>
                  <w14:solidFill>
                    <w14:schemeClr w14:val="tx1"/>
                  </w14:solidFill>
                </w14:textFill>
              </w:rPr>
              <w:t>c</w:t>
            </w:r>
            <w:r>
              <w:rPr>
                <w:rFonts w:ascii="Times New Roman" w:hAnsi="Times New Roman" w:eastAsia="宋体"/>
                <w:bCs/>
                <w:color w:val="000000" w:themeColor="text1"/>
                <w:sz w:val="24"/>
                <w:szCs w:val="24"/>
                <w14:textFill>
                  <w14:solidFill>
                    <w14:schemeClr w14:val="tx1"/>
                  </w14:solidFill>
                </w14:textFill>
              </w:rPr>
              <w:t>m</w:t>
            </w:r>
            <w:r>
              <w:rPr>
                <w:rFonts w:ascii="Times New Roman" w:hAnsi="Times New Roman" w:eastAsia="宋体"/>
                <w:bCs/>
                <w:color w:val="000000" w:themeColor="text1"/>
                <w:sz w:val="24"/>
                <w:szCs w:val="24"/>
                <w:vertAlign w:val="superscript"/>
                <w14:textFill>
                  <w14:solidFill>
                    <w14:schemeClr w14:val="tx1"/>
                  </w14:solidFill>
                </w14:textFill>
              </w:rPr>
              <w:t>3</w:t>
            </w:r>
            <w:r>
              <w:rPr>
                <w:rFonts w:hint="eastAsia" w:ascii="Times New Roman" w:hAnsi="Times New Roman" w:eastAsia="宋体"/>
                <w:bCs/>
                <w:color w:val="000000" w:themeColor="text1"/>
                <w:sz w:val="24"/>
                <w:szCs w:val="24"/>
                <w:vertAlign w:val="baseline"/>
                <w:lang w:eastAsia="zh-CN"/>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干膜厚度为</w:t>
            </w:r>
            <w:r>
              <w:rPr>
                <w:rFonts w:hint="eastAsia" w:ascii="Times New Roman" w:hAnsi="Times New Roman" w:eastAsia="宋体"/>
                <w:color w:val="000000" w:themeColor="text1"/>
                <w:sz w:val="24"/>
                <w:lang w:val="en-US" w:eastAsia="zh-CN"/>
                <w14:textFill>
                  <w14:solidFill>
                    <w14:schemeClr w14:val="tx1"/>
                  </w14:solidFill>
                </w14:textFill>
              </w:rPr>
              <w:t>8</w:t>
            </w:r>
            <w:r>
              <w:rPr>
                <w:rFonts w:hint="eastAsia" w:ascii="Times New Roman" w:hAnsi="Times New Roman" w:eastAsia="宋体"/>
                <w:color w:val="000000" w:themeColor="text1"/>
                <w:sz w:val="24"/>
                <w14:textFill>
                  <w14:solidFill>
                    <w14:schemeClr w14:val="tx1"/>
                  </w14:solidFill>
                </w14:textFill>
              </w:rPr>
              <w:t>0</w:t>
            </w:r>
            <w:r>
              <w:rPr>
                <w:rFonts w:ascii="Times New Roman" w:hAnsi="Times New Roman" w:eastAsia="宋体"/>
                <w:color w:val="000000" w:themeColor="text1"/>
                <w:sz w:val="24"/>
                <w14:textFill>
                  <w14:solidFill>
                    <w14:schemeClr w14:val="tx1"/>
                  </w14:solidFill>
                </w14:textFill>
              </w:rPr>
              <w:t>μm</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bCs/>
                <w:color w:val="000000" w:themeColor="text1"/>
                <w:sz w:val="24"/>
                <w:szCs w:val="24"/>
                <w:vertAlign w:val="baseline"/>
                <w:lang w:val="en-US" w:eastAsia="zh-CN"/>
                <w14:textFill>
                  <w14:solidFill>
                    <w14:schemeClr w14:val="tx1"/>
                  </w14:solidFill>
                </w14:textFill>
              </w:rPr>
              <w:t>抗石击涂料（胶）</w:t>
            </w:r>
            <w:r>
              <w:rPr>
                <w:rFonts w:hint="eastAsia" w:ascii="Times New Roman" w:hAnsi="Times New Roman" w:eastAsia="宋体"/>
                <w:bCs/>
                <w:color w:val="000000" w:themeColor="text1"/>
                <w:sz w:val="24"/>
                <w:szCs w:val="24"/>
                <w14:textFill>
                  <w14:solidFill>
                    <w14:schemeClr w14:val="tx1"/>
                  </w14:solidFill>
                </w14:textFill>
              </w:rPr>
              <w:t>干膜</w:t>
            </w:r>
            <w:r>
              <w:rPr>
                <w:rFonts w:ascii="Times New Roman" w:hAnsi="Times New Roman" w:eastAsia="宋体"/>
                <w:bCs/>
                <w:color w:val="000000" w:themeColor="text1"/>
                <w:sz w:val="24"/>
                <w:szCs w:val="24"/>
                <w14:textFill>
                  <w14:solidFill>
                    <w14:schemeClr w14:val="tx1"/>
                  </w14:solidFill>
                </w14:textFill>
              </w:rPr>
              <w:t>密度约为</w:t>
            </w:r>
            <w:r>
              <w:rPr>
                <w:rFonts w:hint="eastAsia" w:ascii="Times New Roman" w:hAnsi="Times New Roman" w:eastAsia="宋体"/>
                <w:bCs/>
                <w:color w:val="000000" w:themeColor="text1"/>
                <w:sz w:val="24"/>
                <w:szCs w:val="24"/>
                <w:lang w:val="en-US" w:eastAsia="zh-CN"/>
                <w14:textFill>
                  <w14:solidFill>
                    <w14:schemeClr w14:val="tx1"/>
                  </w14:solidFill>
                </w14:textFill>
              </w:rPr>
              <w:t>1.</w:t>
            </w:r>
            <w:r>
              <w:rPr>
                <w:rFonts w:hint="eastAsia"/>
                <w:bCs/>
                <w:color w:val="000000" w:themeColor="text1"/>
                <w:sz w:val="24"/>
                <w:szCs w:val="24"/>
                <w:lang w:val="en-US" w:eastAsia="zh-CN"/>
                <w14:textFill>
                  <w14:solidFill>
                    <w14:schemeClr w14:val="tx1"/>
                  </w14:solidFill>
                </w14:textFill>
              </w:rPr>
              <w:t>5</w:t>
            </w:r>
            <w:r>
              <w:rPr>
                <w:rFonts w:ascii="Times New Roman" w:hAnsi="Times New Roman" w:eastAsia="宋体"/>
                <w:bCs/>
                <w:color w:val="000000" w:themeColor="text1"/>
                <w:sz w:val="24"/>
                <w:szCs w:val="24"/>
                <w14:textFill>
                  <w14:solidFill>
                    <w14:schemeClr w14:val="tx1"/>
                  </w14:solidFill>
                </w14:textFill>
              </w:rPr>
              <w:t>g/</w:t>
            </w:r>
            <w:r>
              <w:rPr>
                <w:rFonts w:hint="eastAsia" w:ascii="Times New Roman" w:hAnsi="Times New Roman" w:eastAsia="宋体"/>
                <w:bCs/>
                <w:color w:val="000000" w:themeColor="text1"/>
                <w:sz w:val="24"/>
                <w:szCs w:val="24"/>
                <w14:textFill>
                  <w14:solidFill>
                    <w14:schemeClr w14:val="tx1"/>
                  </w14:solidFill>
                </w14:textFill>
              </w:rPr>
              <w:t>c</w:t>
            </w:r>
            <w:r>
              <w:rPr>
                <w:rFonts w:ascii="Times New Roman" w:hAnsi="Times New Roman" w:eastAsia="宋体"/>
                <w:bCs/>
                <w:color w:val="000000" w:themeColor="text1"/>
                <w:sz w:val="24"/>
                <w:szCs w:val="24"/>
                <w14:textFill>
                  <w14:solidFill>
                    <w14:schemeClr w14:val="tx1"/>
                  </w14:solidFill>
                </w14:textFill>
              </w:rPr>
              <w:t>m</w:t>
            </w:r>
            <w:r>
              <w:rPr>
                <w:rFonts w:ascii="Times New Roman" w:hAnsi="Times New Roman" w:eastAsia="宋体"/>
                <w:bCs/>
                <w:color w:val="000000" w:themeColor="text1"/>
                <w:sz w:val="24"/>
                <w:szCs w:val="24"/>
                <w:vertAlign w:val="superscript"/>
                <w14:textFill>
                  <w14:solidFill>
                    <w14:schemeClr w14:val="tx1"/>
                  </w14:solidFill>
                </w14:textFill>
              </w:rPr>
              <w:t>3</w:t>
            </w:r>
            <w:r>
              <w:rPr>
                <w:rFonts w:hint="eastAsia" w:ascii="Times New Roman" w:hAnsi="Times New Roman" w:eastAsia="宋体"/>
                <w:bCs/>
                <w:color w:val="000000" w:themeColor="text1"/>
                <w:sz w:val="24"/>
                <w:szCs w:val="24"/>
                <w:vertAlign w:val="baseline"/>
                <w:lang w:eastAsia="zh-CN"/>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干膜厚度为</w:t>
            </w:r>
            <w:r>
              <w:rPr>
                <w:rFonts w:hint="eastAsia" w:ascii="Times New Roman" w:hAnsi="Times New Roman" w:eastAsia="宋体"/>
                <w:color w:val="000000" w:themeColor="text1"/>
                <w:sz w:val="24"/>
                <w:lang w:val="en-US" w:eastAsia="zh-CN"/>
                <w14:textFill>
                  <w14:solidFill>
                    <w14:schemeClr w14:val="tx1"/>
                  </w14:solidFill>
                </w14:textFill>
              </w:rPr>
              <w:t>5</w:t>
            </w:r>
            <w:r>
              <w:rPr>
                <w:rFonts w:hint="eastAsia"/>
                <w:color w:val="000000" w:themeColor="text1"/>
                <w:sz w:val="24"/>
                <w:lang w:val="en-US" w:eastAsia="zh-CN"/>
                <w14:textFill>
                  <w14:solidFill>
                    <w14:schemeClr w14:val="tx1"/>
                  </w14:solidFill>
                </w14:textFill>
              </w:rPr>
              <w:t>0</w:t>
            </w:r>
            <w:r>
              <w:rPr>
                <w:rFonts w:hint="eastAsia" w:ascii="Times New Roman" w:hAnsi="Times New Roman" w:eastAsia="宋体"/>
                <w:color w:val="000000" w:themeColor="text1"/>
                <w:sz w:val="24"/>
                <w:lang w:val="en-US" w:eastAsia="zh-CN"/>
                <w14:textFill>
                  <w14:solidFill>
                    <w14:schemeClr w14:val="tx1"/>
                  </w14:solidFill>
                </w14:textFill>
              </w:rPr>
              <w:t>0</w:t>
            </w:r>
            <w:r>
              <w:rPr>
                <w:rFonts w:ascii="Times New Roman" w:hAnsi="Times New Roman" w:eastAsia="宋体"/>
                <w:color w:val="000000" w:themeColor="text1"/>
                <w:sz w:val="24"/>
                <w14:textFill>
                  <w14:solidFill>
                    <w14:schemeClr w14:val="tx1"/>
                  </w14:solidFill>
                </w14:textFill>
              </w:rPr>
              <w:t>μm</w:t>
            </w:r>
            <w:r>
              <w:rPr>
                <w:rFonts w:hint="eastAsia" w:ascii="Times New Roman" w:hAnsi="Times New Roman" w:eastAsia="宋体"/>
                <w:color w:val="000000" w:themeColor="text1"/>
                <w:sz w:val="24"/>
                <w:lang w:eastAsia="zh-CN"/>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上漆率</w:t>
            </w:r>
            <w:r>
              <w:rPr>
                <w:rFonts w:hint="eastAsia" w:ascii="Times New Roman" w:hAnsi="Times New Roman" w:eastAsia="宋体"/>
                <w:color w:val="000000" w:themeColor="text1"/>
                <w:sz w:val="24"/>
                <w:lang w:val="en-US" w:eastAsia="zh-CN"/>
                <w14:textFill>
                  <w14:solidFill>
                    <w14:schemeClr w14:val="tx1"/>
                  </w14:solidFill>
                </w14:textFill>
              </w:rPr>
              <w:t>均</w:t>
            </w:r>
            <w:r>
              <w:rPr>
                <w:rFonts w:ascii="Times New Roman" w:hAnsi="Times New Roman" w:eastAsia="宋体"/>
                <w:color w:val="000000" w:themeColor="text1"/>
                <w:sz w:val="24"/>
                <w14:textFill>
                  <w14:solidFill>
                    <w14:schemeClr w14:val="tx1"/>
                  </w14:solidFill>
                </w14:textFill>
              </w:rPr>
              <w:t>以</w:t>
            </w:r>
            <w:r>
              <w:rPr>
                <w:rFonts w:hint="eastAsia" w:ascii="Times New Roman" w:hAnsi="Times New Roman" w:eastAsia="宋体"/>
                <w:color w:val="000000" w:themeColor="text1"/>
                <w:sz w:val="24"/>
                <w:lang w:val="en-US" w:eastAsia="zh-CN"/>
                <w14:textFill>
                  <w14:solidFill>
                    <w14:schemeClr w14:val="tx1"/>
                  </w14:solidFill>
                </w14:textFill>
              </w:rPr>
              <w:t>95</w:t>
            </w:r>
            <w:r>
              <w:rPr>
                <w:rFonts w:ascii="Times New Roman" w:hAnsi="Times New Roman" w:eastAsia="宋体"/>
                <w:color w:val="000000" w:themeColor="text1"/>
                <w:sz w:val="24"/>
                <w14:textFill>
                  <w14:solidFill>
                    <w14:schemeClr w14:val="tx1"/>
                  </w14:solidFill>
                </w14:textFill>
              </w:rPr>
              <w:t>%计</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粉末涂料含滤芯回收量</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。经计算，本项目喷涂面积及</w:t>
            </w:r>
            <w:r>
              <w:rPr>
                <w:rFonts w:hint="eastAsia" w:ascii="Times New Roman" w:hAnsi="Times New Roman" w:eastAsia="宋体"/>
                <w:color w:val="000000" w:themeColor="text1"/>
                <w:sz w:val="24"/>
                <w:lang w:val="en-US" w:eastAsia="zh-CN"/>
                <w14:textFill>
                  <w14:solidFill>
                    <w14:schemeClr w14:val="tx1"/>
                  </w14:solidFill>
                </w14:textFill>
              </w:rPr>
              <w:t>漆料</w:t>
            </w:r>
            <w:r>
              <w:rPr>
                <w:rFonts w:hint="eastAsia" w:ascii="Times New Roman" w:hAnsi="Times New Roman" w:eastAsia="宋体"/>
                <w:color w:val="000000" w:themeColor="text1"/>
                <w:sz w:val="24"/>
                <w14:textFill>
                  <w14:solidFill>
                    <w14:schemeClr w14:val="tx1"/>
                  </w14:solidFill>
                </w14:textFill>
              </w:rPr>
              <w:t>用量消耗情况见下表。</w:t>
            </w:r>
          </w:p>
          <w:p w14:paraId="4B5FEC67">
            <w:pPr>
              <w:adjustRightInd w:val="0"/>
              <w:snapToGrid w:val="0"/>
              <w:jc w:val="center"/>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14:textFill>
                  <w14:solidFill>
                    <w14:schemeClr w14:val="tx1"/>
                  </w14:solidFill>
                </w14:textFill>
              </w:rPr>
              <w:t>表2</w:t>
            </w:r>
            <w:r>
              <w:rPr>
                <w:rFonts w:hint="eastAsia" w:ascii="Times New Roman" w:hAnsi="Times New Roman" w:eastAsia="宋体"/>
                <w:b/>
                <w:color w:val="000000" w:themeColor="text1"/>
                <w:sz w:val="24"/>
                <w:lang w:val="en-US" w:eastAsia="zh-CN"/>
                <w14:textFill>
                  <w14:solidFill>
                    <w14:schemeClr w14:val="tx1"/>
                  </w14:solidFill>
                </w14:textFill>
              </w:rPr>
              <w:t>.2-5</w:t>
            </w:r>
            <w:r>
              <w:rPr>
                <w:rFonts w:hint="eastAsia" w:ascii="Times New Roman" w:hAnsi="Times New Roman" w:eastAsia="宋体"/>
                <w:b/>
                <w:color w:val="000000" w:themeColor="text1"/>
                <w:sz w:val="24"/>
                <w14:textFill>
                  <w14:solidFill>
                    <w14:schemeClr w14:val="tx1"/>
                  </w14:solidFill>
                </w14:textFill>
              </w:rPr>
              <w:t xml:space="preserve">  喷涂面积及</w:t>
            </w:r>
            <w:r>
              <w:rPr>
                <w:rFonts w:hint="eastAsia"/>
                <w:b/>
                <w:color w:val="000000" w:themeColor="text1"/>
                <w:sz w:val="24"/>
                <w:lang w:val="en-US" w:eastAsia="zh-CN"/>
                <w14:textFill>
                  <w14:solidFill>
                    <w14:schemeClr w14:val="tx1"/>
                  </w14:solidFill>
                </w14:textFill>
              </w:rPr>
              <w:t>用</w:t>
            </w:r>
            <w:r>
              <w:rPr>
                <w:rFonts w:hint="eastAsia" w:ascii="Times New Roman" w:hAnsi="Times New Roman" w:eastAsia="宋体"/>
                <w:b/>
                <w:color w:val="000000" w:themeColor="text1"/>
                <w:sz w:val="24"/>
                <w14:textFill>
                  <w14:solidFill>
                    <w14:schemeClr w14:val="tx1"/>
                  </w14:solidFill>
                </w14:textFill>
              </w:rPr>
              <w:t>漆量计算一览表</w:t>
            </w:r>
          </w:p>
          <w:p w14:paraId="7C26670C">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center"/>
              <w:textAlignment w:val="auto"/>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24BD7B18">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根据上表核算可知，电泳漆理论年用量为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67.26</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t/a，粉末涂料理论用量为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175.50</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t/a，抗石击涂料（胶）理论用量为</w:t>
            </w:r>
            <w:r>
              <w:rPr>
                <w:rFonts w:hint="eastAsia" w:cs="Times New Roman"/>
                <w:bCs/>
                <w:color w:val="000000" w:themeColor="text1"/>
                <w:sz w:val="24"/>
                <w:szCs w:val="24"/>
                <w:lang w:val="en-US" w:eastAsia="zh-CN"/>
                <w14:textFill>
                  <w14:solidFill>
                    <w14:schemeClr w14:val="tx1"/>
                  </w14:solidFill>
                </w14:textFill>
              </w:rPr>
              <w:t>60.63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考虑一定的损耗，本次环评电泳漆年用量取</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68</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（其中</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F-1</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色</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8.5</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F-2乳液</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59.5</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，粉末涂料</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176</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t/a，抗石击涂料（胶）</w:t>
            </w:r>
            <w:r>
              <w:rPr>
                <w:rFonts w:hint="eastAsia" w:cs="Times New Roman"/>
                <w:bCs/>
                <w:color w:val="000000" w:themeColor="text1"/>
                <w:sz w:val="24"/>
                <w:szCs w:val="24"/>
                <w:lang w:val="en-US" w:eastAsia="zh-CN"/>
                <w14:textFill>
                  <w14:solidFill>
                    <w14:schemeClr w14:val="tx1"/>
                  </w14:solidFill>
                </w14:textFill>
              </w:rPr>
              <w:t>152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t/a，可满足项目生产需求。</w:t>
            </w:r>
          </w:p>
          <w:p w14:paraId="612E73F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喷</w:t>
            </w:r>
            <w:r>
              <w:rPr>
                <w:rFonts w:hint="eastAsia" w:ascii="Times New Roman" w:hAnsi="Times New Roman" w:eastAsia="宋体"/>
                <w:b/>
                <w:bCs/>
                <w:color w:val="000000" w:themeColor="text1"/>
                <w:sz w:val="24"/>
                <w:lang w:val="en-US" w:eastAsia="zh-CN"/>
                <w14:textFill>
                  <w14:solidFill>
                    <w14:schemeClr w14:val="tx1"/>
                  </w14:solidFill>
                </w14:textFill>
              </w:rPr>
              <w:t>涂</w:t>
            </w:r>
            <w:r>
              <w:rPr>
                <w:rFonts w:hint="eastAsia" w:ascii="Times New Roman" w:hAnsi="Times New Roman" w:eastAsia="宋体"/>
                <w:b/>
                <w:bCs/>
                <w:color w:val="000000" w:themeColor="text1"/>
                <w:sz w:val="24"/>
                <w14:textFill>
                  <w14:solidFill>
                    <w14:schemeClr w14:val="tx1"/>
                  </w14:solidFill>
                </w14:textFill>
              </w:rPr>
              <w:t>工序物料平衡：</w:t>
            </w:r>
          </w:p>
          <w:p w14:paraId="720D4AC3">
            <w:pPr>
              <w:adjustRightInd w:val="0"/>
              <w:snapToGrid w:val="0"/>
              <w:spacing w:before="120" w:beforeLines="50"/>
              <w:jc w:val="center"/>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14:textFill>
                  <w14:solidFill>
                    <w14:schemeClr w14:val="tx1"/>
                  </w14:solidFill>
                </w14:textFill>
              </w:rPr>
              <w:t>表2</w:t>
            </w:r>
            <w:r>
              <w:rPr>
                <w:rFonts w:hint="eastAsia" w:ascii="Times New Roman" w:hAnsi="Times New Roman" w:eastAsia="宋体"/>
                <w:b/>
                <w:color w:val="000000" w:themeColor="text1"/>
                <w:sz w:val="24"/>
                <w:lang w:val="en-US" w:eastAsia="zh-CN"/>
                <w14:textFill>
                  <w14:solidFill>
                    <w14:schemeClr w14:val="tx1"/>
                  </w14:solidFill>
                </w14:textFill>
              </w:rPr>
              <w:t>.2-6</w:t>
            </w:r>
            <w:r>
              <w:rPr>
                <w:rFonts w:hint="eastAsia" w:ascii="Times New Roman" w:hAnsi="Times New Roman" w:eastAsia="宋体"/>
                <w:b/>
                <w:color w:val="000000" w:themeColor="text1"/>
                <w:sz w:val="24"/>
                <w14:textFill>
                  <w14:solidFill>
                    <w14:schemeClr w14:val="tx1"/>
                  </w14:solidFill>
                </w14:textFill>
              </w:rPr>
              <w:t xml:space="preserve">  涂料VOCs平衡</w:t>
            </w:r>
          </w:p>
          <w:p w14:paraId="50274CCA">
            <w:pPr>
              <w:jc w:val="center"/>
              <w:rPr>
                <w:rFonts w:ascii="Times New Roman" w:hAnsi="Times New Roman" w:eastAsia="宋体"/>
                <w:color w:val="000000" w:themeColor="text1"/>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19D1CABD">
            <w:pPr>
              <w:pStyle w:val="11"/>
              <w:jc w:val="center"/>
              <w:rPr>
                <w:rFonts w:hint="default" w:ascii="Times New Roman" w:hAnsi="Times New Roman" w:eastAsia="宋体"/>
                <w:color w:val="000000" w:themeColor="text1"/>
                <w:lang w:val="en-US"/>
                <w14:textFill>
                  <w14:solidFill>
                    <w14:schemeClr w14:val="tx1"/>
                  </w14:solidFill>
                </w14:textFill>
              </w:rPr>
            </w:pPr>
            <w:r>
              <w:rPr>
                <w:rFonts w:ascii="Times New Roman" w:hAnsi="Times New Roman" w:eastAsia="宋体"/>
                <w:b/>
                <w:bCs/>
                <w:color w:val="000000" w:themeColor="text1"/>
                <w:sz w:val="24"/>
                <w14:textFill>
                  <w14:solidFill>
                    <w14:schemeClr w14:val="tx1"/>
                  </w14:solidFill>
                </w14:textFill>
              </w:rPr>
              <w:t>图</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2.2-1</w:t>
            </w:r>
            <w:r>
              <w:rPr>
                <w:rFonts w:ascii="Times New Roman" w:hAnsi="Times New Roman" w:eastAsia="宋体"/>
                <w:b/>
                <w:bCs/>
                <w:color w:val="000000" w:themeColor="text1"/>
                <w:sz w:val="24"/>
                <w14:textFill>
                  <w14:solidFill>
                    <w14:schemeClr w14:val="tx1"/>
                  </w14:solidFill>
                </w14:textFill>
              </w:rPr>
              <w:t xml:space="preserve"> 项目</w:t>
            </w:r>
            <w:r>
              <w:rPr>
                <w:rFonts w:hint="eastAsia" w:ascii="Times New Roman" w:hAnsi="Times New Roman" w:eastAsia="宋体"/>
                <w:b/>
                <w:bCs/>
                <w:color w:val="000000" w:themeColor="text1"/>
                <w:sz w:val="24"/>
                <w:lang w:val="en-US" w:eastAsia="zh-CN"/>
                <w14:textFill>
                  <w14:solidFill>
                    <w14:schemeClr w14:val="tx1"/>
                  </w14:solidFill>
                </w14:textFill>
              </w:rPr>
              <w:t>喷涂</w:t>
            </w:r>
            <w:r>
              <w:rPr>
                <w:rFonts w:hint="eastAsia" w:ascii="Times New Roman" w:hAnsi="Times New Roman" w:eastAsia="宋体"/>
                <w:b/>
                <w:bCs/>
                <w:color w:val="000000" w:themeColor="text1"/>
                <w:sz w:val="24"/>
                <w14:textFill>
                  <w14:solidFill>
                    <w14:schemeClr w14:val="tx1"/>
                  </w14:solidFill>
                </w14:textFill>
              </w:rPr>
              <w:t>工序物料</w:t>
            </w:r>
            <w:r>
              <w:rPr>
                <w:rFonts w:ascii="Times New Roman" w:hAnsi="Times New Roman" w:eastAsia="宋体"/>
                <w:b/>
                <w:bCs/>
                <w:color w:val="000000" w:themeColor="text1"/>
                <w:sz w:val="24"/>
                <w14:textFill>
                  <w14:solidFill>
                    <w14:schemeClr w14:val="tx1"/>
                  </w14:solidFill>
                </w14:textFill>
              </w:rPr>
              <w:t>平衡图</w:t>
            </w:r>
            <w:r>
              <w:rPr>
                <w:rFonts w:hint="eastAsia" w:ascii="Times New Roman" w:hAnsi="Times New Roman" w:eastAsia="宋体"/>
                <w:b/>
                <w:bCs/>
                <w:color w:val="000000" w:themeColor="text1"/>
                <w:sz w:val="24"/>
                <w14:textFill>
                  <w14:solidFill>
                    <w14:schemeClr w14:val="tx1"/>
                  </w14:solidFill>
                </w14:textFill>
              </w:rPr>
              <w:t xml:space="preserve">   单位：t/a</w:t>
            </w:r>
          </w:p>
          <w:p w14:paraId="231AD73F">
            <w:pPr>
              <w:adjustRightInd w:val="0"/>
              <w:snapToGrid w:val="0"/>
              <w:spacing w:before="120" w:beforeLines="50" w:line="360" w:lineRule="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highlight w:val="none"/>
                <w14:textFill>
                  <w14:solidFill>
                    <w14:schemeClr w14:val="tx1"/>
                  </w14:solidFill>
                </w14:textFill>
              </w:rPr>
              <w:t>主要生产设备</w:t>
            </w:r>
          </w:p>
          <w:p w14:paraId="31D19F8C">
            <w:pPr>
              <w:widowControl/>
              <w:autoSpaceDE w:val="0"/>
              <w:autoSpaceDN w:val="0"/>
              <w:spacing w:line="360" w:lineRule="auto"/>
              <w:ind w:firstLine="480" w:firstLineChars="200"/>
              <w:textAlignment w:val="bottom"/>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14:textFill>
                  <w14:solidFill>
                    <w14:schemeClr w14:val="tx1"/>
                  </w14:solidFill>
                </w14:textFill>
              </w:rPr>
              <w:t>主要生产设备</w:t>
            </w:r>
            <w:r>
              <w:rPr>
                <w:rFonts w:hint="default" w:ascii="Times New Roman" w:hAnsi="Times New Roman" w:eastAsia="宋体" w:cs="Times New Roman"/>
                <w:color w:val="000000" w:themeColor="text1"/>
                <w:sz w:val="24"/>
                <w:lang w:val="en-US" w:eastAsia="zh-CN"/>
                <w14:textFill>
                  <w14:solidFill>
                    <w14:schemeClr w14:val="tx1"/>
                  </w14:solidFill>
                </w14:textFill>
              </w:rPr>
              <w:t>清单</w:t>
            </w:r>
            <w:r>
              <w:rPr>
                <w:rFonts w:hint="default" w:ascii="Times New Roman" w:hAnsi="Times New Roman" w:eastAsia="宋体" w:cs="Times New Roman"/>
                <w:color w:val="000000" w:themeColor="text1"/>
                <w:sz w:val="24"/>
                <w14:textFill>
                  <w14:solidFill>
                    <w14:schemeClr w14:val="tx1"/>
                  </w14:solidFill>
                </w14:textFill>
              </w:rPr>
              <w:t>详见表2.2-</w:t>
            </w:r>
            <w:r>
              <w:rPr>
                <w:rFonts w:hint="eastAsia" w:ascii="Times New Roman" w:hAnsi="Times New Roman" w:eastAsia="宋体"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w:t>
            </w:r>
          </w:p>
          <w:p w14:paraId="11CBE1B2">
            <w:pPr>
              <w:adjustRightInd w:val="0"/>
              <w:snapToGrid w:val="0"/>
              <w:spacing w:before="120" w:beforeLines="5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表2.2-</w:t>
            </w:r>
            <w:r>
              <w:rPr>
                <w:rFonts w:hint="eastAsia" w:ascii="Times New Roman" w:hAnsi="Times New Roman" w:eastAsia="宋体" w:cs="Times New Roman"/>
                <w:b/>
                <w:color w:val="000000" w:themeColor="text1"/>
                <w:sz w:val="24"/>
                <w:lang w:val="en-US" w:eastAsia="zh-CN"/>
                <w14:textFill>
                  <w14:solidFill>
                    <w14:schemeClr w14:val="tx1"/>
                  </w14:solidFill>
                </w14:textFill>
              </w:rPr>
              <w:t>7</w:t>
            </w:r>
            <w:r>
              <w:rPr>
                <w:rFonts w:hint="default" w:ascii="Times New Roman" w:hAnsi="Times New Roman" w:eastAsia="宋体" w:cs="Times New Roman"/>
                <w:b/>
                <w:color w:val="000000" w:themeColor="text1"/>
                <w:sz w:val="24"/>
                <w14:textFill>
                  <w14:solidFill>
                    <w14:schemeClr w14:val="tx1"/>
                  </w14:solidFill>
                </w14:textFill>
              </w:rPr>
              <w:t xml:space="preserve">  项目主要设备一览表</w:t>
            </w:r>
          </w:p>
          <w:p w14:paraId="07D27FDF">
            <w:pPr>
              <w:adjustRightInd w:val="0"/>
              <w:snapToGrid w:val="0"/>
              <w:spacing w:before="120" w:beforeLines="50" w:line="360" w:lineRule="auto"/>
              <w:jc w:val="cente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4E126ED2">
            <w:pPr>
              <w:adjustRightInd w:val="0"/>
              <w:snapToGrid w:val="0"/>
              <w:spacing w:before="120" w:beforeLines="50" w:line="360" w:lineRule="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2.2.</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sz w:val="24"/>
                <w:szCs w:val="24"/>
                <w:highlight w:val="none"/>
                <w:shd w:val="clear" w:color="auto" w:fill="auto"/>
                <w:lang w:val="en-US" w:eastAsia="zh-CN"/>
                <w14:textFill>
                  <w14:solidFill>
                    <w14:schemeClr w14:val="tx1"/>
                  </w14:solidFill>
                </w14:textFill>
              </w:rPr>
              <w:t>配套工程</w:t>
            </w:r>
          </w:p>
          <w:p w14:paraId="2CBC3551">
            <w:pPr>
              <w:pStyle w:val="25"/>
              <w:widowControl w:val="0"/>
              <w:numPr>
                <w:ilvl w:val="0"/>
                <w:numId w:val="0"/>
              </w:numPr>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给水</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排水工程</w:t>
            </w:r>
          </w:p>
          <w:p w14:paraId="68B30FCF">
            <w:pPr>
              <w:pStyle w:val="25"/>
              <w:widowControl w:val="0"/>
              <w:numPr>
                <w:ilvl w:val="0"/>
                <w:numId w:val="0"/>
              </w:numPr>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本项目用水</w:t>
            </w:r>
            <w:r>
              <w:rPr>
                <w:rFonts w:hint="default" w:ascii="Times New Roman" w:hAnsi="Times New Roman" w:eastAsia="宋体" w:cs="Times New Roman"/>
                <w:color w:val="000000" w:themeColor="text1"/>
                <w:sz w:val="24"/>
                <w:lang w:val="en-US" w:eastAsia="zh-CN"/>
                <w14:textFill>
                  <w14:solidFill>
                    <w14:schemeClr w14:val="tx1"/>
                  </w14:solidFill>
                </w14:textFill>
              </w:rPr>
              <w:t>接市政供水管网</w:t>
            </w:r>
            <w:r>
              <w:rPr>
                <w:rFonts w:hint="eastAsia" w:ascii="Times New Roman" w:hAnsi="Times New Roman" w:eastAsia="宋体" w:cs="Times New Roman"/>
                <w:color w:val="000000" w:themeColor="text1"/>
                <w:sz w:val="24"/>
                <w:lang w:val="en-US" w:eastAsia="zh-CN"/>
                <w14:textFill>
                  <w14:solidFill>
                    <w14:schemeClr w14:val="tx1"/>
                  </w14:solidFill>
                </w14:textFill>
              </w:rPr>
              <w:t>，用水包括生活用水、电泳生产线用水（分为</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脱脂</w:t>
            </w:r>
            <w:r>
              <w:rPr>
                <w:rFonts w:hint="eastAsia" w:ascii="Times New Roman" w:hAnsi="Times New Roman" w:eastAsia="宋体" w:cs="Times New Roman"/>
                <w:color w:val="000000" w:themeColor="text1"/>
                <w:sz w:val="24"/>
                <w:lang w:val="en-US" w:eastAsia="zh-CN"/>
                <w14:textFill>
                  <w14:solidFill>
                    <w14:schemeClr w14:val="tx1"/>
                  </w14:solidFill>
                </w14:textFill>
              </w:rPr>
              <w:t>槽、水洗槽、表调槽、磷化槽、电泳槽、</w:t>
            </w:r>
            <w:r>
              <w:rPr>
                <w:rFonts w:hint="default" w:ascii="Times New Roman" w:hAnsi="Times New Roman" w:eastAsia="宋体" w:cs="Times New Roman"/>
                <w:color w:val="000000" w:themeColor="text1"/>
                <w:sz w:val="24"/>
                <w:lang w:val="en-US" w:eastAsia="zh-CN"/>
                <w14:textFill>
                  <w14:solidFill>
                    <w14:schemeClr w14:val="tx1"/>
                  </w14:solidFill>
                </w14:textFill>
              </w:rPr>
              <w:t>UF</w:t>
            </w:r>
            <w:r>
              <w:rPr>
                <w:rFonts w:hint="eastAsia" w:ascii="Times New Roman" w:hAnsi="Times New Roman" w:eastAsia="宋体" w:cs="Times New Roman"/>
                <w:color w:val="000000" w:themeColor="text1"/>
                <w:sz w:val="24"/>
                <w:lang w:val="en-US" w:eastAsia="zh-CN"/>
                <w14:textFill>
                  <w14:solidFill>
                    <w14:schemeClr w14:val="tx1"/>
                  </w14:solidFill>
                </w14:textFill>
              </w:rPr>
              <w:t>槽等）、水洗生产线用水、纯水制备用水（电泳线部分槽体需使用纯水，纯水由纯水机制备）、废气喷淋用水。</w:t>
            </w:r>
          </w:p>
          <w:p w14:paraId="3CB0EB43">
            <w:pPr>
              <w:pStyle w:val="25"/>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①生活用水</w:t>
            </w:r>
          </w:p>
          <w:p w14:paraId="514FF71D">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本项目拟</w:t>
            </w:r>
            <w:r>
              <w:rPr>
                <w:rFonts w:hint="eastAsia" w:cs="Times New Roman"/>
                <w:color w:val="000000" w:themeColor="text1"/>
                <w:kern w:val="2"/>
                <w:sz w:val="24"/>
                <w:szCs w:val="24"/>
                <w:lang w:val="en-US" w:eastAsia="zh-CN" w:bidi="ar-SA"/>
                <w14:textFill>
                  <w14:solidFill>
                    <w14:schemeClr w14:val="tx1"/>
                  </w14:solidFill>
                </w14:textFill>
              </w:rPr>
              <w:t>新增</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职工人数45人（包括生产人员、管理人员等），均不住厂。根据《建筑给水排水设计标准》（GB 50015-2019）车间工人的生活用水定额应根据车间性质确定，一般宜采用30～50L/人·班，本项目职工生活用水定额按50L/人·班计，年工作日300天，则本项目职工生活用水量约为2.25</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/d（675</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/a），排放系数取0.8，则项目生活污水排放量约1.8</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/d（540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/a）。</w:t>
            </w:r>
          </w:p>
          <w:p w14:paraId="6636B3FC">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eastAsia"/>
                <w:color w:val="000000" w:themeColor="text1"/>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扩建后全厂职工人数90人，</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则全厂职工生活用水量约为4.5</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/d（1350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/a），排放系数取0.8，则项目生活污水排放量约3.6</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/d（1080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/a）。</w:t>
            </w:r>
          </w:p>
          <w:p w14:paraId="132D615B">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②生产线用水</w:t>
            </w:r>
          </w:p>
          <w:p w14:paraId="7144C960">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bottom"/>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生产线</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用水环节包括脱脂、水洗、</w:t>
            </w:r>
            <w:r>
              <w:rPr>
                <w:rFonts w:hint="eastAsia" w:ascii="Times New Roman" w:hAnsi="Times New Roman" w:eastAsia="宋体" w:cs="Times New Roman"/>
                <w:color w:val="000000" w:themeColor="text1"/>
                <w:sz w:val="24"/>
                <w:lang w:val="en-US" w:eastAsia="zh-CN"/>
                <w14:textFill>
                  <w14:solidFill>
                    <w14:schemeClr w14:val="tx1"/>
                  </w14:solidFill>
                </w14:textFill>
              </w:rPr>
              <w:t>表调、磷化、电泳、</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UF超滤等，根据生产经验，产品会带走部分槽液进入后面的各清洗工序，最终在烘干工序损耗，此部分损耗按有效容积的</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估算。电泳槽中各槽液定期捞渣后循环使用，不排放，定期补充自来水或纯水，各类清洗槽废水定期排放，改扩建后全厂生产线用排水情况见下表2.2-8。</w:t>
            </w:r>
          </w:p>
          <w:p w14:paraId="5C32BF1B">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根据表2.2-</w:t>
            </w:r>
            <w:r>
              <w:rPr>
                <w:rFonts w:hint="eastAsia" w:ascii="Times New Roman" w:hAnsi="Times New Roman" w:eastAsia="宋体" w:cs="Times New Roman"/>
                <w:color w:val="000000" w:themeColor="text1"/>
                <w:sz w:val="24"/>
                <w:lang w:val="en-US" w:eastAsia="zh-CN"/>
                <w14:textFill>
                  <w14:solidFill>
                    <w14:schemeClr w14:val="tx1"/>
                  </w14:solidFill>
                </w14:textFill>
              </w:rPr>
              <w:t>8</w:t>
            </w:r>
            <w:r>
              <w:rPr>
                <w:rFonts w:hint="default" w:ascii="Times New Roman" w:hAnsi="Times New Roman" w:eastAsia="宋体" w:cs="Times New Roman"/>
                <w:color w:val="000000" w:themeColor="text1"/>
                <w:sz w:val="24"/>
                <w:lang w:val="en-US" w:eastAsia="zh-CN"/>
                <w14:textFill>
                  <w14:solidFill>
                    <w14:schemeClr w14:val="tx1"/>
                  </w14:solidFill>
                </w14:textFill>
              </w:rPr>
              <w:t>可知，</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改扩建后全厂</w:t>
            </w:r>
            <w:r>
              <w:rPr>
                <w:rFonts w:hint="default" w:ascii="Times New Roman" w:hAnsi="Times New Roman" w:eastAsia="宋体" w:cs="Times New Roman"/>
                <w:color w:val="000000" w:themeColor="text1"/>
                <w:sz w:val="24"/>
                <w:lang w:val="en-US" w:eastAsia="zh-CN"/>
                <w14:textFill>
                  <w14:solidFill>
                    <w14:schemeClr w14:val="tx1"/>
                  </w14:solidFill>
                </w14:textFill>
              </w:rPr>
              <w:t>纯水用量约</w:t>
            </w:r>
            <w:r>
              <w:rPr>
                <w:rFonts w:hint="eastAsia" w:cs="Times New Roman"/>
                <w:color w:val="000000" w:themeColor="text1"/>
                <w:sz w:val="24"/>
                <w:lang w:val="en-US" w:eastAsia="zh-CN"/>
                <w14:textFill>
                  <w14:solidFill>
                    <w14:schemeClr w14:val="tx1"/>
                  </w14:solidFill>
                </w14:textFill>
              </w:rPr>
              <w:t>5761.12</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vertAlign w:val="baseline"/>
                <w:lang w:val="en-US" w:eastAsia="zh-CN"/>
                <w14:textFill>
                  <w14:solidFill>
                    <w14:schemeClr w14:val="tx1"/>
                  </w14:solidFill>
                </w14:textFill>
              </w:rPr>
              <w:t>/a（</w:t>
            </w:r>
            <w:r>
              <w:rPr>
                <w:rFonts w:hint="eastAsia" w:cs="Times New Roman"/>
                <w:color w:val="000000" w:themeColor="text1"/>
                <w:sz w:val="24"/>
                <w:vertAlign w:val="baseline"/>
                <w:lang w:val="en-US" w:eastAsia="zh-CN"/>
                <w14:textFill>
                  <w14:solidFill>
                    <w14:schemeClr w14:val="tx1"/>
                  </w14:solidFill>
                </w14:textFill>
              </w:rPr>
              <w:t>19.2</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vertAlign w:val="baseline"/>
                <w:lang w:val="en-US" w:eastAsia="zh-CN"/>
                <w14:textFill>
                  <w14:solidFill>
                    <w14:schemeClr w14:val="tx1"/>
                  </w14:solidFill>
                </w14:textFill>
              </w:rPr>
              <w:t>/d），</w:t>
            </w:r>
            <w:r>
              <w:rPr>
                <w:rFonts w:hint="eastAsia" w:cs="Times New Roman"/>
                <w:color w:val="000000" w:themeColor="text1"/>
                <w:sz w:val="24"/>
                <w:lang w:val="en-US" w:eastAsia="zh-CN"/>
                <w14:textFill>
                  <w14:solidFill>
                    <w14:schemeClr w14:val="tx1"/>
                  </w14:solidFill>
                </w14:textFill>
              </w:rPr>
              <w:t>企业共设纯水机2套，</w:t>
            </w:r>
            <w:r>
              <w:rPr>
                <w:rFonts w:hint="default" w:ascii="Times New Roman" w:hAnsi="Times New Roman" w:eastAsia="宋体" w:cs="Times New Roman"/>
                <w:color w:val="000000" w:themeColor="text1"/>
                <w:sz w:val="24"/>
                <w:lang w:val="en-US" w:eastAsia="zh-CN"/>
                <w14:textFill>
                  <w14:solidFill>
                    <w14:schemeClr w14:val="tx1"/>
                  </w14:solidFill>
                </w14:textFill>
              </w:rPr>
              <w:t>纯水制备系统制水能力</w:t>
            </w:r>
            <w:r>
              <w:rPr>
                <w:rFonts w:hint="eastAsia" w:cs="Times New Roman"/>
                <w:color w:val="000000" w:themeColor="text1"/>
                <w:sz w:val="24"/>
                <w:lang w:val="en-US" w:eastAsia="zh-CN"/>
                <w14:textFill>
                  <w14:solidFill>
                    <w14:schemeClr w14:val="tx1"/>
                  </w14:solidFill>
                </w14:textFill>
              </w:rPr>
              <w:t>均</w:t>
            </w:r>
            <w:r>
              <w:rPr>
                <w:rFonts w:hint="default" w:ascii="Times New Roman" w:hAnsi="Times New Roman" w:eastAsia="宋体" w:cs="Times New Roman"/>
                <w:color w:val="000000" w:themeColor="text1"/>
                <w:sz w:val="24"/>
                <w:lang w:val="en-US" w:eastAsia="zh-CN"/>
                <w14:textFill>
                  <w14:solidFill>
                    <w14:schemeClr w14:val="tx1"/>
                  </w14:solidFill>
                </w14:textFill>
              </w:rPr>
              <w:t>为</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r>
              <w:rPr>
                <w:rFonts w:hint="eastAsia"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lang w:val="en-US" w:eastAsia="zh-CN"/>
                <w14:textFill>
                  <w14:solidFill>
                    <w14:schemeClr w14:val="tx1"/>
                  </w14:solidFill>
                </w14:textFill>
              </w:rPr>
              <w:t>000m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cs="Times New Roman"/>
                <w:color w:val="000000" w:themeColor="text1"/>
                <w:sz w:val="24"/>
                <w:lang w:val="en-US" w:eastAsia="zh-CN"/>
                <w14:textFill>
                  <w14:solidFill>
                    <w14:schemeClr w14:val="tx1"/>
                  </w14:solidFill>
                </w14:textFill>
              </w:rPr>
              <w:t>共</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r>
              <w:rPr>
                <w:rFonts w:hint="eastAsia" w:ascii="Times New Roman" w:hAnsi="Times New Roman" w:eastAsia="宋体" w:cs="Times New Roman"/>
                <w:color w:val="000000" w:themeColor="text1"/>
                <w:sz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lang w:val="en-US" w:eastAsia="zh-CN"/>
                <w14:textFill>
                  <w14:solidFill>
                    <w14:schemeClr w14:val="tx1"/>
                  </w14:solidFill>
                </w14:textFill>
              </w:rPr>
              <w:t>000m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满足项目纯水需求，纯水制备系统采用反渗透工艺，制水率为75</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，浓排水产生量为</w:t>
            </w:r>
            <w:r>
              <w:rPr>
                <w:rFonts w:hint="eastAsia" w:cs="Times New Roman"/>
                <w:color w:val="000000" w:themeColor="text1"/>
                <w:sz w:val="24"/>
                <w:lang w:val="en-US" w:eastAsia="zh-CN"/>
                <w14:textFill>
                  <w14:solidFill>
                    <w14:schemeClr w14:val="tx1"/>
                  </w14:solidFill>
                </w14:textFill>
              </w:rPr>
              <w:t>6.40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r>
              <w:rPr>
                <w:rFonts w:hint="eastAsia" w:cs="Times New Roman"/>
                <w:color w:val="000000" w:themeColor="text1"/>
                <w:sz w:val="24"/>
                <w:lang w:val="en-US" w:eastAsia="zh-CN"/>
                <w14:textFill>
                  <w14:solidFill>
                    <w14:schemeClr w14:val="tx1"/>
                  </w14:solidFill>
                </w14:textFill>
              </w:rPr>
              <w:t>1920.37</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/a），浓排水接入市政污水管网，纳入污水处理厂集中处理。</w:t>
            </w:r>
          </w:p>
          <w:p w14:paraId="44436A30">
            <w:pPr>
              <w:pStyle w:val="11"/>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object>
                <v:shape id="_x0000_i1025" o:spt="75" type="#_x0000_t75" style="height:41.1pt;width:422.1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 xml:space="preserve">图2.2-2 </w:t>
            </w:r>
            <w:r>
              <w:rPr>
                <w:rFonts w:hint="eastAsia" w:ascii="Times New Roman" w:hAnsi="Times New Roman" w:eastAsia="宋体" w:cs="Times New Roman"/>
                <w:b/>
                <w:bCs w:val="0"/>
                <w:color w:val="000000" w:themeColor="text1"/>
                <w:sz w:val="24"/>
                <w:highlight w:val="none"/>
                <w:lang w:eastAsia="zh-CN"/>
                <w14:textFill>
                  <w14:solidFill>
                    <w14:schemeClr w14:val="tx1"/>
                  </w14:solidFill>
                </w14:textFill>
              </w:rPr>
              <w:t>纯水制备工艺流程</w:t>
            </w:r>
          </w:p>
          <w:p w14:paraId="2130D616">
            <w:pPr>
              <w:pStyle w:val="25"/>
              <w:widowControl w:val="0"/>
              <w:autoSpaceDE w:val="0"/>
              <w:autoSpaceDN w:val="0"/>
              <w:adjustRightInd w:val="0"/>
              <w:snapToGrid w:val="0"/>
              <w:spacing w:before="0" w:beforeAutospacing="0" w:after="0" w:afterAutospacing="0" w:line="360" w:lineRule="auto"/>
              <w:ind w:firstLine="480" w:firstLineChars="200"/>
              <w:jc w:val="both"/>
              <w:textAlignment w:val="baseline"/>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③碱液喷淋塔用水</w:t>
            </w:r>
          </w:p>
          <w:p w14:paraId="7B34E1A5">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改扩建后全厂拟设置</w:t>
            </w:r>
            <w:r>
              <w:rPr>
                <w:rFonts w:hint="eastAsia" w:cs="Times New Roman"/>
                <w:color w:val="000000" w:themeColor="text1"/>
                <w:sz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套水喷淋塔（风量分别为</w:t>
            </w:r>
            <w:r>
              <w:rPr>
                <w:rFonts w:hint="eastAsia" w:cs="Times New Roman"/>
                <w:color w:val="000000" w:themeColor="text1"/>
                <w:sz w:val="24"/>
                <w:lang w:val="en-US" w:eastAsia="zh-CN"/>
                <w14:textFill>
                  <w14:solidFill>
                    <w14:schemeClr w14:val="tx1"/>
                  </w14:solidFill>
                </w14:textFill>
              </w:rPr>
              <w:t>35</w:t>
            </w:r>
            <w:r>
              <w:rPr>
                <w:rFonts w:hint="eastAsia" w:ascii="Times New Roman" w:hAnsi="Times New Roman" w:eastAsia="宋体" w:cs="Times New Roman"/>
                <w:color w:val="000000" w:themeColor="text1"/>
                <w:sz w:val="24"/>
                <w:lang w:val="en-US" w:eastAsia="zh-CN"/>
                <w14:textFill>
                  <w14:solidFill>
                    <w14:schemeClr w14:val="tx1"/>
                  </w14:solidFill>
                </w14:textFill>
              </w:rPr>
              <w:t>000m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eastAsia"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val="en-US" w:eastAsia="zh-CN"/>
                <w14:textFill>
                  <w14:solidFill>
                    <w14:schemeClr w14:val="tx1"/>
                  </w14:solidFill>
                </w14:textFill>
              </w:rPr>
              <w:t>5000m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eastAsia" w:cs="Times New Roman"/>
                <w:color w:val="000000" w:themeColor="text1"/>
                <w:sz w:val="24"/>
                <w:lang w:val="en-US" w:eastAsia="zh-CN"/>
                <w14:textFill>
                  <w14:solidFill>
                    <w14:schemeClr w14:val="tx1"/>
                  </w14:solidFill>
                </w14:textFill>
              </w:rPr>
              <w:t>30</w:t>
            </w:r>
            <w:r>
              <w:rPr>
                <w:rFonts w:hint="eastAsia" w:ascii="Times New Roman" w:hAnsi="Times New Roman" w:eastAsia="宋体" w:cs="Times New Roman"/>
                <w:color w:val="000000" w:themeColor="text1"/>
                <w:sz w:val="24"/>
                <w:lang w:val="en-US" w:eastAsia="zh-CN"/>
                <w14:textFill>
                  <w14:solidFill>
                    <w14:schemeClr w14:val="tx1"/>
                  </w14:solidFill>
                </w14:textFill>
              </w:rPr>
              <w:t>000m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/h）、</w:t>
            </w:r>
            <w:r>
              <w:rPr>
                <w:rFonts w:hint="eastAsia" w:cs="Times New Roman"/>
                <w:color w:val="000000" w:themeColor="text1"/>
                <w:sz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套碱液喷淋塔（风量分别为</w:t>
            </w:r>
            <w:r>
              <w:rPr>
                <w:rFonts w:hint="eastAsia" w:cs="Times New Roman"/>
                <w:color w:val="000000" w:themeColor="text1"/>
                <w:sz w:val="24"/>
                <w:lang w:val="en-US" w:eastAsia="zh-CN"/>
                <w14:textFill>
                  <w14:solidFill>
                    <w14:schemeClr w14:val="tx1"/>
                  </w14:solidFill>
                </w14:textFill>
              </w:rPr>
              <w:t>5000</w:t>
            </w:r>
            <w:r>
              <w:rPr>
                <w:rFonts w:hint="eastAsia" w:ascii="Times New Roman" w:hAnsi="Times New Roman" w:eastAsia="宋体" w:cs="Times New Roman"/>
                <w:color w:val="000000" w:themeColor="text1"/>
                <w:sz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/h、11000m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/h），每个喷淋塔储水量2</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，喷淋塔平均工作</w:t>
            </w:r>
            <w:r>
              <w:rPr>
                <w:rFonts w:hint="default" w:ascii="Times New Roman" w:hAnsi="Times New Roman" w:eastAsia="宋体" w:cs="Times New Roman"/>
                <w:color w:val="000000" w:themeColor="text1"/>
                <w:sz w:val="24"/>
                <w:lang w:val="en-US" w:eastAsia="zh-CN"/>
                <w14:textFill>
                  <w14:solidFill>
                    <w14:schemeClr w14:val="tx1"/>
                  </w14:solidFill>
                </w14:textFill>
              </w:rPr>
              <w:t>30</w:t>
            </w:r>
            <w:r>
              <w:rPr>
                <w:rFonts w:hint="eastAsia" w:ascii="Times New Roman" w:hAnsi="Times New Roman" w:eastAsia="宋体" w:cs="Times New Roman"/>
                <w:color w:val="000000" w:themeColor="text1"/>
                <w:sz w:val="24"/>
                <w:lang w:val="en-US" w:eastAsia="zh-CN"/>
                <w14:textFill>
                  <w14:solidFill>
                    <w14:schemeClr w14:val="tx1"/>
                  </w14:solidFill>
                </w14:textFill>
              </w:rPr>
              <w:t>天更换一次，年更换</w:t>
            </w:r>
            <w:r>
              <w:rPr>
                <w:rFonts w:hint="default" w:ascii="Times New Roman" w:hAnsi="Times New Roman" w:eastAsia="宋体" w:cs="Times New Roman"/>
                <w:color w:val="000000" w:themeColor="text1"/>
                <w:sz w:val="24"/>
                <w:lang w:val="en-US" w:eastAsia="zh-CN"/>
                <w14:textFill>
                  <w14:solidFill>
                    <w14:schemeClr w14:val="tx1"/>
                  </w14:solidFill>
                </w14:textFill>
              </w:rPr>
              <w:t>10</w:t>
            </w:r>
            <w:r>
              <w:rPr>
                <w:rFonts w:hint="eastAsia" w:ascii="Times New Roman" w:hAnsi="Times New Roman" w:eastAsia="宋体" w:cs="Times New Roman"/>
                <w:color w:val="000000" w:themeColor="text1"/>
                <w:sz w:val="24"/>
                <w:lang w:val="en-US" w:eastAsia="zh-CN"/>
                <w14:textFill>
                  <w14:solidFill>
                    <w14:schemeClr w14:val="tx1"/>
                  </w14:solidFill>
                </w14:textFill>
              </w:rPr>
              <w:t>次，则喷淋塔废水排放量为</w:t>
            </w:r>
            <w:r>
              <w:rPr>
                <w:rFonts w:hint="eastAsia" w:ascii="Times New Roman" w:hAnsi="Times New Roman" w:eastAsia="宋体" w:cs="Times New Roman"/>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4"/>
                <w:lang w:val="en-US" w:eastAsia="zh-CN"/>
                <w14:textFill>
                  <w14:solidFill>
                    <w14:schemeClr w14:val="tx1"/>
                  </w14:solidFill>
                </w14:textFill>
              </w:rPr>
              <w:instrText xml:space="preserve"> =2*5*10 \* MERGEFORMAT </w:instrText>
            </w:r>
            <w:r>
              <w:rPr>
                <w:rFonts w:hint="eastAsia" w:ascii="Times New Roman" w:hAnsi="Times New Roman" w:eastAsia="宋体" w:cs="Times New Roman"/>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4"/>
                <w:lang w:val="en-US" w:eastAsia="zh-CN"/>
                <w14:textFill>
                  <w14:solidFill>
                    <w14:schemeClr w14:val="tx1"/>
                  </w14:solidFill>
                </w14:textFill>
              </w:rPr>
              <w:t>100</w:t>
            </w:r>
            <w:r>
              <w:rPr>
                <w:rFonts w:hint="eastAsia" w:ascii="Times New Roman" w:hAnsi="Times New Roman" w:eastAsia="宋体" w:cs="Times New Roman"/>
                <w:color w:val="000000" w:themeColor="text1"/>
                <w:sz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，喷淋塔废水与电泳生产线清洗废水一并进入</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现有工程</w:t>
            </w:r>
            <w:r>
              <w:rPr>
                <w:rFonts w:hint="eastAsia" w:ascii="Times New Roman" w:hAnsi="Times New Roman" w:eastAsia="宋体" w:cs="Times New Roman"/>
                <w:color w:val="000000" w:themeColor="text1"/>
                <w:sz w:val="24"/>
                <w:lang w:val="en-US" w:eastAsia="zh-CN"/>
                <w14:textFill>
                  <w14:solidFill>
                    <w14:schemeClr w14:val="tx1"/>
                  </w14:solidFill>
                </w14:textFill>
              </w:rPr>
              <w:t>自建废水处理站处理后，经市政污水管网排入</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福建青口海峡环保有限公司（青口新区污水处理厂）集中处理</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6A11FA55">
            <w:pPr>
              <w:keepNext w:val="0"/>
              <w:keepLines w:val="0"/>
              <w:pageBreakBefore w:val="0"/>
              <w:widowControl w:val="0"/>
              <w:tabs>
                <w:tab w:val="left" w:pos="3420"/>
              </w:tabs>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同时喷淋塔日常运行中会有蒸发损耗，参考《环境工程技术手册：废气处理工程技术手册》（王纯、张殿印主编，化学工业出版社，</w:t>
            </w:r>
            <w:r>
              <w:rPr>
                <w:rFonts w:hint="default" w:ascii="Times New Roman" w:hAnsi="Times New Roman" w:eastAsia="宋体" w:cs="Times New Roman"/>
                <w:color w:val="000000" w:themeColor="text1"/>
                <w:sz w:val="24"/>
                <w:lang w:val="en-US" w:eastAsia="zh-CN"/>
                <w14:textFill>
                  <w14:solidFill>
                    <w14:schemeClr w14:val="tx1"/>
                  </w14:solidFill>
                </w14:textFill>
              </w:rPr>
              <w:t>2013</w:t>
            </w:r>
            <w:r>
              <w:rPr>
                <w:rFonts w:hint="eastAsia" w:ascii="Times New Roman" w:hAnsi="Times New Roman" w:eastAsia="宋体" w:cs="Times New Roman"/>
                <w:color w:val="000000" w:themeColor="text1"/>
                <w:sz w:val="24"/>
                <w:lang w:val="en-US" w:eastAsia="zh-CN"/>
                <w14:textFill>
                  <w14:solidFill>
                    <w14:schemeClr w14:val="tx1"/>
                  </w14:solidFill>
                </w14:textFill>
              </w:rPr>
              <w:t>年</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val="en-US" w:eastAsia="zh-CN"/>
                <w14:textFill>
                  <w14:solidFill>
                    <w14:schemeClr w14:val="tx1"/>
                  </w14:solidFill>
                </w14:textFill>
              </w:rPr>
              <w:t>月第</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val="en-US" w:eastAsia="zh-CN"/>
                <w14:textFill>
                  <w14:solidFill>
                    <w14:schemeClr w14:val="tx1"/>
                  </w14:solidFill>
                </w14:textFill>
              </w:rPr>
              <w:t>版），处理喷淋塔液气比按</w:t>
            </w:r>
            <w:r>
              <w:rPr>
                <w:rFonts w:hint="default" w:ascii="Times New Roman" w:hAnsi="Times New Roman" w:eastAsia="宋体" w:cs="Times New Roman"/>
                <w:color w:val="000000" w:themeColor="text1"/>
                <w:sz w:val="24"/>
                <w:lang w:val="en-US" w:eastAsia="zh-CN"/>
                <w14:textFill>
                  <w14:solidFill>
                    <w14:schemeClr w14:val="tx1"/>
                  </w14:solidFill>
                </w14:textFill>
              </w:rPr>
              <w:t>2L/m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设计，则总的循环喷淋用水量约</w:t>
            </w:r>
            <w:r>
              <w:rPr>
                <w:rFonts w:hint="eastAsia" w:cs="Times New Roman"/>
                <w:color w:val="000000" w:themeColor="text1"/>
                <w:sz w:val="24"/>
                <w:lang w:val="en-US" w:eastAsia="zh-CN"/>
                <w14:textFill>
                  <w14:solidFill>
                    <w14:schemeClr w14:val="tx1"/>
                  </w14:solidFill>
                </w14:textFill>
              </w:rPr>
              <w:t>9216</w:t>
            </w:r>
            <w:r>
              <w:rPr>
                <w:rFonts w:hint="eastAsia" w:ascii="Times New Roman" w:hAnsi="Times New Roman" w:eastAsia="宋体" w:cs="Times New Roman"/>
                <w:color w:val="000000" w:themeColor="text1"/>
                <w:sz w:val="24"/>
                <w:lang w:val="en-US" w:eastAsia="zh-CN"/>
                <w14:textFill>
                  <w14:solidFill>
                    <w14:schemeClr w14:val="tx1"/>
                  </w14:solidFill>
                </w14:textFill>
              </w:rPr>
              <w:t>00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，损耗率按循环水量的</w:t>
            </w:r>
            <w:r>
              <w:rPr>
                <w:rFonts w:hint="eastAsia" w:cs="Times New Roman"/>
                <w:color w:val="000000" w:themeColor="text1"/>
                <w:sz w:val="24"/>
                <w:lang w:val="en-US" w:eastAsia="zh-CN"/>
                <w14:textFill>
                  <w14:solidFill>
                    <w14:schemeClr w14:val="tx1"/>
                  </w14:solidFill>
                </w14:textFill>
              </w:rPr>
              <w:t>0.3</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计，即喷淋塔蒸发损耗的水量为</w:t>
            </w:r>
            <w:r>
              <w:rPr>
                <w:rFonts w:hint="eastAsia" w:ascii="Times New Roman" w:hAnsi="Times New Roman" w:eastAsia="宋体" w:cs="Times New Roman"/>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4"/>
                <w:lang w:val="en-US" w:eastAsia="zh-CN"/>
                <w14:textFill>
                  <w14:solidFill>
                    <w14:schemeClr w14:val="tx1"/>
                  </w14:solidFill>
                </w14:textFill>
              </w:rPr>
              <w:instrText xml:space="preserve"> = 921600*0.3/100 \* MERGEFORMAT </w:instrText>
            </w:r>
            <w:r>
              <w:rPr>
                <w:rFonts w:hint="eastAsia" w:ascii="Times New Roman" w:hAnsi="Times New Roman" w:eastAsia="宋体" w:cs="Times New Roman"/>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4"/>
                <w:lang w:val="en-US" w:eastAsia="zh-CN"/>
                <w14:textFill>
                  <w14:solidFill>
                    <w14:schemeClr w14:val="tx1"/>
                  </w14:solidFill>
                </w14:textFill>
              </w:rPr>
              <w:t>2764.8</w:t>
            </w:r>
            <w:r>
              <w:rPr>
                <w:rFonts w:hint="eastAsia" w:ascii="Times New Roman" w:hAnsi="Times New Roman" w:eastAsia="宋体" w:cs="Times New Roman"/>
                <w:color w:val="000000" w:themeColor="text1"/>
                <w:sz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4"/>
                <w:lang w:val="en-US" w:eastAsia="zh-CN"/>
                <w14:textFill>
                  <w14:solidFill>
                    <w14:schemeClr w14:val="tx1"/>
                  </w14:solidFill>
                </w14:textFill>
              </w:rPr>
              <w:instrText xml:space="preserve"> = 921600*0.3/100/300 \* MERGEFORMAT </w:instrText>
            </w:r>
            <w:r>
              <w:rPr>
                <w:rFonts w:hint="eastAsia" w:ascii="Times New Roman" w:hAnsi="Times New Roman" w:eastAsia="宋体" w:cs="Times New Roman"/>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4"/>
                <w:lang w:val="en-US" w:eastAsia="zh-CN"/>
                <w14:textFill>
                  <w14:solidFill>
                    <w14:schemeClr w14:val="tx1"/>
                  </w14:solidFill>
                </w14:textFill>
              </w:rPr>
              <w:t>9.216</w:t>
            </w:r>
            <w:r>
              <w:rPr>
                <w:rFonts w:hint="eastAsia" w:ascii="Times New Roman" w:hAnsi="Times New Roman" w:eastAsia="宋体" w:cs="Times New Roman"/>
                <w:color w:val="000000" w:themeColor="text1"/>
                <w:sz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d）。</w:t>
            </w:r>
          </w:p>
        </w:tc>
      </w:tr>
    </w:tbl>
    <w:p w14:paraId="52FE713E">
      <w:pPr>
        <w:pStyle w:val="25"/>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sectPr>
          <w:pgSz w:w="11906" w:h="16838"/>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1A0383CE">
      <w:pPr>
        <w:adjustRightInd w:val="0"/>
        <w:snapToGrid w:val="0"/>
        <w:spacing w:before="120" w:beforeLines="50"/>
        <w:jc w:val="center"/>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 xml:space="preserve">表2.2-8  </w:t>
      </w:r>
      <w:r>
        <w:rPr>
          <w:rFonts w:hint="eastAsia" w:cs="Times New Roman"/>
          <w:b/>
          <w:color w:val="000000" w:themeColor="text1"/>
          <w:sz w:val="24"/>
          <w:lang w:val="en-US" w:eastAsia="zh-CN"/>
          <w14:textFill>
            <w14:solidFill>
              <w14:schemeClr w14:val="tx1"/>
            </w14:solidFill>
          </w14:textFill>
        </w:rPr>
        <w:t>全厂</w:t>
      </w:r>
      <w:r>
        <w:rPr>
          <w:rFonts w:hint="eastAsia" w:ascii="Times New Roman" w:hAnsi="Times New Roman" w:eastAsia="宋体" w:cs="Times New Roman"/>
          <w:b/>
          <w:color w:val="000000" w:themeColor="text1"/>
          <w:sz w:val="24"/>
          <w:lang w:val="en-US" w:eastAsia="zh-CN"/>
          <w14:textFill>
            <w14:solidFill>
              <w14:schemeClr w14:val="tx1"/>
            </w14:solidFill>
          </w14:textFill>
        </w:rPr>
        <w:t>生产</w:t>
      </w:r>
      <w:r>
        <w:rPr>
          <w:rFonts w:hint="eastAsia" w:cs="Times New Roman"/>
          <w:b/>
          <w:color w:val="000000" w:themeColor="text1"/>
          <w:sz w:val="24"/>
          <w:lang w:val="en-US" w:eastAsia="zh-CN"/>
          <w14:textFill>
            <w14:solidFill>
              <w14:schemeClr w14:val="tx1"/>
            </w14:solidFill>
          </w14:textFill>
        </w:rPr>
        <w:t>水</w:t>
      </w:r>
      <w:r>
        <w:rPr>
          <w:rFonts w:hint="eastAsia" w:ascii="Times New Roman" w:hAnsi="Times New Roman" w:eastAsia="宋体" w:cs="Times New Roman"/>
          <w:b/>
          <w:color w:val="000000" w:themeColor="text1"/>
          <w:sz w:val="24"/>
          <w:lang w:val="en-US" w:eastAsia="zh-CN"/>
          <w14:textFill>
            <w14:solidFill>
              <w14:schemeClr w14:val="tx1"/>
            </w14:solidFill>
          </w14:textFill>
        </w:rPr>
        <w:t>用排水情况一览表</w:t>
      </w:r>
    </w:p>
    <w:p w14:paraId="64433428">
      <w:pPr>
        <w:pStyle w:val="25"/>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pPr>
    </w:p>
    <w:p w14:paraId="6D74FE62">
      <w:pPr>
        <w:pStyle w:val="25"/>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sectPr>
          <w:pgSz w:w="23811" w:h="16838" w:orient="landscape"/>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0C6C4B43">
      <w:pPr>
        <w:adjustRightInd w:val="0"/>
        <w:snapToGrid w:val="0"/>
        <w:spacing w:before="120" w:beforeLines="50"/>
        <w:jc w:val="center"/>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 xml:space="preserve">表2.2-9  </w:t>
      </w:r>
      <w:r>
        <w:rPr>
          <w:rFonts w:hint="eastAsia" w:cs="Times New Roman"/>
          <w:b/>
          <w:color w:val="000000" w:themeColor="text1"/>
          <w:sz w:val="24"/>
          <w:lang w:val="en-US" w:eastAsia="zh-CN"/>
          <w14:textFill>
            <w14:solidFill>
              <w14:schemeClr w14:val="tx1"/>
            </w14:solidFill>
          </w14:textFill>
        </w:rPr>
        <w:t>全厂</w:t>
      </w:r>
      <w:r>
        <w:rPr>
          <w:rFonts w:hint="eastAsia" w:ascii="Times New Roman" w:hAnsi="Times New Roman" w:eastAsia="宋体" w:cs="Times New Roman"/>
          <w:b/>
          <w:color w:val="000000" w:themeColor="text1"/>
          <w:sz w:val="24"/>
          <w:lang w:val="en-US" w:eastAsia="zh-CN"/>
          <w14:textFill>
            <w14:solidFill>
              <w14:schemeClr w14:val="tx1"/>
            </w14:solidFill>
          </w14:textFill>
        </w:rPr>
        <w:t>用排水情况一览表</w:t>
      </w:r>
    </w:p>
    <w:p w14:paraId="167ABAFE">
      <w:pPr>
        <w:pStyle w:val="25"/>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100ABCFA">
      <w:pPr>
        <w:pStyle w:val="25"/>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sectPr>
          <w:pgSz w:w="16838" w:h="11906" w:orient="landscape"/>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0E0990A3">
      <w:pPr>
        <w:pStyle w:val="11"/>
        <w:jc w:val="center"/>
        <w:rPr>
          <w:color w:val="000000" w:themeColor="text1"/>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1A1D497C">
      <w:pPr>
        <w:pStyle w:val="11"/>
        <w:jc w:val="center"/>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highlight w:val="none"/>
          <w:lang w:eastAsia="zh-CN"/>
          <w14:textFill>
            <w14:solidFill>
              <w14:schemeClr w14:val="tx1"/>
            </w14:solidFill>
          </w14:textFill>
        </w:rPr>
        <w:t>图</w:t>
      </w:r>
      <w:r>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4"/>
          <w:highlight w:val="none"/>
          <w:lang w:eastAsia="zh-CN"/>
          <w14:textFill>
            <w14:solidFill>
              <w14:schemeClr w14:val="tx1"/>
            </w14:solidFill>
          </w14:textFill>
        </w:rPr>
        <w:t xml:space="preserve">  </w:t>
      </w: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现有</w:t>
      </w:r>
      <w:r>
        <w:rPr>
          <w:rFonts w:hint="default" w:ascii="Times New Roman" w:hAnsi="Times New Roman" w:eastAsia="宋体" w:cs="Times New Roman"/>
          <w:b/>
          <w:bCs w:val="0"/>
          <w:color w:val="000000" w:themeColor="text1"/>
          <w:sz w:val="24"/>
          <w:highlight w:val="none"/>
          <w:lang w:eastAsia="zh-CN"/>
          <w14:textFill>
            <w14:solidFill>
              <w14:schemeClr w14:val="tx1"/>
            </w14:solidFill>
          </w14:textFill>
        </w:rPr>
        <w:t>工程水平衡图  单位：m</w:t>
      </w:r>
      <w:r>
        <w:rPr>
          <w:rFonts w:hint="default" w:ascii="Times New Roman" w:hAnsi="Times New Roman" w:eastAsia="宋体" w:cs="Times New Roman"/>
          <w:b/>
          <w:bCs w:val="0"/>
          <w:color w:val="000000" w:themeColor="text1"/>
          <w:sz w:val="24"/>
          <w:highlight w:val="none"/>
          <w:vertAlign w:val="superscript"/>
          <w:lang w:eastAsia="zh-CN"/>
          <w14:textFill>
            <w14:solidFill>
              <w14:schemeClr w14:val="tx1"/>
            </w14:solidFill>
          </w14:textFill>
        </w:rPr>
        <w:t>3</w:t>
      </w:r>
      <w:r>
        <w:rPr>
          <w:rFonts w:hint="default" w:ascii="Times New Roman" w:hAnsi="Times New Roman" w:eastAsia="宋体" w:cs="Times New Roman"/>
          <w:b/>
          <w:bCs w:val="0"/>
          <w:color w:val="000000" w:themeColor="text1"/>
          <w:sz w:val="24"/>
          <w:highlight w:val="none"/>
          <w:lang w:eastAsia="zh-CN"/>
          <w14:textFill>
            <w14:solidFill>
              <w14:schemeClr w14:val="tx1"/>
            </w14:solidFill>
          </w14:textFill>
        </w:rPr>
        <w:t>/</w:t>
      </w:r>
      <w:r>
        <w:rPr>
          <w:rFonts w:hint="eastAsia" w:cs="Times New Roman"/>
          <w:b/>
          <w:bCs w:val="0"/>
          <w:color w:val="000000" w:themeColor="text1"/>
          <w:sz w:val="24"/>
          <w:highlight w:val="none"/>
          <w:lang w:val="en-US" w:eastAsia="zh-CN"/>
          <w14:textFill>
            <w14:solidFill>
              <w14:schemeClr w14:val="tx1"/>
            </w14:solidFill>
          </w14:textFill>
        </w:rPr>
        <w:t>a</w:t>
      </w:r>
    </w:p>
    <w:p w14:paraId="7B847ADA">
      <w:pPr>
        <w:pStyle w:val="25"/>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sectPr>
          <w:pgSz w:w="11906" w:h="16838"/>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4355CAF2">
      <w:pPr>
        <w:pStyle w:val="11"/>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3F731B1A">
      <w:pPr>
        <w:pStyle w:val="11"/>
        <w:jc w:val="center"/>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highlight w:val="none"/>
          <w:lang w:eastAsia="zh-CN"/>
          <w14:textFill>
            <w14:solidFill>
              <w14:schemeClr w14:val="tx1"/>
            </w14:solidFill>
          </w14:textFill>
        </w:rPr>
        <w:t>图</w:t>
      </w:r>
      <w:r>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bCs w:val="0"/>
          <w:color w:val="000000" w:themeColor="text1"/>
          <w:sz w:val="24"/>
          <w:highlight w:val="none"/>
          <w:lang w:eastAsia="zh-CN"/>
          <w14:textFill>
            <w14:solidFill>
              <w14:schemeClr w14:val="tx1"/>
            </w14:solidFill>
          </w14:textFill>
        </w:rPr>
        <w:t xml:space="preserve">  </w:t>
      </w: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改扩建后全厂</w:t>
      </w:r>
      <w:r>
        <w:rPr>
          <w:rFonts w:hint="default" w:ascii="Times New Roman" w:hAnsi="Times New Roman" w:eastAsia="宋体" w:cs="Times New Roman"/>
          <w:b/>
          <w:bCs w:val="0"/>
          <w:color w:val="000000" w:themeColor="text1"/>
          <w:sz w:val="24"/>
          <w:highlight w:val="none"/>
          <w:lang w:eastAsia="zh-CN"/>
          <w14:textFill>
            <w14:solidFill>
              <w14:schemeClr w14:val="tx1"/>
            </w14:solidFill>
          </w14:textFill>
        </w:rPr>
        <w:t>水平衡图  单位：m</w:t>
      </w:r>
      <w:r>
        <w:rPr>
          <w:rFonts w:hint="default" w:ascii="Times New Roman" w:hAnsi="Times New Roman" w:eastAsia="宋体" w:cs="Times New Roman"/>
          <w:b/>
          <w:bCs w:val="0"/>
          <w:color w:val="000000" w:themeColor="text1"/>
          <w:sz w:val="24"/>
          <w:highlight w:val="none"/>
          <w:vertAlign w:val="superscript"/>
          <w:lang w:eastAsia="zh-CN"/>
          <w14:textFill>
            <w14:solidFill>
              <w14:schemeClr w14:val="tx1"/>
            </w14:solidFill>
          </w14:textFill>
        </w:rPr>
        <w:t>3</w:t>
      </w:r>
      <w:r>
        <w:rPr>
          <w:rFonts w:hint="default" w:ascii="Times New Roman" w:hAnsi="Times New Roman" w:eastAsia="宋体" w:cs="Times New Roman"/>
          <w:b/>
          <w:bCs w:val="0"/>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a</w:t>
      </w:r>
    </w:p>
    <w:p w14:paraId="4433649F">
      <w:pPr>
        <w:pStyle w:val="25"/>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sectPr>
          <w:pgSz w:w="16838" w:h="23811"/>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497"/>
      </w:tblGrid>
      <w:tr w14:paraId="1E4EB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3" w:type="dxa"/>
            <w:noWrap w:val="0"/>
            <w:vAlign w:val="center"/>
          </w:tcPr>
          <w:p w14:paraId="374A4EDA">
            <w:pPr>
              <w:pStyle w:val="25"/>
              <w:adjustRightInd w:val="0"/>
              <w:snapToGrid w:val="0"/>
              <w:spacing w:before="0" w:beforeAutospacing="0" w:after="0" w:afterAutospacing="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建设内容</w:t>
            </w:r>
          </w:p>
        </w:tc>
        <w:tc>
          <w:tcPr>
            <w:tcW w:w="8497" w:type="dxa"/>
            <w:noWrap w:val="0"/>
            <w:vAlign w:val="top"/>
          </w:tcPr>
          <w:p w14:paraId="6927B07D">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（3）供电</w:t>
            </w:r>
          </w:p>
          <w:p w14:paraId="05DE297A">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本项目供电由市政电网供电，项目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用电</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40万kwh/a。</w:t>
            </w:r>
          </w:p>
          <w:p w14:paraId="7EF4E14C">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（4）供热</w:t>
            </w:r>
          </w:p>
          <w:p w14:paraId="244FD668">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本项目供热使用天然气进行供热，年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新增</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使用天然气</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万立方米。</w:t>
            </w:r>
          </w:p>
          <w:p w14:paraId="32E2CE47">
            <w:pPr>
              <w:adjustRightInd w:val="0"/>
              <w:snapToGrid w:val="0"/>
              <w:spacing w:before="120" w:beforeLines="50" w:line="360" w:lineRule="auto"/>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2.2.</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项目平面布置合理性分析</w:t>
            </w:r>
          </w:p>
          <w:p w14:paraId="2277632C">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项目租赁已建厂房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进行改扩建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按生产流水线依次</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布置</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前处理线（预脱脂、脱脂、表调、磷化、水洗）、</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电泳线</w:t>
            </w:r>
            <w:r>
              <w:rPr>
                <w:rFonts w:hint="eastAsia" w:ascii="Times New Roman" w:hAnsi="Times New Roman" w:cs="Times New Roman"/>
                <w:color w:val="000000" w:themeColor="text1"/>
                <w:spacing w:val="0"/>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含烘干固化</w:t>
            </w:r>
            <w:r>
              <w:rPr>
                <w:rFonts w:hint="eastAsia" w:ascii="Times New Roman" w:hAnsi="Times New Roman"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喷粉线</w:t>
            </w:r>
            <w:r>
              <w:rPr>
                <w:rFonts w:hint="eastAsia" w:ascii="Times New Roman" w:hAnsi="Times New Roman" w:cs="Times New Roman"/>
                <w:color w:val="000000" w:themeColor="text1"/>
                <w:spacing w:val="0"/>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含烘干固化</w:t>
            </w:r>
            <w:r>
              <w:rPr>
                <w:rFonts w:hint="eastAsia" w:ascii="Times New Roman" w:hAnsi="Times New Roman"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生产区按工艺顺序依次布置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流线合理，一般固废仓库</w:t>
            </w:r>
            <w:r>
              <w:rPr>
                <w:rFonts w:hint="eastAsia" w:cs="Times New Roman"/>
                <w:color w:val="000000" w:themeColor="text1"/>
                <w:sz w:val="24"/>
                <w:szCs w:val="24"/>
                <w:highlight w:val="none"/>
                <w:lang w:val="en-US" w:eastAsia="zh-CN"/>
                <w14:textFill>
                  <w14:solidFill>
                    <w14:schemeClr w14:val="tx1"/>
                  </w14:solidFill>
                </w14:textFill>
              </w:rPr>
              <w:t>位于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3#厂房1F</w:t>
            </w:r>
            <w:r>
              <w:rPr>
                <w:rFonts w:hint="eastAsia" w:cs="Times New Roman"/>
                <w:color w:val="000000" w:themeColor="text1"/>
                <w:sz w:val="24"/>
                <w:szCs w:val="24"/>
                <w:lang w:val="en-US" w:eastAsia="zh-CN"/>
                <w14:textFill>
                  <w14:solidFill>
                    <w14:schemeClr w14:val="tx1"/>
                  </w14:solidFill>
                </w14:textFill>
              </w:rPr>
              <w:t>南侧，</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危险废物仓库布置在</w:t>
            </w:r>
            <w:r>
              <w:rPr>
                <w:rFonts w:hint="eastAsia" w:cs="Times New Roman"/>
                <w:color w:val="000000" w:themeColor="text1"/>
                <w:sz w:val="24"/>
                <w:szCs w:val="24"/>
                <w:lang w:val="en-US" w:eastAsia="zh-CN"/>
                <w14:textFill>
                  <w14:solidFill>
                    <w14:schemeClr w14:val="tx1"/>
                  </w14:solidFill>
                </w14:textFill>
              </w:rPr>
              <w:t>仓库及综合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楼4F</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。总平面布置功能分区明确、布置紧凑、生产流程顺畅，减少交叉干扰，有利于安全生产，便于管理。该区常年主导风向为东南风，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评价范围内居民位于项目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常年主导风向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侧风向处，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项目常年主导风向下风向均为其他工业企业，因此，可最大减少本项目工艺废气对周边大气敏感目标的影响。</w:t>
            </w:r>
          </w:p>
          <w:p w14:paraId="162FA258">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综上所述，本项目的总平布置基本合理。</w:t>
            </w:r>
          </w:p>
        </w:tc>
      </w:tr>
      <w:tr w14:paraId="21DBA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543" w:type="dxa"/>
            <w:noWrap w:val="0"/>
            <w:vAlign w:val="center"/>
          </w:tcPr>
          <w:p w14:paraId="744D9F01">
            <w:pPr>
              <w:pStyle w:val="25"/>
              <w:adjustRightInd w:val="0"/>
              <w:snapToGrid w:val="0"/>
              <w:spacing w:before="0" w:beforeAutospacing="0" w:after="0" w:afterAutospacing="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工艺流程和产排污环节</w:t>
            </w:r>
          </w:p>
        </w:tc>
        <w:tc>
          <w:tcPr>
            <w:tcW w:w="8497" w:type="dxa"/>
            <w:noWrap w:val="0"/>
            <w:vAlign w:val="top"/>
          </w:tcPr>
          <w:p w14:paraId="19F84ACF">
            <w:pPr>
              <w:pStyle w:val="3"/>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2.</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highlight w:val="none"/>
                <w14:textFill>
                  <w14:solidFill>
                    <w14:schemeClr w14:val="tx1"/>
                  </w14:solidFill>
                </w14:textFill>
              </w:rPr>
              <w:t>生产工艺流程及产污环节</w:t>
            </w:r>
          </w:p>
          <w:p w14:paraId="52B9872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 xml:space="preserve">.1工艺流程及工艺介绍 </w:t>
            </w:r>
          </w:p>
          <w:p w14:paraId="61010C25">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本项目工艺流程及产污环节详见下图2.3-1。</w:t>
            </w:r>
          </w:p>
          <w:p w14:paraId="2B85BD1F">
            <w:pPr>
              <w:jc w:val="center"/>
              <w:rPr>
                <w:rFonts w:hint="default" w:ascii="Times New Roman" w:hAnsi="Times New Roman" w:eastAsia="黑体" w:cs="Times New Roman"/>
                <w:color w:val="000000" w:themeColor="text1"/>
                <w:sz w:val="24"/>
                <w:highlight w:val="none"/>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4E67E728">
            <w:pPr>
              <w:jc w:val="center"/>
              <w:rPr>
                <w:rFonts w:hint="default" w:ascii="Times New Roman" w:hAnsi="Times New Roman" w:eastAsia="黑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val="0"/>
                <w:color w:val="000000" w:themeColor="text1"/>
                <w:kern w:val="0"/>
                <w:sz w:val="24"/>
                <w:szCs w:val="20"/>
                <w:highlight w:val="none"/>
                <w:lang w:val="en-US" w:eastAsia="zh-CN" w:bidi="ar-SA"/>
                <w14:textFill>
                  <w14:solidFill>
                    <w14:schemeClr w14:val="tx1"/>
                  </w14:solidFill>
                </w14:textFill>
              </w:rPr>
              <w:t>图2.3-1  工艺流程及排污节点图</w:t>
            </w:r>
          </w:p>
          <w:p w14:paraId="5E4F02B4">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themeColor="text1"/>
                <w:position w:val="0"/>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position w:val="0"/>
                <w:sz w:val="24"/>
                <w:szCs w:val="24"/>
                <w:highlight w:val="none"/>
                <w:lang w:val="en-US" w:eastAsia="zh-CN"/>
                <w14:textFill>
                  <w14:solidFill>
                    <w14:schemeClr w14:val="tx1"/>
                  </w14:solidFill>
                </w14:textFill>
              </w:rPr>
              <w:t>2.3.2 产污环节分析</w:t>
            </w:r>
          </w:p>
          <w:p w14:paraId="575A4C5A">
            <w:pPr>
              <w:autoSpaceDE w:val="0"/>
              <w:autoSpaceDN w:val="0"/>
              <w:spacing w:line="360" w:lineRule="auto"/>
              <w:ind w:firstLine="480" w:firstLineChars="200"/>
              <w:textAlignment w:val="bottom"/>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0"/>
                <w:sz w:val="24"/>
                <w:szCs w:val="24"/>
                <w:highlight w:val="none"/>
                <w:lang w:eastAsia="zh-CN"/>
                <w14:textFill>
                  <w14:solidFill>
                    <w14:schemeClr w14:val="tx1"/>
                  </w14:solidFill>
                </w14:textFill>
              </w:rPr>
              <w:t>项目产污环节说明一览表详见下表</w:t>
            </w: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2.3-1。</w:t>
            </w:r>
          </w:p>
          <w:p w14:paraId="6D521363">
            <w:pPr>
              <w:pStyle w:val="83"/>
              <w:numPr>
                <w:ilvl w:val="0"/>
                <w:numId w:val="0"/>
              </w:numPr>
              <w:autoSpaceDE/>
              <w:autoSpaceDN/>
              <w:spacing w:after="0" w:line="240" w:lineRule="auto"/>
              <w:ind w:left="0" w:leftChars="0" w:firstLine="200" w:firstLineChars="0"/>
              <w:outlineLvl w:val="9"/>
              <w:rPr>
                <w:rFonts w:hint="default" w:ascii="Times New Roman" w:hAnsi="Times New Roman" w:eastAsia="宋体" w:cs="宋体"/>
                <w:bCs/>
                <w:color w:val="000000" w:themeColor="text1"/>
                <w:szCs w:val="21"/>
                <w:lang w:val="en-US" w:eastAsia="zh-CN"/>
                <w14:textFill>
                  <w14:solidFill>
                    <w14:schemeClr w14:val="tx1"/>
                  </w14:solidFill>
                </w14:textFill>
              </w:rPr>
            </w:pPr>
            <w:r>
              <w:rPr>
                <w:rFonts w:hint="default" w:ascii="Times New Roman" w:hAnsi="Times New Roman" w:eastAsia="宋体" w:cs="宋体"/>
                <w:bCs/>
                <w:color w:val="000000" w:themeColor="text1"/>
                <w:szCs w:val="21"/>
                <w:lang w:val="en-US" w:eastAsia="zh-CN"/>
                <w14:textFill>
                  <w14:solidFill>
                    <w14:schemeClr w14:val="tx1"/>
                  </w14:solidFill>
                </w14:textFill>
              </w:rPr>
              <w:t>表2.3-1  项目产污环节说明一览表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709"/>
              <w:gridCol w:w="1123"/>
              <w:gridCol w:w="1340"/>
              <w:gridCol w:w="1605"/>
              <w:gridCol w:w="694"/>
              <w:gridCol w:w="2368"/>
            </w:tblGrid>
            <w:tr w14:paraId="683D5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noWrap w:val="0"/>
                  <w:vAlign w:val="center"/>
                </w:tcPr>
                <w:p w14:paraId="6F563A52">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类别</w:t>
                  </w:r>
                </w:p>
              </w:tc>
              <w:tc>
                <w:tcPr>
                  <w:tcW w:w="428" w:type="pct"/>
                  <w:noWrap w:val="0"/>
                  <w:vAlign w:val="center"/>
                </w:tcPr>
                <w:p w14:paraId="56BE5E2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编号</w:t>
                  </w:r>
                </w:p>
              </w:tc>
              <w:tc>
                <w:tcPr>
                  <w:tcW w:w="678" w:type="pct"/>
                  <w:tcBorders>
                    <w:left w:val="single" w:color="000000" w:sz="4" w:space="0"/>
                    <w:right w:val="single" w:color="000000" w:sz="4" w:space="0"/>
                  </w:tcBorders>
                  <w:noWrap w:val="0"/>
                  <w:vAlign w:val="center"/>
                </w:tcPr>
                <w:p w14:paraId="6DB985D2">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产污环节</w:t>
                  </w:r>
                </w:p>
              </w:tc>
              <w:tc>
                <w:tcPr>
                  <w:tcW w:w="809" w:type="pct"/>
                  <w:tcBorders>
                    <w:left w:val="single" w:color="000000" w:sz="4" w:space="0"/>
                    <w:right w:val="single" w:color="000000" w:sz="4" w:space="0"/>
                  </w:tcBorders>
                  <w:noWrap w:val="0"/>
                  <w:vAlign w:val="center"/>
                </w:tcPr>
                <w:p w14:paraId="1080DF30">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污染物名称</w:t>
                  </w:r>
                </w:p>
              </w:tc>
              <w:tc>
                <w:tcPr>
                  <w:tcW w:w="969" w:type="pct"/>
                  <w:tcBorders>
                    <w:left w:val="single" w:color="000000" w:sz="4" w:space="0"/>
                  </w:tcBorders>
                  <w:noWrap w:val="0"/>
                  <w:vAlign w:val="center"/>
                </w:tcPr>
                <w:p w14:paraId="70E75B19">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主要污染物</w:t>
                  </w:r>
                </w:p>
              </w:tc>
              <w:tc>
                <w:tcPr>
                  <w:tcW w:w="1849" w:type="pct"/>
                  <w:gridSpan w:val="2"/>
                  <w:tcBorders>
                    <w:left w:val="single" w:color="000000" w:sz="4" w:space="0"/>
                  </w:tcBorders>
                  <w:noWrap w:val="0"/>
                  <w:vAlign w:val="center"/>
                </w:tcPr>
                <w:p w14:paraId="6B8C205E">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环保措施</w:t>
                  </w:r>
                </w:p>
              </w:tc>
            </w:tr>
            <w:tr w14:paraId="13F40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65" w:type="pct"/>
                  <w:vMerge w:val="restart"/>
                  <w:noWrap w:val="0"/>
                  <w:vAlign w:val="center"/>
                </w:tcPr>
                <w:p w14:paraId="61338DBD">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废水</w:t>
                  </w:r>
                </w:p>
              </w:tc>
              <w:tc>
                <w:tcPr>
                  <w:tcW w:w="428" w:type="pct"/>
                  <w:noWrap w:val="0"/>
                  <w:vAlign w:val="center"/>
                </w:tcPr>
                <w:p w14:paraId="531EFD0E">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W</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1</w:t>
                  </w:r>
                </w:p>
              </w:tc>
              <w:tc>
                <w:tcPr>
                  <w:tcW w:w="678" w:type="pct"/>
                  <w:tcBorders>
                    <w:left w:val="single" w:color="000000" w:sz="4" w:space="0"/>
                    <w:right w:val="single" w:color="000000" w:sz="4" w:space="0"/>
                  </w:tcBorders>
                  <w:noWrap w:val="0"/>
                  <w:vAlign w:val="center"/>
                </w:tcPr>
                <w:p w14:paraId="6F59EBFA">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热</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水洗</w:t>
                  </w:r>
                </w:p>
              </w:tc>
              <w:tc>
                <w:tcPr>
                  <w:tcW w:w="809" w:type="pct"/>
                  <w:vMerge w:val="restart"/>
                  <w:tcBorders>
                    <w:left w:val="single" w:color="000000" w:sz="4" w:space="0"/>
                    <w:right w:val="single" w:color="000000" w:sz="4" w:space="0"/>
                  </w:tcBorders>
                  <w:noWrap w:val="0"/>
                  <w:vAlign w:val="center"/>
                </w:tcPr>
                <w:p w14:paraId="100A5DD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水洗废水</w:t>
                  </w:r>
                </w:p>
              </w:tc>
              <w:tc>
                <w:tcPr>
                  <w:tcW w:w="969" w:type="pct"/>
                  <w:vMerge w:val="restart"/>
                  <w:tcBorders>
                    <w:left w:val="single" w:color="000000" w:sz="4" w:space="0"/>
                  </w:tcBorders>
                  <w:noWrap w:val="0"/>
                  <w:vAlign w:val="center"/>
                </w:tcPr>
                <w:p w14:paraId="6F8424C1">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pH、COD、SS、石油类</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、LAS</w:t>
                  </w:r>
                </w:p>
              </w:tc>
              <w:tc>
                <w:tcPr>
                  <w:tcW w:w="1849" w:type="pct"/>
                  <w:gridSpan w:val="2"/>
                  <w:vMerge w:val="restart"/>
                  <w:tcBorders>
                    <w:left w:val="single" w:color="000000" w:sz="4" w:space="0"/>
                  </w:tcBorders>
                  <w:noWrap w:val="0"/>
                  <w:vAlign w:val="center"/>
                </w:tcPr>
                <w:p w14:paraId="0CBEF2E5">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对</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现有工程</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废水处理设施</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进行改造升级，扩大处理规模，</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处理</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工艺采用</w:t>
                  </w:r>
                  <w:r>
                    <w:rPr>
                      <w:rFonts w:hint="eastAsia" w:ascii="Times New Roman" w:hAnsi="Times New Roman" w:cs="Times New Roman"/>
                      <w:b w:val="0"/>
                      <w:bCs/>
                      <w:color w:val="000000" w:themeColor="text1"/>
                      <w:spacing w:val="0"/>
                      <w:sz w:val="21"/>
                      <w:szCs w:val="21"/>
                      <w:lang w:val="en-US" w:eastAsia="zh-CN"/>
                      <w14:textFill>
                        <w14:solidFill>
                          <w14:schemeClr w14:val="tx1"/>
                        </w14:solidFill>
                      </w14:textFill>
                    </w:rPr>
                    <w:t>芬顿氧化→混凝→絮凝→沉淀，处理</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达标后接入福建青口海峡环保有限公司（青口新区污水处理厂）进行处理</w:t>
                  </w:r>
                </w:p>
              </w:tc>
            </w:tr>
            <w:tr w14:paraId="55DA0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27CEDF99">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1D60E2EA">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W</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2</w:t>
                  </w:r>
                </w:p>
              </w:tc>
              <w:tc>
                <w:tcPr>
                  <w:tcW w:w="678" w:type="pct"/>
                  <w:tcBorders>
                    <w:left w:val="single" w:color="000000" w:sz="4" w:space="0"/>
                    <w:right w:val="single" w:color="000000" w:sz="4" w:space="0"/>
                  </w:tcBorders>
                  <w:noWrap w:val="0"/>
                  <w:vAlign w:val="center"/>
                </w:tcPr>
                <w:p w14:paraId="7643F717">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预脱脂</w:t>
                  </w:r>
                </w:p>
              </w:tc>
              <w:tc>
                <w:tcPr>
                  <w:tcW w:w="809" w:type="pct"/>
                  <w:vMerge w:val="continue"/>
                  <w:tcBorders>
                    <w:left w:val="single" w:color="000000" w:sz="4" w:space="0"/>
                    <w:right w:val="single" w:color="000000" w:sz="4" w:space="0"/>
                  </w:tcBorders>
                  <w:noWrap w:val="0"/>
                  <w:vAlign w:val="center"/>
                </w:tcPr>
                <w:p w14:paraId="0DE437D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969" w:type="pct"/>
                  <w:vMerge w:val="continue"/>
                  <w:tcBorders>
                    <w:left w:val="single" w:color="000000" w:sz="4" w:space="0"/>
                  </w:tcBorders>
                  <w:noWrap w:val="0"/>
                  <w:vAlign w:val="center"/>
                </w:tcPr>
                <w:p w14:paraId="2BE0570B">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1849" w:type="pct"/>
                  <w:gridSpan w:val="2"/>
                  <w:vMerge w:val="continue"/>
                  <w:tcBorders>
                    <w:left w:val="single" w:color="000000" w:sz="4" w:space="0"/>
                  </w:tcBorders>
                  <w:noWrap w:val="0"/>
                  <w:vAlign w:val="center"/>
                </w:tcPr>
                <w:p w14:paraId="7B6A239A">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r>
            <w:tr w14:paraId="02A96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39705AEA">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4AE6934B">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W</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3~4</w:t>
                  </w:r>
                </w:p>
              </w:tc>
              <w:tc>
                <w:tcPr>
                  <w:tcW w:w="678" w:type="pct"/>
                  <w:tcBorders>
                    <w:left w:val="single" w:color="000000" w:sz="4" w:space="0"/>
                    <w:right w:val="single" w:color="000000" w:sz="4" w:space="0"/>
                  </w:tcBorders>
                  <w:noWrap w:val="0"/>
                  <w:vAlign w:val="center"/>
                </w:tcPr>
                <w:p w14:paraId="6E2870E6">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水洗</w:t>
                  </w:r>
                </w:p>
              </w:tc>
              <w:tc>
                <w:tcPr>
                  <w:tcW w:w="809" w:type="pct"/>
                  <w:vMerge w:val="continue"/>
                  <w:tcBorders>
                    <w:left w:val="single" w:color="000000" w:sz="4" w:space="0"/>
                    <w:right w:val="single" w:color="000000" w:sz="4" w:space="0"/>
                  </w:tcBorders>
                  <w:noWrap w:val="0"/>
                  <w:vAlign w:val="center"/>
                </w:tcPr>
                <w:p w14:paraId="553F40DD">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969" w:type="pct"/>
                  <w:vMerge w:val="continue"/>
                  <w:tcBorders>
                    <w:left w:val="single" w:color="000000" w:sz="4" w:space="0"/>
                  </w:tcBorders>
                  <w:noWrap w:val="0"/>
                  <w:vAlign w:val="center"/>
                </w:tcPr>
                <w:p w14:paraId="49D9FA87">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1849" w:type="pct"/>
                  <w:gridSpan w:val="2"/>
                  <w:vMerge w:val="continue"/>
                  <w:tcBorders>
                    <w:left w:val="single" w:color="000000" w:sz="4" w:space="0"/>
                  </w:tcBorders>
                  <w:noWrap w:val="0"/>
                  <w:vAlign w:val="center"/>
                </w:tcPr>
                <w:p w14:paraId="78977F63">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r>
            <w:tr w14:paraId="5B1A2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3B706824">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0B8BBFBA">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W</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5</w:t>
                  </w:r>
                </w:p>
              </w:tc>
              <w:tc>
                <w:tcPr>
                  <w:tcW w:w="678" w:type="pct"/>
                  <w:tcBorders>
                    <w:left w:val="single" w:color="000000" w:sz="4" w:space="0"/>
                    <w:right w:val="single" w:color="000000" w:sz="4" w:space="0"/>
                  </w:tcBorders>
                  <w:noWrap w:val="0"/>
                  <w:vAlign w:val="center"/>
                </w:tcPr>
                <w:p w14:paraId="2BD475F8">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表调</w:t>
                  </w:r>
                </w:p>
              </w:tc>
              <w:tc>
                <w:tcPr>
                  <w:tcW w:w="809" w:type="pct"/>
                  <w:tcBorders>
                    <w:left w:val="single" w:color="000000" w:sz="4" w:space="0"/>
                    <w:right w:val="single" w:color="000000" w:sz="4" w:space="0"/>
                  </w:tcBorders>
                  <w:noWrap w:val="0"/>
                  <w:vAlign w:val="center"/>
                </w:tcPr>
                <w:p w14:paraId="3E51875F">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表调废水</w:t>
                  </w:r>
                </w:p>
              </w:tc>
              <w:tc>
                <w:tcPr>
                  <w:tcW w:w="969" w:type="pct"/>
                  <w:tcBorders>
                    <w:left w:val="single" w:color="000000" w:sz="4" w:space="0"/>
                  </w:tcBorders>
                  <w:noWrap w:val="0"/>
                  <w:vAlign w:val="center"/>
                </w:tcPr>
                <w:p w14:paraId="6B148102">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pH、COD、SS、石油类、</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总锌</w:t>
                  </w:r>
                </w:p>
              </w:tc>
              <w:tc>
                <w:tcPr>
                  <w:tcW w:w="1849" w:type="pct"/>
                  <w:gridSpan w:val="2"/>
                  <w:vMerge w:val="continue"/>
                  <w:tcBorders>
                    <w:left w:val="single" w:color="000000" w:sz="4" w:space="0"/>
                  </w:tcBorders>
                  <w:noWrap w:val="0"/>
                  <w:vAlign w:val="center"/>
                </w:tcPr>
                <w:p w14:paraId="707DC36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p>
              </w:tc>
            </w:tr>
            <w:tr w14:paraId="64384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19D8E913">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4BABDEB7">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W</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6</w:t>
                  </w:r>
                </w:p>
              </w:tc>
              <w:tc>
                <w:tcPr>
                  <w:tcW w:w="678" w:type="pct"/>
                  <w:tcBorders>
                    <w:left w:val="single" w:color="000000" w:sz="4" w:space="0"/>
                    <w:right w:val="single" w:color="000000" w:sz="4" w:space="0"/>
                  </w:tcBorders>
                  <w:noWrap w:val="0"/>
                  <w:vAlign w:val="center"/>
                </w:tcPr>
                <w:p w14:paraId="2F01B332">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纯水洗</w:t>
                  </w:r>
                </w:p>
              </w:tc>
              <w:tc>
                <w:tcPr>
                  <w:tcW w:w="809" w:type="pct"/>
                  <w:tcBorders>
                    <w:left w:val="single" w:color="000000" w:sz="4" w:space="0"/>
                    <w:right w:val="single" w:color="000000" w:sz="4" w:space="0"/>
                  </w:tcBorders>
                  <w:noWrap w:val="0"/>
                  <w:vAlign w:val="center"/>
                </w:tcPr>
                <w:p w14:paraId="72A71988">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水洗废水</w:t>
                  </w:r>
                </w:p>
              </w:tc>
              <w:tc>
                <w:tcPr>
                  <w:tcW w:w="969" w:type="pct"/>
                  <w:tcBorders>
                    <w:left w:val="single" w:color="000000" w:sz="4" w:space="0"/>
                  </w:tcBorders>
                  <w:noWrap w:val="0"/>
                  <w:vAlign w:val="center"/>
                </w:tcPr>
                <w:p w14:paraId="48D51C2B">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pH、COD、SS、石油类</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总锌</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、磷酸盐</w:t>
                  </w:r>
                  <w:r>
                    <w:rPr>
                      <w:rFonts w:hint="eastAsia"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氟化物</w:t>
                  </w:r>
                </w:p>
              </w:tc>
              <w:tc>
                <w:tcPr>
                  <w:tcW w:w="1849" w:type="pct"/>
                  <w:gridSpan w:val="2"/>
                  <w:vMerge w:val="continue"/>
                  <w:tcBorders>
                    <w:left w:val="single" w:color="000000" w:sz="4" w:space="0"/>
                  </w:tcBorders>
                  <w:noWrap w:val="0"/>
                  <w:vAlign w:val="center"/>
                </w:tcPr>
                <w:p w14:paraId="78F92DB2">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p>
              </w:tc>
            </w:tr>
            <w:tr w14:paraId="2FEA4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6615CCFC">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25A27272">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W</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7</w:t>
                  </w:r>
                </w:p>
              </w:tc>
              <w:tc>
                <w:tcPr>
                  <w:tcW w:w="678" w:type="pct"/>
                  <w:tcBorders>
                    <w:left w:val="single" w:color="000000" w:sz="4" w:space="0"/>
                    <w:right w:val="single" w:color="000000" w:sz="4" w:space="0"/>
                  </w:tcBorders>
                  <w:noWrap w:val="0"/>
                  <w:vAlign w:val="center"/>
                </w:tcPr>
                <w:p w14:paraId="5733E51F">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纯水洗</w:t>
                  </w:r>
                </w:p>
              </w:tc>
              <w:tc>
                <w:tcPr>
                  <w:tcW w:w="809" w:type="pct"/>
                  <w:tcBorders>
                    <w:left w:val="single" w:color="000000" w:sz="4" w:space="0"/>
                    <w:right w:val="single" w:color="000000" w:sz="4" w:space="0"/>
                  </w:tcBorders>
                  <w:noWrap w:val="0"/>
                  <w:vAlign w:val="center"/>
                </w:tcPr>
                <w:p w14:paraId="51228BF2">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水洗废水</w:t>
                  </w:r>
                </w:p>
              </w:tc>
              <w:tc>
                <w:tcPr>
                  <w:tcW w:w="969" w:type="pct"/>
                  <w:vMerge w:val="restart"/>
                  <w:tcBorders>
                    <w:left w:val="single" w:color="000000" w:sz="4" w:space="0"/>
                  </w:tcBorders>
                  <w:noWrap w:val="0"/>
                  <w:vAlign w:val="center"/>
                </w:tcPr>
                <w:p w14:paraId="2B8CADDB">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pH、COD、SS</w:t>
                  </w:r>
                </w:p>
              </w:tc>
              <w:tc>
                <w:tcPr>
                  <w:tcW w:w="1849" w:type="pct"/>
                  <w:gridSpan w:val="2"/>
                  <w:vMerge w:val="continue"/>
                  <w:tcBorders>
                    <w:left w:val="single" w:color="000000" w:sz="4" w:space="0"/>
                  </w:tcBorders>
                  <w:noWrap w:val="0"/>
                  <w:vAlign w:val="center"/>
                </w:tcPr>
                <w:p w14:paraId="69B8586B">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p>
              </w:tc>
            </w:tr>
            <w:tr w14:paraId="160B3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496605B2">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44F62C67">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W</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8</w:t>
                  </w:r>
                </w:p>
              </w:tc>
              <w:tc>
                <w:tcPr>
                  <w:tcW w:w="678" w:type="pct"/>
                  <w:tcBorders>
                    <w:left w:val="single" w:color="000000" w:sz="4" w:space="0"/>
                    <w:right w:val="single" w:color="000000" w:sz="4" w:space="0"/>
                  </w:tcBorders>
                  <w:noWrap w:val="0"/>
                  <w:vAlign w:val="center"/>
                </w:tcPr>
                <w:p w14:paraId="7F8CC58B">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沥水</w:t>
                  </w:r>
                </w:p>
              </w:tc>
              <w:tc>
                <w:tcPr>
                  <w:tcW w:w="809" w:type="pct"/>
                  <w:tcBorders>
                    <w:left w:val="single" w:color="000000" w:sz="4" w:space="0"/>
                    <w:right w:val="single" w:color="000000" w:sz="4" w:space="0"/>
                  </w:tcBorders>
                  <w:noWrap w:val="0"/>
                  <w:vAlign w:val="center"/>
                </w:tcPr>
                <w:p w14:paraId="2DDAFE65">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沥水废水</w:t>
                  </w:r>
                </w:p>
              </w:tc>
              <w:tc>
                <w:tcPr>
                  <w:tcW w:w="969" w:type="pct"/>
                  <w:vMerge w:val="continue"/>
                  <w:tcBorders>
                    <w:left w:val="single" w:color="000000" w:sz="4" w:space="0"/>
                  </w:tcBorders>
                  <w:noWrap w:val="0"/>
                  <w:vAlign w:val="center"/>
                </w:tcPr>
                <w:p w14:paraId="1DEECAD4">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1849" w:type="pct"/>
                  <w:gridSpan w:val="2"/>
                  <w:vMerge w:val="continue"/>
                  <w:tcBorders>
                    <w:left w:val="single" w:color="000000" w:sz="4" w:space="0"/>
                  </w:tcBorders>
                  <w:noWrap w:val="0"/>
                  <w:vAlign w:val="center"/>
                </w:tcPr>
                <w:p w14:paraId="48F658EB">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p>
              </w:tc>
            </w:tr>
            <w:tr w14:paraId="42452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070DAE97">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65EA761E">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W</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9</w:t>
                  </w:r>
                </w:p>
              </w:tc>
              <w:tc>
                <w:tcPr>
                  <w:tcW w:w="678" w:type="pct"/>
                  <w:tcBorders>
                    <w:left w:val="single" w:color="000000" w:sz="4" w:space="0"/>
                    <w:right w:val="single" w:color="000000" w:sz="4" w:space="0"/>
                  </w:tcBorders>
                  <w:noWrap w:val="0"/>
                  <w:vAlign w:val="center"/>
                </w:tcPr>
                <w:p w14:paraId="2464EFB4">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水洗</w:t>
                  </w:r>
                </w:p>
              </w:tc>
              <w:tc>
                <w:tcPr>
                  <w:tcW w:w="809" w:type="pct"/>
                  <w:tcBorders>
                    <w:left w:val="single" w:color="000000" w:sz="4" w:space="0"/>
                    <w:right w:val="single" w:color="000000" w:sz="4" w:space="0"/>
                  </w:tcBorders>
                  <w:noWrap w:val="0"/>
                  <w:vAlign w:val="center"/>
                </w:tcPr>
                <w:p w14:paraId="4B9DFB84">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水洗废水</w:t>
                  </w:r>
                </w:p>
              </w:tc>
              <w:tc>
                <w:tcPr>
                  <w:tcW w:w="969" w:type="pct"/>
                  <w:vMerge w:val="restart"/>
                  <w:tcBorders>
                    <w:left w:val="single" w:color="000000" w:sz="4" w:space="0"/>
                  </w:tcBorders>
                  <w:noWrap w:val="0"/>
                  <w:vAlign w:val="center"/>
                </w:tcPr>
                <w:p w14:paraId="5A947136">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pH、COD、SS、石油类</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硝酸盐</w:t>
                  </w:r>
                </w:p>
              </w:tc>
              <w:tc>
                <w:tcPr>
                  <w:tcW w:w="1849" w:type="pct"/>
                  <w:gridSpan w:val="2"/>
                  <w:vMerge w:val="continue"/>
                  <w:tcBorders>
                    <w:left w:val="single" w:color="000000" w:sz="4" w:space="0"/>
                  </w:tcBorders>
                  <w:noWrap w:val="0"/>
                  <w:vAlign w:val="center"/>
                </w:tcPr>
                <w:p w14:paraId="647349E4">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p>
              </w:tc>
            </w:tr>
            <w:tr w14:paraId="12E62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2BAC1A2A">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075846C5">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W</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10</w:t>
                  </w:r>
                </w:p>
              </w:tc>
              <w:tc>
                <w:tcPr>
                  <w:tcW w:w="678" w:type="pct"/>
                  <w:tcBorders>
                    <w:left w:val="single" w:color="000000" w:sz="4" w:space="0"/>
                    <w:right w:val="single" w:color="000000" w:sz="4" w:space="0"/>
                  </w:tcBorders>
                  <w:noWrap w:val="0"/>
                  <w:vAlign w:val="center"/>
                </w:tcPr>
                <w:p w14:paraId="08BCEA68">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水洗</w:t>
                  </w:r>
                </w:p>
              </w:tc>
              <w:tc>
                <w:tcPr>
                  <w:tcW w:w="809" w:type="pct"/>
                  <w:tcBorders>
                    <w:left w:val="single" w:color="000000" w:sz="4" w:space="0"/>
                    <w:right w:val="single" w:color="000000" w:sz="4" w:space="0"/>
                  </w:tcBorders>
                  <w:noWrap w:val="0"/>
                  <w:vAlign w:val="center"/>
                </w:tcPr>
                <w:p w14:paraId="2873DD41">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水洗废水</w:t>
                  </w:r>
                </w:p>
              </w:tc>
              <w:tc>
                <w:tcPr>
                  <w:tcW w:w="969" w:type="pct"/>
                  <w:vMerge w:val="continue"/>
                  <w:tcBorders>
                    <w:left w:val="single" w:color="000000" w:sz="4" w:space="0"/>
                    <w:bottom w:val="single" w:color="000000" w:sz="4" w:space="0"/>
                  </w:tcBorders>
                  <w:noWrap w:val="0"/>
                  <w:vAlign w:val="center"/>
                </w:tcPr>
                <w:p w14:paraId="35A5B006">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1849" w:type="pct"/>
                  <w:gridSpan w:val="2"/>
                  <w:vMerge w:val="continue"/>
                  <w:tcBorders>
                    <w:left w:val="single" w:color="000000" w:sz="4" w:space="0"/>
                  </w:tcBorders>
                  <w:noWrap w:val="0"/>
                  <w:vAlign w:val="center"/>
                </w:tcPr>
                <w:p w14:paraId="4CBE864D">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p>
              </w:tc>
            </w:tr>
            <w:tr w14:paraId="78210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6082D7F4">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28" w:type="pct"/>
                  <w:shd w:val="clear" w:color="auto" w:fill="auto"/>
                  <w:noWrap w:val="0"/>
                  <w:vAlign w:val="center"/>
                </w:tcPr>
                <w:p w14:paraId="49B463E3">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W</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11</w:t>
                  </w:r>
                </w:p>
              </w:tc>
              <w:tc>
                <w:tcPr>
                  <w:tcW w:w="678" w:type="pct"/>
                  <w:tcBorders>
                    <w:left w:val="single" w:color="000000" w:sz="4" w:space="0"/>
                    <w:right w:val="single" w:color="000000" w:sz="4" w:space="0"/>
                  </w:tcBorders>
                  <w:shd w:val="clear" w:color="auto" w:fill="auto"/>
                  <w:noWrap w:val="0"/>
                  <w:vAlign w:val="center"/>
                </w:tcPr>
                <w:p w14:paraId="6CF96874">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水洗</w:t>
                  </w:r>
                </w:p>
              </w:tc>
              <w:tc>
                <w:tcPr>
                  <w:tcW w:w="809" w:type="pct"/>
                  <w:tcBorders>
                    <w:left w:val="single" w:color="000000" w:sz="4" w:space="0"/>
                    <w:right w:val="single" w:color="000000" w:sz="4" w:space="0"/>
                  </w:tcBorders>
                  <w:shd w:val="clear" w:color="auto" w:fill="auto"/>
                  <w:noWrap w:val="0"/>
                  <w:vAlign w:val="center"/>
                </w:tcPr>
                <w:p w14:paraId="7414BAD8">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水洗废水</w:t>
                  </w:r>
                </w:p>
              </w:tc>
              <w:tc>
                <w:tcPr>
                  <w:tcW w:w="969" w:type="pct"/>
                  <w:tcBorders>
                    <w:top w:val="single" w:color="000000" w:sz="4" w:space="0"/>
                    <w:left w:val="single" w:color="000000" w:sz="4" w:space="0"/>
                  </w:tcBorders>
                  <w:noWrap w:val="0"/>
                  <w:vAlign w:val="center"/>
                </w:tcPr>
                <w:p w14:paraId="44A75C9D">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pH、COD、SS</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、氟化物</w:t>
                  </w:r>
                </w:p>
              </w:tc>
              <w:tc>
                <w:tcPr>
                  <w:tcW w:w="1849" w:type="pct"/>
                  <w:gridSpan w:val="2"/>
                  <w:vMerge w:val="continue"/>
                  <w:tcBorders>
                    <w:left w:val="single" w:color="000000" w:sz="4" w:space="0"/>
                  </w:tcBorders>
                  <w:noWrap w:val="0"/>
                  <w:vAlign w:val="center"/>
                </w:tcPr>
                <w:p w14:paraId="7D7BC3A0">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p>
              </w:tc>
            </w:tr>
            <w:tr w14:paraId="5D78F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43710AFB">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28" w:type="pct"/>
                  <w:shd w:val="clear" w:color="auto" w:fill="auto"/>
                  <w:noWrap w:val="0"/>
                  <w:vAlign w:val="center"/>
                </w:tcPr>
                <w:p w14:paraId="28FD024D">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W</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12</w:t>
                  </w:r>
                </w:p>
              </w:tc>
              <w:tc>
                <w:tcPr>
                  <w:tcW w:w="678" w:type="pct"/>
                  <w:tcBorders>
                    <w:left w:val="single" w:color="000000" w:sz="4" w:space="0"/>
                    <w:right w:val="single" w:color="000000" w:sz="4" w:space="0"/>
                  </w:tcBorders>
                  <w:shd w:val="clear" w:color="auto" w:fill="auto"/>
                  <w:noWrap w:val="0"/>
                  <w:vAlign w:val="center"/>
                </w:tcPr>
                <w:p w14:paraId="2DB81A22">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脱漆后清洗</w:t>
                  </w:r>
                </w:p>
              </w:tc>
              <w:tc>
                <w:tcPr>
                  <w:tcW w:w="809" w:type="pct"/>
                  <w:tcBorders>
                    <w:left w:val="single" w:color="000000" w:sz="4" w:space="0"/>
                    <w:right w:val="single" w:color="000000" w:sz="4" w:space="0"/>
                  </w:tcBorders>
                  <w:shd w:val="clear" w:color="auto" w:fill="auto"/>
                  <w:noWrap w:val="0"/>
                  <w:vAlign w:val="center"/>
                </w:tcPr>
                <w:p w14:paraId="242D0703">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水洗废水</w:t>
                  </w:r>
                </w:p>
              </w:tc>
              <w:tc>
                <w:tcPr>
                  <w:tcW w:w="969" w:type="pct"/>
                  <w:tcBorders>
                    <w:left w:val="single" w:color="000000" w:sz="4" w:space="0"/>
                  </w:tcBorders>
                  <w:shd w:val="clear" w:color="auto" w:fill="auto"/>
                  <w:noWrap w:val="0"/>
                  <w:vAlign w:val="center"/>
                </w:tcPr>
                <w:p w14:paraId="0AFBCC89">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pH、COD、SS、</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磷酸盐</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18"/>
                      <w:sz w:val="21"/>
                      <w:szCs w:val="21"/>
                      <w14:textFill>
                        <w14:solidFill>
                          <w14:schemeClr w14:val="tx1"/>
                        </w14:solidFill>
                      </w14:textFill>
                    </w:rPr>
                    <w:t>NH</w:t>
                  </w:r>
                  <w:r>
                    <w:rPr>
                      <w:rFonts w:hint="default" w:ascii="Times New Roman" w:hAnsi="Times New Roman" w:eastAsia="宋体" w:cs="Times New Roman"/>
                      <w:color w:val="000000" w:themeColor="text1"/>
                      <w:kern w:val="18"/>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kern w:val="18"/>
                      <w:sz w:val="21"/>
                      <w:szCs w:val="21"/>
                      <w14:textFill>
                        <w14:solidFill>
                          <w14:schemeClr w14:val="tx1"/>
                        </w14:solidFill>
                      </w14:textFill>
                    </w:rPr>
                    <w:t>-N</w:t>
                  </w:r>
                </w:p>
              </w:tc>
              <w:tc>
                <w:tcPr>
                  <w:tcW w:w="1849" w:type="pct"/>
                  <w:gridSpan w:val="2"/>
                  <w:vMerge w:val="continue"/>
                  <w:tcBorders>
                    <w:left w:val="single" w:color="000000" w:sz="4" w:space="0"/>
                  </w:tcBorders>
                  <w:noWrap w:val="0"/>
                  <w:vAlign w:val="center"/>
                </w:tcPr>
                <w:p w14:paraId="65CBE02A">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p>
              </w:tc>
            </w:tr>
            <w:tr w14:paraId="52F49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7BC43279">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28" w:type="pct"/>
                  <w:shd w:val="clear" w:color="auto" w:fill="auto"/>
                  <w:noWrap w:val="0"/>
                  <w:vAlign w:val="center"/>
                </w:tcPr>
                <w:p w14:paraId="55B5B58C">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W</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13</w:t>
                  </w:r>
                </w:p>
              </w:tc>
              <w:tc>
                <w:tcPr>
                  <w:tcW w:w="678" w:type="pct"/>
                  <w:tcBorders>
                    <w:left w:val="single" w:color="000000" w:sz="4" w:space="0"/>
                    <w:right w:val="single" w:color="000000" w:sz="4" w:space="0"/>
                  </w:tcBorders>
                  <w:shd w:val="clear" w:color="auto" w:fill="auto"/>
                  <w:noWrap w:val="0"/>
                  <w:vAlign w:val="center"/>
                </w:tcPr>
                <w:p w14:paraId="6BA184F5">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废气处理</w:t>
                  </w:r>
                </w:p>
              </w:tc>
              <w:tc>
                <w:tcPr>
                  <w:tcW w:w="809" w:type="pct"/>
                  <w:tcBorders>
                    <w:left w:val="single" w:color="000000" w:sz="4" w:space="0"/>
                    <w:right w:val="single" w:color="000000" w:sz="4" w:space="0"/>
                  </w:tcBorders>
                  <w:shd w:val="clear" w:color="auto" w:fill="auto"/>
                  <w:noWrap w:val="0"/>
                  <w:vAlign w:val="center"/>
                </w:tcPr>
                <w:p w14:paraId="7D3B867C">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喷淋塔废水</w:t>
                  </w:r>
                </w:p>
              </w:tc>
              <w:tc>
                <w:tcPr>
                  <w:tcW w:w="969" w:type="pct"/>
                  <w:tcBorders>
                    <w:left w:val="single" w:color="000000" w:sz="4" w:space="0"/>
                  </w:tcBorders>
                  <w:shd w:val="clear" w:color="auto" w:fill="auto"/>
                  <w:noWrap w:val="0"/>
                  <w:vAlign w:val="center"/>
                </w:tcPr>
                <w:p w14:paraId="42E0FEB2">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pH、COD、SS、</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磷酸盐</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硝酸盐</w:t>
                  </w:r>
                </w:p>
              </w:tc>
              <w:tc>
                <w:tcPr>
                  <w:tcW w:w="1849" w:type="pct"/>
                  <w:gridSpan w:val="2"/>
                  <w:vMerge w:val="continue"/>
                  <w:tcBorders>
                    <w:left w:val="single" w:color="000000" w:sz="4" w:space="0"/>
                    <w:bottom w:val="single" w:color="000000" w:sz="4" w:space="0"/>
                  </w:tcBorders>
                  <w:noWrap w:val="0"/>
                  <w:vAlign w:val="center"/>
                </w:tcPr>
                <w:p w14:paraId="72611446">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p>
              </w:tc>
            </w:tr>
            <w:tr w14:paraId="278CD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6661B657">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041DBB26">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W</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14</w:t>
                  </w:r>
                </w:p>
              </w:tc>
              <w:tc>
                <w:tcPr>
                  <w:tcW w:w="678" w:type="pct"/>
                  <w:tcBorders>
                    <w:left w:val="single" w:color="000000" w:sz="4" w:space="0"/>
                    <w:right w:val="single" w:color="000000" w:sz="4" w:space="0"/>
                  </w:tcBorders>
                  <w:noWrap w:val="0"/>
                  <w:vAlign w:val="center"/>
                </w:tcPr>
                <w:p w14:paraId="3F415114">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纯水制备</w:t>
                  </w:r>
                </w:p>
              </w:tc>
              <w:tc>
                <w:tcPr>
                  <w:tcW w:w="809" w:type="pct"/>
                  <w:tcBorders>
                    <w:left w:val="single" w:color="000000" w:sz="4" w:space="0"/>
                    <w:right w:val="single" w:color="000000" w:sz="4" w:space="0"/>
                  </w:tcBorders>
                  <w:noWrap w:val="0"/>
                  <w:vAlign w:val="center"/>
                </w:tcPr>
                <w:p w14:paraId="74521D7A">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纯水制备浓水</w:t>
                  </w:r>
                </w:p>
              </w:tc>
              <w:tc>
                <w:tcPr>
                  <w:tcW w:w="969" w:type="pct"/>
                  <w:tcBorders>
                    <w:left w:val="single" w:color="000000" w:sz="4" w:space="0"/>
                  </w:tcBorders>
                  <w:noWrap w:val="0"/>
                  <w:vAlign w:val="center"/>
                </w:tcPr>
                <w:p w14:paraId="40BCDFE6">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pH、COD、SS、BOD</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5</w:t>
                  </w:r>
                  <w:r>
                    <w:rPr>
                      <w:rFonts w:hint="eastAsia" w:ascii="Times New Roman" w:hAnsi="Times New Roman" w:cs="Times New Roman"/>
                      <w:color w:val="000000" w:themeColor="text1"/>
                      <w:spacing w:val="0"/>
                      <w:sz w:val="21"/>
                      <w:szCs w:val="21"/>
                      <w:highlight w:val="none"/>
                      <w:vertAlign w:val="baseline"/>
                      <w:lang w:val="en-US" w:eastAsia="zh-CN"/>
                      <w14:textFill>
                        <w14:solidFill>
                          <w14:schemeClr w14:val="tx1"/>
                        </w14:solidFill>
                      </w14:textFill>
                    </w:rPr>
                    <w:t>、盐类</w:t>
                  </w:r>
                </w:p>
              </w:tc>
              <w:tc>
                <w:tcPr>
                  <w:tcW w:w="1849" w:type="pct"/>
                  <w:gridSpan w:val="2"/>
                  <w:tcBorders>
                    <w:top w:val="single" w:color="000000" w:sz="4" w:space="0"/>
                    <w:left w:val="single" w:color="000000" w:sz="4" w:space="0"/>
                  </w:tcBorders>
                  <w:noWrap w:val="0"/>
                  <w:vAlign w:val="center"/>
                </w:tcPr>
                <w:p w14:paraId="61E9A76F">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通过市政管网纳入福建青口海峡环保有限公司（青口新区污水处理厂）集中处理</w:t>
                  </w:r>
                </w:p>
              </w:tc>
            </w:tr>
            <w:tr w14:paraId="0D40D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0762A36C">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0896BD57">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W</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15</w:t>
                  </w:r>
                </w:p>
              </w:tc>
              <w:tc>
                <w:tcPr>
                  <w:tcW w:w="678" w:type="pct"/>
                  <w:tcBorders>
                    <w:left w:val="single" w:color="000000" w:sz="4" w:space="0"/>
                    <w:right w:val="single" w:color="000000" w:sz="4" w:space="0"/>
                  </w:tcBorders>
                  <w:noWrap w:val="0"/>
                  <w:vAlign w:val="center"/>
                </w:tcPr>
                <w:p w14:paraId="0E3B8127">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员工生活</w:t>
                  </w:r>
                </w:p>
              </w:tc>
              <w:tc>
                <w:tcPr>
                  <w:tcW w:w="809" w:type="pct"/>
                  <w:tcBorders>
                    <w:left w:val="single" w:color="000000" w:sz="4" w:space="0"/>
                    <w:right w:val="single" w:color="000000" w:sz="4" w:space="0"/>
                  </w:tcBorders>
                  <w:noWrap w:val="0"/>
                  <w:vAlign w:val="center"/>
                </w:tcPr>
                <w:p w14:paraId="076DF24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生活污水</w:t>
                  </w:r>
                </w:p>
              </w:tc>
              <w:tc>
                <w:tcPr>
                  <w:tcW w:w="969" w:type="pct"/>
                  <w:tcBorders>
                    <w:left w:val="single" w:color="000000" w:sz="4" w:space="0"/>
                  </w:tcBorders>
                  <w:noWrap w:val="0"/>
                  <w:vAlign w:val="center"/>
                </w:tcPr>
                <w:p w14:paraId="48F5CB8A">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pH、SS、COD</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BOD、氨氮</w:t>
                  </w:r>
                </w:p>
              </w:tc>
              <w:tc>
                <w:tcPr>
                  <w:tcW w:w="1849" w:type="pct"/>
                  <w:gridSpan w:val="2"/>
                  <w:tcBorders>
                    <w:left w:val="single" w:color="000000" w:sz="4" w:space="0"/>
                  </w:tcBorders>
                  <w:noWrap w:val="0"/>
                  <w:vAlign w:val="center"/>
                </w:tcPr>
                <w:p w14:paraId="6087E752">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经</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出租方</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化粪池处理后通过市政管网纳入福建青口海峡环保有限公司（青口新区污水处理厂）集中处理</w:t>
                  </w:r>
                </w:p>
              </w:tc>
            </w:tr>
            <w:tr w14:paraId="7E0055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restart"/>
                  <w:noWrap w:val="0"/>
                  <w:vAlign w:val="center"/>
                </w:tcPr>
                <w:p w14:paraId="3F9F521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废气</w:t>
                  </w:r>
                </w:p>
              </w:tc>
              <w:tc>
                <w:tcPr>
                  <w:tcW w:w="428" w:type="pct"/>
                  <w:noWrap w:val="0"/>
                  <w:vAlign w:val="center"/>
                </w:tcPr>
                <w:p w14:paraId="1DF28270">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G1</w:t>
                  </w:r>
                </w:p>
              </w:tc>
              <w:tc>
                <w:tcPr>
                  <w:tcW w:w="678" w:type="pct"/>
                  <w:tcBorders>
                    <w:left w:val="single" w:color="000000" w:sz="4" w:space="0"/>
                    <w:right w:val="single" w:color="000000" w:sz="4" w:space="0"/>
                  </w:tcBorders>
                  <w:noWrap w:val="0"/>
                  <w:vAlign w:val="center"/>
                </w:tcPr>
                <w:p w14:paraId="3EF029F2">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磷化</w:t>
                  </w:r>
                </w:p>
              </w:tc>
              <w:tc>
                <w:tcPr>
                  <w:tcW w:w="809" w:type="pct"/>
                  <w:tcBorders>
                    <w:left w:val="single" w:color="000000" w:sz="4" w:space="0"/>
                    <w:right w:val="single" w:color="000000" w:sz="4" w:space="0"/>
                  </w:tcBorders>
                  <w:noWrap w:val="0"/>
                  <w:vAlign w:val="center"/>
                </w:tcPr>
                <w:p w14:paraId="6461FC49">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酸性气体</w:t>
                  </w:r>
                </w:p>
              </w:tc>
              <w:tc>
                <w:tcPr>
                  <w:tcW w:w="969" w:type="pct"/>
                  <w:tcBorders>
                    <w:left w:val="single" w:color="000000" w:sz="4" w:space="0"/>
                  </w:tcBorders>
                  <w:noWrap w:val="0"/>
                  <w:vAlign w:val="center"/>
                </w:tcPr>
                <w:p w14:paraId="5029BF38">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磷酸</w:t>
                  </w:r>
                </w:p>
              </w:tc>
              <w:tc>
                <w:tcPr>
                  <w:tcW w:w="1849" w:type="pct"/>
                  <w:gridSpan w:val="2"/>
                  <w:tcBorders>
                    <w:left w:val="single" w:color="000000" w:sz="4" w:space="0"/>
                  </w:tcBorders>
                  <w:noWrap w:val="0"/>
                  <w:vAlign w:val="center"/>
                </w:tcPr>
                <w:p w14:paraId="4D2C07E3">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3#厂房：碱液喷淋+1根22m高排气筒高空排放（DA001）</w:t>
                  </w:r>
                </w:p>
                <w:p w14:paraId="39BC4D59">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2#厂房：碱液喷淋+</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1根15m高排气筒</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DA00</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排放</w:t>
                  </w:r>
                </w:p>
              </w:tc>
            </w:tr>
            <w:tr w14:paraId="3D56E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4733E334">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0FA7B255">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G2</w:t>
                  </w:r>
                </w:p>
              </w:tc>
              <w:tc>
                <w:tcPr>
                  <w:tcW w:w="678" w:type="pct"/>
                  <w:tcBorders>
                    <w:left w:val="single" w:color="000000" w:sz="4" w:space="0"/>
                    <w:right w:val="single" w:color="000000" w:sz="4" w:space="0"/>
                  </w:tcBorders>
                  <w:noWrap w:val="0"/>
                  <w:vAlign w:val="center"/>
                </w:tcPr>
                <w:p w14:paraId="1DD17FDB">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电泳</w:t>
                  </w:r>
                </w:p>
              </w:tc>
              <w:tc>
                <w:tcPr>
                  <w:tcW w:w="809" w:type="pct"/>
                  <w:tcBorders>
                    <w:left w:val="single" w:color="000000" w:sz="4" w:space="0"/>
                    <w:right w:val="single" w:color="000000" w:sz="4" w:space="0"/>
                  </w:tcBorders>
                  <w:noWrap w:val="0"/>
                  <w:vAlign w:val="center"/>
                </w:tcPr>
                <w:p w14:paraId="2ABCC85A">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电泳废气</w:t>
                  </w:r>
                </w:p>
              </w:tc>
              <w:tc>
                <w:tcPr>
                  <w:tcW w:w="969" w:type="pct"/>
                  <w:tcBorders>
                    <w:left w:val="single" w:color="000000" w:sz="4" w:space="0"/>
                  </w:tcBorders>
                  <w:noWrap w:val="0"/>
                  <w:vAlign w:val="center"/>
                </w:tcPr>
                <w:p w14:paraId="7EF36FE3">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非甲烷总烃</w:t>
                  </w:r>
                </w:p>
              </w:tc>
              <w:tc>
                <w:tcPr>
                  <w:tcW w:w="419" w:type="pct"/>
                  <w:tcBorders>
                    <w:left w:val="single" w:color="000000" w:sz="4" w:space="0"/>
                  </w:tcBorders>
                  <w:noWrap w:val="0"/>
                  <w:vAlign w:val="center"/>
                </w:tcPr>
                <w:p w14:paraId="114FA9F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w:t>
                  </w:r>
                </w:p>
              </w:tc>
              <w:tc>
                <w:tcPr>
                  <w:tcW w:w="1430" w:type="pct"/>
                  <w:vMerge w:val="restart"/>
                  <w:tcBorders>
                    <w:left w:val="single" w:color="auto" w:sz="4" w:space="0"/>
                  </w:tcBorders>
                  <w:noWrap w:val="0"/>
                  <w:vAlign w:val="center"/>
                </w:tcPr>
                <w:p w14:paraId="21BE5FDF">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3#厂房：</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水</w:t>
                  </w:r>
                  <w:r>
                    <w:rPr>
                      <w:rFonts w:hint="eastAsia"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喷淋</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+干式过滤</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+活性炭吸附+1根22m高排气筒高空排放（DA002）</w:t>
                  </w:r>
                </w:p>
                <w:p w14:paraId="02E2CE36">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2#厂房：</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水</w:t>
                  </w:r>
                  <w:r>
                    <w:rPr>
                      <w:rFonts w:hint="eastAsia"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喷淋</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+干式过滤</w:t>
                  </w:r>
                  <w:r>
                    <w:rPr>
                      <w:rFonts w:hint="eastAsia"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+活性炭吸附+1根15m高排气筒排放（DA00</w:t>
                  </w:r>
                  <w:r>
                    <w:rPr>
                      <w:rFonts w:hint="eastAsia" w:ascii="Times New Roman" w:hAnsi="Times New Roman"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4</w:t>
                  </w:r>
                  <w:r>
                    <w:rPr>
                      <w:rFonts w:hint="eastAsia"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w:t>
                  </w:r>
                </w:p>
              </w:tc>
            </w:tr>
            <w:tr w14:paraId="7BDBF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0F302F13">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66843850">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G3</w:t>
                  </w:r>
                </w:p>
              </w:tc>
              <w:tc>
                <w:tcPr>
                  <w:tcW w:w="678" w:type="pct"/>
                  <w:vMerge w:val="restart"/>
                  <w:tcBorders>
                    <w:left w:val="single" w:color="000000" w:sz="4" w:space="0"/>
                    <w:right w:val="single" w:color="000000" w:sz="4" w:space="0"/>
                  </w:tcBorders>
                  <w:noWrap w:val="0"/>
                  <w:vAlign w:val="center"/>
                </w:tcPr>
                <w:p w14:paraId="27F28DEE">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电泳烘干、固化</w:t>
                  </w:r>
                </w:p>
              </w:tc>
              <w:tc>
                <w:tcPr>
                  <w:tcW w:w="809" w:type="pct"/>
                  <w:tcBorders>
                    <w:left w:val="single" w:color="000000" w:sz="4" w:space="0"/>
                    <w:right w:val="single" w:color="000000" w:sz="4" w:space="0"/>
                  </w:tcBorders>
                  <w:noWrap w:val="0"/>
                  <w:vAlign w:val="center"/>
                </w:tcPr>
                <w:p w14:paraId="5DB5B7B1">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电泳烘干废气</w:t>
                  </w:r>
                </w:p>
              </w:tc>
              <w:tc>
                <w:tcPr>
                  <w:tcW w:w="969" w:type="pct"/>
                  <w:tcBorders>
                    <w:left w:val="single" w:color="000000" w:sz="4" w:space="0"/>
                  </w:tcBorders>
                  <w:noWrap w:val="0"/>
                  <w:vAlign w:val="center"/>
                </w:tcPr>
                <w:p w14:paraId="47BFB4F9">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非甲烷总烃</w:t>
                  </w:r>
                </w:p>
              </w:tc>
              <w:tc>
                <w:tcPr>
                  <w:tcW w:w="419" w:type="pct"/>
                  <w:tcBorders>
                    <w:left w:val="single" w:color="000000" w:sz="4" w:space="0"/>
                  </w:tcBorders>
                  <w:noWrap w:val="0"/>
                  <w:vAlign w:val="center"/>
                </w:tcPr>
                <w:p w14:paraId="46C68721">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w:t>
                  </w:r>
                </w:p>
              </w:tc>
              <w:tc>
                <w:tcPr>
                  <w:tcW w:w="1430" w:type="pct"/>
                  <w:vMerge w:val="continue"/>
                  <w:tcBorders>
                    <w:left w:val="single" w:color="auto" w:sz="4" w:space="0"/>
                  </w:tcBorders>
                  <w:noWrap w:val="0"/>
                  <w:vAlign w:val="center"/>
                </w:tcPr>
                <w:p w14:paraId="48E4FFD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3F907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247745C5">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5E73D55D">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G4</w:t>
                  </w:r>
                </w:p>
              </w:tc>
              <w:tc>
                <w:tcPr>
                  <w:tcW w:w="678" w:type="pct"/>
                  <w:vMerge w:val="continue"/>
                  <w:tcBorders>
                    <w:left w:val="single" w:color="000000" w:sz="4" w:space="0"/>
                    <w:right w:val="single" w:color="000000" w:sz="4" w:space="0"/>
                  </w:tcBorders>
                  <w:noWrap w:val="0"/>
                  <w:vAlign w:val="center"/>
                </w:tcPr>
                <w:p w14:paraId="1047A5E4">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809" w:type="pct"/>
                  <w:tcBorders>
                    <w:left w:val="single" w:color="000000" w:sz="4" w:space="0"/>
                    <w:right w:val="single" w:color="000000" w:sz="4" w:space="0"/>
                  </w:tcBorders>
                  <w:noWrap w:val="0"/>
                  <w:vAlign w:val="center"/>
                </w:tcPr>
                <w:p w14:paraId="4A68FA0B">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燃气废气</w:t>
                  </w:r>
                </w:p>
              </w:tc>
              <w:tc>
                <w:tcPr>
                  <w:tcW w:w="969" w:type="pct"/>
                  <w:tcBorders>
                    <w:left w:val="single" w:color="000000" w:sz="4" w:space="0"/>
                  </w:tcBorders>
                  <w:noWrap w:val="0"/>
                  <w:vAlign w:val="center"/>
                </w:tcPr>
                <w:p w14:paraId="4212A7B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、NO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、颗粒物</w:t>
                  </w:r>
                </w:p>
              </w:tc>
              <w:tc>
                <w:tcPr>
                  <w:tcW w:w="419" w:type="pct"/>
                  <w:tcBorders>
                    <w:left w:val="single" w:color="000000" w:sz="4" w:space="0"/>
                  </w:tcBorders>
                  <w:noWrap w:val="0"/>
                  <w:vAlign w:val="center"/>
                </w:tcPr>
                <w:p w14:paraId="2F19D5E8">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低氮燃烧</w:t>
                  </w:r>
                </w:p>
              </w:tc>
              <w:tc>
                <w:tcPr>
                  <w:tcW w:w="1430" w:type="pct"/>
                  <w:vMerge w:val="continue"/>
                  <w:tcBorders>
                    <w:left w:val="single" w:color="auto" w:sz="4" w:space="0"/>
                  </w:tcBorders>
                  <w:noWrap w:val="0"/>
                  <w:vAlign w:val="center"/>
                </w:tcPr>
                <w:p w14:paraId="7FF978F0">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p>
              </w:tc>
            </w:tr>
            <w:tr w14:paraId="0ED31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265" w:type="pct"/>
                  <w:vMerge w:val="continue"/>
                  <w:noWrap w:val="0"/>
                  <w:vAlign w:val="center"/>
                </w:tcPr>
                <w:p w14:paraId="398BCF5B">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0A9919F9">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G6</w:t>
                  </w:r>
                </w:p>
              </w:tc>
              <w:tc>
                <w:tcPr>
                  <w:tcW w:w="678" w:type="pct"/>
                  <w:vMerge w:val="restart"/>
                  <w:tcBorders>
                    <w:left w:val="single" w:color="000000" w:sz="4" w:space="0"/>
                    <w:right w:val="single" w:color="000000" w:sz="4" w:space="0"/>
                  </w:tcBorders>
                  <w:noWrap w:val="0"/>
                  <w:vAlign w:val="center"/>
                </w:tcPr>
                <w:p w14:paraId="6592C8ED">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喷粉固化</w:t>
                  </w:r>
                </w:p>
              </w:tc>
              <w:tc>
                <w:tcPr>
                  <w:tcW w:w="809" w:type="pct"/>
                  <w:tcBorders>
                    <w:left w:val="single" w:color="000000" w:sz="4" w:space="0"/>
                    <w:right w:val="single" w:color="000000" w:sz="4" w:space="0"/>
                  </w:tcBorders>
                  <w:noWrap w:val="0"/>
                  <w:vAlign w:val="center"/>
                </w:tcPr>
                <w:p w14:paraId="135F504B">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喷粉烘干废气</w:t>
                  </w:r>
                </w:p>
              </w:tc>
              <w:tc>
                <w:tcPr>
                  <w:tcW w:w="969" w:type="pct"/>
                  <w:tcBorders>
                    <w:left w:val="single" w:color="000000" w:sz="4" w:space="0"/>
                  </w:tcBorders>
                  <w:noWrap w:val="0"/>
                  <w:vAlign w:val="center"/>
                </w:tcPr>
                <w:p w14:paraId="0574AB04">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非甲烷总烃</w:t>
                  </w:r>
                </w:p>
              </w:tc>
              <w:tc>
                <w:tcPr>
                  <w:tcW w:w="419" w:type="pct"/>
                  <w:tcBorders>
                    <w:left w:val="single" w:color="000000" w:sz="4" w:space="0"/>
                  </w:tcBorders>
                  <w:noWrap w:val="0"/>
                  <w:vAlign w:val="center"/>
                </w:tcPr>
                <w:p w14:paraId="191C18A1">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t>/</w:t>
                  </w:r>
                </w:p>
              </w:tc>
              <w:tc>
                <w:tcPr>
                  <w:tcW w:w="1430" w:type="pct"/>
                  <w:vMerge w:val="continue"/>
                  <w:tcBorders>
                    <w:left w:val="single" w:color="auto" w:sz="4" w:space="0"/>
                  </w:tcBorders>
                  <w:noWrap w:val="0"/>
                  <w:vAlign w:val="center"/>
                </w:tcPr>
                <w:p w14:paraId="545CC871">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702E3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4BD9407C">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064CA658">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G</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7</w:t>
                  </w:r>
                </w:p>
              </w:tc>
              <w:tc>
                <w:tcPr>
                  <w:tcW w:w="678" w:type="pct"/>
                  <w:vMerge w:val="continue"/>
                  <w:tcBorders>
                    <w:left w:val="single" w:color="000000" w:sz="4" w:space="0"/>
                    <w:right w:val="single" w:color="000000" w:sz="4" w:space="0"/>
                  </w:tcBorders>
                  <w:noWrap w:val="0"/>
                  <w:vAlign w:val="center"/>
                </w:tcPr>
                <w:p w14:paraId="56CB0B9C">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809" w:type="pct"/>
                  <w:tcBorders>
                    <w:left w:val="single" w:color="000000" w:sz="4" w:space="0"/>
                    <w:right w:val="single" w:color="000000" w:sz="4" w:space="0"/>
                  </w:tcBorders>
                  <w:noWrap w:val="0"/>
                  <w:vAlign w:val="center"/>
                </w:tcPr>
                <w:p w14:paraId="0E1A0B87">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燃气废气</w:t>
                  </w:r>
                </w:p>
              </w:tc>
              <w:tc>
                <w:tcPr>
                  <w:tcW w:w="969" w:type="pct"/>
                  <w:tcBorders>
                    <w:left w:val="single" w:color="000000" w:sz="4" w:space="0"/>
                  </w:tcBorders>
                  <w:noWrap w:val="0"/>
                  <w:vAlign w:val="center"/>
                </w:tcPr>
                <w:p w14:paraId="7667AEDE">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、NO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、颗粒物</w:t>
                  </w:r>
                </w:p>
              </w:tc>
              <w:tc>
                <w:tcPr>
                  <w:tcW w:w="419" w:type="pct"/>
                  <w:tcBorders>
                    <w:left w:val="single" w:color="000000" w:sz="4" w:space="0"/>
                  </w:tcBorders>
                  <w:noWrap w:val="0"/>
                  <w:vAlign w:val="center"/>
                </w:tcPr>
                <w:p w14:paraId="5AE15177">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低氮燃烧</w:t>
                  </w:r>
                </w:p>
              </w:tc>
              <w:tc>
                <w:tcPr>
                  <w:tcW w:w="1430" w:type="pct"/>
                  <w:vMerge w:val="continue"/>
                  <w:tcBorders>
                    <w:left w:val="single" w:color="auto" w:sz="4" w:space="0"/>
                  </w:tcBorders>
                  <w:noWrap w:val="0"/>
                  <w:vAlign w:val="center"/>
                </w:tcPr>
                <w:p w14:paraId="7F9ACFC1">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p>
              </w:tc>
            </w:tr>
            <w:tr w14:paraId="74FDE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0B0ED708">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0A3E5646">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G17</w:t>
                  </w:r>
                </w:p>
              </w:tc>
              <w:tc>
                <w:tcPr>
                  <w:tcW w:w="678" w:type="pct"/>
                  <w:tcBorders>
                    <w:left w:val="single" w:color="000000" w:sz="4" w:space="0"/>
                    <w:right w:val="single" w:color="000000" w:sz="4" w:space="0"/>
                  </w:tcBorders>
                  <w:noWrap w:val="0"/>
                  <w:vAlign w:val="center"/>
                </w:tcPr>
                <w:p w14:paraId="779E611F">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脱漆</w:t>
                  </w:r>
                </w:p>
              </w:tc>
              <w:tc>
                <w:tcPr>
                  <w:tcW w:w="809" w:type="pct"/>
                  <w:tcBorders>
                    <w:left w:val="single" w:color="000000" w:sz="4" w:space="0"/>
                    <w:right w:val="single" w:color="000000" w:sz="4" w:space="0"/>
                  </w:tcBorders>
                  <w:noWrap w:val="0"/>
                  <w:vAlign w:val="center"/>
                </w:tcPr>
                <w:p w14:paraId="0616CC7A">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脱漆废气</w:t>
                  </w:r>
                </w:p>
              </w:tc>
              <w:tc>
                <w:tcPr>
                  <w:tcW w:w="969" w:type="pct"/>
                  <w:tcBorders>
                    <w:left w:val="single" w:color="000000" w:sz="4" w:space="0"/>
                  </w:tcBorders>
                  <w:noWrap w:val="0"/>
                  <w:vAlign w:val="center"/>
                </w:tcPr>
                <w:p w14:paraId="53FBDDB8">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非甲烷总烃</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、磷酸</w:t>
                  </w:r>
                </w:p>
              </w:tc>
              <w:tc>
                <w:tcPr>
                  <w:tcW w:w="419" w:type="pct"/>
                  <w:tcBorders>
                    <w:left w:val="single" w:color="000000" w:sz="4" w:space="0"/>
                  </w:tcBorders>
                  <w:noWrap w:val="0"/>
                  <w:vAlign w:val="center"/>
                </w:tcPr>
                <w:p w14:paraId="63EFEFCD">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w:t>
                  </w:r>
                </w:p>
              </w:tc>
              <w:tc>
                <w:tcPr>
                  <w:tcW w:w="1430" w:type="pct"/>
                  <w:vMerge w:val="continue"/>
                  <w:tcBorders>
                    <w:left w:val="single" w:color="auto" w:sz="4" w:space="0"/>
                    <w:bottom w:val="single" w:color="000000" w:sz="4" w:space="0"/>
                  </w:tcBorders>
                  <w:noWrap w:val="0"/>
                  <w:vAlign w:val="center"/>
                </w:tcPr>
                <w:p w14:paraId="227A1D2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14:textFill>
                        <w14:solidFill>
                          <w14:schemeClr w14:val="tx1"/>
                        </w14:solidFill>
                      </w14:textFill>
                    </w:rPr>
                  </w:pPr>
                </w:p>
              </w:tc>
            </w:tr>
            <w:tr w14:paraId="1C160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65" w:type="pct"/>
                  <w:vMerge w:val="continue"/>
                  <w:noWrap w:val="0"/>
                  <w:vAlign w:val="center"/>
                </w:tcPr>
                <w:p w14:paraId="395943E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6DE64230">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G5</w:t>
                  </w:r>
                </w:p>
              </w:tc>
              <w:tc>
                <w:tcPr>
                  <w:tcW w:w="678" w:type="pct"/>
                  <w:tcBorders>
                    <w:left w:val="single" w:color="000000" w:sz="4" w:space="0"/>
                    <w:right w:val="single" w:color="000000" w:sz="4" w:space="0"/>
                  </w:tcBorders>
                  <w:noWrap w:val="0"/>
                  <w:vAlign w:val="center"/>
                </w:tcPr>
                <w:p w14:paraId="4D298DBA">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喷粉</w:t>
                  </w:r>
                </w:p>
              </w:tc>
              <w:tc>
                <w:tcPr>
                  <w:tcW w:w="809" w:type="pct"/>
                  <w:tcBorders>
                    <w:left w:val="single" w:color="000000" w:sz="4" w:space="0"/>
                    <w:right w:val="single" w:color="000000" w:sz="4" w:space="0"/>
                  </w:tcBorders>
                  <w:noWrap w:val="0"/>
                  <w:vAlign w:val="center"/>
                </w:tcPr>
                <w:p w14:paraId="7B5A910F">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喷粉粉尘</w:t>
                  </w:r>
                </w:p>
              </w:tc>
              <w:tc>
                <w:tcPr>
                  <w:tcW w:w="969" w:type="pct"/>
                  <w:tcBorders>
                    <w:left w:val="single" w:color="000000" w:sz="4" w:space="0"/>
                  </w:tcBorders>
                  <w:noWrap w:val="0"/>
                  <w:vAlign w:val="center"/>
                </w:tcPr>
                <w:p w14:paraId="67EA38F3">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颗粒物</w:t>
                  </w:r>
                </w:p>
              </w:tc>
              <w:tc>
                <w:tcPr>
                  <w:tcW w:w="419" w:type="pct"/>
                  <w:tcBorders>
                    <w:left w:val="single" w:color="000000" w:sz="4" w:space="0"/>
                  </w:tcBorders>
                  <w:noWrap w:val="0"/>
                  <w:vAlign w:val="center"/>
                </w:tcPr>
                <w:p w14:paraId="1A53A160">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t>/</w:t>
                  </w:r>
                </w:p>
              </w:tc>
              <w:tc>
                <w:tcPr>
                  <w:tcW w:w="1430" w:type="pct"/>
                  <w:tcBorders>
                    <w:top w:val="single" w:color="000000" w:sz="4" w:space="0"/>
                    <w:left w:val="single" w:color="auto" w:sz="4" w:space="0"/>
                  </w:tcBorders>
                  <w:noWrap w:val="0"/>
                  <w:vAlign w:val="center"/>
                </w:tcPr>
                <w:p w14:paraId="0CA485E9">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3#厂房：</w:t>
                  </w:r>
                  <w:r>
                    <w:rPr>
                      <w:rFonts w:hint="default" w:ascii="Times New Roman" w:hAnsi="Times New Roman"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喷粉房密闭，喷粉粉尘经脉冲式布袋除尘器处理后，尾气在粉房内无组织排放</w:t>
                  </w:r>
                </w:p>
                <w:p w14:paraId="1FD663E5">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2#厂房：</w:t>
                  </w:r>
                  <w:r>
                    <w:rPr>
                      <w:rFonts w:hint="default" w:ascii="Times New Roman" w:hAnsi="Times New Roman"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密闭喷粉房</w:t>
                  </w:r>
                  <w:r>
                    <w:rPr>
                      <w:rFonts w:hint="default"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w:t>
                  </w:r>
                  <w:r>
                    <w:rPr>
                      <w:rFonts w:hint="default" w:ascii="Times New Roman" w:hAnsi="Times New Roman"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脉冲式布袋除尘器</w:t>
                  </w:r>
                  <w:r>
                    <w:rPr>
                      <w:rFonts w:hint="default"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+15m高排气筒排放（DA00</w:t>
                  </w:r>
                  <w:r>
                    <w:rPr>
                      <w:rFonts w:hint="default" w:ascii="Times New Roman" w:hAnsi="Times New Roman"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7~DA008</w:t>
                  </w:r>
                  <w:r>
                    <w:rPr>
                      <w:rFonts w:hint="default"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w:t>
                  </w:r>
                </w:p>
              </w:tc>
            </w:tr>
            <w:tr w14:paraId="23CE7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65" w:type="pct"/>
                  <w:vMerge w:val="continue"/>
                  <w:noWrap w:val="0"/>
                  <w:vAlign w:val="center"/>
                </w:tcPr>
                <w:p w14:paraId="2E2C58FF">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vMerge w:val="restart"/>
                  <w:noWrap w:val="0"/>
                  <w:vAlign w:val="center"/>
                </w:tcPr>
                <w:p w14:paraId="448EA02A">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G8</w:t>
                  </w:r>
                </w:p>
              </w:tc>
              <w:tc>
                <w:tcPr>
                  <w:tcW w:w="678" w:type="pct"/>
                  <w:vMerge w:val="restart"/>
                  <w:tcBorders>
                    <w:left w:val="single" w:color="000000" w:sz="4" w:space="0"/>
                    <w:right w:val="single" w:color="000000" w:sz="4" w:space="0"/>
                  </w:tcBorders>
                  <w:noWrap w:val="0"/>
                  <w:vAlign w:val="center"/>
                </w:tcPr>
                <w:p w14:paraId="562571EA">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喷胶/喷漆烘干</w:t>
                  </w:r>
                </w:p>
              </w:tc>
              <w:tc>
                <w:tcPr>
                  <w:tcW w:w="809" w:type="pct"/>
                  <w:tcBorders>
                    <w:left w:val="single" w:color="000000" w:sz="4" w:space="0"/>
                    <w:right w:val="single" w:color="000000" w:sz="4" w:space="0"/>
                  </w:tcBorders>
                  <w:noWrap w:val="0"/>
                  <w:vAlign w:val="center"/>
                </w:tcPr>
                <w:p w14:paraId="3C3248A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喷胶废气</w:t>
                  </w:r>
                </w:p>
              </w:tc>
              <w:tc>
                <w:tcPr>
                  <w:tcW w:w="969" w:type="pct"/>
                  <w:tcBorders>
                    <w:left w:val="single" w:color="000000" w:sz="4" w:space="0"/>
                  </w:tcBorders>
                  <w:noWrap w:val="0"/>
                  <w:vAlign w:val="center"/>
                </w:tcPr>
                <w:p w14:paraId="35D1AB67">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非甲烷总烃</w:t>
                  </w:r>
                </w:p>
              </w:tc>
              <w:tc>
                <w:tcPr>
                  <w:tcW w:w="419" w:type="pct"/>
                  <w:tcBorders>
                    <w:left w:val="single" w:color="000000" w:sz="4" w:space="0"/>
                  </w:tcBorders>
                  <w:noWrap w:val="0"/>
                  <w:vAlign w:val="center"/>
                </w:tcPr>
                <w:p w14:paraId="54F88696">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t>/</w:t>
                  </w:r>
                </w:p>
              </w:tc>
              <w:tc>
                <w:tcPr>
                  <w:tcW w:w="1430" w:type="pct"/>
                  <w:vMerge w:val="restart"/>
                  <w:tcBorders>
                    <w:left w:val="single" w:color="auto" w:sz="4" w:space="0"/>
                  </w:tcBorders>
                  <w:noWrap w:val="0"/>
                  <w:vAlign w:val="center"/>
                </w:tcPr>
                <w:p w14:paraId="67584A23">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3#厂房：</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水</w:t>
                  </w:r>
                  <w:r>
                    <w:rPr>
                      <w:rFonts w:hint="eastAsia"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喷淋</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+干式过滤</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+活性炭吸附+1根22m高排气筒高空排放（DA009）</w:t>
                  </w:r>
                </w:p>
                <w:p w14:paraId="0AD281F5">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2#厂房：</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水</w:t>
                  </w:r>
                  <w:r>
                    <w:rPr>
                      <w:rFonts w:hint="eastAsia"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喷淋</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+干式过滤</w:t>
                  </w:r>
                  <w:r>
                    <w:rPr>
                      <w:rFonts w:hint="eastAsia"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+活性炭吸附+1根15m高排气筒排放（DA00</w:t>
                  </w:r>
                  <w:r>
                    <w:rPr>
                      <w:rFonts w:hint="eastAsia" w:ascii="Times New Roman" w:hAnsi="Times New Roman"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5</w:t>
                  </w:r>
                  <w:r>
                    <w:rPr>
                      <w:rFonts w:hint="eastAsia"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w:t>
                  </w:r>
                </w:p>
              </w:tc>
            </w:tr>
            <w:tr w14:paraId="280E8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65" w:type="pct"/>
                  <w:vMerge w:val="continue"/>
                  <w:noWrap w:val="0"/>
                  <w:vAlign w:val="center"/>
                </w:tcPr>
                <w:p w14:paraId="61A124C8">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vMerge w:val="continue"/>
                  <w:noWrap w:val="0"/>
                  <w:vAlign w:val="center"/>
                </w:tcPr>
                <w:p w14:paraId="7F2E7F0B">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678" w:type="pct"/>
                  <w:vMerge w:val="continue"/>
                  <w:tcBorders>
                    <w:left w:val="single" w:color="000000" w:sz="4" w:space="0"/>
                    <w:right w:val="single" w:color="000000" w:sz="4" w:space="0"/>
                  </w:tcBorders>
                  <w:noWrap w:val="0"/>
                  <w:vAlign w:val="center"/>
                </w:tcPr>
                <w:p w14:paraId="4F9BE05F">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809" w:type="pct"/>
                  <w:tcBorders>
                    <w:left w:val="single" w:color="000000" w:sz="4" w:space="0"/>
                    <w:right w:val="single" w:color="000000" w:sz="4" w:space="0"/>
                  </w:tcBorders>
                  <w:noWrap w:val="0"/>
                  <w:vAlign w:val="center"/>
                </w:tcPr>
                <w:p w14:paraId="412BCC74">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喷漆</w:t>
                  </w:r>
                </w:p>
              </w:tc>
              <w:tc>
                <w:tcPr>
                  <w:tcW w:w="969" w:type="pct"/>
                  <w:tcBorders>
                    <w:left w:val="single" w:color="000000" w:sz="4" w:space="0"/>
                  </w:tcBorders>
                  <w:noWrap w:val="0"/>
                  <w:vAlign w:val="center"/>
                </w:tcPr>
                <w:p w14:paraId="337E84F0">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非甲烷总烃、二甲苯、乙酸丁酯</w:t>
                  </w:r>
                </w:p>
              </w:tc>
              <w:tc>
                <w:tcPr>
                  <w:tcW w:w="419" w:type="pct"/>
                  <w:tcBorders>
                    <w:left w:val="single" w:color="000000" w:sz="4" w:space="0"/>
                  </w:tcBorders>
                  <w:noWrap w:val="0"/>
                  <w:vAlign w:val="center"/>
                </w:tcPr>
                <w:p w14:paraId="6A3D851F">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t>/</w:t>
                  </w:r>
                </w:p>
              </w:tc>
              <w:tc>
                <w:tcPr>
                  <w:tcW w:w="1430" w:type="pct"/>
                  <w:vMerge w:val="continue"/>
                  <w:tcBorders>
                    <w:left w:val="single" w:color="auto" w:sz="4" w:space="0"/>
                  </w:tcBorders>
                  <w:noWrap w:val="0"/>
                  <w:vAlign w:val="center"/>
                </w:tcPr>
                <w:p w14:paraId="43986360">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611B8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65" w:type="pct"/>
                  <w:vMerge w:val="continue"/>
                  <w:noWrap w:val="0"/>
                  <w:vAlign w:val="center"/>
                </w:tcPr>
                <w:p w14:paraId="53052BA8">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358B5E90">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G9</w:t>
                  </w:r>
                </w:p>
              </w:tc>
              <w:tc>
                <w:tcPr>
                  <w:tcW w:w="678" w:type="pct"/>
                  <w:vMerge w:val="continue"/>
                  <w:tcBorders>
                    <w:left w:val="single" w:color="000000" w:sz="4" w:space="0"/>
                    <w:right w:val="single" w:color="000000" w:sz="4" w:space="0"/>
                  </w:tcBorders>
                  <w:noWrap w:val="0"/>
                  <w:vAlign w:val="center"/>
                </w:tcPr>
                <w:p w14:paraId="40FA85F4">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809" w:type="pct"/>
                  <w:tcBorders>
                    <w:left w:val="single" w:color="000000" w:sz="4" w:space="0"/>
                    <w:right w:val="single" w:color="000000" w:sz="4" w:space="0"/>
                  </w:tcBorders>
                  <w:noWrap w:val="0"/>
                  <w:vAlign w:val="center"/>
                </w:tcPr>
                <w:p w14:paraId="7F4B22FD">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燃气废气</w:t>
                  </w:r>
                </w:p>
              </w:tc>
              <w:tc>
                <w:tcPr>
                  <w:tcW w:w="969" w:type="pct"/>
                  <w:tcBorders>
                    <w:left w:val="single" w:color="000000" w:sz="4" w:space="0"/>
                  </w:tcBorders>
                  <w:noWrap w:val="0"/>
                  <w:vAlign w:val="center"/>
                </w:tcPr>
                <w:p w14:paraId="73F4A935">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、NO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、颗粒物</w:t>
                  </w:r>
                </w:p>
              </w:tc>
              <w:tc>
                <w:tcPr>
                  <w:tcW w:w="419" w:type="pct"/>
                  <w:tcBorders>
                    <w:left w:val="single" w:color="000000" w:sz="4" w:space="0"/>
                  </w:tcBorders>
                  <w:noWrap w:val="0"/>
                  <w:vAlign w:val="center"/>
                </w:tcPr>
                <w:p w14:paraId="2BA2D646">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低氮燃烧</w:t>
                  </w:r>
                </w:p>
              </w:tc>
              <w:tc>
                <w:tcPr>
                  <w:tcW w:w="1430" w:type="pct"/>
                  <w:vMerge w:val="continue"/>
                  <w:tcBorders>
                    <w:left w:val="single" w:color="auto" w:sz="4" w:space="0"/>
                  </w:tcBorders>
                  <w:noWrap w:val="0"/>
                  <w:vAlign w:val="center"/>
                </w:tcPr>
                <w:p w14:paraId="7BE2AC66">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76F26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6D52E407">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22E8D315">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G10</w:t>
                  </w:r>
                </w:p>
              </w:tc>
              <w:tc>
                <w:tcPr>
                  <w:tcW w:w="678" w:type="pct"/>
                  <w:tcBorders>
                    <w:left w:val="single" w:color="000000" w:sz="4" w:space="0"/>
                    <w:right w:val="single" w:color="000000" w:sz="4" w:space="0"/>
                  </w:tcBorders>
                  <w:noWrap w:val="0"/>
                  <w:vAlign w:val="center"/>
                </w:tcPr>
                <w:p w14:paraId="5238E2AF">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丝印烘干</w:t>
                  </w:r>
                </w:p>
              </w:tc>
              <w:tc>
                <w:tcPr>
                  <w:tcW w:w="809" w:type="pct"/>
                  <w:tcBorders>
                    <w:left w:val="single" w:color="000000" w:sz="4" w:space="0"/>
                    <w:right w:val="single" w:color="000000" w:sz="4" w:space="0"/>
                  </w:tcBorders>
                  <w:noWrap w:val="0"/>
                  <w:vAlign w:val="center"/>
                </w:tcPr>
                <w:p w14:paraId="746F5CD8">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丝印烘干废气</w:t>
                  </w:r>
                </w:p>
              </w:tc>
              <w:tc>
                <w:tcPr>
                  <w:tcW w:w="969" w:type="pct"/>
                  <w:tcBorders>
                    <w:left w:val="single" w:color="000000" w:sz="4" w:space="0"/>
                  </w:tcBorders>
                  <w:noWrap w:val="0"/>
                  <w:vAlign w:val="center"/>
                </w:tcPr>
                <w:p w14:paraId="032072B0">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非甲烷总烃、甲苯</w:t>
                  </w:r>
                </w:p>
              </w:tc>
              <w:tc>
                <w:tcPr>
                  <w:tcW w:w="419" w:type="pct"/>
                  <w:tcBorders>
                    <w:left w:val="single" w:color="000000" w:sz="4" w:space="0"/>
                  </w:tcBorders>
                  <w:noWrap w:val="0"/>
                  <w:vAlign w:val="center"/>
                </w:tcPr>
                <w:p w14:paraId="51CB0EB2">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w:t>
                  </w:r>
                </w:p>
              </w:tc>
              <w:tc>
                <w:tcPr>
                  <w:tcW w:w="1430" w:type="pct"/>
                  <w:vMerge w:val="restart"/>
                  <w:tcBorders>
                    <w:left w:val="single" w:color="000000" w:sz="4" w:space="0"/>
                  </w:tcBorders>
                  <w:noWrap w:val="0"/>
                  <w:vAlign w:val="center"/>
                </w:tcPr>
                <w:p w14:paraId="1B067325">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2#厂房：</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水</w:t>
                  </w:r>
                  <w:r>
                    <w:rPr>
                      <w:rFonts w:hint="eastAsia"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喷淋</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+干式过滤</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+活性炭吸附+1根15m高排气筒排放（DA004）</w:t>
                  </w:r>
                </w:p>
              </w:tc>
            </w:tr>
            <w:tr w14:paraId="1563A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11DFFE95">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3A2F6578">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G13</w:t>
                  </w:r>
                </w:p>
              </w:tc>
              <w:tc>
                <w:tcPr>
                  <w:tcW w:w="678" w:type="pct"/>
                  <w:tcBorders>
                    <w:left w:val="single" w:color="000000" w:sz="4" w:space="0"/>
                    <w:right w:val="single" w:color="000000" w:sz="4" w:space="0"/>
                  </w:tcBorders>
                  <w:noWrap w:val="0"/>
                  <w:vAlign w:val="center"/>
                </w:tcPr>
                <w:p w14:paraId="07041761">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钝化水洗烘干</w:t>
                  </w:r>
                </w:p>
              </w:tc>
              <w:tc>
                <w:tcPr>
                  <w:tcW w:w="809" w:type="pct"/>
                  <w:tcBorders>
                    <w:left w:val="single" w:color="000000" w:sz="4" w:space="0"/>
                    <w:right w:val="single" w:color="000000" w:sz="4" w:space="0"/>
                  </w:tcBorders>
                  <w:noWrap w:val="0"/>
                  <w:vAlign w:val="center"/>
                </w:tcPr>
                <w:p w14:paraId="5D0F83C0">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燃气废气</w:t>
                  </w:r>
                </w:p>
              </w:tc>
              <w:tc>
                <w:tcPr>
                  <w:tcW w:w="969" w:type="pct"/>
                  <w:tcBorders>
                    <w:left w:val="single" w:color="000000" w:sz="4" w:space="0"/>
                  </w:tcBorders>
                  <w:noWrap w:val="0"/>
                  <w:vAlign w:val="center"/>
                </w:tcPr>
                <w:p w14:paraId="748ED142">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、NO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、颗粒物</w:t>
                  </w:r>
                </w:p>
              </w:tc>
              <w:tc>
                <w:tcPr>
                  <w:tcW w:w="419" w:type="pct"/>
                  <w:tcBorders>
                    <w:left w:val="single" w:color="000000" w:sz="4" w:space="0"/>
                  </w:tcBorders>
                  <w:noWrap w:val="0"/>
                  <w:vAlign w:val="center"/>
                </w:tcPr>
                <w:p w14:paraId="390BEAFB">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低氮燃烧</w:t>
                  </w:r>
                </w:p>
              </w:tc>
              <w:tc>
                <w:tcPr>
                  <w:tcW w:w="1430" w:type="pct"/>
                  <w:vMerge w:val="continue"/>
                  <w:tcBorders>
                    <w:left w:val="single" w:color="000000" w:sz="4" w:space="0"/>
                  </w:tcBorders>
                  <w:noWrap w:val="0"/>
                  <w:vAlign w:val="center"/>
                </w:tcPr>
                <w:p w14:paraId="22EE3546">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309DC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649D47E3">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7F5872E1">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G11</w:t>
                  </w:r>
                </w:p>
              </w:tc>
              <w:tc>
                <w:tcPr>
                  <w:tcW w:w="678" w:type="pct"/>
                  <w:tcBorders>
                    <w:left w:val="single" w:color="000000" w:sz="4" w:space="0"/>
                    <w:right w:val="single" w:color="000000" w:sz="4" w:space="0"/>
                  </w:tcBorders>
                  <w:noWrap w:val="0"/>
                  <w:vAlign w:val="center"/>
                </w:tcPr>
                <w:p w14:paraId="77097646">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酸洗</w:t>
                  </w:r>
                </w:p>
              </w:tc>
              <w:tc>
                <w:tcPr>
                  <w:tcW w:w="809" w:type="pct"/>
                  <w:tcBorders>
                    <w:left w:val="single" w:color="000000" w:sz="4" w:space="0"/>
                    <w:right w:val="single" w:color="000000" w:sz="4" w:space="0"/>
                  </w:tcBorders>
                  <w:noWrap w:val="0"/>
                  <w:vAlign w:val="center"/>
                </w:tcPr>
                <w:p w14:paraId="51BCE76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酸性气体</w:t>
                  </w:r>
                </w:p>
              </w:tc>
              <w:tc>
                <w:tcPr>
                  <w:tcW w:w="969" w:type="pct"/>
                  <w:tcBorders>
                    <w:left w:val="single" w:color="000000" w:sz="4" w:space="0"/>
                  </w:tcBorders>
                  <w:noWrap w:val="0"/>
                  <w:vAlign w:val="center"/>
                </w:tcPr>
                <w:p w14:paraId="0656494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氮氧化物</w:t>
                  </w:r>
                </w:p>
              </w:tc>
              <w:tc>
                <w:tcPr>
                  <w:tcW w:w="1849" w:type="pct"/>
                  <w:gridSpan w:val="2"/>
                  <w:vMerge w:val="restart"/>
                  <w:tcBorders>
                    <w:left w:val="single" w:color="000000" w:sz="4" w:space="0"/>
                  </w:tcBorders>
                  <w:noWrap w:val="0"/>
                  <w:vAlign w:val="center"/>
                </w:tcPr>
                <w:p w14:paraId="2540E6A0">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2#厂房：碱液喷淋+</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1根15m高排气筒</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DA00</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排放</w:t>
                  </w:r>
                </w:p>
              </w:tc>
            </w:tr>
            <w:tr w14:paraId="5A3EE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34180CD8">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1320DE98">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G12</w:t>
                  </w:r>
                </w:p>
              </w:tc>
              <w:tc>
                <w:tcPr>
                  <w:tcW w:w="678" w:type="pct"/>
                  <w:tcBorders>
                    <w:left w:val="single" w:color="000000" w:sz="4" w:space="0"/>
                    <w:right w:val="single" w:color="000000" w:sz="4" w:space="0"/>
                  </w:tcBorders>
                  <w:noWrap w:val="0"/>
                  <w:vAlign w:val="center"/>
                </w:tcPr>
                <w:p w14:paraId="1210C101">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钝化</w:t>
                  </w:r>
                </w:p>
              </w:tc>
              <w:tc>
                <w:tcPr>
                  <w:tcW w:w="809" w:type="pct"/>
                  <w:tcBorders>
                    <w:left w:val="single" w:color="000000" w:sz="4" w:space="0"/>
                    <w:right w:val="single" w:color="000000" w:sz="4" w:space="0"/>
                  </w:tcBorders>
                  <w:noWrap w:val="0"/>
                  <w:vAlign w:val="center"/>
                </w:tcPr>
                <w:p w14:paraId="7BD0E19A">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酸性气体</w:t>
                  </w:r>
                </w:p>
              </w:tc>
              <w:tc>
                <w:tcPr>
                  <w:tcW w:w="969" w:type="pct"/>
                  <w:tcBorders>
                    <w:left w:val="single" w:color="000000" w:sz="4" w:space="0"/>
                  </w:tcBorders>
                  <w:noWrap w:val="0"/>
                  <w:vAlign w:val="center"/>
                </w:tcPr>
                <w:p w14:paraId="34F3C9DB">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氮氧化物</w:t>
                  </w:r>
                </w:p>
              </w:tc>
              <w:tc>
                <w:tcPr>
                  <w:tcW w:w="1849" w:type="pct"/>
                  <w:gridSpan w:val="2"/>
                  <w:vMerge w:val="continue"/>
                  <w:tcBorders>
                    <w:left w:val="single" w:color="000000" w:sz="4" w:space="0"/>
                  </w:tcBorders>
                  <w:noWrap w:val="0"/>
                  <w:vAlign w:val="center"/>
                </w:tcPr>
                <w:p w14:paraId="42359647">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128D8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49BB5BF1">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3D738C5A">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G14</w:t>
                  </w:r>
                </w:p>
              </w:tc>
              <w:tc>
                <w:tcPr>
                  <w:tcW w:w="678" w:type="pct"/>
                  <w:tcBorders>
                    <w:left w:val="single" w:color="000000" w:sz="4" w:space="0"/>
                    <w:right w:val="single" w:color="000000" w:sz="4" w:space="0"/>
                  </w:tcBorders>
                  <w:noWrap w:val="0"/>
                  <w:vAlign w:val="center"/>
                </w:tcPr>
                <w:p w14:paraId="6C157BBD">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制备热水</w:t>
                  </w:r>
                </w:p>
              </w:tc>
              <w:tc>
                <w:tcPr>
                  <w:tcW w:w="809" w:type="pct"/>
                  <w:tcBorders>
                    <w:left w:val="single" w:color="000000" w:sz="4" w:space="0"/>
                    <w:right w:val="single" w:color="000000" w:sz="4" w:space="0"/>
                  </w:tcBorders>
                  <w:noWrap w:val="0"/>
                  <w:vAlign w:val="center"/>
                </w:tcPr>
                <w:p w14:paraId="32B96457">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燃气废气</w:t>
                  </w:r>
                </w:p>
              </w:tc>
              <w:tc>
                <w:tcPr>
                  <w:tcW w:w="969" w:type="pct"/>
                  <w:tcBorders>
                    <w:left w:val="single" w:color="000000" w:sz="4" w:space="0"/>
                  </w:tcBorders>
                  <w:noWrap w:val="0"/>
                  <w:vAlign w:val="center"/>
                </w:tcPr>
                <w:p w14:paraId="0FFEA622">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、NO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、颗粒物</w:t>
                  </w:r>
                </w:p>
              </w:tc>
              <w:tc>
                <w:tcPr>
                  <w:tcW w:w="1849" w:type="pct"/>
                  <w:gridSpan w:val="2"/>
                  <w:tcBorders>
                    <w:left w:val="single" w:color="000000" w:sz="4" w:space="0"/>
                  </w:tcBorders>
                  <w:noWrap w:val="0"/>
                  <w:vAlign w:val="center"/>
                </w:tcPr>
                <w:p w14:paraId="2176BFF1">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15m高排气筒</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DA00</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排放</w:t>
                  </w:r>
                </w:p>
              </w:tc>
            </w:tr>
            <w:tr w14:paraId="52BBE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4ABF7EC0">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3830E75A">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G15</w:t>
                  </w:r>
                </w:p>
              </w:tc>
              <w:tc>
                <w:tcPr>
                  <w:tcW w:w="678" w:type="pct"/>
                  <w:tcBorders>
                    <w:left w:val="single" w:color="000000" w:sz="4" w:space="0"/>
                    <w:right w:val="single" w:color="000000" w:sz="4" w:space="0"/>
                  </w:tcBorders>
                  <w:noWrap w:val="0"/>
                  <w:vAlign w:val="center"/>
                </w:tcPr>
                <w:p w14:paraId="69B78ED7">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喷砂</w:t>
                  </w:r>
                </w:p>
              </w:tc>
              <w:tc>
                <w:tcPr>
                  <w:tcW w:w="809" w:type="pct"/>
                  <w:tcBorders>
                    <w:left w:val="single" w:color="000000" w:sz="4" w:space="0"/>
                    <w:right w:val="single" w:color="000000" w:sz="4" w:space="0"/>
                  </w:tcBorders>
                  <w:noWrap w:val="0"/>
                  <w:vAlign w:val="center"/>
                </w:tcPr>
                <w:p w14:paraId="6E0EEED1">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喷砂粉尘</w:t>
                  </w:r>
                </w:p>
              </w:tc>
              <w:tc>
                <w:tcPr>
                  <w:tcW w:w="969" w:type="pct"/>
                  <w:tcBorders>
                    <w:left w:val="single" w:color="000000" w:sz="4" w:space="0"/>
                  </w:tcBorders>
                  <w:noWrap w:val="0"/>
                  <w:vAlign w:val="center"/>
                </w:tcPr>
                <w:p w14:paraId="7EC47828">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颗粒物</w:t>
                  </w:r>
                </w:p>
              </w:tc>
              <w:tc>
                <w:tcPr>
                  <w:tcW w:w="1849" w:type="pct"/>
                  <w:gridSpan w:val="2"/>
                  <w:tcBorders>
                    <w:left w:val="single" w:color="000000" w:sz="4" w:space="0"/>
                  </w:tcBorders>
                  <w:noWrap w:val="0"/>
                  <w:vAlign w:val="center"/>
                </w:tcPr>
                <w:p w14:paraId="3A2ADA8C">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袋式除尘器+无组织排放</w:t>
                  </w:r>
                </w:p>
              </w:tc>
            </w:tr>
            <w:tr w14:paraId="45EDF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1FDB35EC">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1CA64C2E">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G16</w:t>
                  </w:r>
                </w:p>
              </w:tc>
              <w:tc>
                <w:tcPr>
                  <w:tcW w:w="678" w:type="pct"/>
                  <w:tcBorders>
                    <w:left w:val="single" w:color="000000" w:sz="4" w:space="0"/>
                    <w:right w:val="single" w:color="000000" w:sz="4" w:space="0"/>
                  </w:tcBorders>
                  <w:noWrap w:val="0"/>
                  <w:vAlign w:val="center"/>
                </w:tcPr>
                <w:p w14:paraId="7699181F">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激光清洗</w:t>
                  </w:r>
                </w:p>
              </w:tc>
              <w:tc>
                <w:tcPr>
                  <w:tcW w:w="809" w:type="pct"/>
                  <w:tcBorders>
                    <w:left w:val="single" w:color="000000" w:sz="4" w:space="0"/>
                    <w:right w:val="single" w:color="000000" w:sz="4" w:space="0"/>
                  </w:tcBorders>
                  <w:noWrap w:val="0"/>
                  <w:vAlign w:val="center"/>
                </w:tcPr>
                <w:p w14:paraId="0511FB11">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激光烟尘</w:t>
                  </w:r>
                </w:p>
              </w:tc>
              <w:tc>
                <w:tcPr>
                  <w:tcW w:w="969" w:type="pct"/>
                  <w:tcBorders>
                    <w:left w:val="single" w:color="000000" w:sz="4" w:space="0"/>
                  </w:tcBorders>
                  <w:noWrap w:val="0"/>
                  <w:vAlign w:val="center"/>
                </w:tcPr>
                <w:p w14:paraId="45EE21AA">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颗粒物</w:t>
                  </w:r>
                </w:p>
              </w:tc>
              <w:tc>
                <w:tcPr>
                  <w:tcW w:w="1849" w:type="pct"/>
                  <w:gridSpan w:val="2"/>
                  <w:tcBorders>
                    <w:left w:val="single" w:color="000000" w:sz="4" w:space="0"/>
                  </w:tcBorders>
                  <w:noWrap w:val="0"/>
                  <w:vAlign w:val="center"/>
                </w:tcPr>
                <w:p w14:paraId="3A567DCF">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袋式除尘器+无组织排放</w:t>
                  </w:r>
                </w:p>
              </w:tc>
            </w:tr>
            <w:tr w14:paraId="7035F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restart"/>
                  <w:noWrap w:val="0"/>
                  <w:vAlign w:val="center"/>
                </w:tcPr>
                <w:p w14:paraId="43CD5E66">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固废</w:t>
                  </w:r>
                </w:p>
              </w:tc>
              <w:tc>
                <w:tcPr>
                  <w:tcW w:w="428" w:type="pct"/>
                  <w:noWrap w:val="0"/>
                  <w:vAlign w:val="center"/>
                </w:tcPr>
                <w:p w14:paraId="2028EA26">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S1</w:t>
                  </w:r>
                </w:p>
              </w:tc>
              <w:tc>
                <w:tcPr>
                  <w:tcW w:w="678" w:type="pct"/>
                  <w:tcBorders>
                    <w:left w:val="single" w:color="000000" w:sz="4" w:space="0"/>
                    <w:right w:val="single" w:color="000000" w:sz="4" w:space="0"/>
                  </w:tcBorders>
                  <w:noWrap w:val="0"/>
                  <w:vAlign w:val="center"/>
                </w:tcPr>
                <w:p w14:paraId="7E785685">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热水洗</w:t>
                  </w:r>
                </w:p>
              </w:tc>
              <w:tc>
                <w:tcPr>
                  <w:tcW w:w="1778" w:type="pct"/>
                  <w:gridSpan w:val="2"/>
                  <w:vMerge w:val="restart"/>
                  <w:tcBorders>
                    <w:left w:val="single" w:color="000000" w:sz="4" w:space="0"/>
                  </w:tcBorders>
                  <w:noWrap w:val="0"/>
                  <w:vAlign w:val="center"/>
                </w:tcPr>
                <w:p w14:paraId="2DADACF1">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预脱脂</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槽渣</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浮油</w:t>
                  </w:r>
                </w:p>
              </w:tc>
              <w:tc>
                <w:tcPr>
                  <w:tcW w:w="1849" w:type="pct"/>
                  <w:gridSpan w:val="2"/>
                  <w:vMerge w:val="restart"/>
                  <w:tcBorders>
                    <w:left w:val="single" w:color="000000" w:sz="4" w:space="0"/>
                  </w:tcBorders>
                  <w:noWrap w:val="0"/>
                  <w:vAlign w:val="center"/>
                </w:tcPr>
                <w:p w14:paraId="006AC811">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暂存于</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危险废物贮存</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间，委托有资质单位统一处置</w:t>
                  </w:r>
                </w:p>
              </w:tc>
            </w:tr>
            <w:tr w14:paraId="38EE2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64396CB2">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1FA60735">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S2</w:t>
                  </w:r>
                </w:p>
              </w:tc>
              <w:tc>
                <w:tcPr>
                  <w:tcW w:w="678" w:type="pct"/>
                  <w:tcBorders>
                    <w:left w:val="single" w:color="000000" w:sz="4" w:space="0"/>
                    <w:right w:val="single" w:color="000000" w:sz="4" w:space="0"/>
                  </w:tcBorders>
                  <w:noWrap w:val="0"/>
                  <w:vAlign w:val="center"/>
                </w:tcPr>
                <w:p w14:paraId="53DA907B">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预脱脂</w:t>
                  </w:r>
                </w:p>
              </w:tc>
              <w:tc>
                <w:tcPr>
                  <w:tcW w:w="1778" w:type="pct"/>
                  <w:gridSpan w:val="2"/>
                  <w:vMerge w:val="continue"/>
                  <w:tcBorders>
                    <w:left w:val="single" w:color="000000" w:sz="4" w:space="0"/>
                  </w:tcBorders>
                  <w:noWrap w:val="0"/>
                  <w:vAlign w:val="center"/>
                </w:tcPr>
                <w:p w14:paraId="6A538869">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1849" w:type="pct"/>
                  <w:gridSpan w:val="2"/>
                  <w:vMerge w:val="continue"/>
                  <w:tcBorders>
                    <w:left w:val="single" w:color="000000" w:sz="4" w:space="0"/>
                  </w:tcBorders>
                  <w:noWrap w:val="0"/>
                  <w:vAlign w:val="center"/>
                </w:tcPr>
                <w:p w14:paraId="36DC161C">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2D1B3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3E427E36">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1C8F0FAE">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S3</w:t>
                  </w:r>
                </w:p>
              </w:tc>
              <w:tc>
                <w:tcPr>
                  <w:tcW w:w="678" w:type="pct"/>
                  <w:tcBorders>
                    <w:left w:val="single" w:color="000000" w:sz="4" w:space="0"/>
                    <w:right w:val="single" w:color="000000" w:sz="4" w:space="0"/>
                  </w:tcBorders>
                  <w:noWrap w:val="0"/>
                  <w:vAlign w:val="center"/>
                </w:tcPr>
                <w:p w14:paraId="5B6EE22B">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主脱脂</w:t>
                  </w:r>
                </w:p>
              </w:tc>
              <w:tc>
                <w:tcPr>
                  <w:tcW w:w="1778" w:type="pct"/>
                  <w:gridSpan w:val="2"/>
                  <w:tcBorders>
                    <w:left w:val="single" w:color="000000" w:sz="4" w:space="0"/>
                  </w:tcBorders>
                  <w:noWrap w:val="0"/>
                  <w:vAlign w:val="center"/>
                </w:tcPr>
                <w:p w14:paraId="4C696720">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主脱脂槽渣</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、废槽液、</w:t>
                  </w: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浮油</w:t>
                  </w:r>
                </w:p>
              </w:tc>
              <w:tc>
                <w:tcPr>
                  <w:tcW w:w="1849" w:type="pct"/>
                  <w:gridSpan w:val="2"/>
                  <w:vMerge w:val="continue"/>
                  <w:tcBorders>
                    <w:left w:val="single" w:color="000000" w:sz="4" w:space="0"/>
                  </w:tcBorders>
                  <w:noWrap w:val="0"/>
                  <w:vAlign w:val="center"/>
                </w:tcPr>
                <w:p w14:paraId="70ECB0C8">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20C86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696C6EA6">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3123D4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S4</w:t>
                  </w:r>
                </w:p>
              </w:tc>
              <w:tc>
                <w:tcPr>
                  <w:tcW w:w="678" w:type="pct"/>
                  <w:tcBorders>
                    <w:left w:val="single" w:color="000000" w:sz="4" w:space="0"/>
                    <w:right w:val="single" w:color="000000" w:sz="4" w:space="0"/>
                  </w:tcBorders>
                  <w:noWrap w:val="0"/>
                  <w:vAlign w:val="center"/>
                </w:tcPr>
                <w:p w14:paraId="0266B0ED">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水洗1</w:t>
                  </w:r>
                </w:p>
              </w:tc>
              <w:tc>
                <w:tcPr>
                  <w:tcW w:w="1778" w:type="pct"/>
                  <w:gridSpan w:val="2"/>
                  <w:vMerge w:val="restart"/>
                  <w:tcBorders>
                    <w:left w:val="single" w:color="000000" w:sz="4" w:space="0"/>
                  </w:tcBorders>
                  <w:noWrap w:val="0"/>
                  <w:vAlign w:val="center"/>
                </w:tcPr>
                <w:p w14:paraId="43FDFFBE">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水洗</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残渣</w:t>
                  </w:r>
                </w:p>
              </w:tc>
              <w:tc>
                <w:tcPr>
                  <w:tcW w:w="1849" w:type="pct"/>
                  <w:gridSpan w:val="2"/>
                  <w:vMerge w:val="continue"/>
                  <w:tcBorders>
                    <w:left w:val="single" w:color="000000" w:sz="4" w:space="0"/>
                  </w:tcBorders>
                  <w:noWrap w:val="0"/>
                  <w:vAlign w:val="center"/>
                </w:tcPr>
                <w:p w14:paraId="43A084E3">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402F3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3D694A7B">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53125F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S5</w:t>
                  </w:r>
                </w:p>
              </w:tc>
              <w:tc>
                <w:tcPr>
                  <w:tcW w:w="678" w:type="pct"/>
                  <w:tcBorders>
                    <w:left w:val="single" w:color="000000" w:sz="4" w:space="0"/>
                    <w:right w:val="single" w:color="000000" w:sz="4" w:space="0"/>
                  </w:tcBorders>
                  <w:noWrap w:val="0"/>
                  <w:vAlign w:val="center"/>
                </w:tcPr>
                <w:p w14:paraId="191B90D1">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水洗2</w:t>
                  </w:r>
                </w:p>
              </w:tc>
              <w:tc>
                <w:tcPr>
                  <w:tcW w:w="1778" w:type="pct"/>
                  <w:gridSpan w:val="2"/>
                  <w:vMerge w:val="continue"/>
                  <w:tcBorders>
                    <w:left w:val="single" w:color="000000" w:sz="4" w:space="0"/>
                  </w:tcBorders>
                  <w:noWrap w:val="0"/>
                  <w:vAlign w:val="center"/>
                </w:tcPr>
                <w:p w14:paraId="33FDFC4A">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1849" w:type="pct"/>
                  <w:gridSpan w:val="2"/>
                  <w:vMerge w:val="continue"/>
                  <w:tcBorders>
                    <w:left w:val="single" w:color="000000" w:sz="4" w:space="0"/>
                  </w:tcBorders>
                  <w:noWrap w:val="0"/>
                  <w:vAlign w:val="center"/>
                </w:tcPr>
                <w:p w14:paraId="09500CC1">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7DDD0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5" w:type="pct"/>
                  <w:vMerge w:val="continue"/>
                  <w:noWrap w:val="0"/>
                  <w:vAlign w:val="center"/>
                </w:tcPr>
                <w:p w14:paraId="469347E4">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7F9CE5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S6</w:t>
                  </w:r>
                </w:p>
              </w:tc>
              <w:tc>
                <w:tcPr>
                  <w:tcW w:w="678" w:type="pct"/>
                  <w:tcBorders>
                    <w:left w:val="single" w:color="000000" w:sz="4" w:space="0"/>
                    <w:right w:val="single" w:color="000000" w:sz="4" w:space="0"/>
                  </w:tcBorders>
                  <w:noWrap w:val="0"/>
                  <w:vAlign w:val="center"/>
                </w:tcPr>
                <w:p w14:paraId="14DBB400">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表调</w:t>
                  </w:r>
                </w:p>
              </w:tc>
              <w:tc>
                <w:tcPr>
                  <w:tcW w:w="1778" w:type="pct"/>
                  <w:gridSpan w:val="2"/>
                  <w:tcBorders>
                    <w:left w:val="single" w:color="000000" w:sz="4" w:space="0"/>
                  </w:tcBorders>
                  <w:noWrap w:val="0"/>
                  <w:vAlign w:val="center"/>
                </w:tcPr>
                <w:p w14:paraId="557F13A7">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表调槽渣</w:t>
                  </w:r>
                </w:p>
              </w:tc>
              <w:tc>
                <w:tcPr>
                  <w:tcW w:w="1849" w:type="pct"/>
                  <w:gridSpan w:val="2"/>
                  <w:vMerge w:val="continue"/>
                  <w:tcBorders>
                    <w:left w:val="single" w:color="000000" w:sz="4" w:space="0"/>
                  </w:tcBorders>
                  <w:noWrap w:val="0"/>
                  <w:vAlign w:val="center"/>
                </w:tcPr>
                <w:p w14:paraId="427CE2CB">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5B8C6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5E368103">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41A3AE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S7</w:t>
                  </w:r>
                </w:p>
              </w:tc>
              <w:tc>
                <w:tcPr>
                  <w:tcW w:w="678" w:type="pct"/>
                  <w:tcBorders>
                    <w:left w:val="single" w:color="000000" w:sz="4" w:space="0"/>
                    <w:right w:val="single" w:color="000000" w:sz="4" w:space="0"/>
                  </w:tcBorders>
                  <w:noWrap w:val="0"/>
                  <w:vAlign w:val="center"/>
                </w:tcPr>
                <w:p w14:paraId="78520B20">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磷化</w:t>
                  </w:r>
                </w:p>
              </w:tc>
              <w:tc>
                <w:tcPr>
                  <w:tcW w:w="1778" w:type="pct"/>
                  <w:gridSpan w:val="2"/>
                  <w:tcBorders>
                    <w:left w:val="single" w:color="000000" w:sz="4" w:space="0"/>
                  </w:tcBorders>
                  <w:noWrap w:val="0"/>
                  <w:vAlign w:val="center"/>
                </w:tcPr>
                <w:p w14:paraId="665D5AC4">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磷化</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槽渣</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、废槽液</w:t>
                  </w:r>
                </w:p>
              </w:tc>
              <w:tc>
                <w:tcPr>
                  <w:tcW w:w="1849" w:type="pct"/>
                  <w:gridSpan w:val="2"/>
                  <w:vMerge w:val="continue"/>
                  <w:tcBorders>
                    <w:left w:val="single" w:color="000000" w:sz="4" w:space="0"/>
                  </w:tcBorders>
                  <w:noWrap w:val="0"/>
                  <w:vAlign w:val="center"/>
                </w:tcPr>
                <w:p w14:paraId="55E1D8D1">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5D7A4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4D618AA5">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4A05BA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S8</w:t>
                  </w:r>
                </w:p>
              </w:tc>
              <w:tc>
                <w:tcPr>
                  <w:tcW w:w="678" w:type="pct"/>
                  <w:tcBorders>
                    <w:left w:val="single" w:color="000000" w:sz="4" w:space="0"/>
                    <w:right w:val="single" w:color="000000" w:sz="4" w:space="0"/>
                  </w:tcBorders>
                  <w:noWrap w:val="0"/>
                  <w:vAlign w:val="center"/>
                </w:tcPr>
                <w:p w14:paraId="6A9A57F3">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电泳</w:t>
                  </w:r>
                </w:p>
              </w:tc>
              <w:tc>
                <w:tcPr>
                  <w:tcW w:w="1778" w:type="pct"/>
                  <w:gridSpan w:val="2"/>
                  <w:tcBorders>
                    <w:left w:val="single" w:color="000000" w:sz="4" w:space="0"/>
                  </w:tcBorders>
                  <w:noWrap w:val="0"/>
                  <w:vAlign w:val="center"/>
                </w:tcPr>
                <w:p w14:paraId="364A9E29">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废槽液</w:t>
                  </w:r>
                </w:p>
              </w:tc>
              <w:tc>
                <w:tcPr>
                  <w:tcW w:w="1849" w:type="pct"/>
                  <w:gridSpan w:val="2"/>
                  <w:vMerge w:val="continue"/>
                  <w:tcBorders>
                    <w:left w:val="single" w:color="000000" w:sz="4" w:space="0"/>
                  </w:tcBorders>
                  <w:noWrap w:val="0"/>
                  <w:vAlign w:val="center"/>
                </w:tcPr>
                <w:p w14:paraId="771C0F43">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5509E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01123E91">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70C8F2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S9</w:t>
                  </w:r>
                </w:p>
              </w:tc>
              <w:tc>
                <w:tcPr>
                  <w:tcW w:w="678" w:type="pct"/>
                  <w:tcBorders>
                    <w:left w:val="single" w:color="000000" w:sz="4" w:space="0"/>
                    <w:right w:val="single" w:color="000000" w:sz="4" w:space="0"/>
                  </w:tcBorders>
                  <w:noWrap w:val="0"/>
                  <w:vAlign w:val="center"/>
                </w:tcPr>
                <w:p w14:paraId="72EDD737">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三级水洗</w:t>
                  </w:r>
                </w:p>
              </w:tc>
              <w:tc>
                <w:tcPr>
                  <w:tcW w:w="1778" w:type="pct"/>
                  <w:gridSpan w:val="2"/>
                  <w:tcBorders>
                    <w:left w:val="single" w:color="000000" w:sz="4" w:space="0"/>
                  </w:tcBorders>
                  <w:noWrap w:val="0"/>
                  <w:vAlign w:val="center"/>
                </w:tcPr>
                <w:p w14:paraId="743EB9AB">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电泳沉渣</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废超滤芯</w:t>
                  </w:r>
                </w:p>
              </w:tc>
              <w:tc>
                <w:tcPr>
                  <w:tcW w:w="1849" w:type="pct"/>
                  <w:gridSpan w:val="2"/>
                  <w:vMerge w:val="continue"/>
                  <w:tcBorders>
                    <w:left w:val="single" w:color="000000" w:sz="4" w:space="0"/>
                  </w:tcBorders>
                  <w:noWrap w:val="0"/>
                  <w:vAlign w:val="center"/>
                </w:tcPr>
                <w:p w14:paraId="40FDF735">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1C9C1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4001C8B7">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38EDFD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S10</w:t>
                  </w:r>
                </w:p>
              </w:tc>
              <w:tc>
                <w:tcPr>
                  <w:tcW w:w="678" w:type="pct"/>
                  <w:tcBorders>
                    <w:left w:val="single" w:color="000000" w:sz="4" w:space="0"/>
                    <w:right w:val="single" w:color="000000" w:sz="4" w:space="0"/>
                  </w:tcBorders>
                  <w:noWrap w:val="0"/>
                  <w:vAlign w:val="center"/>
                </w:tcPr>
                <w:p w14:paraId="6C201D0D">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酸洗</w:t>
                  </w:r>
                </w:p>
              </w:tc>
              <w:tc>
                <w:tcPr>
                  <w:tcW w:w="1778" w:type="pct"/>
                  <w:gridSpan w:val="2"/>
                  <w:tcBorders>
                    <w:left w:val="single" w:color="000000" w:sz="4" w:space="0"/>
                  </w:tcBorders>
                  <w:noWrap w:val="0"/>
                  <w:vAlign w:val="center"/>
                </w:tcPr>
                <w:p w14:paraId="50D11B7C">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废酸液</w:t>
                  </w:r>
                </w:p>
              </w:tc>
              <w:tc>
                <w:tcPr>
                  <w:tcW w:w="1849" w:type="pct"/>
                  <w:gridSpan w:val="2"/>
                  <w:vMerge w:val="continue"/>
                  <w:tcBorders>
                    <w:left w:val="single" w:color="000000" w:sz="4" w:space="0"/>
                  </w:tcBorders>
                  <w:noWrap w:val="0"/>
                  <w:vAlign w:val="center"/>
                </w:tcPr>
                <w:p w14:paraId="642AD184">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24CA3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415D3D8C">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270E44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S11</w:t>
                  </w:r>
                </w:p>
              </w:tc>
              <w:tc>
                <w:tcPr>
                  <w:tcW w:w="678" w:type="pct"/>
                  <w:tcBorders>
                    <w:left w:val="single" w:color="000000" w:sz="4" w:space="0"/>
                    <w:right w:val="single" w:color="000000" w:sz="4" w:space="0"/>
                  </w:tcBorders>
                  <w:noWrap w:val="0"/>
                  <w:vAlign w:val="center"/>
                </w:tcPr>
                <w:p w14:paraId="79F950AC">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钝化</w:t>
                  </w:r>
                </w:p>
              </w:tc>
              <w:tc>
                <w:tcPr>
                  <w:tcW w:w="1778" w:type="pct"/>
                  <w:gridSpan w:val="2"/>
                  <w:tcBorders>
                    <w:left w:val="single" w:color="000000" w:sz="4" w:space="0"/>
                  </w:tcBorders>
                  <w:noWrap w:val="0"/>
                  <w:vAlign w:val="center"/>
                </w:tcPr>
                <w:p w14:paraId="12737F13">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钝化</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槽渣</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、废槽液</w:t>
                  </w:r>
                </w:p>
              </w:tc>
              <w:tc>
                <w:tcPr>
                  <w:tcW w:w="1849" w:type="pct"/>
                  <w:gridSpan w:val="2"/>
                  <w:vMerge w:val="continue"/>
                  <w:tcBorders>
                    <w:left w:val="single" w:color="000000" w:sz="4" w:space="0"/>
                  </w:tcBorders>
                  <w:noWrap w:val="0"/>
                  <w:vAlign w:val="center"/>
                </w:tcPr>
                <w:p w14:paraId="4392698F">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7D711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02D2C539">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5CF5C3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S13</w:t>
                  </w:r>
                </w:p>
              </w:tc>
              <w:tc>
                <w:tcPr>
                  <w:tcW w:w="678" w:type="pct"/>
                  <w:tcBorders>
                    <w:left w:val="single" w:color="000000" w:sz="4" w:space="0"/>
                    <w:right w:val="single" w:color="000000" w:sz="4" w:space="0"/>
                  </w:tcBorders>
                  <w:noWrap w:val="0"/>
                  <w:vAlign w:val="center"/>
                </w:tcPr>
                <w:p w14:paraId="63A9D4C0">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喷胶/喷漆</w:t>
                  </w:r>
                </w:p>
              </w:tc>
              <w:tc>
                <w:tcPr>
                  <w:tcW w:w="1778" w:type="pct"/>
                  <w:gridSpan w:val="2"/>
                  <w:tcBorders>
                    <w:left w:val="single" w:color="000000" w:sz="4" w:space="0"/>
                  </w:tcBorders>
                  <w:noWrap w:val="0"/>
                  <w:vAlign w:val="center"/>
                </w:tcPr>
                <w:p w14:paraId="486C8CA2">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涂料渣</w:t>
                  </w:r>
                </w:p>
              </w:tc>
              <w:tc>
                <w:tcPr>
                  <w:tcW w:w="1849" w:type="pct"/>
                  <w:gridSpan w:val="2"/>
                  <w:vMerge w:val="continue"/>
                  <w:tcBorders>
                    <w:left w:val="single" w:color="000000" w:sz="4" w:space="0"/>
                  </w:tcBorders>
                  <w:noWrap w:val="0"/>
                  <w:vAlign w:val="center"/>
                </w:tcPr>
                <w:p w14:paraId="6F646F70">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594C0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23CC126D">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19D006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S1</w:t>
                  </w:r>
                  <w:r>
                    <w:rPr>
                      <w:rFonts w:hint="eastAsia" w:cs="Times New Roman"/>
                      <w:color w:val="000000" w:themeColor="text1"/>
                      <w:spacing w:val="0"/>
                      <w:sz w:val="21"/>
                      <w:szCs w:val="21"/>
                      <w:highlight w:val="none"/>
                      <w:lang w:val="en-US" w:eastAsia="zh-CN"/>
                      <w14:textFill>
                        <w14:solidFill>
                          <w14:schemeClr w14:val="tx1"/>
                        </w14:solidFill>
                      </w14:textFill>
                    </w:rPr>
                    <w:t>4</w:t>
                  </w:r>
                </w:p>
              </w:tc>
              <w:tc>
                <w:tcPr>
                  <w:tcW w:w="678" w:type="pct"/>
                  <w:tcBorders>
                    <w:left w:val="single" w:color="000000" w:sz="4" w:space="0"/>
                    <w:right w:val="single" w:color="000000" w:sz="4" w:space="0"/>
                  </w:tcBorders>
                  <w:noWrap w:val="0"/>
                  <w:vAlign w:val="center"/>
                </w:tcPr>
                <w:p w14:paraId="3E3C1B87">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撕膜</w:t>
                  </w:r>
                </w:p>
              </w:tc>
              <w:tc>
                <w:tcPr>
                  <w:tcW w:w="1778" w:type="pct"/>
                  <w:gridSpan w:val="2"/>
                  <w:tcBorders>
                    <w:left w:val="single" w:color="000000" w:sz="4" w:space="0"/>
                  </w:tcBorders>
                  <w:noWrap w:val="0"/>
                  <w:vAlign w:val="center"/>
                </w:tcPr>
                <w:p w14:paraId="0A41451E">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废遮蔽膜（喷胶）</w:t>
                  </w:r>
                </w:p>
              </w:tc>
              <w:tc>
                <w:tcPr>
                  <w:tcW w:w="1849" w:type="pct"/>
                  <w:gridSpan w:val="2"/>
                  <w:vMerge w:val="continue"/>
                  <w:tcBorders>
                    <w:left w:val="single" w:color="000000" w:sz="4" w:space="0"/>
                  </w:tcBorders>
                  <w:noWrap w:val="0"/>
                  <w:vAlign w:val="center"/>
                </w:tcPr>
                <w:p w14:paraId="31A1F60D">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7BFB9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0650BAEA">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shd w:val="clear" w:color="auto" w:fill="auto"/>
                  <w:noWrap w:val="0"/>
                  <w:vAlign w:val="center"/>
                </w:tcPr>
                <w:p w14:paraId="0E19D4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S1</w:t>
                  </w:r>
                  <w:r>
                    <w:rPr>
                      <w:rFonts w:hint="eastAsia" w:cs="Times New Roman"/>
                      <w:color w:val="000000" w:themeColor="text1"/>
                      <w:spacing w:val="0"/>
                      <w:sz w:val="21"/>
                      <w:szCs w:val="21"/>
                      <w:highlight w:val="none"/>
                      <w:lang w:val="en-US" w:eastAsia="zh-CN"/>
                      <w14:textFill>
                        <w14:solidFill>
                          <w14:schemeClr w14:val="tx1"/>
                        </w14:solidFill>
                      </w14:textFill>
                    </w:rPr>
                    <w:t>5</w:t>
                  </w:r>
                </w:p>
              </w:tc>
              <w:tc>
                <w:tcPr>
                  <w:tcW w:w="678" w:type="pct"/>
                  <w:tcBorders>
                    <w:left w:val="single" w:color="000000" w:sz="4" w:space="0"/>
                    <w:right w:val="single" w:color="000000" w:sz="4" w:space="0"/>
                  </w:tcBorders>
                  <w:noWrap w:val="0"/>
                  <w:vAlign w:val="center"/>
                </w:tcPr>
                <w:p w14:paraId="76BA898D">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脱漆</w:t>
                  </w:r>
                </w:p>
              </w:tc>
              <w:tc>
                <w:tcPr>
                  <w:tcW w:w="1778" w:type="pct"/>
                  <w:gridSpan w:val="2"/>
                  <w:tcBorders>
                    <w:left w:val="single" w:color="000000" w:sz="4" w:space="0"/>
                  </w:tcBorders>
                  <w:noWrap w:val="0"/>
                  <w:vAlign w:val="center"/>
                </w:tcPr>
                <w:p w14:paraId="7E10B123">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电泳漆渣</w:t>
                  </w:r>
                </w:p>
              </w:tc>
              <w:tc>
                <w:tcPr>
                  <w:tcW w:w="1849" w:type="pct"/>
                  <w:gridSpan w:val="2"/>
                  <w:vMerge w:val="continue"/>
                  <w:tcBorders>
                    <w:left w:val="single" w:color="000000" w:sz="4" w:space="0"/>
                  </w:tcBorders>
                  <w:noWrap w:val="0"/>
                  <w:vAlign w:val="center"/>
                </w:tcPr>
                <w:p w14:paraId="064E86E8">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2E740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5FA6CF14">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shd w:val="clear" w:color="auto" w:fill="auto"/>
                  <w:noWrap w:val="0"/>
                  <w:vAlign w:val="center"/>
                </w:tcPr>
                <w:p w14:paraId="272C96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S1</w:t>
                  </w:r>
                  <w:r>
                    <w:rPr>
                      <w:rFonts w:hint="eastAsia" w:cs="Times New Roman"/>
                      <w:color w:val="000000" w:themeColor="text1"/>
                      <w:spacing w:val="0"/>
                      <w:sz w:val="21"/>
                      <w:szCs w:val="21"/>
                      <w:highlight w:val="none"/>
                      <w:lang w:val="en-US" w:eastAsia="zh-CN"/>
                      <w14:textFill>
                        <w14:solidFill>
                          <w14:schemeClr w14:val="tx1"/>
                        </w14:solidFill>
                      </w14:textFill>
                    </w:rPr>
                    <w:t>6</w:t>
                  </w:r>
                </w:p>
              </w:tc>
              <w:tc>
                <w:tcPr>
                  <w:tcW w:w="678" w:type="pct"/>
                  <w:tcBorders>
                    <w:left w:val="single" w:color="000000" w:sz="4" w:space="0"/>
                    <w:right w:val="single" w:color="000000" w:sz="4" w:space="0"/>
                  </w:tcBorders>
                  <w:noWrap w:val="0"/>
                  <w:vAlign w:val="center"/>
                </w:tcPr>
                <w:p w14:paraId="4654A8F9">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打磨</w:t>
                  </w:r>
                </w:p>
              </w:tc>
              <w:tc>
                <w:tcPr>
                  <w:tcW w:w="1778" w:type="pct"/>
                  <w:gridSpan w:val="2"/>
                  <w:tcBorders>
                    <w:left w:val="single" w:color="000000" w:sz="4" w:space="0"/>
                  </w:tcBorders>
                  <w:noWrap w:val="0"/>
                  <w:vAlign w:val="center"/>
                </w:tcPr>
                <w:p w14:paraId="02B87A91">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喷粉漆渣</w:t>
                  </w:r>
                </w:p>
              </w:tc>
              <w:tc>
                <w:tcPr>
                  <w:tcW w:w="1849" w:type="pct"/>
                  <w:gridSpan w:val="2"/>
                  <w:vMerge w:val="continue"/>
                  <w:tcBorders>
                    <w:left w:val="single" w:color="000000" w:sz="4" w:space="0"/>
                  </w:tcBorders>
                  <w:noWrap w:val="0"/>
                  <w:vAlign w:val="center"/>
                </w:tcPr>
                <w:p w14:paraId="1AA0C0BC">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532D4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162ABD11">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shd w:val="clear" w:color="auto" w:fill="auto"/>
                  <w:noWrap w:val="0"/>
                  <w:vAlign w:val="center"/>
                </w:tcPr>
                <w:p w14:paraId="133B32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S1</w:t>
                  </w:r>
                  <w:r>
                    <w:rPr>
                      <w:rFonts w:hint="eastAsia" w:cs="Times New Roman"/>
                      <w:color w:val="000000" w:themeColor="text1"/>
                      <w:spacing w:val="0"/>
                      <w:sz w:val="21"/>
                      <w:szCs w:val="21"/>
                      <w:highlight w:val="none"/>
                      <w:lang w:val="en-US" w:eastAsia="zh-CN"/>
                      <w14:textFill>
                        <w14:solidFill>
                          <w14:schemeClr w14:val="tx1"/>
                        </w14:solidFill>
                      </w14:textFill>
                    </w:rPr>
                    <w:t>7</w:t>
                  </w:r>
                </w:p>
              </w:tc>
              <w:tc>
                <w:tcPr>
                  <w:tcW w:w="678" w:type="pct"/>
                  <w:tcBorders>
                    <w:left w:val="single" w:color="000000" w:sz="4" w:space="0"/>
                    <w:right w:val="single" w:color="000000" w:sz="4" w:space="0"/>
                  </w:tcBorders>
                  <w:noWrap w:val="0"/>
                  <w:vAlign w:val="center"/>
                </w:tcPr>
                <w:p w14:paraId="467ED20A">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铲漆</w:t>
                  </w:r>
                </w:p>
              </w:tc>
              <w:tc>
                <w:tcPr>
                  <w:tcW w:w="1778" w:type="pct"/>
                  <w:gridSpan w:val="2"/>
                  <w:tcBorders>
                    <w:left w:val="single" w:color="000000" w:sz="4" w:space="0"/>
                  </w:tcBorders>
                  <w:noWrap w:val="0"/>
                  <w:vAlign w:val="center"/>
                </w:tcPr>
                <w:p w14:paraId="7432FBD4">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PVC胶漆渣</w:t>
                  </w:r>
                </w:p>
              </w:tc>
              <w:tc>
                <w:tcPr>
                  <w:tcW w:w="1849" w:type="pct"/>
                  <w:gridSpan w:val="2"/>
                  <w:vMerge w:val="continue"/>
                  <w:tcBorders>
                    <w:left w:val="single" w:color="000000" w:sz="4" w:space="0"/>
                  </w:tcBorders>
                  <w:noWrap w:val="0"/>
                  <w:vAlign w:val="center"/>
                </w:tcPr>
                <w:p w14:paraId="3C3E531B">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0236D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61A584F3">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shd w:val="clear" w:color="auto" w:fill="auto"/>
                  <w:noWrap w:val="0"/>
                  <w:vAlign w:val="center"/>
                </w:tcPr>
                <w:p w14:paraId="4EF919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S1</w:t>
                  </w:r>
                  <w:r>
                    <w:rPr>
                      <w:rFonts w:hint="eastAsia" w:cs="Times New Roman"/>
                      <w:color w:val="000000" w:themeColor="text1"/>
                      <w:spacing w:val="0"/>
                      <w:sz w:val="21"/>
                      <w:szCs w:val="21"/>
                      <w:highlight w:val="none"/>
                      <w:lang w:val="en-US" w:eastAsia="zh-CN"/>
                      <w14:textFill>
                        <w14:solidFill>
                          <w14:schemeClr w14:val="tx1"/>
                        </w14:solidFill>
                      </w14:textFill>
                    </w:rPr>
                    <w:t>8</w:t>
                  </w:r>
                </w:p>
              </w:tc>
              <w:tc>
                <w:tcPr>
                  <w:tcW w:w="678" w:type="pct"/>
                  <w:tcBorders>
                    <w:left w:val="single" w:color="000000" w:sz="4" w:space="0"/>
                    <w:right w:val="single" w:color="000000" w:sz="4" w:space="0"/>
                  </w:tcBorders>
                  <w:noWrap w:val="0"/>
                  <w:vAlign w:val="center"/>
                </w:tcPr>
                <w:p w14:paraId="0DC6E404">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废气处理</w:t>
                  </w:r>
                </w:p>
              </w:tc>
              <w:tc>
                <w:tcPr>
                  <w:tcW w:w="1778" w:type="pct"/>
                  <w:gridSpan w:val="2"/>
                  <w:tcBorders>
                    <w:left w:val="single" w:color="000000" w:sz="4" w:space="0"/>
                  </w:tcBorders>
                  <w:noWrap w:val="0"/>
                  <w:vAlign w:val="center"/>
                </w:tcPr>
                <w:p w14:paraId="4D329D79">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废活性炭</w:t>
                  </w:r>
                </w:p>
              </w:tc>
              <w:tc>
                <w:tcPr>
                  <w:tcW w:w="1849" w:type="pct"/>
                  <w:gridSpan w:val="2"/>
                  <w:vMerge w:val="continue"/>
                  <w:tcBorders>
                    <w:left w:val="single" w:color="000000" w:sz="4" w:space="0"/>
                  </w:tcBorders>
                  <w:noWrap w:val="0"/>
                  <w:vAlign w:val="center"/>
                </w:tcPr>
                <w:p w14:paraId="5A246E8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663F7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6531DD68">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shd w:val="clear" w:color="auto" w:fill="auto"/>
                  <w:noWrap w:val="0"/>
                  <w:vAlign w:val="center"/>
                </w:tcPr>
                <w:p w14:paraId="0E90D1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S1</w:t>
                  </w:r>
                  <w:r>
                    <w:rPr>
                      <w:rFonts w:hint="eastAsia" w:cs="Times New Roman"/>
                      <w:color w:val="000000" w:themeColor="text1"/>
                      <w:spacing w:val="0"/>
                      <w:sz w:val="21"/>
                      <w:szCs w:val="21"/>
                      <w:highlight w:val="none"/>
                      <w:lang w:val="en-US" w:eastAsia="zh-CN"/>
                      <w14:textFill>
                        <w14:solidFill>
                          <w14:schemeClr w14:val="tx1"/>
                        </w14:solidFill>
                      </w14:textFill>
                    </w:rPr>
                    <w:t>9</w:t>
                  </w:r>
                </w:p>
              </w:tc>
              <w:tc>
                <w:tcPr>
                  <w:tcW w:w="678" w:type="pct"/>
                  <w:tcBorders>
                    <w:left w:val="single" w:color="000000" w:sz="4" w:space="0"/>
                    <w:right w:val="single" w:color="000000" w:sz="4" w:space="0"/>
                  </w:tcBorders>
                  <w:noWrap w:val="0"/>
                  <w:vAlign w:val="center"/>
                </w:tcPr>
                <w:p w14:paraId="1EAE36A2">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原料使用</w:t>
                  </w:r>
                </w:p>
              </w:tc>
              <w:tc>
                <w:tcPr>
                  <w:tcW w:w="1778" w:type="pct"/>
                  <w:gridSpan w:val="2"/>
                  <w:tcBorders>
                    <w:left w:val="single" w:color="000000" w:sz="4" w:space="0"/>
                  </w:tcBorders>
                  <w:noWrap w:val="0"/>
                  <w:vAlign w:val="center"/>
                </w:tcPr>
                <w:p w14:paraId="3BD4855A">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危险化学品包装桶</w:t>
                  </w:r>
                </w:p>
              </w:tc>
              <w:tc>
                <w:tcPr>
                  <w:tcW w:w="1849" w:type="pct"/>
                  <w:gridSpan w:val="2"/>
                  <w:vMerge w:val="continue"/>
                  <w:tcBorders>
                    <w:left w:val="single" w:color="000000" w:sz="4" w:space="0"/>
                  </w:tcBorders>
                  <w:noWrap w:val="0"/>
                  <w:vAlign w:val="center"/>
                </w:tcPr>
                <w:p w14:paraId="343538CD">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1B17C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2D93CED6">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shd w:val="clear" w:color="auto" w:fill="auto"/>
                  <w:noWrap w:val="0"/>
                  <w:vAlign w:val="center"/>
                </w:tcPr>
                <w:p w14:paraId="6E04EF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w:t>
                  </w:r>
                  <w:r>
                    <w:rPr>
                      <w:rFonts w:hint="eastAsia" w:cs="Times New Roman"/>
                      <w:color w:val="000000" w:themeColor="text1"/>
                      <w:spacing w:val="0"/>
                      <w:sz w:val="21"/>
                      <w:szCs w:val="21"/>
                      <w:highlight w:val="none"/>
                      <w:lang w:val="en-US" w:eastAsia="zh-CN"/>
                      <w14:textFill>
                        <w14:solidFill>
                          <w14:schemeClr w14:val="tx1"/>
                        </w14:solidFill>
                      </w14:textFill>
                    </w:rPr>
                    <w:t>20</w:t>
                  </w:r>
                </w:p>
              </w:tc>
              <w:tc>
                <w:tcPr>
                  <w:tcW w:w="678" w:type="pct"/>
                  <w:tcBorders>
                    <w:left w:val="single" w:color="000000" w:sz="4" w:space="0"/>
                    <w:right w:val="single" w:color="000000" w:sz="4" w:space="0"/>
                  </w:tcBorders>
                  <w:noWrap w:val="0"/>
                  <w:vAlign w:val="center"/>
                </w:tcPr>
                <w:p w14:paraId="6023E0CD">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设备维护保养</w:t>
                  </w:r>
                </w:p>
              </w:tc>
              <w:tc>
                <w:tcPr>
                  <w:tcW w:w="1778" w:type="pct"/>
                  <w:gridSpan w:val="2"/>
                  <w:tcBorders>
                    <w:left w:val="single" w:color="000000" w:sz="4" w:space="0"/>
                  </w:tcBorders>
                  <w:noWrap w:val="0"/>
                  <w:vAlign w:val="center"/>
                </w:tcPr>
                <w:p w14:paraId="7D2478C3">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废机油、废机油桶</w:t>
                  </w:r>
                </w:p>
              </w:tc>
              <w:tc>
                <w:tcPr>
                  <w:tcW w:w="1849" w:type="pct"/>
                  <w:gridSpan w:val="2"/>
                  <w:vMerge w:val="continue"/>
                  <w:tcBorders>
                    <w:left w:val="single" w:color="000000" w:sz="4" w:space="0"/>
                  </w:tcBorders>
                  <w:noWrap w:val="0"/>
                  <w:vAlign w:val="center"/>
                </w:tcPr>
                <w:p w14:paraId="17C84453">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1BFC2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4016ED65">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shd w:val="clear" w:color="auto" w:fill="auto"/>
                  <w:noWrap w:val="0"/>
                  <w:vAlign w:val="center"/>
                </w:tcPr>
                <w:p w14:paraId="32188C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w:t>
                  </w:r>
                  <w:r>
                    <w:rPr>
                      <w:rFonts w:hint="eastAsia" w:cs="Times New Roman"/>
                      <w:color w:val="000000" w:themeColor="text1"/>
                      <w:spacing w:val="0"/>
                      <w:sz w:val="21"/>
                      <w:szCs w:val="21"/>
                      <w:highlight w:val="none"/>
                      <w:lang w:val="en-US" w:eastAsia="zh-CN"/>
                      <w14:textFill>
                        <w14:solidFill>
                          <w14:schemeClr w14:val="tx1"/>
                        </w14:solidFill>
                      </w14:textFill>
                    </w:rPr>
                    <w:t>21</w:t>
                  </w:r>
                </w:p>
              </w:tc>
              <w:tc>
                <w:tcPr>
                  <w:tcW w:w="678" w:type="pct"/>
                  <w:tcBorders>
                    <w:left w:val="single" w:color="000000" w:sz="4" w:space="0"/>
                    <w:right w:val="single" w:color="000000" w:sz="4" w:space="0"/>
                  </w:tcBorders>
                  <w:noWrap w:val="0"/>
                  <w:vAlign w:val="center"/>
                </w:tcPr>
                <w:p w14:paraId="112F933C">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废水处理</w:t>
                  </w:r>
                </w:p>
              </w:tc>
              <w:tc>
                <w:tcPr>
                  <w:tcW w:w="1778" w:type="pct"/>
                  <w:gridSpan w:val="2"/>
                  <w:tcBorders>
                    <w:left w:val="single" w:color="000000" w:sz="4" w:space="0"/>
                  </w:tcBorders>
                  <w:noWrap w:val="0"/>
                  <w:vAlign w:val="center"/>
                </w:tcPr>
                <w:p w14:paraId="2B777A45">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污泥</w:t>
                  </w:r>
                </w:p>
              </w:tc>
              <w:tc>
                <w:tcPr>
                  <w:tcW w:w="1849" w:type="pct"/>
                  <w:gridSpan w:val="2"/>
                  <w:vMerge w:val="continue"/>
                  <w:tcBorders>
                    <w:left w:val="single" w:color="000000" w:sz="4" w:space="0"/>
                  </w:tcBorders>
                  <w:noWrap w:val="0"/>
                  <w:vAlign w:val="center"/>
                </w:tcPr>
                <w:p w14:paraId="20A39644">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r>
            <w:tr w14:paraId="006D5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1FE4C4E0">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shd w:val="clear" w:color="auto" w:fill="auto"/>
                  <w:noWrap w:val="0"/>
                  <w:vAlign w:val="center"/>
                </w:tcPr>
                <w:p w14:paraId="446F80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w:t>
                  </w:r>
                  <w:r>
                    <w:rPr>
                      <w:rFonts w:hint="eastAsia" w:cs="Times New Roman"/>
                      <w:color w:val="000000" w:themeColor="text1"/>
                      <w:spacing w:val="0"/>
                      <w:sz w:val="21"/>
                      <w:szCs w:val="21"/>
                      <w:highlight w:val="none"/>
                      <w:lang w:val="en-US" w:eastAsia="zh-CN"/>
                      <w14:textFill>
                        <w14:solidFill>
                          <w14:schemeClr w14:val="tx1"/>
                        </w14:solidFill>
                      </w14:textFill>
                    </w:rPr>
                    <w:t>22</w:t>
                  </w:r>
                </w:p>
              </w:tc>
              <w:tc>
                <w:tcPr>
                  <w:tcW w:w="678" w:type="pct"/>
                  <w:tcBorders>
                    <w:left w:val="single" w:color="000000" w:sz="4" w:space="0"/>
                    <w:right w:val="single" w:color="000000" w:sz="4" w:space="0"/>
                  </w:tcBorders>
                  <w:noWrap w:val="0"/>
                  <w:vAlign w:val="center"/>
                </w:tcPr>
                <w:p w14:paraId="02232086">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纯水制备</w:t>
                  </w:r>
                </w:p>
              </w:tc>
              <w:tc>
                <w:tcPr>
                  <w:tcW w:w="1778" w:type="pct"/>
                  <w:gridSpan w:val="2"/>
                  <w:tcBorders>
                    <w:left w:val="single" w:color="000000" w:sz="4" w:space="0"/>
                  </w:tcBorders>
                  <w:noWrap w:val="0"/>
                  <w:vAlign w:val="center"/>
                </w:tcPr>
                <w:p w14:paraId="1B8ABECA">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color w:val="000000" w:themeColor="text1"/>
                      <w:sz w:val="21"/>
                      <w:szCs w:val="21"/>
                      <w:lang w:val="en-US"/>
                      <w14:textFill>
                        <w14:solidFill>
                          <w14:schemeClr w14:val="tx1"/>
                        </w14:solidFill>
                      </w14:textFill>
                    </w:rPr>
                    <w:t>废</w:t>
                  </w:r>
                  <w:r>
                    <w:rPr>
                      <w:rFonts w:hint="default"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RO</w:t>
                  </w: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膜</w:t>
                  </w:r>
                  <w:r>
                    <w:rPr>
                      <w:rFonts w:hint="eastAsia"/>
                      <w:color w:val="000000" w:themeColor="text1"/>
                      <w:sz w:val="21"/>
                      <w:szCs w:val="21"/>
                      <w:lang w:val="en-US"/>
                      <w14:textFill>
                        <w14:solidFill>
                          <w14:schemeClr w14:val="tx1"/>
                        </w14:solidFill>
                      </w14:textFill>
                    </w:rPr>
                    <w:t>、废过滤材料</w:t>
                  </w:r>
                </w:p>
              </w:tc>
              <w:tc>
                <w:tcPr>
                  <w:tcW w:w="1849" w:type="pct"/>
                  <w:gridSpan w:val="2"/>
                  <w:tcBorders>
                    <w:left w:val="single" w:color="000000" w:sz="4" w:space="0"/>
                  </w:tcBorders>
                  <w:noWrap w:val="0"/>
                  <w:vAlign w:val="center"/>
                </w:tcPr>
                <w:p w14:paraId="2DE62259">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交由专业回收公司处理</w:t>
                  </w:r>
                </w:p>
              </w:tc>
            </w:tr>
            <w:tr w14:paraId="64925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5577EB61">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shd w:val="clear" w:color="auto" w:fill="auto"/>
                  <w:noWrap w:val="0"/>
                  <w:vAlign w:val="center"/>
                </w:tcPr>
                <w:p w14:paraId="2E8D17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w:t>
                  </w:r>
                  <w:r>
                    <w:rPr>
                      <w:rFonts w:hint="eastAsia" w:cs="Times New Roman"/>
                      <w:color w:val="000000" w:themeColor="text1"/>
                      <w:spacing w:val="0"/>
                      <w:sz w:val="21"/>
                      <w:szCs w:val="21"/>
                      <w:highlight w:val="none"/>
                      <w:lang w:val="en-US" w:eastAsia="zh-CN"/>
                      <w14:textFill>
                        <w14:solidFill>
                          <w14:schemeClr w14:val="tx1"/>
                        </w14:solidFill>
                      </w14:textFill>
                    </w:rPr>
                    <w:t>23</w:t>
                  </w:r>
                </w:p>
              </w:tc>
              <w:tc>
                <w:tcPr>
                  <w:tcW w:w="678" w:type="pct"/>
                  <w:tcBorders>
                    <w:left w:val="single" w:color="000000" w:sz="4" w:space="0"/>
                    <w:right w:val="single" w:color="000000" w:sz="4" w:space="0"/>
                  </w:tcBorders>
                  <w:noWrap w:val="0"/>
                  <w:vAlign w:val="center"/>
                </w:tcPr>
                <w:p w14:paraId="1F775CCC">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喷粉</w:t>
                  </w:r>
                </w:p>
              </w:tc>
              <w:tc>
                <w:tcPr>
                  <w:tcW w:w="1778" w:type="pct"/>
                  <w:gridSpan w:val="2"/>
                  <w:tcBorders>
                    <w:left w:val="single" w:color="000000" w:sz="4" w:space="0"/>
                  </w:tcBorders>
                  <w:noWrap w:val="0"/>
                  <w:vAlign w:val="center"/>
                </w:tcPr>
                <w:p w14:paraId="7EAE37B2">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车间沉降喷粉粉尘</w:t>
                  </w:r>
                </w:p>
              </w:tc>
              <w:tc>
                <w:tcPr>
                  <w:tcW w:w="1849" w:type="pct"/>
                  <w:gridSpan w:val="2"/>
                  <w:tcBorders>
                    <w:left w:val="single" w:color="000000" w:sz="4" w:space="0"/>
                  </w:tcBorders>
                  <w:noWrap w:val="0"/>
                  <w:vAlign w:val="center"/>
                </w:tcPr>
                <w:p w14:paraId="2CD380FA">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定期清扫后外售相关单位利用</w:t>
                  </w:r>
                </w:p>
              </w:tc>
            </w:tr>
            <w:tr w14:paraId="6D52C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79E2C97E">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shd w:val="clear" w:color="auto" w:fill="auto"/>
                  <w:noWrap w:val="0"/>
                  <w:vAlign w:val="center"/>
                </w:tcPr>
                <w:p w14:paraId="12B988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S12</w:t>
                  </w:r>
                </w:p>
              </w:tc>
              <w:tc>
                <w:tcPr>
                  <w:tcW w:w="678" w:type="pct"/>
                  <w:tcBorders>
                    <w:left w:val="single" w:color="000000" w:sz="4" w:space="0"/>
                    <w:right w:val="single" w:color="000000" w:sz="4" w:space="0"/>
                  </w:tcBorders>
                  <w:shd w:val="clear" w:color="auto" w:fill="auto"/>
                  <w:noWrap w:val="0"/>
                  <w:vAlign w:val="center"/>
                </w:tcPr>
                <w:p w14:paraId="488EC203">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撕膜</w:t>
                  </w:r>
                </w:p>
              </w:tc>
              <w:tc>
                <w:tcPr>
                  <w:tcW w:w="1778" w:type="pct"/>
                  <w:gridSpan w:val="2"/>
                  <w:tcBorders>
                    <w:left w:val="single" w:color="000000" w:sz="4" w:space="0"/>
                  </w:tcBorders>
                  <w:shd w:val="clear" w:color="auto" w:fill="auto"/>
                  <w:noWrap w:val="0"/>
                  <w:vAlign w:val="center"/>
                </w:tcPr>
                <w:p w14:paraId="04F8AAE7">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废遮蔽膜（喷粉）</w:t>
                  </w:r>
                </w:p>
              </w:tc>
              <w:tc>
                <w:tcPr>
                  <w:tcW w:w="1849" w:type="pct"/>
                  <w:gridSpan w:val="2"/>
                  <w:vMerge w:val="restart"/>
                  <w:tcBorders>
                    <w:left w:val="single" w:color="000000" w:sz="4" w:space="0"/>
                  </w:tcBorders>
                  <w:noWrap w:val="0"/>
                  <w:vAlign w:val="center"/>
                </w:tcPr>
                <w:p w14:paraId="1F8F4DB6">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themeColor="text1"/>
                      <w:spacing w:val="0"/>
                      <w:kern w:val="2"/>
                      <w:position w:val="0"/>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收集后外售给资源回收单位利用</w:t>
                  </w:r>
                </w:p>
              </w:tc>
            </w:tr>
            <w:tr w14:paraId="58DE5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277FBDA6">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shd w:val="clear" w:color="auto" w:fill="auto"/>
                  <w:noWrap w:val="0"/>
                  <w:vAlign w:val="center"/>
                </w:tcPr>
                <w:p w14:paraId="46388C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2</w:t>
                  </w:r>
                  <w:r>
                    <w:rPr>
                      <w:rFonts w:hint="eastAsia" w:cs="Times New Roman"/>
                      <w:color w:val="000000" w:themeColor="text1"/>
                      <w:spacing w:val="0"/>
                      <w:sz w:val="21"/>
                      <w:szCs w:val="21"/>
                      <w:highlight w:val="none"/>
                      <w:lang w:val="en-US" w:eastAsia="zh-CN"/>
                      <w14:textFill>
                        <w14:solidFill>
                          <w14:schemeClr w14:val="tx1"/>
                        </w14:solidFill>
                      </w14:textFill>
                    </w:rPr>
                    <w:t>4</w:t>
                  </w:r>
                </w:p>
              </w:tc>
              <w:tc>
                <w:tcPr>
                  <w:tcW w:w="678" w:type="pct"/>
                  <w:tcBorders>
                    <w:left w:val="single" w:color="000000" w:sz="4" w:space="0"/>
                    <w:right w:val="single" w:color="000000" w:sz="4" w:space="0"/>
                  </w:tcBorders>
                  <w:shd w:val="clear" w:color="auto" w:fill="auto"/>
                  <w:noWrap w:val="0"/>
                  <w:vAlign w:val="center"/>
                </w:tcPr>
                <w:p w14:paraId="215E3088">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themeColor="text1"/>
                      <w:spacing w:val="0"/>
                      <w:kern w:val="2"/>
                      <w:position w:val="0"/>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原料拆包、产品包装</w:t>
                  </w:r>
                </w:p>
              </w:tc>
              <w:tc>
                <w:tcPr>
                  <w:tcW w:w="1778" w:type="pct"/>
                  <w:gridSpan w:val="2"/>
                  <w:tcBorders>
                    <w:left w:val="single" w:color="000000" w:sz="4" w:space="0"/>
                  </w:tcBorders>
                  <w:shd w:val="clear" w:color="auto" w:fill="auto"/>
                  <w:noWrap w:val="0"/>
                  <w:vAlign w:val="center"/>
                </w:tcPr>
                <w:p w14:paraId="2FFA9B62">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themeColor="text1"/>
                      <w:spacing w:val="0"/>
                      <w:kern w:val="2"/>
                      <w:position w:val="0"/>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塑料袋、纸箱等废包装材料</w:t>
                  </w:r>
                </w:p>
              </w:tc>
              <w:tc>
                <w:tcPr>
                  <w:tcW w:w="1849" w:type="pct"/>
                  <w:gridSpan w:val="2"/>
                  <w:vMerge w:val="continue"/>
                  <w:tcBorders>
                    <w:left w:val="single" w:color="000000" w:sz="4" w:space="0"/>
                  </w:tcBorders>
                  <w:shd w:val="clear" w:color="auto" w:fill="auto"/>
                  <w:noWrap w:val="0"/>
                  <w:vAlign w:val="center"/>
                </w:tcPr>
                <w:p w14:paraId="348E3C3D">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themeColor="text1"/>
                      <w:spacing w:val="0"/>
                      <w:kern w:val="2"/>
                      <w:position w:val="0"/>
                      <w:sz w:val="21"/>
                      <w:szCs w:val="21"/>
                      <w:highlight w:val="none"/>
                      <w:u w:val="none"/>
                      <w:lang w:val="en-US" w:eastAsia="zh-CN" w:bidi="ar-SA"/>
                      <w14:textFill>
                        <w14:solidFill>
                          <w14:schemeClr w14:val="tx1"/>
                        </w14:solidFill>
                      </w14:textFill>
                    </w:rPr>
                  </w:pPr>
                </w:p>
              </w:tc>
            </w:tr>
            <w:tr w14:paraId="5157B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vMerge w:val="continue"/>
                  <w:noWrap w:val="0"/>
                  <w:vAlign w:val="center"/>
                </w:tcPr>
                <w:p w14:paraId="5F5216E1">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p>
              </w:tc>
              <w:tc>
                <w:tcPr>
                  <w:tcW w:w="428" w:type="pct"/>
                  <w:noWrap w:val="0"/>
                  <w:vAlign w:val="center"/>
                </w:tcPr>
                <w:p w14:paraId="3721B0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w:t>
                  </w:r>
                  <w:r>
                    <w:rPr>
                      <w:rFonts w:hint="eastAsia" w:cs="Times New Roman"/>
                      <w:color w:val="000000" w:themeColor="text1"/>
                      <w:spacing w:val="0"/>
                      <w:sz w:val="21"/>
                      <w:szCs w:val="21"/>
                      <w:highlight w:val="none"/>
                      <w:lang w:val="en-US" w:eastAsia="zh-CN"/>
                      <w14:textFill>
                        <w14:solidFill>
                          <w14:schemeClr w14:val="tx1"/>
                        </w14:solidFill>
                      </w14:textFill>
                    </w:rPr>
                    <w:t>25</w:t>
                  </w:r>
                </w:p>
              </w:tc>
              <w:tc>
                <w:tcPr>
                  <w:tcW w:w="678" w:type="pct"/>
                  <w:tcBorders>
                    <w:left w:val="single" w:color="000000" w:sz="4" w:space="0"/>
                    <w:right w:val="single" w:color="000000" w:sz="4" w:space="0"/>
                  </w:tcBorders>
                  <w:noWrap w:val="0"/>
                  <w:vAlign w:val="center"/>
                </w:tcPr>
                <w:p w14:paraId="2E53382E">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员工生活</w:t>
                  </w:r>
                </w:p>
              </w:tc>
              <w:tc>
                <w:tcPr>
                  <w:tcW w:w="1778" w:type="pct"/>
                  <w:gridSpan w:val="2"/>
                  <w:tcBorders>
                    <w:left w:val="single" w:color="000000" w:sz="4" w:space="0"/>
                  </w:tcBorders>
                  <w:noWrap w:val="0"/>
                  <w:vAlign w:val="center"/>
                </w:tcPr>
                <w:p w14:paraId="27288124">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生活垃圾</w:t>
                  </w:r>
                </w:p>
              </w:tc>
              <w:tc>
                <w:tcPr>
                  <w:tcW w:w="1849" w:type="pct"/>
                  <w:gridSpan w:val="2"/>
                  <w:tcBorders>
                    <w:left w:val="single" w:color="000000" w:sz="4" w:space="0"/>
                  </w:tcBorders>
                  <w:noWrap w:val="0"/>
                  <w:vAlign w:val="center"/>
                </w:tcPr>
                <w:p w14:paraId="0046EEE3">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委托环卫部门清运</w:t>
                  </w:r>
                </w:p>
              </w:tc>
            </w:tr>
            <w:tr w14:paraId="0E3B2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5" w:type="pct"/>
                  <w:noWrap w:val="0"/>
                  <w:vAlign w:val="center"/>
                </w:tcPr>
                <w:p w14:paraId="54B76505">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噪声</w:t>
                  </w:r>
                </w:p>
              </w:tc>
              <w:tc>
                <w:tcPr>
                  <w:tcW w:w="428" w:type="pct"/>
                  <w:noWrap w:val="0"/>
                  <w:vAlign w:val="center"/>
                </w:tcPr>
                <w:p w14:paraId="07236C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N</w:t>
                  </w:r>
                </w:p>
              </w:tc>
              <w:tc>
                <w:tcPr>
                  <w:tcW w:w="678" w:type="pct"/>
                  <w:tcBorders>
                    <w:left w:val="single" w:color="000000" w:sz="4" w:space="0"/>
                    <w:right w:val="single" w:color="000000" w:sz="4" w:space="0"/>
                  </w:tcBorders>
                  <w:noWrap w:val="0"/>
                  <w:vAlign w:val="center"/>
                </w:tcPr>
                <w:p w14:paraId="31BEFCFC">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生产设备</w:t>
                  </w:r>
                </w:p>
              </w:tc>
              <w:tc>
                <w:tcPr>
                  <w:tcW w:w="1778" w:type="pct"/>
                  <w:gridSpan w:val="2"/>
                  <w:tcBorders>
                    <w:left w:val="single" w:color="000000" w:sz="4" w:space="0"/>
                  </w:tcBorders>
                  <w:noWrap w:val="0"/>
                  <w:vAlign w:val="center"/>
                </w:tcPr>
                <w:p w14:paraId="4547DD9B">
                  <w:pPr>
                    <w:pStyle w:val="1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噪声</w:t>
                  </w:r>
                </w:p>
              </w:tc>
              <w:tc>
                <w:tcPr>
                  <w:tcW w:w="1849" w:type="pct"/>
                  <w:gridSpan w:val="2"/>
                  <w:tcBorders>
                    <w:left w:val="single" w:color="000000" w:sz="4" w:space="0"/>
                  </w:tcBorders>
                  <w:noWrap w:val="0"/>
                  <w:vAlign w:val="center"/>
                </w:tcPr>
                <w:p w14:paraId="3C27EBC7">
                  <w:pPr>
                    <w:pStyle w:val="132"/>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厂房隔声、设备基础减震</w:t>
                  </w:r>
                </w:p>
              </w:tc>
            </w:tr>
          </w:tbl>
          <w:p w14:paraId="1044486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p>
        </w:tc>
      </w:tr>
      <w:tr w14:paraId="3AF49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9" w:hRule="atLeast"/>
          <w:jc w:val="center"/>
        </w:trPr>
        <w:tc>
          <w:tcPr>
            <w:tcW w:w="543" w:type="dxa"/>
            <w:noWrap w:val="0"/>
            <w:vAlign w:val="center"/>
          </w:tcPr>
          <w:p w14:paraId="2177959E">
            <w:pPr>
              <w:pStyle w:val="25"/>
              <w:adjustRightInd w:val="0"/>
              <w:snapToGrid w:val="0"/>
              <w:spacing w:before="0" w:beforeAutospacing="0" w:after="0" w:afterAutospacing="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与项目有关的原有环境污染问题</w:t>
            </w:r>
          </w:p>
        </w:tc>
        <w:tc>
          <w:tcPr>
            <w:tcW w:w="8497" w:type="dxa"/>
            <w:noWrap w:val="0"/>
            <w:vAlign w:val="center"/>
          </w:tcPr>
          <w:p w14:paraId="7F59FB9B">
            <w:pPr>
              <w:spacing w:before="120" w:beforeLines="50" w:line="360" w:lineRule="auto"/>
              <w:outlineLvl w:val="1"/>
              <w:rPr>
                <w:rFonts w:hint="eastAsia" w:ascii="Times New Roman" w:hAnsi="Times New Roman" w:eastAsia="宋体"/>
                <w:b/>
                <w:color w:val="000000" w:themeColor="text1"/>
                <w:sz w:val="30"/>
                <w:szCs w:val="30"/>
                <w:highlight w:val="none"/>
                <w14:textFill>
                  <w14:solidFill>
                    <w14:schemeClr w14:val="tx1"/>
                  </w14:solidFill>
                </w14:textFill>
              </w:rPr>
            </w:pPr>
            <w:r>
              <w:rPr>
                <w:rFonts w:hint="eastAsia" w:ascii="Times New Roman" w:hAnsi="Times New Roman" w:eastAsia="宋体"/>
                <w:b/>
                <w:color w:val="000000" w:themeColor="text1"/>
                <w:sz w:val="30"/>
                <w:szCs w:val="30"/>
                <w:highlight w:val="none"/>
                <w:lang w:val="en-US" w:eastAsia="zh-CN"/>
                <w14:textFill>
                  <w14:solidFill>
                    <w14:schemeClr w14:val="tx1"/>
                  </w14:solidFill>
                </w14:textFill>
              </w:rPr>
              <w:t>2.4现有工程概况</w:t>
            </w:r>
          </w:p>
          <w:p w14:paraId="2747B71C">
            <w:pPr>
              <w:pStyle w:val="146"/>
              <w:ind w:firstLine="480"/>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ascii="Times New Roman" w:hAnsi="Times New Roman"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现有工程</w:t>
            </w:r>
            <w:r>
              <w:rPr>
                <w:color w:val="000000" w:themeColor="text1"/>
                <w:sz w:val="24"/>
                <w14:textFill>
                  <w14:solidFill>
                    <w14:schemeClr w14:val="tx1"/>
                  </w14:solidFill>
                </w14:textFill>
              </w:rPr>
              <w:t>环评批复及验收情况</w:t>
            </w:r>
          </w:p>
          <w:p w14:paraId="61AA5E35">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2.4-1  现有</w:t>
            </w:r>
            <w:r>
              <w:rPr>
                <w:b/>
                <w:color w:val="000000" w:themeColor="text1"/>
                <w:sz w:val="24"/>
                <w14:textFill>
                  <w14:solidFill>
                    <w14:schemeClr w14:val="tx1"/>
                  </w14:solidFill>
                </w14:textFill>
              </w:rPr>
              <w:t>工程环评批复及验收情况一览表</w:t>
            </w:r>
          </w:p>
          <w:p w14:paraId="1FE9BBEA">
            <w:pPr>
              <w:pStyle w:val="146"/>
              <w:ind w:firstLine="480"/>
              <w:jc w:val="cente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12BEA544">
            <w:pPr>
              <w:pStyle w:val="146"/>
              <w:ind w:firstLine="48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ascii="Times New Roman" w:hAnsi="Times New Roman" w:eastAsia="宋体"/>
                <w:color w:val="000000" w:themeColor="text1"/>
                <w:highlight w:val="none"/>
                <w:lang w:val="en-US" w:eastAsia="zh-CN"/>
                <w14:textFill>
                  <w14:solidFill>
                    <w14:schemeClr w14:val="tx1"/>
                  </w14:solidFill>
                </w14:textFill>
              </w:rPr>
              <w:t>）现有工程生产工艺流程以及污染物产生途径</w:t>
            </w:r>
          </w:p>
          <w:p w14:paraId="0E4A27EF">
            <w:pPr>
              <w:pStyle w:val="146"/>
              <w:ind w:firstLine="48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现有工程主要从事汽车金属零配件涂装生产，共设2条生产线，1条电泳涂装生产线，1条喷漆涂装生产线。</w:t>
            </w:r>
          </w:p>
          <w:p w14:paraId="2CC1DABE">
            <w:pPr>
              <w:pStyle w:val="146"/>
              <w:ind w:left="0" w:leftChars="0" w:firstLine="0" w:firstLineChars="0"/>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13C9B5FC">
            <w:pPr>
              <w:pStyle w:val="146"/>
              <w:ind w:firstLine="480"/>
              <w:jc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图2.4-1 现有工程工艺流程图</w:t>
            </w:r>
          </w:p>
          <w:p w14:paraId="47120C6B">
            <w:pPr>
              <w:spacing w:before="120" w:beforeLines="50" w:line="360" w:lineRule="auto"/>
              <w:outlineLvl w:val="1"/>
              <w:rPr>
                <w:rFonts w:hint="eastAsia" w:ascii="Times New Roman" w:hAnsi="Times New Roman" w:eastAsia="宋体"/>
                <w:b/>
                <w:color w:val="000000" w:themeColor="text1"/>
                <w:sz w:val="30"/>
                <w:szCs w:val="30"/>
                <w:highlight w:val="none"/>
                <w:lang w:val="en-US" w:eastAsia="zh-CN"/>
                <w14:textFill>
                  <w14:solidFill>
                    <w14:schemeClr w14:val="tx1"/>
                  </w14:solidFill>
                </w14:textFill>
              </w:rPr>
            </w:pPr>
            <w:r>
              <w:rPr>
                <w:rFonts w:hint="eastAsia" w:ascii="Times New Roman" w:hAnsi="Times New Roman" w:eastAsia="宋体"/>
                <w:b/>
                <w:color w:val="000000" w:themeColor="text1"/>
                <w:sz w:val="30"/>
                <w:szCs w:val="30"/>
                <w:highlight w:val="none"/>
                <w:lang w:val="en-US" w:eastAsia="zh-CN"/>
                <w14:textFill>
                  <w14:solidFill>
                    <w14:schemeClr w14:val="tx1"/>
                  </w14:solidFill>
                </w14:textFill>
              </w:rPr>
              <w:t>2.5现有工程污染物排放情况及环保措施</w:t>
            </w:r>
          </w:p>
          <w:p w14:paraId="05373D28">
            <w:pPr>
              <w:adjustRightInd w:val="0"/>
              <w:snapToGrid w:val="0"/>
              <w:spacing w:line="360" w:lineRule="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4"/>
                <w14:textFill>
                  <w14:solidFill>
                    <w14:schemeClr w14:val="tx1"/>
                  </w14:solidFill>
                </w14:textFill>
              </w:rPr>
              <w:t>.</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 w:val="24"/>
                <w14:textFill>
                  <w14:solidFill>
                    <w14:schemeClr w14:val="tx1"/>
                  </w14:solidFill>
                </w14:textFill>
              </w:rPr>
              <w:t>.1</w:t>
            </w:r>
            <w:r>
              <w:rPr>
                <w:rFonts w:hint="eastAsia" w:ascii="Times New Roman" w:hAnsi="Times New Roman" w:eastAsia="宋体" w:cs="Times New Roman"/>
                <w:b/>
                <w:bCs/>
                <w:color w:val="000000" w:themeColor="text1"/>
                <w:kern w:val="0"/>
                <w:sz w:val="24"/>
                <w14:textFill>
                  <w14:solidFill>
                    <w14:schemeClr w14:val="tx1"/>
                  </w14:solidFill>
                </w14:textFill>
              </w:rPr>
              <w:t>废水</w:t>
            </w:r>
          </w:p>
          <w:p w14:paraId="4DD8B6A4">
            <w:pPr>
              <w:pStyle w:val="146"/>
              <w:ind w:firstLine="48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现有工程产生的废水主要为预脱脂槽冲洗废水、主脱脂槽冲洗废水、脱脂水洗废水、磷化水洗废水、UF超滤废水、电泳水洗废水、喷漆室水帘柜除漆雾废水、废气处理设施喷淋塔废水、纯水制备含盐废水和生活污水。</w:t>
            </w:r>
          </w:p>
          <w:p w14:paraId="7827F799">
            <w:pPr>
              <w:pStyle w:val="146"/>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排水实行雨污分流，电泳废水、喷漆废水、喷淋塔废水</w:t>
            </w:r>
            <w:r>
              <w:rPr>
                <w:rFonts w:hint="eastAsia"/>
                <w:color w:val="000000" w:themeColor="text1"/>
                <w:highlight w:val="none"/>
                <w:lang w:val="en-US" w:eastAsia="zh-CN"/>
                <w14:textFill>
                  <w14:solidFill>
                    <w14:schemeClr w14:val="tx1"/>
                  </w14:solidFill>
                </w14:textFill>
              </w:rPr>
              <w:t>等生产废水</w:t>
            </w:r>
            <w:r>
              <w:rPr>
                <w:rFonts w:hint="eastAsia" w:ascii="Times New Roman" w:hAnsi="Times New Roman" w:eastAsia="宋体"/>
                <w:color w:val="000000" w:themeColor="text1"/>
                <w:highlight w:val="none"/>
                <w:lang w:val="en-US" w:eastAsia="zh-CN"/>
                <w14:textFill>
                  <w14:solidFill>
                    <w14:schemeClr w14:val="tx1"/>
                  </w14:solidFill>
                </w14:textFill>
              </w:rPr>
              <w:t>经</w:t>
            </w:r>
            <w:r>
              <w:rPr>
                <w:rFonts w:hint="eastAsia"/>
                <w:color w:val="000000" w:themeColor="text1"/>
                <w:highlight w:val="none"/>
                <w:lang w:val="en-US" w:eastAsia="zh-CN"/>
                <w14:textFill>
                  <w14:solidFill>
                    <w14:schemeClr w14:val="tx1"/>
                  </w14:solidFill>
                </w14:textFill>
              </w:rPr>
              <w:t>企业</w:t>
            </w:r>
            <w:r>
              <w:rPr>
                <w:rFonts w:hint="eastAsia" w:ascii="Times New Roman" w:hAnsi="Times New Roman" w:eastAsia="宋体"/>
                <w:color w:val="000000" w:themeColor="text1"/>
                <w:highlight w:val="none"/>
                <w:lang w:val="en-US" w:eastAsia="zh-CN"/>
                <w14:textFill>
                  <w14:solidFill>
                    <w14:schemeClr w14:val="tx1"/>
                  </w14:solidFill>
                </w14:textFill>
              </w:rPr>
              <w:t>自建的污水处理设施处理后汇同经化粪池处理后的生活污水一并排入市政污水管网，最终纳入福建青口海峡环保有限公司（青口新区污水处理厂）集中处理。含盐废水，排入市政雨水管网</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3163A8A7">
            <w:pPr>
              <w:pStyle w:val="146"/>
              <w:ind w:firstLine="480"/>
              <w:rPr>
                <w:rFonts w:hint="default" w:ascii="宋体" w:hAnsi="宋体" w:eastAsia="宋体" w:cs="宋体"/>
                <w:b/>
                <w:bCs/>
                <w:i w:val="0"/>
                <w:iCs w:val="0"/>
                <w:color w:val="000000" w:themeColor="text1"/>
                <w:sz w:val="24"/>
                <w:szCs w:val="24"/>
                <w:lang w:val="en-US" w:eastAsia="zh-CN"/>
                <w14:textFill>
                  <w14:solidFill>
                    <w14:schemeClr w14:val="tx1"/>
                  </w14:solidFill>
                </w14:textFill>
              </w:rPr>
            </w:pPr>
            <w:r>
              <w:rPr>
                <w:rFonts w:hint="eastAsia" w:ascii="宋体" w:hAnsi="宋体" w:eastAsia="宋体" w:cs="宋体"/>
                <w:b/>
                <w:bCs/>
                <w:i w:val="0"/>
                <w:iCs w:val="0"/>
                <w:color w:val="000000" w:themeColor="text1"/>
                <w:sz w:val="24"/>
                <w:szCs w:val="24"/>
                <w:lang w:val="en-US" w:eastAsia="zh-CN"/>
                <w14:textFill>
                  <w14:solidFill>
                    <w14:schemeClr w14:val="tx1"/>
                  </w14:solidFill>
                </w14:textFill>
              </w:rPr>
              <w:t>环评预计废水排放量：</w:t>
            </w:r>
          </w:p>
          <w:p w14:paraId="50A17A52">
            <w:pPr>
              <w:pStyle w:val="146"/>
              <w:ind w:firstLine="480"/>
              <w:rPr>
                <w:rStyle w:val="158"/>
                <w:rFonts w:hint="default" w:ascii="Times New Roman" w:hAnsi="Times New Roman" w:cs="Times New Roman"/>
                <w:color w:val="000000" w:themeColor="text1"/>
                <w14:textFill>
                  <w14:solidFill>
                    <w14:schemeClr w14:val="tx1"/>
                  </w14:solidFill>
                </w14:textFill>
              </w:rPr>
            </w:pPr>
            <w:r>
              <w:rPr>
                <w:rFonts w:hint="eastAsia" w:ascii="宋体" w:hAnsi="宋体" w:eastAsia="宋体" w:cs="宋体"/>
                <w:b w:val="0"/>
                <w:bCs w:val="0"/>
                <w:i w:val="0"/>
                <w:iCs w:val="0"/>
                <w:color w:val="000000" w:themeColor="text1"/>
                <w:sz w:val="24"/>
                <w:szCs w:val="24"/>
                <w:lang w:val="en-US" w:eastAsia="zh-CN"/>
                <w14:textFill>
                  <w14:solidFill>
                    <w14:schemeClr w14:val="tx1"/>
                  </w14:solidFill>
                </w14:textFill>
              </w:rPr>
              <w:t>生产废水包括：</w:t>
            </w:r>
            <w:r>
              <w:rPr>
                <w:rFonts w:ascii="宋体" w:hAnsi="宋体" w:eastAsia="宋体" w:cs="宋体"/>
                <w:b w:val="0"/>
                <w:bCs w:val="0"/>
                <w:i w:val="0"/>
                <w:iCs w:val="0"/>
                <w:color w:val="000000" w:themeColor="text1"/>
                <w:sz w:val="24"/>
                <w:szCs w:val="24"/>
                <w14:textFill>
                  <w14:solidFill>
                    <w14:schemeClr w14:val="tx1"/>
                  </w14:solidFill>
                </w14:textFill>
              </w:rPr>
              <w:t>预脱</w:t>
            </w:r>
            <w:r>
              <w:rPr>
                <w:rFonts w:hint="default" w:ascii="Times New Roman" w:hAnsi="Times New Roman" w:eastAsia="宋体" w:cs="Times New Roman"/>
                <w:b w:val="0"/>
                <w:bCs w:val="0"/>
                <w:i w:val="0"/>
                <w:iCs w:val="0"/>
                <w:color w:val="000000" w:themeColor="text1"/>
                <w:sz w:val="24"/>
                <w:szCs w:val="24"/>
                <w14:textFill>
                  <w14:solidFill>
                    <w14:schemeClr w14:val="tx1"/>
                  </w14:solidFill>
                </w14:textFill>
              </w:rPr>
              <w:t>脂槽冲洗废水</w:t>
            </w:r>
            <w:r>
              <w:rPr>
                <w:rStyle w:val="160"/>
                <w:rFonts w:hint="default" w:ascii="Times New Roman" w:hAnsi="Times New Roman" w:cs="Times New Roman"/>
                <w:color w:val="000000" w:themeColor="text1"/>
                <w14:textFill>
                  <w14:solidFill>
                    <w14:schemeClr w14:val="tx1"/>
                  </w14:solidFill>
                </w14:textFill>
              </w:rPr>
              <w:t>12t/a</w:t>
            </w:r>
            <w:r>
              <w:rPr>
                <w:rStyle w:val="158"/>
                <w:rFonts w:hint="default" w:ascii="Times New Roman" w:hAnsi="Times New Roman" w:eastAsia="宋体" w:cs="Times New Roman"/>
                <w:color w:val="000000" w:themeColor="text1"/>
                <w:lang w:eastAsia="zh-CN"/>
                <w14:textFill>
                  <w14:solidFill>
                    <w14:schemeClr w14:val="tx1"/>
                  </w14:solidFill>
                </w14:textFill>
              </w:rPr>
              <w:t>、</w:t>
            </w:r>
            <w:r>
              <w:rPr>
                <w:rStyle w:val="158"/>
                <w:rFonts w:hint="default" w:ascii="Times New Roman" w:hAnsi="Times New Roman" w:cs="Times New Roman"/>
                <w:color w:val="000000" w:themeColor="text1"/>
                <w14:textFill>
                  <w14:solidFill>
                    <w14:schemeClr w14:val="tx1"/>
                  </w14:solidFill>
                </w14:textFill>
              </w:rPr>
              <w:t>脱脂槽冲洗废水</w:t>
            </w:r>
            <w:r>
              <w:rPr>
                <w:rStyle w:val="159"/>
                <w:rFonts w:hint="default" w:ascii="Times New Roman" w:hAnsi="Times New Roman" w:cs="Times New Roman"/>
                <w:color w:val="000000" w:themeColor="text1"/>
                <w14:textFill>
                  <w14:solidFill>
                    <w14:schemeClr w14:val="tx1"/>
                  </w14:solidFill>
                </w14:textFill>
              </w:rPr>
              <w:t>20t/a</w:t>
            </w:r>
            <w:r>
              <w:rPr>
                <w:rStyle w:val="158"/>
                <w:rFonts w:hint="default" w:ascii="Times New Roman" w:hAnsi="Times New Roman" w:eastAsia="宋体" w:cs="Times New Roman"/>
                <w:color w:val="000000" w:themeColor="text1"/>
                <w:lang w:eastAsia="zh-CN"/>
                <w14:textFill>
                  <w14:solidFill>
                    <w14:schemeClr w14:val="tx1"/>
                  </w14:solidFill>
                </w14:textFill>
              </w:rPr>
              <w:t>、</w:t>
            </w:r>
            <w:r>
              <w:rPr>
                <w:rStyle w:val="158"/>
                <w:rFonts w:hint="default" w:ascii="Times New Roman" w:hAnsi="Times New Roman" w:cs="Times New Roman"/>
                <w:color w:val="000000" w:themeColor="text1"/>
                <w14:textFill>
                  <w14:solidFill>
                    <w14:schemeClr w14:val="tx1"/>
                  </w14:solidFill>
                </w14:textFill>
              </w:rPr>
              <w:t>脱脂水洗废水</w:t>
            </w:r>
            <w:r>
              <w:rPr>
                <w:rStyle w:val="159"/>
                <w:rFonts w:hint="default" w:ascii="Times New Roman" w:hAnsi="Times New Roman" w:cs="Times New Roman"/>
                <w:color w:val="000000" w:themeColor="text1"/>
                <w14:textFill>
                  <w14:solidFill>
                    <w14:schemeClr w14:val="tx1"/>
                  </w14:solidFill>
                </w14:textFill>
              </w:rPr>
              <w:t>300t/a</w:t>
            </w:r>
            <w:r>
              <w:rPr>
                <w:rStyle w:val="158"/>
                <w:rFonts w:hint="default" w:ascii="Times New Roman" w:hAnsi="Times New Roman" w:eastAsia="宋体" w:cs="Times New Roman"/>
                <w:color w:val="000000" w:themeColor="text1"/>
                <w:lang w:eastAsia="zh-CN"/>
                <w14:textFill>
                  <w14:solidFill>
                    <w14:schemeClr w14:val="tx1"/>
                  </w14:solidFill>
                </w14:textFill>
              </w:rPr>
              <w:t>、</w:t>
            </w:r>
            <w:r>
              <w:rPr>
                <w:rStyle w:val="158"/>
                <w:rFonts w:hint="default" w:ascii="Times New Roman" w:hAnsi="Times New Roman" w:cs="Times New Roman"/>
                <w:color w:val="000000" w:themeColor="text1"/>
                <w14:textFill>
                  <w14:solidFill>
                    <w14:schemeClr w14:val="tx1"/>
                  </w14:solidFill>
                </w14:textFill>
              </w:rPr>
              <w:t>磷化废水</w:t>
            </w:r>
            <w:r>
              <w:rPr>
                <w:rStyle w:val="159"/>
                <w:rFonts w:hint="default" w:ascii="Times New Roman" w:hAnsi="Times New Roman" w:cs="Times New Roman"/>
                <w:color w:val="000000" w:themeColor="text1"/>
                <w14:textFill>
                  <w14:solidFill>
                    <w14:schemeClr w14:val="tx1"/>
                  </w14:solidFill>
                </w14:textFill>
              </w:rPr>
              <w:t>300t/a</w:t>
            </w:r>
            <w:r>
              <w:rPr>
                <w:rStyle w:val="158"/>
                <w:rFonts w:hint="default" w:ascii="Times New Roman" w:hAnsi="Times New Roman" w:eastAsia="宋体" w:cs="Times New Roman"/>
                <w:color w:val="000000" w:themeColor="text1"/>
                <w:lang w:eastAsia="zh-CN"/>
                <w14:textFill>
                  <w14:solidFill>
                    <w14:schemeClr w14:val="tx1"/>
                  </w14:solidFill>
                </w14:textFill>
              </w:rPr>
              <w:t>、</w:t>
            </w:r>
            <w:r>
              <w:rPr>
                <w:rStyle w:val="159"/>
                <w:rFonts w:hint="default" w:ascii="Times New Roman" w:hAnsi="Times New Roman" w:cs="Times New Roman"/>
                <w:color w:val="000000" w:themeColor="text1"/>
                <w14:textFill>
                  <w14:solidFill>
                    <w14:schemeClr w14:val="tx1"/>
                  </w14:solidFill>
                </w14:textFill>
              </w:rPr>
              <w:t>UF</w:t>
            </w:r>
            <w:r>
              <w:rPr>
                <w:rStyle w:val="158"/>
                <w:rFonts w:hint="default" w:ascii="Times New Roman" w:hAnsi="Times New Roman" w:cs="Times New Roman"/>
                <w:color w:val="000000" w:themeColor="text1"/>
                <w14:textFill>
                  <w14:solidFill>
                    <w14:schemeClr w14:val="tx1"/>
                  </w14:solidFill>
                </w14:textFill>
              </w:rPr>
              <w:t>超滤废水</w:t>
            </w:r>
            <w:r>
              <w:rPr>
                <w:rStyle w:val="159"/>
                <w:rFonts w:hint="default" w:ascii="Times New Roman" w:hAnsi="Times New Roman" w:cs="Times New Roman"/>
                <w:color w:val="000000" w:themeColor="text1"/>
                <w14:textFill>
                  <w14:solidFill>
                    <w14:schemeClr w14:val="tx1"/>
                  </w14:solidFill>
                </w14:textFill>
              </w:rPr>
              <w:t>30t/a</w:t>
            </w:r>
            <w:r>
              <w:rPr>
                <w:rStyle w:val="158"/>
                <w:rFonts w:hint="default" w:ascii="Times New Roman" w:hAnsi="Times New Roman" w:eastAsia="宋体" w:cs="Times New Roman"/>
                <w:color w:val="000000" w:themeColor="text1"/>
                <w:lang w:eastAsia="zh-CN"/>
                <w14:textFill>
                  <w14:solidFill>
                    <w14:schemeClr w14:val="tx1"/>
                  </w14:solidFill>
                </w14:textFill>
              </w:rPr>
              <w:t>、</w:t>
            </w:r>
            <w:r>
              <w:rPr>
                <w:rStyle w:val="158"/>
                <w:rFonts w:hint="default" w:ascii="Times New Roman" w:hAnsi="Times New Roman" w:cs="Times New Roman"/>
                <w:color w:val="000000" w:themeColor="text1"/>
                <w14:textFill>
                  <w14:solidFill>
                    <w14:schemeClr w14:val="tx1"/>
                  </w14:solidFill>
                </w14:textFill>
              </w:rPr>
              <w:t>电泳纯水洗废水</w:t>
            </w:r>
            <w:r>
              <w:rPr>
                <w:rStyle w:val="159"/>
                <w:rFonts w:hint="default" w:ascii="Times New Roman" w:hAnsi="Times New Roman" w:cs="Times New Roman"/>
                <w:color w:val="000000" w:themeColor="text1"/>
                <w14:textFill>
                  <w14:solidFill>
                    <w14:schemeClr w14:val="tx1"/>
                  </w14:solidFill>
                </w14:textFill>
              </w:rPr>
              <w:t>300t/a</w:t>
            </w:r>
            <w:r>
              <w:rPr>
                <w:rStyle w:val="158"/>
                <w:rFonts w:hint="default" w:ascii="Times New Roman" w:hAnsi="Times New Roman" w:eastAsia="宋体" w:cs="Times New Roman"/>
                <w:color w:val="000000" w:themeColor="text1"/>
                <w:lang w:eastAsia="zh-CN"/>
                <w14:textFill>
                  <w14:solidFill>
                    <w14:schemeClr w14:val="tx1"/>
                  </w14:solidFill>
                </w14:textFill>
              </w:rPr>
              <w:t>、</w:t>
            </w:r>
            <w:r>
              <w:rPr>
                <w:rStyle w:val="158"/>
                <w:rFonts w:hint="default" w:ascii="Times New Roman" w:hAnsi="Times New Roman" w:cs="Times New Roman"/>
                <w:color w:val="000000" w:themeColor="text1"/>
                <w14:textFill>
                  <w14:solidFill>
                    <w14:schemeClr w14:val="tx1"/>
                  </w14:solidFill>
                </w14:textFill>
              </w:rPr>
              <w:t>水帘柜除漆雾废水</w:t>
            </w:r>
            <w:r>
              <w:rPr>
                <w:rStyle w:val="159"/>
                <w:rFonts w:hint="default" w:ascii="Times New Roman" w:hAnsi="Times New Roman" w:cs="Times New Roman"/>
                <w:color w:val="000000" w:themeColor="text1"/>
                <w14:textFill>
                  <w14:solidFill>
                    <w14:schemeClr w14:val="tx1"/>
                  </w14:solidFill>
                </w14:textFill>
              </w:rPr>
              <w:t>30</w:t>
            </w:r>
            <w:r>
              <w:rPr>
                <w:rStyle w:val="159"/>
                <w:rFonts w:hint="default" w:ascii="Times New Roman" w:hAnsi="Times New Roman" w:eastAsia="宋体" w:cs="Times New Roman"/>
                <w:color w:val="000000" w:themeColor="text1"/>
                <w:lang w:val="en-US" w:eastAsia="zh-CN"/>
                <w14:textFill>
                  <w14:solidFill>
                    <w14:schemeClr w14:val="tx1"/>
                  </w14:solidFill>
                </w14:textFill>
              </w:rPr>
              <w:t>t</w:t>
            </w:r>
            <w:r>
              <w:rPr>
                <w:rStyle w:val="159"/>
                <w:rFonts w:hint="default" w:ascii="Times New Roman" w:hAnsi="Times New Roman" w:cs="Times New Roman"/>
                <w:color w:val="000000" w:themeColor="text1"/>
                <w14:textFill>
                  <w14:solidFill>
                    <w14:schemeClr w14:val="tx1"/>
                  </w14:solidFill>
                </w14:textFill>
              </w:rPr>
              <w:t>/a</w:t>
            </w:r>
            <w:r>
              <w:rPr>
                <w:rStyle w:val="158"/>
                <w:rFonts w:hint="default" w:ascii="Times New Roman" w:hAnsi="Times New Roman" w:eastAsia="宋体" w:cs="Times New Roman"/>
                <w:color w:val="000000" w:themeColor="text1"/>
                <w:lang w:eastAsia="zh-CN"/>
                <w14:textFill>
                  <w14:solidFill>
                    <w14:schemeClr w14:val="tx1"/>
                  </w14:solidFill>
                </w14:textFill>
              </w:rPr>
              <w:t>、</w:t>
            </w:r>
            <w:r>
              <w:rPr>
                <w:rStyle w:val="158"/>
                <w:rFonts w:hint="default" w:ascii="Times New Roman" w:hAnsi="Times New Roman" w:cs="Times New Roman"/>
                <w:color w:val="000000" w:themeColor="text1"/>
                <w14:textFill>
                  <w14:solidFill>
                    <w14:schemeClr w14:val="tx1"/>
                  </w14:solidFill>
                </w14:textFill>
              </w:rPr>
              <w:t>废气处理设施水喷淋废水</w:t>
            </w:r>
            <w:r>
              <w:rPr>
                <w:rStyle w:val="159"/>
                <w:rFonts w:hint="default" w:ascii="Times New Roman" w:hAnsi="Times New Roman" w:cs="Times New Roman"/>
                <w:color w:val="000000" w:themeColor="text1"/>
                <w14:textFill>
                  <w14:solidFill>
                    <w14:schemeClr w14:val="tx1"/>
                  </w14:solidFill>
                </w14:textFill>
              </w:rPr>
              <w:t>50</w:t>
            </w:r>
            <w:r>
              <w:rPr>
                <w:rStyle w:val="159"/>
                <w:rFonts w:hint="default" w:ascii="Times New Roman" w:hAnsi="Times New Roman" w:eastAsia="宋体" w:cs="Times New Roman"/>
                <w:color w:val="000000" w:themeColor="text1"/>
                <w:lang w:val="en-US" w:eastAsia="zh-CN"/>
                <w14:textFill>
                  <w14:solidFill>
                    <w14:schemeClr w14:val="tx1"/>
                  </w14:solidFill>
                </w14:textFill>
              </w:rPr>
              <w:t>t</w:t>
            </w:r>
            <w:r>
              <w:rPr>
                <w:rStyle w:val="159"/>
                <w:rFonts w:hint="default" w:ascii="Times New Roman" w:hAnsi="Times New Roman" w:cs="Times New Roman"/>
                <w:color w:val="000000" w:themeColor="text1"/>
                <w14:textFill>
                  <w14:solidFill>
                    <w14:schemeClr w14:val="tx1"/>
                  </w14:solidFill>
                </w14:textFill>
              </w:rPr>
              <w:t>/a</w:t>
            </w:r>
            <w:r>
              <w:rPr>
                <w:rStyle w:val="159"/>
                <w:rFonts w:hint="default" w:ascii="Times New Roman" w:hAnsi="Times New Roman" w:eastAsia="宋体" w:cs="Times New Roman"/>
                <w:color w:val="000000" w:themeColor="text1"/>
                <w:lang w:eastAsia="zh-CN"/>
                <w14:textFill>
                  <w14:solidFill>
                    <w14:schemeClr w14:val="tx1"/>
                  </w14:solidFill>
                </w14:textFill>
              </w:rPr>
              <w:t>，</w:t>
            </w:r>
            <w:r>
              <w:rPr>
                <w:rStyle w:val="159"/>
                <w:rFonts w:hint="default" w:ascii="Times New Roman" w:hAnsi="Times New Roman" w:eastAsia="宋体" w:cs="Times New Roman"/>
                <w:color w:val="000000" w:themeColor="text1"/>
                <w:lang w:val="en-US" w:eastAsia="zh-CN"/>
                <w14:textFill>
                  <w14:solidFill>
                    <w14:schemeClr w14:val="tx1"/>
                  </w14:solidFill>
                </w14:textFill>
              </w:rPr>
              <w:t>共计1042t/a</w:t>
            </w:r>
            <w:r>
              <w:rPr>
                <w:rStyle w:val="158"/>
                <w:rFonts w:hint="default" w:ascii="Times New Roman" w:hAnsi="Times New Roman" w:cs="Times New Roman"/>
                <w:color w:val="000000" w:themeColor="text1"/>
                <w14:textFill>
                  <w14:solidFill>
                    <w14:schemeClr w14:val="tx1"/>
                  </w14:solidFill>
                </w14:textFill>
              </w:rPr>
              <w:t>。</w:t>
            </w:r>
          </w:p>
          <w:p w14:paraId="28C07FF7">
            <w:pPr>
              <w:pStyle w:val="146"/>
              <w:ind w:firstLine="480"/>
              <w:rPr>
                <w:rFonts w:hint="default" w:ascii="Times New Roman" w:hAnsi="Times New Roman" w:eastAsia="宋体" w:cs="Times New Roman"/>
                <w:b w:val="0"/>
                <w:bCs w:val="0"/>
                <w:i w:val="0"/>
                <w:iCs w:val="0"/>
                <w:color w:val="000000" w:themeColor="text1"/>
                <w:sz w:val="24"/>
                <w:szCs w:val="24"/>
                <w:lang w:val="en-US" w:eastAsia="zh-CN"/>
                <w14:textFill>
                  <w14:solidFill>
                    <w14:schemeClr w14:val="tx1"/>
                  </w14:solidFill>
                </w14:textFill>
              </w:rPr>
            </w:pPr>
            <w:r>
              <w:rPr>
                <w:rStyle w:val="158"/>
                <w:rFonts w:hint="default" w:ascii="Times New Roman" w:hAnsi="Times New Roman" w:cs="Times New Roman"/>
                <w:color w:val="000000" w:themeColor="text1"/>
                <w14:textFill>
                  <w14:solidFill>
                    <w14:schemeClr w14:val="tx1"/>
                  </w14:solidFill>
                </w14:textFill>
              </w:rPr>
              <w:t>纯水制备含盐废水</w:t>
            </w:r>
            <w:r>
              <w:rPr>
                <w:rStyle w:val="159"/>
                <w:rFonts w:hint="default" w:ascii="Times New Roman" w:hAnsi="Times New Roman" w:cs="Times New Roman"/>
                <w:color w:val="000000" w:themeColor="text1"/>
                <w14:textFill>
                  <w14:solidFill>
                    <w14:schemeClr w14:val="tx1"/>
                  </w14:solidFill>
                </w14:textFill>
              </w:rPr>
              <w:t>138t/a</w:t>
            </w:r>
            <w:r>
              <w:rPr>
                <w:rStyle w:val="159"/>
                <w:rFonts w:hint="default" w:ascii="Times New Roman" w:hAnsi="Times New Roman" w:eastAsia="宋体" w:cs="Times New Roman"/>
                <w:color w:val="000000" w:themeColor="text1"/>
                <w:lang w:val="en-US" w:eastAsia="zh-CN"/>
                <w14:textFill>
                  <w14:solidFill>
                    <w14:schemeClr w14:val="tx1"/>
                  </w14:solidFill>
                </w14:textFill>
              </w:rPr>
              <w:t>不纳入</w:t>
            </w:r>
            <w:r>
              <w:rPr>
                <w:rFonts w:hint="default" w:ascii="Times New Roman" w:hAnsi="Times New Roman" w:eastAsia="宋体" w:cs="Times New Roman"/>
                <w:b w:val="0"/>
                <w:bCs w:val="0"/>
                <w:i w:val="0"/>
                <w:iCs w:val="0"/>
                <w:color w:val="000000" w:themeColor="text1"/>
                <w:sz w:val="24"/>
                <w:szCs w:val="24"/>
                <w:lang w:val="en-US" w:eastAsia="zh-CN"/>
                <w14:textFill>
                  <w14:solidFill>
                    <w14:schemeClr w14:val="tx1"/>
                  </w14:solidFill>
                </w14:textFill>
              </w:rPr>
              <w:t>生产废水，直接排入雨水管网。</w:t>
            </w:r>
          </w:p>
          <w:p w14:paraId="4AE963AC">
            <w:pPr>
              <w:pStyle w:val="146"/>
              <w:ind w:firstLine="480"/>
              <w:rPr>
                <w:rStyle w:val="158"/>
                <w:rFonts w:hint="eastAsia" w:eastAsia="宋体"/>
                <w:color w:val="000000" w:themeColor="text1"/>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4"/>
                <w:szCs w:val="24"/>
                <w:lang w:val="en-US" w:eastAsia="zh-CN"/>
                <w14:textFill>
                  <w14:solidFill>
                    <w14:schemeClr w14:val="tx1"/>
                  </w14:solidFill>
                </w14:textFill>
              </w:rPr>
              <w:t>生活污水540</w:t>
            </w:r>
            <w:r>
              <w:rPr>
                <w:rStyle w:val="159"/>
                <w:rFonts w:hint="default" w:ascii="Times New Roman" w:hAnsi="Times New Roman" w:eastAsia="宋体" w:cs="Times New Roman"/>
                <w:color w:val="000000" w:themeColor="text1"/>
                <w:lang w:val="en-US" w:eastAsia="zh-CN"/>
                <w14:textFill>
                  <w14:solidFill>
                    <w14:schemeClr w14:val="tx1"/>
                  </w14:solidFill>
                </w14:textFill>
              </w:rPr>
              <w:t>t</w:t>
            </w:r>
            <w:r>
              <w:rPr>
                <w:rStyle w:val="159"/>
                <w:rFonts w:hint="default" w:ascii="Times New Roman" w:hAnsi="Times New Roman" w:cs="Times New Roman"/>
                <w:color w:val="000000" w:themeColor="text1"/>
                <w14:textFill>
                  <w14:solidFill>
                    <w14:schemeClr w14:val="tx1"/>
                  </w14:solidFill>
                </w14:textFill>
              </w:rPr>
              <w:t>/a</w:t>
            </w:r>
            <w:r>
              <w:rPr>
                <w:rStyle w:val="159"/>
                <w:rFonts w:hint="default" w:ascii="Times New Roman" w:hAnsi="Times New Roman" w:eastAsia="宋体" w:cs="Times New Roman"/>
                <w:color w:val="000000" w:themeColor="text1"/>
                <w:lang w:eastAsia="zh-CN"/>
                <w14:textFill>
                  <w14:solidFill>
                    <w14:schemeClr w14:val="tx1"/>
                  </w14:solidFill>
                </w14:textFill>
              </w:rPr>
              <w:t>。</w:t>
            </w:r>
          </w:p>
          <w:p w14:paraId="35B15579">
            <w:pPr>
              <w:pStyle w:val="146"/>
              <w:ind w:firstLine="480"/>
              <w:rPr>
                <w:rStyle w:val="158"/>
                <w:rFonts w:hint="default" w:eastAsia="宋体"/>
                <w:b/>
                <w:bCs/>
                <w:color w:val="000000" w:themeColor="text1"/>
                <w:lang w:val="en-US" w:eastAsia="zh-CN"/>
                <w14:textFill>
                  <w14:solidFill>
                    <w14:schemeClr w14:val="tx1"/>
                  </w14:solidFill>
                </w14:textFill>
              </w:rPr>
            </w:pPr>
            <w:r>
              <w:rPr>
                <w:rStyle w:val="158"/>
                <w:rFonts w:hint="eastAsia" w:eastAsia="宋体"/>
                <w:b/>
                <w:bCs/>
                <w:color w:val="000000" w:themeColor="text1"/>
                <w:lang w:val="en-US" w:eastAsia="zh-CN"/>
                <w14:textFill>
                  <w14:solidFill>
                    <w14:schemeClr w14:val="tx1"/>
                  </w14:solidFill>
                </w14:textFill>
              </w:rPr>
              <w:t>实际</w:t>
            </w:r>
            <w:r>
              <w:rPr>
                <w:rFonts w:hint="eastAsia" w:ascii="宋体" w:hAnsi="宋体" w:eastAsia="宋体" w:cs="宋体"/>
                <w:b/>
                <w:bCs/>
                <w:i w:val="0"/>
                <w:iCs w:val="0"/>
                <w:color w:val="000000" w:themeColor="text1"/>
                <w:sz w:val="24"/>
                <w:szCs w:val="24"/>
                <w:lang w:val="en-US" w:eastAsia="zh-CN"/>
                <w14:textFill>
                  <w14:solidFill>
                    <w14:schemeClr w14:val="tx1"/>
                  </w14:solidFill>
                </w14:textFill>
              </w:rPr>
              <w:t>废水排放量</w:t>
            </w:r>
            <w:r>
              <w:rPr>
                <w:rStyle w:val="158"/>
                <w:rFonts w:hint="eastAsia" w:eastAsia="宋体"/>
                <w:b/>
                <w:bCs/>
                <w:color w:val="000000" w:themeColor="text1"/>
                <w:lang w:val="en-US" w:eastAsia="zh-CN"/>
                <w14:textFill>
                  <w14:solidFill>
                    <w14:schemeClr w14:val="tx1"/>
                  </w14:solidFill>
                </w14:textFill>
              </w:rPr>
              <w:t>：</w:t>
            </w:r>
          </w:p>
          <w:p w14:paraId="49D8B1A7">
            <w:pPr>
              <w:pStyle w:val="146"/>
              <w:ind w:firstLine="480"/>
              <w:rPr>
                <w:rStyle w:val="158"/>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val="0"/>
                <w:bCs w:val="0"/>
                <w:i w:val="0"/>
                <w:iCs w:val="0"/>
                <w:color w:val="000000" w:themeColor="text1"/>
                <w:sz w:val="24"/>
                <w:szCs w:val="24"/>
                <w:lang w:val="en-US" w:eastAsia="zh-CN"/>
                <w14:textFill>
                  <w14:solidFill>
                    <w14:schemeClr w14:val="tx1"/>
                  </w14:solidFill>
                </w14:textFill>
              </w:rPr>
              <w:t>生产废水包括：</w:t>
            </w:r>
            <w:r>
              <w:rPr>
                <w:rFonts w:hint="default" w:ascii="Times New Roman" w:hAnsi="Times New Roman" w:eastAsia="宋体" w:cs="Times New Roman"/>
                <w:b w:val="0"/>
                <w:bCs w:val="0"/>
                <w:i w:val="0"/>
                <w:iCs w:val="0"/>
                <w:color w:val="000000" w:themeColor="text1"/>
                <w:sz w:val="24"/>
                <w:szCs w:val="24"/>
                <w14:textFill>
                  <w14:solidFill>
                    <w14:schemeClr w14:val="tx1"/>
                  </w14:solidFill>
                </w14:textFill>
              </w:rPr>
              <w:t>预脱脂槽冲洗废水</w:t>
            </w:r>
            <w:r>
              <w:rPr>
                <w:rStyle w:val="160"/>
                <w:rFonts w:hint="default" w:ascii="Times New Roman" w:hAnsi="Times New Roman" w:eastAsia="宋体" w:cs="Times New Roman"/>
                <w:color w:val="000000" w:themeColor="text1"/>
                <w:lang w:val="en-US" w:eastAsia="zh-CN"/>
                <w14:textFill>
                  <w14:solidFill>
                    <w14:schemeClr w14:val="tx1"/>
                  </w14:solidFill>
                </w14:textFill>
              </w:rPr>
              <w:t>54</w:t>
            </w:r>
            <w:r>
              <w:rPr>
                <w:rStyle w:val="160"/>
                <w:rFonts w:hint="default" w:ascii="Times New Roman" w:hAnsi="Times New Roman" w:cs="Times New Roman"/>
                <w:color w:val="000000" w:themeColor="text1"/>
                <w14:textFill>
                  <w14:solidFill>
                    <w14:schemeClr w14:val="tx1"/>
                  </w14:solidFill>
                </w14:textFill>
              </w:rPr>
              <w:t>t/a</w:t>
            </w:r>
            <w:r>
              <w:rPr>
                <w:rStyle w:val="158"/>
                <w:rFonts w:hint="default" w:ascii="Times New Roman" w:hAnsi="Times New Roman" w:eastAsia="宋体" w:cs="Times New Roman"/>
                <w:color w:val="000000" w:themeColor="text1"/>
                <w:lang w:eastAsia="zh-CN"/>
                <w14:textFill>
                  <w14:solidFill>
                    <w14:schemeClr w14:val="tx1"/>
                  </w14:solidFill>
                </w14:textFill>
              </w:rPr>
              <w:t>、</w:t>
            </w:r>
            <w:r>
              <w:rPr>
                <w:rStyle w:val="158"/>
                <w:rFonts w:hint="default" w:ascii="Times New Roman" w:hAnsi="Times New Roman" w:cs="Times New Roman"/>
                <w:color w:val="000000" w:themeColor="text1"/>
                <w14:textFill>
                  <w14:solidFill>
                    <w14:schemeClr w14:val="tx1"/>
                  </w14:solidFill>
                </w14:textFill>
              </w:rPr>
              <w:t>脱脂槽冲洗废水</w:t>
            </w:r>
            <w:r>
              <w:rPr>
                <w:rStyle w:val="159"/>
                <w:rFonts w:hint="default" w:ascii="Times New Roman" w:hAnsi="Times New Roman" w:cs="Times New Roman"/>
                <w:color w:val="000000" w:themeColor="text1"/>
                <w14:textFill>
                  <w14:solidFill>
                    <w14:schemeClr w14:val="tx1"/>
                  </w14:solidFill>
                </w14:textFill>
              </w:rPr>
              <w:t>2</w:t>
            </w:r>
            <w:r>
              <w:rPr>
                <w:rStyle w:val="159"/>
                <w:rFonts w:hint="default" w:ascii="Times New Roman" w:hAnsi="Times New Roman" w:eastAsia="宋体" w:cs="Times New Roman"/>
                <w:color w:val="000000" w:themeColor="text1"/>
                <w:lang w:val="en-US" w:eastAsia="zh-CN"/>
                <w14:textFill>
                  <w14:solidFill>
                    <w14:schemeClr w14:val="tx1"/>
                  </w14:solidFill>
                </w14:textFill>
              </w:rPr>
              <w:t>0</w:t>
            </w:r>
            <w:r>
              <w:rPr>
                <w:rStyle w:val="159"/>
                <w:rFonts w:hint="default" w:ascii="Times New Roman" w:hAnsi="Times New Roman" w:cs="Times New Roman"/>
                <w:color w:val="000000" w:themeColor="text1"/>
                <w14:textFill>
                  <w14:solidFill>
                    <w14:schemeClr w14:val="tx1"/>
                  </w14:solidFill>
                </w14:textFill>
              </w:rPr>
              <w:t>0t/a</w:t>
            </w:r>
            <w:r>
              <w:rPr>
                <w:rStyle w:val="158"/>
                <w:rFonts w:hint="default" w:ascii="Times New Roman" w:hAnsi="Times New Roman" w:eastAsia="宋体" w:cs="Times New Roman"/>
                <w:color w:val="000000" w:themeColor="text1"/>
                <w:lang w:eastAsia="zh-CN"/>
                <w14:textFill>
                  <w14:solidFill>
                    <w14:schemeClr w14:val="tx1"/>
                  </w14:solidFill>
                </w14:textFill>
              </w:rPr>
              <w:t>、</w:t>
            </w:r>
            <w:r>
              <w:rPr>
                <w:rStyle w:val="158"/>
                <w:rFonts w:hint="default" w:ascii="Times New Roman" w:hAnsi="Times New Roman" w:cs="Times New Roman"/>
                <w:color w:val="000000" w:themeColor="text1"/>
                <w14:textFill>
                  <w14:solidFill>
                    <w14:schemeClr w14:val="tx1"/>
                  </w14:solidFill>
                </w14:textFill>
              </w:rPr>
              <w:t>脱脂水洗废水</w:t>
            </w:r>
            <w:r>
              <w:rPr>
                <w:rStyle w:val="159"/>
                <w:rFonts w:hint="default" w:ascii="Times New Roman" w:hAnsi="Times New Roman" w:eastAsia="宋体" w:cs="Times New Roman"/>
                <w:color w:val="000000" w:themeColor="text1"/>
                <w:lang w:val="en-US" w:eastAsia="zh-CN"/>
                <w14:textFill>
                  <w14:solidFill>
                    <w14:schemeClr w14:val="tx1"/>
                  </w14:solidFill>
                </w14:textFill>
              </w:rPr>
              <w:t>2</w:t>
            </w:r>
            <w:r>
              <w:rPr>
                <w:rStyle w:val="159"/>
                <w:rFonts w:hint="default" w:ascii="Times New Roman" w:hAnsi="Times New Roman" w:cs="Times New Roman"/>
                <w:color w:val="000000" w:themeColor="text1"/>
                <w14:textFill>
                  <w14:solidFill>
                    <w14:schemeClr w14:val="tx1"/>
                  </w14:solidFill>
                </w14:textFill>
              </w:rPr>
              <w:t>00t/a</w:t>
            </w:r>
            <w:r>
              <w:rPr>
                <w:rStyle w:val="158"/>
                <w:rFonts w:hint="default" w:ascii="Times New Roman" w:hAnsi="Times New Roman" w:eastAsia="宋体" w:cs="Times New Roman"/>
                <w:color w:val="000000" w:themeColor="text1"/>
                <w:lang w:eastAsia="zh-CN"/>
                <w14:textFill>
                  <w14:solidFill>
                    <w14:schemeClr w14:val="tx1"/>
                  </w14:solidFill>
                </w14:textFill>
              </w:rPr>
              <w:t>、</w:t>
            </w:r>
            <w:r>
              <w:rPr>
                <w:rStyle w:val="158"/>
                <w:rFonts w:hint="default" w:ascii="Times New Roman" w:hAnsi="Times New Roman" w:cs="Times New Roman"/>
                <w:color w:val="000000" w:themeColor="text1"/>
                <w14:textFill>
                  <w14:solidFill>
                    <w14:schemeClr w14:val="tx1"/>
                  </w14:solidFill>
                </w14:textFill>
              </w:rPr>
              <w:t>磷化废水</w:t>
            </w:r>
            <w:r>
              <w:rPr>
                <w:rStyle w:val="159"/>
                <w:rFonts w:hint="default" w:ascii="Times New Roman" w:hAnsi="Times New Roman" w:eastAsia="宋体" w:cs="Times New Roman"/>
                <w:color w:val="000000" w:themeColor="text1"/>
                <w:lang w:val="en-US" w:eastAsia="zh-CN"/>
                <w14:textFill>
                  <w14:solidFill>
                    <w14:schemeClr w14:val="tx1"/>
                  </w14:solidFill>
                </w14:textFill>
              </w:rPr>
              <w:t>16</w:t>
            </w:r>
            <w:r>
              <w:rPr>
                <w:rStyle w:val="159"/>
                <w:rFonts w:hint="default" w:ascii="Times New Roman" w:hAnsi="Times New Roman" w:cs="Times New Roman"/>
                <w:color w:val="000000" w:themeColor="text1"/>
                <w14:textFill>
                  <w14:solidFill>
                    <w14:schemeClr w14:val="tx1"/>
                  </w14:solidFill>
                </w14:textFill>
              </w:rPr>
              <w:t>0t/a</w:t>
            </w:r>
            <w:r>
              <w:rPr>
                <w:rStyle w:val="158"/>
                <w:rFonts w:hint="default" w:ascii="Times New Roman" w:hAnsi="Times New Roman" w:eastAsia="宋体" w:cs="Times New Roman"/>
                <w:color w:val="000000" w:themeColor="text1"/>
                <w:lang w:eastAsia="zh-CN"/>
                <w14:textFill>
                  <w14:solidFill>
                    <w14:schemeClr w14:val="tx1"/>
                  </w14:solidFill>
                </w14:textFill>
              </w:rPr>
              <w:t>、</w:t>
            </w:r>
            <w:r>
              <w:rPr>
                <w:rStyle w:val="159"/>
                <w:rFonts w:hint="default" w:ascii="Times New Roman" w:hAnsi="Times New Roman" w:cs="Times New Roman"/>
                <w:color w:val="000000" w:themeColor="text1"/>
                <w14:textFill>
                  <w14:solidFill>
                    <w14:schemeClr w14:val="tx1"/>
                  </w14:solidFill>
                </w14:textFill>
              </w:rPr>
              <w:t>UF</w:t>
            </w:r>
            <w:r>
              <w:rPr>
                <w:rStyle w:val="158"/>
                <w:rFonts w:hint="default" w:ascii="Times New Roman" w:hAnsi="Times New Roman" w:cs="Times New Roman"/>
                <w:color w:val="000000" w:themeColor="text1"/>
                <w14:textFill>
                  <w14:solidFill>
                    <w14:schemeClr w14:val="tx1"/>
                  </w14:solidFill>
                </w14:textFill>
              </w:rPr>
              <w:t>超滤废水</w:t>
            </w:r>
            <w:r>
              <w:rPr>
                <w:rStyle w:val="159"/>
                <w:rFonts w:hint="default" w:ascii="Times New Roman" w:hAnsi="Times New Roman" w:cs="Times New Roman"/>
                <w:color w:val="000000" w:themeColor="text1"/>
                <w14:textFill>
                  <w14:solidFill>
                    <w14:schemeClr w14:val="tx1"/>
                  </w14:solidFill>
                </w14:textFill>
              </w:rPr>
              <w:t>30t/a</w:t>
            </w:r>
            <w:r>
              <w:rPr>
                <w:rStyle w:val="158"/>
                <w:rFonts w:hint="default" w:ascii="Times New Roman" w:hAnsi="Times New Roman" w:eastAsia="宋体" w:cs="Times New Roman"/>
                <w:color w:val="000000" w:themeColor="text1"/>
                <w:lang w:eastAsia="zh-CN"/>
                <w14:textFill>
                  <w14:solidFill>
                    <w14:schemeClr w14:val="tx1"/>
                  </w14:solidFill>
                </w14:textFill>
              </w:rPr>
              <w:t>、</w:t>
            </w:r>
            <w:r>
              <w:rPr>
                <w:rStyle w:val="158"/>
                <w:rFonts w:hint="default" w:ascii="Times New Roman" w:hAnsi="Times New Roman" w:cs="Times New Roman"/>
                <w:color w:val="000000" w:themeColor="text1"/>
                <w14:textFill>
                  <w14:solidFill>
                    <w14:schemeClr w14:val="tx1"/>
                  </w14:solidFill>
                </w14:textFill>
              </w:rPr>
              <w:t>电泳纯水洗废水</w:t>
            </w:r>
            <w:r>
              <w:rPr>
                <w:rStyle w:val="158"/>
                <w:rFonts w:hint="default" w:ascii="Times New Roman" w:hAnsi="Times New Roman" w:eastAsia="宋体" w:cs="Times New Roman"/>
                <w:color w:val="000000" w:themeColor="text1"/>
                <w:lang w:val="en-US" w:eastAsia="zh-CN"/>
                <w14:textFill>
                  <w14:solidFill>
                    <w14:schemeClr w14:val="tx1"/>
                  </w14:solidFill>
                </w14:textFill>
              </w:rPr>
              <w:t>32</w:t>
            </w:r>
            <w:r>
              <w:rPr>
                <w:rStyle w:val="159"/>
                <w:rFonts w:hint="default" w:ascii="Times New Roman" w:hAnsi="Times New Roman" w:cs="Times New Roman"/>
                <w:color w:val="000000" w:themeColor="text1"/>
                <w14:textFill>
                  <w14:solidFill>
                    <w14:schemeClr w14:val="tx1"/>
                  </w14:solidFill>
                </w14:textFill>
              </w:rPr>
              <w:t>0t/a</w:t>
            </w:r>
            <w:r>
              <w:rPr>
                <w:rStyle w:val="158"/>
                <w:rFonts w:hint="default" w:ascii="Times New Roman" w:hAnsi="Times New Roman" w:eastAsia="宋体" w:cs="Times New Roman"/>
                <w:color w:val="000000" w:themeColor="text1"/>
                <w:lang w:eastAsia="zh-CN"/>
                <w14:textFill>
                  <w14:solidFill>
                    <w14:schemeClr w14:val="tx1"/>
                  </w14:solidFill>
                </w14:textFill>
              </w:rPr>
              <w:t>、</w:t>
            </w:r>
            <w:r>
              <w:rPr>
                <w:rStyle w:val="158"/>
                <w:rFonts w:hint="default" w:ascii="Times New Roman" w:hAnsi="Times New Roman" w:cs="Times New Roman"/>
                <w:color w:val="000000" w:themeColor="text1"/>
                <w14:textFill>
                  <w14:solidFill>
                    <w14:schemeClr w14:val="tx1"/>
                  </w14:solidFill>
                </w14:textFill>
              </w:rPr>
              <w:t>水帘柜除漆雾废水</w:t>
            </w:r>
            <w:r>
              <w:rPr>
                <w:rStyle w:val="159"/>
                <w:rFonts w:hint="default" w:ascii="Times New Roman" w:hAnsi="Times New Roman" w:eastAsia="宋体" w:cs="Times New Roman"/>
                <w:color w:val="000000" w:themeColor="text1"/>
                <w:lang w:val="en-US" w:eastAsia="zh-CN"/>
                <w14:textFill>
                  <w14:solidFill>
                    <w14:schemeClr w14:val="tx1"/>
                  </w14:solidFill>
                </w14:textFill>
              </w:rPr>
              <w:t>96t</w:t>
            </w:r>
            <w:r>
              <w:rPr>
                <w:rStyle w:val="159"/>
                <w:rFonts w:hint="default" w:ascii="Times New Roman" w:hAnsi="Times New Roman" w:cs="Times New Roman"/>
                <w:color w:val="000000" w:themeColor="text1"/>
                <w14:textFill>
                  <w14:solidFill>
                    <w14:schemeClr w14:val="tx1"/>
                  </w14:solidFill>
                </w14:textFill>
              </w:rPr>
              <w:t>/a</w:t>
            </w:r>
            <w:r>
              <w:rPr>
                <w:rStyle w:val="158"/>
                <w:rFonts w:hint="default" w:ascii="Times New Roman" w:hAnsi="Times New Roman" w:eastAsia="宋体" w:cs="Times New Roman"/>
                <w:color w:val="000000" w:themeColor="text1"/>
                <w:lang w:eastAsia="zh-CN"/>
                <w14:textFill>
                  <w14:solidFill>
                    <w14:schemeClr w14:val="tx1"/>
                  </w14:solidFill>
                </w14:textFill>
              </w:rPr>
              <w:t>、</w:t>
            </w:r>
            <w:r>
              <w:rPr>
                <w:rStyle w:val="158"/>
                <w:rFonts w:hint="default" w:ascii="Times New Roman" w:hAnsi="Times New Roman" w:cs="Times New Roman"/>
                <w:color w:val="000000" w:themeColor="text1"/>
                <w14:textFill>
                  <w14:solidFill>
                    <w14:schemeClr w14:val="tx1"/>
                  </w14:solidFill>
                </w14:textFill>
              </w:rPr>
              <w:t>废气处理设施水喷淋废水</w:t>
            </w:r>
            <w:r>
              <w:rPr>
                <w:rStyle w:val="159"/>
                <w:rFonts w:hint="default" w:ascii="Times New Roman" w:hAnsi="Times New Roman" w:eastAsia="宋体" w:cs="Times New Roman"/>
                <w:color w:val="000000" w:themeColor="text1"/>
                <w:lang w:val="en-US" w:eastAsia="zh-CN"/>
                <w14:textFill>
                  <w14:solidFill>
                    <w14:schemeClr w14:val="tx1"/>
                  </w14:solidFill>
                </w14:textFill>
              </w:rPr>
              <w:t>8t</w:t>
            </w:r>
            <w:r>
              <w:rPr>
                <w:rStyle w:val="159"/>
                <w:rFonts w:hint="default" w:ascii="Times New Roman" w:hAnsi="Times New Roman" w:cs="Times New Roman"/>
                <w:color w:val="000000" w:themeColor="text1"/>
                <w14:textFill>
                  <w14:solidFill>
                    <w14:schemeClr w14:val="tx1"/>
                  </w14:solidFill>
                </w14:textFill>
              </w:rPr>
              <w:t>/a</w:t>
            </w:r>
            <w:r>
              <w:rPr>
                <w:rStyle w:val="159"/>
                <w:rFonts w:hint="default" w:ascii="Times New Roman" w:hAnsi="Times New Roman" w:eastAsia="宋体" w:cs="Times New Roman"/>
                <w:color w:val="000000" w:themeColor="text1"/>
                <w:lang w:eastAsia="zh-CN"/>
                <w14:textFill>
                  <w14:solidFill>
                    <w14:schemeClr w14:val="tx1"/>
                  </w14:solidFill>
                </w14:textFill>
              </w:rPr>
              <w:t>，</w:t>
            </w:r>
            <w:r>
              <w:rPr>
                <w:rStyle w:val="159"/>
                <w:rFonts w:hint="default" w:ascii="Times New Roman" w:hAnsi="Times New Roman" w:eastAsia="宋体" w:cs="Times New Roman"/>
                <w:color w:val="000000" w:themeColor="text1"/>
                <w:lang w:val="en-US" w:eastAsia="zh-CN"/>
                <w14:textFill>
                  <w14:solidFill>
                    <w14:schemeClr w14:val="tx1"/>
                  </w14:solidFill>
                </w14:textFill>
              </w:rPr>
              <w:t>共计</w:t>
            </w:r>
            <w:r>
              <w:rPr>
                <w:rStyle w:val="158"/>
                <w:rFonts w:hint="default" w:ascii="Times New Roman" w:hAnsi="Times New Roman" w:cs="Times New Roman"/>
                <w:color w:val="000000" w:themeColor="text1"/>
                <w14:textFill>
                  <w14:solidFill>
                    <w14:schemeClr w14:val="tx1"/>
                  </w14:solidFill>
                </w14:textFill>
              </w:rPr>
              <w:fldChar w:fldCharType="begin"/>
            </w:r>
            <w:r>
              <w:rPr>
                <w:rStyle w:val="158"/>
                <w:rFonts w:hint="default" w:ascii="Times New Roman" w:hAnsi="Times New Roman" w:cs="Times New Roman"/>
                <w:color w:val="000000" w:themeColor="text1"/>
                <w14:textFill>
                  <w14:solidFill>
                    <w14:schemeClr w14:val="tx1"/>
                  </w14:solidFill>
                </w14:textFill>
              </w:rPr>
              <w:instrText xml:space="preserve"> =54+200+200+30+160+96+8+160+160 \* MERGEFORMAT </w:instrText>
            </w:r>
            <w:r>
              <w:rPr>
                <w:rStyle w:val="158"/>
                <w:rFonts w:hint="default" w:ascii="Times New Roman" w:hAnsi="Times New Roman" w:cs="Times New Roman"/>
                <w:color w:val="000000" w:themeColor="text1"/>
                <w14:textFill>
                  <w14:solidFill>
                    <w14:schemeClr w14:val="tx1"/>
                  </w14:solidFill>
                </w14:textFill>
              </w:rPr>
              <w:fldChar w:fldCharType="separate"/>
            </w:r>
            <w:r>
              <w:rPr>
                <w:rStyle w:val="158"/>
                <w:rFonts w:hint="default" w:ascii="Times New Roman" w:hAnsi="Times New Roman" w:cs="Times New Roman"/>
                <w:color w:val="000000" w:themeColor="text1"/>
                <w14:textFill>
                  <w14:solidFill>
                    <w14:schemeClr w14:val="tx1"/>
                  </w14:solidFill>
                </w14:textFill>
              </w:rPr>
              <w:t>1068</w:t>
            </w:r>
            <w:r>
              <w:rPr>
                <w:rStyle w:val="158"/>
                <w:rFonts w:hint="default" w:ascii="Times New Roman" w:hAnsi="Times New Roman" w:cs="Times New Roman"/>
                <w:color w:val="000000" w:themeColor="text1"/>
                <w14:textFill>
                  <w14:solidFill>
                    <w14:schemeClr w14:val="tx1"/>
                  </w14:solidFill>
                </w14:textFill>
              </w:rPr>
              <w:fldChar w:fldCharType="end"/>
            </w:r>
            <w:r>
              <w:rPr>
                <w:rStyle w:val="159"/>
                <w:rFonts w:hint="default" w:ascii="Times New Roman" w:hAnsi="Times New Roman" w:eastAsia="宋体" w:cs="Times New Roman"/>
                <w:color w:val="000000" w:themeColor="text1"/>
                <w:lang w:val="en-US" w:eastAsia="zh-CN"/>
                <w14:textFill>
                  <w14:solidFill>
                    <w14:schemeClr w14:val="tx1"/>
                  </w14:solidFill>
                </w14:textFill>
              </w:rPr>
              <w:t>t/a</w:t>
            </w:r>
            <w:r>
              <w:rPr>
                <w:rStyle w:val="158"/>
                <w:rFonts w:hint="default" w:ascii="Times New Roman" w:hAnsi="Times New Roman" w:cs="Times New Roman"/>
                <w:color w:val="000000" w:themeColor="text1"/>
                <w14:textFill>
                  <w14:solidFill>
                    <w14:schemeClr w14:val="tx1"/>
                  </w14:solidFill>
                </w14:textFill>
              </w:rPr>
              <w:t>。</w:t>
            </w:r>
          </w:p>
          <w:p w14:paraId="270E95CA">
            <w:pPr>
              <w:pStyle w:val="146"/>
              <w:ind w:firstLine="480"/>
              <w:rPr>
                <w:rFonts w:hint="default" w:ascii="Times New Roman" w:hAnsi="Times New Roman" w:eastAsia="宋体" w:cs="Times New Roman"/>
                <w:b w:val="0"/>
                <w:bCs w:val="0"/>
                <w:i w:val="0"/>
                <w:iCs w:val="0"/>
                <w:color w:val="000000" w:themeColor="text1"/>
                <w:sz w:val="24"/>
                <w:szCs w:val="24"/>
                <w:lang w:val="en-US" w:eastAsia="zh-CN"/>
                <w14:textFill>
                  <w14:solidFill>
                    <w14:schemeClr w14:val="tx1"/>
                  </w14:solidFill>
                </w14:textFill>
              </w:rPr>
            </w:pPr>
            <w:r>
              <w:rPr>
                <w:rStyle w:val="158"/>
                <w:rFonts w:hint="default" w:ascii="Times New Roman" w:hAnsi="Times New Roman" w:cs="Times New Roman"/>
                <w:color w:val="000000" w:themeColor="text1"/>
                <w14:textFill>
                  <w14:solidFill>
                    <w14:schemeClr w14:val="tx1"/>
                  </w14:solidFill>
                </w14:textFill>
              </w:rPr>
              <w:t>纯水制备含盐废水</w:t>
            </w:r>
            <w:r>
              <w:rPr>
                <w:rStyle w:val="159"/>
                <w:rFonts w:hint="default" w:ascii="Times New Roman" w:hAnsi="Times New Roman" w:eastAsia="宋体" w:cs="Times New Roman"/>
                <w:color w:val="000000" w:themeColor="text1"/>
                <w:lang w:val="en-US" w:eastAsia="zh-CN"/>
                <w14:textFill>
                  <w14:solidFill>
                    <w14:schemeClr w14:val="tx1"/>
                  </w14:solidFill>
                </w14:textFill>
              </w:rPr>
              <w:t>402</w:t>
            </w:r>
            <w:r>
              <w:rPr>
                <w:rStyle w:val="159"/>
                <w:rFonts w:hint="default" w:ascii="Times New Roman" w:hAnsi="Times New Roman" w:cs="Times New Roman"/>
                <w:color w:val="000000" w:themeColor="text1"/>
                <w14:textFill>
                  <w14:solidFill>
                    <w14:schemeClr w14:val="tx1"/>
                  </w14:solidFill>
                </w14:textFill>
              </w:rPr>
              <w:t>t/a</w:t>
            </w:r>
            <w:r>
              <w:rPr>
                <w:rStyle w:val="159"/>
                <w:rFonts w:hint="default" w:ascii="Times New Roman" w:hAnsi="Times New Roman" w:eastAsia="宋体" w:cs="Times New Roman"/>
                <w:color w:val="000000" w:themeColor="text1"/>
                <w:lang w:val="en-US" w:eastAsia="zh-CN"/>
                <w14:textFill>
                  <w14:solidFill>
                    <w14:schemeClr w14:val="tx1"/>
                  </w14:solidFill>
                </w14:textFill>
              </w:rPr>
              <w:t>不纳入</w:t>
            </w:r>
            <w:r>
              <w:rPr>
                <w:rFonts w:hint="default" w:ascii="Times New Roman" w:hAnsi="Times New Roman" w:eastAsia="宋体" w:cs="Times New Roman"/>
                <w:b w:val="0"/>
                <w:bCs w:val="0"/>
                <w:i w:val="0"/>
                <w:iCs w:val="0"/>
                <w:color w:val="000000" w:themeColor="text1"/>
                <w:sz w:val="24"/>
                <w:szCs w:val="24"/>
                <w:lang w:val="en-US" w:eastAsia="zh-CN"/>
                <w14:textFill>
                  <w14:solidFill>
                    <w14:schemeClr w14:val="tx1"/>
                  </w14:solidFill>
                </w14:textFill>
              </w:rPr>
              <w:t>生产废水，直接排入</w:t>
            </w:r>
            <w:r>
              <w:rPr>
                <w:rFonts w:hint="eastAsia" w:cs="Times New Roman"/>
                <w:b w:val="0"/>
                <w:bCs w:val="0"/>
                <w:i w:val="0"/>
                <w:iCs w:val="0"/>
                <w:color w:val="000000" w:themeColor="text1"/>
                <w:sz w:val="24"/>
                <w:szCs w:val="24"/>
                <w:lang w:val="en-US" w:eastAsia="zh-CN"/>
                <w14:textFill>
                  <w14:solidFill>
                    <w14:schemeClr w14:val="tx1"/>
                  </w14:solidFill>
                </w14:textFill>
              </w:rPr>
              <w:t>污水</w:t>
            </w:r>
            <w:r>
              <w:rPr>
                <w:rFonts w:hint="default" w:ascii="Times New Roman" w:hAnsi="Times New Roman" w:eastAsia="宋体" w:cs="Times New Roman"/>
                <w:b w:val="0"/>
                <w:bCs w:val="0"/>
                <w:i w:val="0"/>
                <w:iCs w:val="0"/>
                <w:color w:val="000000" w:themeColor="text1"/>
                <w:sz w:val="24"/>
                <w:szCs w:val="24"/>
                <w:lang w:val="en-US" w:eastAsia="zh-CN"/>
                <w14:textFill>
                  <w14:solidFill>
                    <w14:schemeClr w14:val="tx1"/>
                  </w14:solidFill>
                </w14:textFill>
              </w:rPr>
              <w:t>管网。</w:t>
            </w:r>
          </w:p>
          <w:p w14:paraId="488BBEB8">
            <w:pPr>
              <w:pStyle w:val="146"/>
              <w:ind w:firstLine="480"/>
              <w:rPr>
                <w:rStyle w:val="158"/>
                <w:color w:val="000000" w:themeColor="text1"/>
                <w14:textFill>
                  <w14:solidFill>
                    <w14:schemeClr w14:val="tx1"/>
                  </w14:solidFill>
                </w14:textFill>
              </w:rPr>
            </w:pPr>
            <w:r>
              <w:rPr>
                <w:rFonts w:hint="default" w:ascii="Times New Roman" w:hAnsi="Times New Roman" w:eastAsia="宋体" w:cs="Times New Roman"/>
                <w:b w:val="0"/>
                <w:bCs w:val="0"/>
                <w:i w:val="0"/>
                <w:iCs w:val="0"/>
                <w:color w:val="000000" w:themeColor="text1"/>
                <w:sz w:val="24"/>
                <w:szCs w:val="24"/>
                <w:lang w:val="en-US" w:eastAsia="zh-CN"/>
                <w14:textFill>
                  <w14:solidFill>
                    <w14:schemeClr w14:val="tx1"/>
                  </w14:solidFill>
                </w14:textFill>
              </w:rPr>
              <w:t>生活污水540</w:t>
            </w:r>
            <w:r>
              <w:rPr>
                <w:rStyle w:val="159"/>
                <w:rFonts w:hint="default" w:ascii="Times New Roman" w:hAnsi="Times New Roman" w:eastAsia="宋体" w:cs="Times New Roman"/>
                <w:color w:val="000000" w:themeColor="text1"/>
                <w:lang w:val="en-US" w:eastAsia="zh-CN"/>
                <w14:textFill>
                  <w14:solidFill>
                    <w14:schemeClr w14:val="tx1"/>
                  </w14:solidFill>
                </w14:textFill>
              </w:rPr>
              <w:t>t</w:t>
            </w:r>
            <w:r>
              <w:rPr>
                <w:rStyle w:val="159"/>
                <w:rFonts w:hint="default" w:ascii="Times New Roman" w:hAnsi="Times New Roman" w:cs="Times New Roman"/>
                <w:color w:val="000000" w:themeColor="text1"/>
                <w14:textFill>
                  <w14:solidFill>
                    <w14:schemeClr w14:val="tx1"/>
                  </w14:solidFill>
                </w14:textFill>
              </w:rPr>
              <w:t>/a</w:t>
            </w:r>
            <w:r>
              <w:rPr>
                <w:rStyle w:val="159"/>
                <w:rFonts w:hint="default" w:ascii="Times New Roman" w:hAnsi="Times New Roman" w:eastAsia="宋体" w:cs="Times New Roman"/>
                <w:color w:val="000000" w:themeColor="text1"/>
                <w:lang w:eastAsia="zh-CN"/>
                <w14:textFill>
                  <w14:solidFill>
                    <w14:schemeClr w14:val="tx1"/>
                  </w14:solidFill>
                </w14:textFill>
              </w:rPr>
              <w:t>。</w:t>
            </w:r>
          </w:p>
          <w:p w14:paraId="1B70EA37">
            <w:pPr>
              <w:pStyle w:val="146"/>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w:t>
            </w:r>
            <w:r>
              <w:rPr>
                <w:rFonts w:hint="eastAsia" w:cs="Times New Roman"/>
                <w:color w:val="000000" w:themeColor="text1"/>
                <w:highlight w:val="none"/>
                <w:lang w:val="en-US" w:eastAsia="zh-CN"/>
                <w14:textFill>
                  <w14:solidFill>
                    <w14:schemeClr w14:val="tx1"/>
                  </w14:solidFill>
                </w14:textFill>
              </w:rPr>
              <w:t>企业近年来自行监测结果</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，现有工程</w:t>
            </w:r>
            <w:r>
              <w:rPr>
                <w:rFonts w:hint="eastAsia" w:cs="Times New Roman"/>
                <w:color w:val="000000" w:themeColor="text1"/>
                <w:highlight w:val="none"/>
                <w:lang w:val="en-US" w:eastAsia="zh-CN"/>
                <w14:textFill>
                  <w14:solidFill>
                    <w14:schemeClr w14:val="tx1"/>
                  </w14:solidFill>
                </w14:textFill>
              </w:rPr>
              <w:t>废水排放情况如下表所示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4B74F0AA">
            <w:pPr>
              <w:widowControl/>
              <w:spacing w:before="120" w:beforeLines="50" w:line="240" w:lineRule="auto"/>
              <w:jc w:val="cente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表</w:t>
            </w:r>
            <w:r>
              <w:rPr>
                <w:rFonts w:hint="eastAsia" w:cs="Times New Roman"/>
                <w:b/>
                <w:bCs/>
                <w:color w:val="000000" w:themeColor="text1"/>
                <w:kern w:val="0"/>
                <w:sz w:val="24"/>
                <w:lang w:val="en-US" w:eastAsia="zh-CN" w:bidi="ar"/>
                <w14:textFill>
                  <w14:solidFill>
                    <w14:schemeClr w14:val="tx1"/>
                  </w14:solidFill>
                </w14:textFill>
              </w:rPr>
              <w:t>2.5-1</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术立公司现有工程</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废水</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自行</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监测情况一览表</w:t>
            </w:r>
          </w:p>
          <w:p w14:paraId="31E590AB">
            <w:pPr>
              <w:pStyle w:val="146"/>
              <w:keepNext w:val="0"/>
              <w:keepLines w:val="0"/>
              <w:pageBreakBefore w:val="0"/>
              <w:widowControl w:val="0"/>
              <w:kinsoku/>
              <w:wordWrap/>
              <w:overflowPunct/>
              <w:topLinePunct w:val="0"/>
              <w:autoSpaceDE/>
              <w:autoSpaceDN/>
              <w:bidi w:val="0"/>
              <w:adjustRightInd/>
              <w:snapToGrid/>
              <w:spacing w:before="157" w:beforeLines="50"/>
              <w:ind w:firstLine="480"/>
              <w:jc w:val="center"/>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47A8D9C8">
            <w:pPr>
              <w:pStyle w:val="146"/>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现有工程废水经厂区废水处理设施处理后</w:t>
            </w:r>
            <w:r>
              <w:rPr>
                <w:rFonts w:hint="eastAsia" w:cs="Times New Roman"/>
                <w:color w:val="000000" w:themeColor="text1"/>
                <w:sz w:val="24"/>
                <w:szCs w:val="24"/>
                <w:highlight w:val="none"/>
                <w:lang w:val="en-US" w:eastAsia="zh-CN"/>
                <w14:textFill>
                  <w14:solidFill>
                    <w14:schemeClr w14:val="tx1"/>
                  </w14:solidFill>
                </w14:textFill>
              </w:rPr>
              <w:t>各类污染物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符合《污水综合排放标准》(GB8978-1996)表4</w:t>
            </w:r>
            <w:r>
              <w:rPr>
                <w:rFonts w:hint="eastAsia" w:cs="Times New Roman"/>
                <w:color w:val="000000" w:themeColor="text1"/>
                <w:sz w:val="24"/>
                <w:szCs w:val="24"/>
                <w:highlight w:val="none"/>
                <w:lang w:val="en-US" w:eastAsia="zh-CN"/>
                <w14:textFill>
                  <w14:solidFill>
                    <w14:schemeClr w14:val="tx1"/>
                  </w14:solidFill>
                </w14:textFill>
              </w:rPr>
              <w:t>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级标准限值要求(即：</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pH6~9</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(无量纲)</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COD</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0mg/L</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BOD</w:t>
            </w:r>
            <w:r>
              <w:rPr>
                <w:rFonts w:hint="default" w:ascii="Times New Roman" w:hAnsi="Times New Roman" w:eastAsia="宋体" w:cs="Times New Roman"/>
                <w:color w:val="000000" w:themeColor="text1"/>
                <w:spacing w:val="0"/>
                <w:sz w:val="24"/>
                <w:szCs w:val="24"/>
                <w:highlight w:val="none"/>
                <w:vertAlign w:val="subscript"/>
                <w14:textFill>
                  <w14:solidFill>
                    <w14:schemeClr w14:val="tx1"/>
                  </w14:solidFill>
                </w14:textFill>
              </w:rPr>
              <w:t>5</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0mg/L</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SS</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0mg/L</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石油类</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mg/L</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LAS</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mg/L</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NH</w:t>
            </w:r>
            <w:r>
              <w:rPr>
                <w:rFonts w:hint="default" w:ascii="Times New Roman" w:hAnsi="Times New Roman" w:eastAsia="宋体" w:cs="Times New Roman"/>
                <w:color w:val="000000" w:themeColor="text1"/>
                <w:spacing w:val="0"/>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-N≤</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45</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mg/L</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总磷（以P计）</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mg/L</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)，符合青口新区污水处理厂的进水水质要求，对周边水环境影响较小。</w:t>
            </w:r>
          </w:p>
          <w:p w14:paraId="480E9E38">
            <w:pPr>
              <w:adjustRightInd w:val="0"/>
              <w:snapToGrid w:val="0"/>
              <w:spacing w:line="360" w:lineRule="auto"/>
              <w:rPr>
                <w:rFonts w:hint="eastAsia" w:ascii="Times New Roman" w:hAnsi="Times New Roman" w:eastAsia="宋体" w:cs="Times New Roman"/>
                <w:b/>
                <w:bCs/>
                <w:color w:val="000000" w:themeColor="text1"/>
                <w:kern w:val="0"/>
                <w:sz w:val="24"/>
                <w:lang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4"/>
                <w14:textFill>
                  <w14:solidFill>
                    <w14:schemeClr w14:val="tx1"/>
                  </w14:solidFill>
                </w14:textFill>
              </w:rPr>
              <w:t>.</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 w:val="24"/>
                <w14:textFill>
                  <w14:solidFill>
                    <w14:schemeClr w14:val="tx1"/>
                  </w14:solidFill>
                </w14:textFill>
              </w:rPr>
              <w:t>.</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2废气</w:t>
            </w:r>
          </w:p>
          <w:p w14:paraId="357F4863">
            <w:pPr>
              <w:pStyle w:val="146"/>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现有工程电泳涂装生产线中电泳槽涂料挥发的有机废气、电泳固化炉废气和喷漆涂装生产线中调漆房产生的有机废气、喷漆室水帘除漆雾系统产生的有机废气、固化炉废气经收集后统一进入“喷淋塔+UV光氧净化+活性炭吸附”装置进行处理，处理后的废气由1根22m高排气筒(2#)排放。</w:t>
            </w:r>
          </w:p>
          <w:p w14:paraId="6A0F5A73">
            <w:pPr>
              <w:pStyle w:val="146"/>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喷漆涂装生产线中打磨工序产生的金属粉尘，经布袋除尘器处理后无组织排放；除尘台产生的粉尘颗粒物(G3)，经除尘台的吸式收集器收集后通过活性炭绵进行处理，处理后的颗粒物由1根20m高排气筒(1#)直接向大气排放</w:t>
            </w:r>
            <w:r>
              <w:rPr>
                <w:rFonts w:hint="eastAsia" w:cs="Times New Roman"/>
                <w:color w:val="000000" w:themeColor="text1"/>
                <w:highlight w:val="none"/>
                <w:lang w:val="en-US" w:eastAsia="zh-CN"/>
                <w14:textFill>
                  <w14:solidFill>
                    <w14:schemeClr w14:val="tx1"/>
                  </w14:solidFill>
                </w14:textFill>
              </w:rPr>
              <w:t>（现状已无打磨工序，设备停用）</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134CA24C">
            <w:pPr>
              <w:pStyle w:val="146"/>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喷漆预处理需对工件进行打磨，打磨产生的颗粒物经布袋除尘器处理后，直接向大气环境排放。</w:t>
            </w:r>
          </w:p>
          <w:p w14:paraId="392985AA">
            <w:pPr>
              <w:pStyle w:val="146"/>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w:t>
            </w:r>
            <w:r>
              <w:rPr>
                <w:rFonts w:hint="eastAsia" w:cs="Times New Roman"/>
                <w:color w:val="000000" w:themeColor="text1"/>
                <w:highlight w:val="none"/>
                <w:lang w:val="en-US" w:eastAsia="zh-CN"/>
                <w14:textFill>
                  <w14:solidFill>
                    <w14:schemeClr w14:val="tx1"/>
                  </w14:solidFill>
                </w14:textFill>
              </w:rPr>
              <w:t>企业近年来自行监测结果</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，现有工程</w:t>
            </w:r>
            <w:r>
              <w:rPr>
                <w:rFonts w:hint="eastAsia" w:cs="Times New Roman"/>
                <w:color w:val="000000" w:themeColor="text1"/>
                <w:highlight w:val="none"/>
                <w:lang w:val="en-US" w:eastAsia="zh-CN"/>
                <w14:textFill>
                  <w14:solidFill>
                    <w14:schemeClr w14:val="tx1"/>
                  </w14:solidFill>
                </w14:textFill>
              </w:rPr>
              <w:t>废气排放情况如下表所示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76A82655">
            <w:pPr>
              <w:widowControl/>
              <w:spacing w:before="120" w:beforeLines="50" w:line="240" w:lineRule="auto"/>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表</w:t>
            </w:r>
            <w:r>
              <w:rPr>
                <w:rFonts w:hint="eastAsia" w:cs="Times New Roman"/>
                <w:b/>
                <w:bCs/>
                <w:color w:val="000000" w:themeColor="text1"/>
                <w:kern w:val="0"/>
                <w:sz w:val="24"/>
                <w:lang w:val="en-US" w:eastAsia="zh-CN" w:bidi="ar"/>
                <w14:textFill>
                  <w14:solidFill>
                    <w14:schemeClr w14:val="tx1"/>
                  </w14:solidFill>
                </w14:textFill>
              </w:rPr>
              <w:t>2.5-2</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术立公司现有工程有组织废气自行</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监测情况一览表</w:t>
            </w:r>
          </w:p>
          <w:p w14:paraId="23A01ECD">
            <w:pPr>
              <w:pStyle w:val="146"/>
              <w:keepNext w:val="0"/>
              <w:keepLines w:val="0"/>
              <w:pageBreakBefore w:val="0"/>
              <w:widowControl w:val="0"/>
              <w:kinsoku/>
              <w:wordWrap/>
              <w:overflowPunct/>
              <w:topLinePunct w:val="0"/>
              <w:autoSpaceDE/>
              <w:autoSpaceDN/>
              <w:bidi w:val="0"/>
              <w:adjustRightInd/>
              <w:snapToGrid/>
              <w:spacing w:before="157" w:beforeLines="50"/>
              <w:ind w:firstLine="480"/>
              <w:jc w:val="center"/>
              <w:textAlignment w:val="auto"/>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65CBEC3B">
            <w:pPr>
              <w:pStyle w:val="146"/>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w:t>
            </w:r>
            <w:r>
              <w:rPr>
                <w:rFonts w:hint="eastAsia" w:cs="Times New Roman"/>
                <w:color w:val="000000" w:themeColor="text1"/>
                <w:highlight w:val="none"/>
                <w:lang w:val="en-US" w:eastAsia="zh-CN"/>
                <w14:textFill>
                  <w14:solidFill>
                    <w14:schemeClr w14:val="tx1"/>
                  </w14:solidFill>
                </w14:textFill>
              </w:rPr>
              <w:t>自行</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监测结果，现有工程</w:t>
            </w:r>
            <w:r>
              <w:rPr>
                <w:rFonts w:hint="eastAsia" w:cs="Times New Roman"/>
                <w:color w:val="000000" w:themeColor="text1"/>
                <w:highlight w:val="none"/>
                <w:lang w:val="en-US" w:eastAsia="zh-CN"/>
                <w14:textFill>
                  <w14:solidFill>
                    <w14:schemeClr w14:val="tx1"/>
                  </w14:solidFill>
                </w14:textFill>
              </w:rPr>
              <w:t>有组织废气</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颗粒物、二氧化硫、氮氧化物和烟气黑度的有组织排放浓度均符合《锅炉大气污染物排放标准》(GB13271-2014)中表3的燃气锅炉标准限值(即：SO</w:t>
            </w:r>
            <w:r>
              <w:rPr>
                <w:rFonts w:hint="eastAsia" w:ascii="Times New Roman" w:hAnsi="Times New Roman" w:eastAsia="宋体" w:cs="Times New Roman"/>
                <w:color w:val="000000" w:themeColor="text1"/>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最高允许排放浓度为50 mg/m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、氮氧化物最高允许排放浓度为150 mg/m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、颗粒物最高允许排放浓度为20 mg/m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、烟气黑度≤1级)</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非甲烷总烃、</w:t>
            </w:r>
            <w:r>
              <w:rPr>
                <w:rFonts w:hint="eastAsia" w:cs="Times New Roman"/>
                <w:color w:val="000000" w:themeColor="text1"/>
                <w:highlight w:val="none"/>
                <w:lang w:val="en-US" w:eastAsia="zh-CN"/>
                <w14:textFill>
                  <w14:solidFill>
                    <w14:schemeClr w14:val="tx1"/>
                  </w14:solidFill>
                </w14:textFill>
              </w:rPr>
              <w:t>甲苯、</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二甲苯有组织排放浓度和排放速率均符合《工业涂装工序挥发性有机物排放标准》(DB35/1783-2018)表1中挥发性有机物排放限值(即：非甲烷总烃最高允许排放浓度为60 mg/m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，最高允许排放速率为</w:t>
            </w:r>
            <w:r>
              <w:rPr>
                <w:rFonts w:hint="eastAsia" w:cs="Times New Roman"/>
                <w:color w:val="000000" w:themeColor="text1"/>
                <w:highlight w:val="none"/>
                <w:lang w:val="en-US" w:eastAsia="zh-CN"/>
                <w14:textFill>
                  <w14:solidFill>
                    <w14:schemeClr w14:val="tx1"/>
                  </w14:solidFill>
                </w14:textFill>
              </w:rPr>
              <w:t>7.18</w:t>
            </w:r>
            <w:r>
              <w:rPr>
                <w:rFonts w:hint="eastAsia" w:ascii="Times New Roman" w:hAnsi="Times New Roman" w:eastAsia="宋体" w:cs="Times New Roman"/>
                <w:color w:val="000000" w:themeColor="text1"/>
                <w:highlight w:val="none"/>
                <w:lang w:val="en-US" w:eastAsia="zh-CN"/>
                <w14:textFill>
                  <w14:solidFill>
                    <w14:schemeClr w14:val="tx1"/>
                  </w14:solidFill>
                </w14:textFill>
              </w:rPr>
              <w:t>kg/h；甲苯最高允许排放浓度为5mg/m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，最高允许排放速率为1.6 kg/h；二甲苯最高允许排放浓度为15mg/m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，最高允许排放速率为1.6kg/h)</w:t>
            </w:r>
            <w:r>
              <w:rPr>
                <w:rFonts w:hint="eastAsia" w:cs="Times New Roman"/>
                <w:color w:val="000000" w:themeColor="text1"/>
                <w:highlight w:val="none"/>
                <w:lang w:val="en-US" w:eastAsia="zh-CN"/>
                <w14:textFill>
                  <w14:solidFill>
                    <w14:schemeClr w14:val="tx1"/>
                  </w14:solidFill>
                </w14:textFill>
              </w:rPr>
              <w:t>。</w:t>
            </w:r>
          </w:p>
          <w:p w14:paraId="1B8D7A72">
            <w:pPr>
              <w:spacing w:before="120" w:beforeLines="50"/>
              <w:jc w:val="center"/>
              <w:rPr>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表</w:t>
            </w:r>
            <w:r>
              <w:rPr>
                <w:rFonts w:hint="eastAsia" w:cs="Times New Roman"/>
                <w:b/>
                <w:bCs/>
                <w:color w:val="000000" w:themeColor="text1"/>
                <w:kern w:val="0"/>
                <w:sz w:val="24"/>
                <w:lang w:val="en-US" w:eastAsia="zh-CN" w:bidi="ar"/>
                <w14:textFill>
                  <w14:solidFill>
                    <w14:schemeClr w14:val="tx1"/>
                  </w14:solidFill>
                </w14:textFill>
              </w:rPr>
              <w:t>2.5-3</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术立公司现有工程无组织废气自行</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监测情况一览表</w:t>
            </w:r>
          </w:p>
          <w:p w14:paraId="4854A788">
            <w:pPr>
              <w:pStyle w:val="146"/>
              <w:keepNext w:val="0"/>
              <w:keepLines w:val="0"/>
              <w:pageBreakBefore w:val="0"/>
              <w:widowControl w:val="0"/>
              <w:kinsoku/>
              <w:wordWrap/>
              <w:overflowPunct/>
              <w:topLinePunct w:val="0"/>
              <w:autoSpaceDE/>
              <w:autoSpaceDN/>
              <w:bidi w:val="0"/>
              <w:adjustRightInd/>
              <w:snapToGrid/>
              <w:spacing w:before="157" w:beforeLines="50"/>
              <w:ind w:firstLine="480"/>
              <w:jc w:val="center"/>
              <w:textAlignment w:val="auto"/>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388A35D9">
            <w:pPr>
              <w:pStyle w:val="146"/>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w:t>
            </w:r>
            <w:r>
              <w:rPr>
                <w:rFonts w:hint="eastAsia" w:cs="Times New Roman"/>
                <w:color w:val="000000" w:themeColor="text1"/>
                <w:highlight w:val="none"/>
                <w:lang w:val="en-US" w:eastAsia="zh-CN"/>
                <w14:textFill>
                  <w14:solidFill>
                    <w14:schemeClr w14:val="tx1"/>
                  </w14:solidFill>
                </w14:textFill>
              </w:rPr>
              <w:t>自行</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监测结果，现有工程颗粒物无组织排放浓度符合《大气污染物综合排放标准》(GB16297-1996)中表2企业边界排放浓度限值(即：企业边界颗粒物≤1.0 mg/m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甲苯、</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二甲苯、非甲烷总烃无组织排放浓度均符合《工业涂装工序挥发性有机物排放标准》(DB35/1783-2018)表4企业边界排放浓度限值(即：企业边界甲苯≤0.6mgm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，二甲苯≤0.2mgm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，企业边界非甲烷总烃≤2.0mg/m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14:paraId="671ED09A">
            <w:pPr>
              <w:adjustRightInd w:val="0"/>
              <w:snapToGrid w:val="0"/>
              <w:spacing w:line="360" w:lineRule="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4"/>
                <w14:textFill>
                  <w14:solidFill>
                    <w14:schemeClr w14:val="tx1"/>
                  </w14:solidFill>
                </w14:textFill>
              </w:rPr>
              <w:t>.</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 w:val="24"/>
                <w14:textFill>
                  <w14:solidFill>
                    <w14:schemeClr w14:val="tx1"/>
                  </w14:solidFill>
                </w14:textFill>
              </w:rPr>
              <w:t>.</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3噪声</w:t>
            </w:r>
          </w:p>
          <w:p w14:paraId="63001F79">
            <w:pPr>
              <w:pStyle w:val="146"/>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现有工程夜间不进行生产，噪声主要为机械设备运行噪声。根据</w:t>
            </w:r>
            <w:r>
              <w:rPr>
                <w:rFonts w:hint="eastAsia" w:cs="Times New Roman"/>
                <w:color w:val="000000" w:themeColor="text1"/>
                <w:highlight w:val="none"/>
                <w:lang w:val="en-US" w:eastAsia="zh-CN"/>
                <w14:textFill>
                  <w14:solidFill>
                    <w14:schemeClr w14:val="tx1"/>
                  </w14:solidFill>
                </w14:textFill>
              </w:rPr>
              <w:t>自行</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监测结果，现有工程厂界昼间噪声监测结果符合《工业企业厂界环境噪声排放标准》(GB12348-2008)3类排放限值。</w:t>
            </w:r>
          </w:p>
          <w:p w14:paraId="1F3947F0">
            <w:pPr>
              <w:spacing w:before="120" w:beforeLines="50"/>
              <w:jc w:val="cente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表</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2.5-4</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 xml:space="preserve">  现有工程厂界噪声监测结果</w:t>
            </w:r>
          </w:p>
          <w:p w14:paraId="6E2CFA89">
            <w:pPr>
              <w:adjustRightInd w:val="0"/>
              <w:snapToGrid w:val="0"/>
              <w:spacing w:line="360" w:lineRule="auto"/>
              <w:jc w:val="cente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451DDDDC">
            <w:pPr>
              <w:adjustRightInd w:val="0"/>
              <w:snapToGrid w:val="0"/>
              <w:spacing w:line="360" w:lineRule="auto"/>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4"/>
                <w14:textFill>
                  <w14:solidFill>
                    <w14:schemeClr w14:val="tx1"/>
                  </w14:solidFill>
                </w14:textFill>
              </w:rPr>
              <w:t>.</w:t>
            </w:r>
            <w:r>
              <w:rPr>
                <w:rFonts w:hint="eastAsia" w:ascii="Times New Roman" w:hAnsi="Times New Roman" w:eastAsia="宋体" w:cs="Times New Roman"/>
                <w:b/>
                <w:bCs/>
                <w:color w:val="000000" w:themeColor="text1"/>
                <w:kern w:val="0"/>
                <w:sz w:val="24"/>
                <w:lang w:val="en-US" w:eastAsia="zh-CN"/>
                <w14:textFill>
                  <w14:solidFill>
                    <w14:schemeClr w14:val="tx1"/>
                  </w14:solidFill>
                </w14:textFill>
              </w:rPr>
              <w:t>5.4固体废物</w:t>
            </w:r>
          </w:p>
          <w:p w14:paraId="6217FF3D">
            <w:pPr>
              <w:pStyle w:val="146"/>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现有工程生产期间产生的固体废物包括一般工业固体废物(金属粉尘)、危险废物(废油漆桶、天那水桶、其他原料空桶、浮油、预脱脂槽渣、主脱脂槽渣、水洗过滤的槽渣、表调槽渣、磷化槽渣、电泳沉渣、喷漆水帘柜和喷淋塔定期清理出的漆渣、废水处理设施产生的污泥、定期更换的废活性炭、废机油)和生活垃圾。营运期产生的一般工业固体废物：金属粉尘收集后，定期外售综合利用。危险废物暂存于危废间，定期委托</w:t>
            </w:r>
            <w:r>
              <w:rPr>
                <w:rFonts w:hint="eastAsia" w:cs="Times New Roman"/>
                <w:color w:val="000000" w:themeColor="text1"/>
                <w:highlight w:val="none"/>
                <w:lang w:val="en-US" w:eastAsia="zh-CN"/>
                <w14:textFill>
                  <w14:solidFill>
                    <w14:schemeClr w14:val="tx1"/>
                  </w14:solidFill>
                </w14:textFill>
              </w:rPr>
              <w:t>有资质单位</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进行安全处置。生活垃圾委托环卫部门及时清运。</w:t>
            </w:r>
          </w:p>
          <w:p w14:paraId="3CAF8CB8">
            <w:pPr>
              <w:widowControl/>
              <w:spacing w:before="120" w:beforeLines="50" w:line="240" w:lineRule="auto"/>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6CEC3021">
            <w:pPr>
              <w:widowControl/>
              <w:spacing w:before="120" w:beforeLines="50" w:line="240" w:lineRule="auto"/>
              <w:jc w:val="cente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图2.5-1 现有工程污水处理设施现状照片</w:t>
            </w:r>
          </w:p>
          <w:p w14:paraId="34EB7289">
            <w:pPr>
              <w:widowControl/>
              <w:spacing w:before="120" w:beforeLines="50" w:line="240" w:lineRule="auto"/>
              <w:jc w:val="cente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350978CE">
            <w:pPr>
              <w:widowControl/>
              <w:spacing w:before="120" w:beforeLines="50" w:line="240" w:lineRule="auto"/>
              <w:jc w:val="cente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图2.5-2 现有工程其他环保设施现状照片</w:t>
            </w:r>
          </w:p>
          <w:p w14:paraId="75E6D68E">
            <w:pPr>
              <w:spacing w:before="120" w:beforeLines="50" w:line="360" w:lineRule="auto"/>
              <w:outlineLvl w:val="1"/>
              <w:rPr>
                <w:rFonts w:hint="eastAsia" w:ascii="Times New Roman" w:hAnsi="Times New Roman" w:eastAsia="宋体"/>
                <w:b/>
                <w:color w:val="000000" w:themeColor="text1"/>
                <w:sz w:val="30"/>
                <w:szCs w:val="30"/>
                <w:highlight w:val="none"/>
                <w14:textFill>
                  <w14:solidFill>
                    <w14:schemeClr w14:val="tx1"/>
                  </w14:solidFill>
                </w14:textFill>
              </w:rPr>
            </w:pPr>
            <w:r>
              <w:rPr>
                <w:rFonts w:hint="eastAsia" w:ascii="Times New Roman" w:hAnsi="Times New Roman" w:eastAsia="宋体"/>
                <w:b/>
                <w:color w:val="000000" w:themeColor="text1"/>
                <w:sz w:val="30"/>
                <w:szCs w:val="30"/>
                <w:highlight w:val="none"/>
                <w:lang w:val="en-US" w:eastAsia="zh-CN"/>
                <w14:textFill>
                  <w14:solidFill>
                    <w14:schemeClr w14:val="tx1"/>
                  </w14:solidFill>
                </w14:textFill>
              </w:rPr>
              <w:t>2.6现有工程污染物排放统计</w:t>
            </w:r>
          </w:p>
          <w:p w14:paraId="674892F5">
            <w:pPr>
              <w:pStyle w:val="146"/>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依据</w:t>
            </w:r>
            <w:r>
              <w:rPr>
                <w:rFonts w:hint="eastAsia" w:cs="Times New Roman"/>
                <w:color w:val="000000" w:themeColor="text1"/>
                <w:highlight w:val="none"/>
                <w:lang w:val="en-US" w:eastAsia="zh-CN"/>
                <w14:textFill>
                  <w14:solidFill>
                    <w14:schemeClr w14:val="tx1"/>
                  </w14:solidFill>
                </w14:textFill>
              </w:rPr>
              <w:t>自行监测结果</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，现有项目废水、废气、固体废物排放量统计详见</w: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highlight w:val="none"/>
                <w:lang w:val="en-US" w:eastAsia="zh-CN"/>
                <w14:textFill>
                  <w14:solidFill>
                    <w14:schemeClr w14:val="tx1"/>
                  </w14:solidFill>
                </w14:textFill>
              </w:rPr>
              <w:instrText xml:space="preserve"> REF _Ref12646 \n \h </w:instrTex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highlight w:val="none"/>
                <w:lang w:val="en-US" w:eastAsia="zh-CN"/>
                <w14:textFill>
                  <w14:solidFill>
                    <w14:schemeClr w14:val="tx1"/>
                  </w14:solidFill>
                </w14:textFill>
              </w:rPr>
              <w:t>表2</w:t>
            </w:r>
            <w:r>
              <w:rPr>
                <w:rFonts w:hint="eastAsia" w:ascii="Times New Roman" w:hAnsi="Times New Roman" w:eastAsia="宋体" w:cs="Times New Roman"/>
                <w:color w:val="000000" w:themeColor="text1"/>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p>
          <w:p w14:paraId="29A421E1">
            <w:pPr>
              <w:pStyle w:val="146"/>
              <w:spacing w:line="240" w:lineRule="auto"/>
              <w:ind w:firstLine="480"/>
              <w:jc w:val="center"/>
              <w:rPr>
                <w:rFonts w:hint="eastAsia" w:ascii="Times New Roman" w:hAnsi="Times New Roman" w:eastAsia="宋体" w:cs="Times New Roman"/>
                <w:b/>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highlight w:val="none"/>
                <w:lang w:val="en-US" w:eastAsia="zh-CN"/>
                <w14:textFill>
                  <w14:solidFill>
                    <w14:schemeClr w14:val="tx1"/>
                  </w14:solidFill>
                </w14:textFill>
              </w:rPr>
              <w:t>表2.</w:t>
            </w:r>
            <w:r>
              <w:rPr>
                <w:rFonts w:hint="eastAsia" w:cs="Times New Roman"/>
                <w:b/>
                <w:color w:val="000000" w:themeColor="text1"/>
                <w:highlight w:val="none"/>
                <w:lang w:val="en-US" w:eastAsia="zh-CN"/>
                <w14:textFill>
                  <w14:solidFill>
                    <w14:schemeClr w14:val="tx1"/>
                  </w14:solidFill>
                </w14:textFill>
              </w:rPr>
              <w:t>6</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-1 现有工程污染物排放量统计</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5"/>
              <w:gridCol w:w="661"/>
              <w:gridCol w:w="1869"/>
              <w:gridCol w:w="2424"/>
              <w:gridCol w:w="2429"/>
            </w:tblGrid>
            <w:tr w14:paraId="148B4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41" w:type="pct"/>
                  <w:tcBorders>
                    <w:tl2br w:val="nil"/>
                    <w:tr2bl w:val="nil"/>
                  </w:tcBorders>
                  <w:noWrap w:val="0"/>
                  <w:vAlign w:val="center"/>
                </w:tcPr>
                <w:p w14:paraId="5BA7E810">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污染源</w:t>
                  </w:r>
                </w:p>
              </w:tc>
              <w:tc>
                <w:tcPr>
                  <w:tcW w:w="1528" w:type="pct"/>
                  <w:gridSpan w:val="2"/>
                  <w:tcBorders>
                    <w:tl2br w:val="nil"/>
                    <w:tr2bl w:val="nil"/>
                  </w:tcBorders>
                  <w:noWrap w:val="0"/>
                  <w:vAlign w:val="center"/>
                </w:tcPr>
                <w:p w14:paraId="7F97C690">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污染物</w:t>
                  </w:r>
                </w:p>
              </w:tc>
              <w:tc>
                <w:tcPr>
                  <w:tcW w:w="1464" w:type="pct"/>
                  <w:tcBorders>
                    <w:tl2br w:val="nil"/>
                    <w:tr2bl w:val="nil"/>
                  </w:tcBorders>
                  <w:noWrap w:val="0"/>
                  <w:vAlign w:val="center"/>
                </w:tcPr>
                <w:p w14:paraId="3DA2BF97">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环评</w:t>
                  </w:r>
                  <w:r>
                    <w:rPr>
                      <w:rFonts w:ascii="Times New Roman" w:hAnsi="Times New Roman" w:eastAsia="宋体" w:cs="Times New Roman"/>
                      <w:color w:val="000000" w:themeColor="text1"/>
                      <w:sz w:val="21"/>
                      <w:szCs w:val="21"/>
                      <w14:textFill>
                        <w14:solidFill>
                          <w14:schemeClr w14:val="tx1"/>
                        </w14:solidFill>
                      </w14:textFill>
                    </w:rPr>
                    <w:t>排放量（t/a）</w:t>
                  </w:r>
                </w:p>
              </w:tc>
              <w:tc>
                <w:tcPr>
                  <w:tcW w:w="1465" w:type="pct"/>
                  <w:tcBorders>
                    <w:tl2br w:val="nil"/>
                    <w:tr2bl w:val="nil"/>
                  </w:tcBorders>
                  <w:noWrap w:val="0"/>
                  <w:vAlign w:val="center"/>
                </w:tcPr>
                <w:p w14:paraId="15AA246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实际排放量</w:t>
                  </w:r>
                  <w:r>
                    <w:rPr>
                      <w:rFonts w:ascii="Times New Roman" w:hAnsi="Times New Roman" w:eastAsia="宋体" w:cs="Times New Roman"/>
                      <w:color w:val="000000" w:themeColor="text1"/>
                      <w:sz w:val="21"/>
                      <w:szCs w:val="21"/>
                      <w14:textFill>
                        <w14:solidFill>
                          <w14:schemeClr w14:val="tx1"/>
                        </w14:solidFill>
                      </w14:textFill>
                    </w:rPr>
                    <w:t>（t/a）</w:t>
                  </w:r>
                </w:p>
              </w:tc>
            </w:tr>
            <w:tr w14:paraId="0570D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1" w:type="pct"/>
                  <w:vMerge w:val="restart"/>
                  <w:tcBorders>
                    <w:tl2br w:val="nil"/>
                    <w:tr2bl w:val="nil"/>
                  </w:tcBorders>
                  <w:noWrap w:val="0"/>
                  <w:vAlign w:val="center"/>
                </w:tcPr>
                <w:p w14:paraId="67894327">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废水</w:t>
                  </w:r>
                </w:p>
              </w:tc>
              <w:tc>
                <w:tcPr>
                  <w:tcW w:w="1528" w:type="pct"/>
                  <w:gridSpan w:val="2"/>
                  <w:tcBorders>
                    <w:tl2br w:val="nil"/>
                    <w:tr2bl w:val="nil"/>
                  </w:tcBorders>
                  <w:noWrap w:val="0"/>
                  <w:vAlign w:val="center"/>
                </w:tcPr>
                <w:p w14:paraId="70450AD9">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废水量</w:t>
                  </w:r>
                </w:p>
              </w:tc>
              <w:tc>
                <w:tcPr>
                  <w:tcW w:w="1464" w:type="pct"/>
                  <w:tcBorders>
                    <w:tl2br w:val="nil"/>
                    <w:tr2bl w:val="nil"/>
                  </w:tcBorders>
                  <w:noWrap w:val="0"/>
                  <w:vAlign w:val="center"/>
                </w:tcPr>
                <w:p w14:paraId="1A6DBA95">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1582</w:t>
                  </w:r>
                </w:p>
              </w:tc>
              <w:tc>
                <w:tcPr>
                  <w:tcW w:w="1465" w:type="pct"/>
                  <w:tcBorders>
                    <w:tl2br w:val="nil"/>
                    <w:tr2bl w:val="nil"/>
                  </w:tcBorders>
                  <w:noWrap w:val="0"/>
                  <w:vAlign w:val="center"/>
                </w:tcPr>
                <w:p w14:paraId="66E96E8F">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cs="Times New Roman"/>
                      <w:color w:val="000000" w:themeColor="text1"/>
                      <w:kern w:val="0"/>
                      <w:sz w:val="21"/>
                      <w:szCs w:val="21"/>
                      <w:lang w:eastAsia="zh-CN" w:bidi="ar"/>
                      <w14:textFill>
                        <w14:solidFill>
                          <w14:schemeClr w14:val="tx1"/>
                        </w14:solidFill>
                      </w14:textFill>
                    </w:rPr>
                    <w:fldChar w:fldCharType="begin"/>
                  </w:r>
                  <w:r>
                    <w:rPr>
                      <w:rFonts w:hint="default" w:cs="Times New Roman"/>
                      <w:color w:val="000000" w:themeColor="text1"/>
                      <w:kern w:val="0"/>
                      <w:sz w:val="21"/>
                      <w:szCs w:val="21"/>
                      <w:lang w:eastAsia="zh-CN" w:bidi="ar"/>
                      <w14:textFill>
                        <w14:solidFill>
                          <w14:schemeClr w14:val="tx1"/>
                        </w14:solidFill>
                      </w14:textFill>
                    </w:rPr>
                    <w:instrText xml:space="preserve"> =1068+540 \* MERGEFORMAT </w:instrText>
                  </w:r>
                  <w:r>
                    <w:rPr>
                      <w:rFonts w:hint="default" w:cs="Times New Roman"/>
                      <w:color w:val="000000" w:themeColor="text1"/>
                      <w:kern w:val="0"/>
                      <w:sz w:val="21"/>
                      <w:szCs w:val="21"/>
                      <w:lang w:eastAsia="zh-CN" w:bidi="ar"/>
                      <w14:textFill>
                        <w14:solidFill>
                          <w14:schemeClr w14:val="tx1"/>
                        </w14:solidFill>
                      </w14:textFill>
                    </w:rPr>
                    <w:fldChar w:fldCharType="separate"/>
                  </w:r>
                  <w:r>
                    <w:rPr>
                      <w:rFonts w:hint="default" w:cs="Times New Roman"/>
                      <w:color w:val="000000" w:themeColor="text1"/>
                      <w:kern w:val="0"/>
                      <w:sz w:val="21"/>
                      <w:szCs w:val="21"/>
                      <w:lang w:eastAsia="zh-CN" w:bidi="ar"/>
                      <w14:textFill>
                        <w14:solidFill>
                          <w14:schemeClr w14:val="tx1"/>
                        </w14:solidFill>
                      </w14:textFill>
                    </w:rPr>
                    <w:t>1608</w:t>
                  </w:r>
                  <w:r>
                    <w:rPr>
                      <w:rFonts w:hint="default" w:cs="Times New Roman"/>
                      <w:color w:val="000000" w:themeColor="text1"/>
                      <w:kern w:val="0"/>
                      <w:sz w:val="21"/>
                      <w:szCs w:val="21"/>
                      <w:lang w:eastAsia="zh-CN" w:bidi="ar"/>
                      <w14:textFill>
                        <w14:solidFill>
                          <w14:schemeClr w14:val="tx1"/>
                        </w14:solidFill>
                      </w14:textFill>
                    </w:rPr>
                    <w:fldChar w:fldCharType="end"/>
                  </w:r>
                </w:p>
              </w:tc>
            </w:tr>
            <w:tr w14:paraId="70A142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1" w:type="pct"/>
                  <w:vMerge w:val="continue"/>
                  <w:tcBorders>
                    <w:tl2br w:val="nil"/>
                    <w:tr2bl w:val="nil"/>
                  </w:tcBorders>
                  <w:noWrap w:val="0"/>
                  <w:vAlign w:val="center"/>
                </w:tcPr>
                <w:p w14:paraId="669126B2">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528" w:type="pct"/>
                  <w:gridSpan w:val="2"/>
                  <w:tcBorders>
                    <w:tl2br w:val="nil"/>
                    <w:tr2bl w:val="nil"/>
                  </w:tcBorders>
                  <w:noWrap w:val="0"/>
                  <w:vAlign w:val="center"/>
                </w:tcPr>
                <w:p w14:paraId="40B630ED">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COD</w:t>
                  </w:r>
                </w:p>
              </w:tc>
              <w:tc>
                <w:tcPr>
                  <w:tcW w:w="1464" w:type="pct"/>
                  <w:tcBorders>
                    <w:tl2br w:val="nil"/>
                    <w:tr2bl w:val="nil"/>
                  </w:tcBorders>
                  <w:noWrap w:val="0"/>
                  <w:vAlign w:val="center"/>
                </w:tcPr>
                <w:p w14:paraId="34B0A373">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0.1446</w:t>
                  </w:r>
                </w:p>
              </w:tc>
              <w:tc>
                <w:tcPr>
                  <w:tcW w:w="1465" w:type="pct"/>
                  <w:tcBorders>
                    <w:tl2br w:val="nil"/>
                    <w:tr2bl w:val="nil"/>
                  </w:tcBorders>
                  <w:noWrap w:val="0"/>
                  <w:vAlign w:val="center"/>
                </w:tcPr>
                <w:p w14:paraId="7DA8ECB6">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instrText xml:space="preserve"> =1608*50/1000000 \* MERGEFORMAT </w:instrTex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0.0804</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end"/>
                  </w:r>
                </w:p>
              </w:tc>
            </w:tr>
            <w:tr w14:paraId="1933B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1" w:type="pct"/>
                  <w:vMerge w:val="continue"/>
                  <w:tcBorders>
                    <w:tl2br w:val="nil"/>
                    <w:tr2bl w:val="nil"/>
                  </w:tcBorders>
                  <w:noWrap w:val="0"/>
                  <w:vAlign w:val="center"/>
                </w:tcPr>
                <w:p w14:paraId="240FA986">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528" w:type="pct"/>
                  <w:gridSpan w:val="2"/>
                  <w:tcBorders>
                    <w:tl2br w:val="nil"/>
                    <w:tr2bl w:val="nil"/>
                  </w:tcBorders>
                  <w:noWrap w:val="0"/>
                  <w:vAlign w:val="center"/>
                </w:tcPr>
                <w:p w14:paraId="0FCD2FF4">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NH</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-N</w:t>
                  </w:r>
                </w:p>
              </w:tc>
              <w:tc>
                <w:tcPr>
                  <w:tcW w:w="1464" w:type="pct"/>
                  <w:tcBorders>
                    <w:tl2br w:val="nil"/>
                    <w:tr2bl w:val="nil"/>
                  </w:tcBorders>
                  <w:noWrap w:val="0"/>
                  <w:vAlign w:val="center"/>
                </w:tcPr>
                <w:p w14:paraId="0D303A4A">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0.0090</w:t>
                  </w:r>
                </w:p>
              </w:tc>
              <w:tc>
                <w:tcPr>
                  <w:tcW w:w="1465" w:type="pct"/>
                  <w:tcBorders>
                    <w:tl2br w:val="nil"/>
                    <w:tr2bl w:val="nil"/>
                  </w:tcBorders>
                  <w:shd w:val="clear" w:color="auto" w:fill="auto"/>
                  <w:noWrap w:val="0"/>
                  <w:vAlign w:val="center"/>
                </w:tcPr>
                <w:p w14:paraId="6E48708F">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instrText xml:space="preserve"> =1608*5/1000000 \* MERGEFORMAT </w:instrTex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0.0080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fldChar w:fldCharType="end"/>
                  </w:r>
                </w:p>
              </w:tc>
            </w:tr>
            <w:tr w14:paraId="1DF0C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41" w:type="pct"/>
                  <w:vMerge w:val="restart"/>
                  <w:tcBorders>
                    <w:tl2br w:val="nil"/>
                    <w:tr2bl w:val="nil"/>
                  </w:tcBorders>
                  <w:noWrap w:val="0"/>
                  <w:vAlign w:val="center"/>
                </w:tcPr>
                <w:p w14:paraId="4FF98354">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废气</w:t>
                  </w:r>
                </w:p>
              </w:tc>
              <w:tc>
                <w:tcPr>
                  <w:tcW w:w="399" w:type="pct"/>
                  <w:vMerge w:val="restart"/>
                  <w:tcBorders>
                    <w:tl2br w:val="nil"/>
                    <w:tr2bl w:val="nil"/>
                  </w:tcBorders>
                  <w:noWrap w:val="0"/>
                  <w:vAlign w:val="center"/>
                </w:tcPr>
                <w:p w14:paraId="1488E20C">
                  <w:pPr>
                    <w:adjustRightInd w:val="0"/>
                    <w:snapToGrid w:val="0"/>
                    <w:spacing w:line="240" w:lineRule="auto"/>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有组织</w:t>
                  </w:r>
                </w:p>
              </w:tc>
              <w:tc>
                <w:tcPr>
                  <w:tcW w:w="1128" w:type="pct"/>
                  <w:tcBorders>
                    <w:tl2br w:val="nil"/>
                    <w:tr2bl w:val="nil"/>
                  </w:tcBorders>
                  <w:shd w:val="clear" w:color="auto" w:fill="auto"/>
                  <w:noWrap w:val="0"/>
                  <w:vAlign w:val="center"/>
                </w:tcPr>
                <w:p w14:paraId="2AD280CB">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废气量（万m</w:t>
                  </w:r>
                  <w:r>
                    <w:rPr>
                      <w:rFonts w:hint="eastAsia" w:ascii="Times New Roman" w:hAnsi="Times New Roman" w:eastAsia="宋体"/>
                      <w:color w:val="000000" w:themeColor="text1"/>
                      <w:vertAlign w:val="superscript"/>
                      <w:lang w:val="en-US" w:eastAsia="zh-CN"/>
                      <w14:textFill>
                        <w14:solidFill>
                          <w14:schemeClr w14:val="tx1"/>
                        </w14:solidFill>
                      </w14:textFill>
                    </w:rPr>
                    <w:t>3</w:t>
                  </w:r>
                  <w:r>
                    <w:rPr>
                      <w:rFonts w:hint="eastAsia" w:ascii="Times New Roman" w:hAnsi="Times New Roman" w:eastAsia="宋体"/>
                      <w:color w:val="000000" w:themeColor="text1"/>
                      <w:lang w:val="en-US" w:eastAsia="zh-CN"/>
                      <w14:textFill>
                        <w14:solidFill>
                          <w14:schemeClr w14:val="tx1"/>
                        </w14:solidFill>
                      </w14:textFill>
                    </w:rPr>
                    <w:t>）</w:t>
                  </w:r>
                </w:p>
              </w:tc>
              <w:tc>
                <w:tcPr>
                  <w:tcW w:w="1464" w:type="pct"/>
                  <w:tcBorders>
                    <w:tl2br w:val="nil"/>
                    <w:tr2bl w:val="nil"/>
                  </w:tcBorders>
                  <w:noWrap w:val="0"/>
                  <w:vAlign w:val="center"/>
                </w:tcPr>
                <w:p w14:paraId="691768B7">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1"/>
                      <w:szCs w:val="21"/>
                      <w:lang w:val="en-US" w:eastAsia="zh-CN"/>
                      <w14:textFill>
                        <w14:solidFill>
                          <w14:schemeClr w14:val="tx1"/>
                        </w14:solidFill>
                      </w14:textFill>
                    </w:rPr>
                    <w:instrText xml:space="preserve"> =30000*300*8/10000 \* MERGEFORMAT </w:instrTex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7200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fldChar w:fldCharType="end"/>
                  </w:r>
                </w:p>
              </w:tc>
              <w:tc>
                <w:tcPr>
                  <w:tcW w:w="1465" w:type="pct"/>
                  <w:tcBorders>
                    <w:tl2br w:val="nil"/>
                    <w:tr2bl w:val="nil"/>
                  </w:tcBorders>
                  <w:noWrap w:val="0"/>
                  <w:vAlign w:val="center"/>
                </w:tcPr>
                <w:p w14:paraId="321341A1">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6107</w:t>
                  </w:r>
                </w:p>
              </w:tc>
            </w:tr>
            <w:tr w14:paraId="20318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41" w:type="pct"/>
                  <w:vMerge w:val="continue"/>
                  <w:tcBorders>
                    <w:tl2br w:val="nil"/>
                    <w:tr2bl w:val="nil"/>
                  </w:tcBorders>
                  <w:noWrap w:val="0"/>
                  <w:vAlign w:val="center"/>
                </w:tcPr>
                <w:p w14:paraId="3243088E">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399" w:type="pct"/>
                  <w:vMerge w:val="continue"/>
                  <w:tcBorders>
                    <w:tl2br w:val="nil"/>
                    <w:tr2bl w:val="nil"/>
                  </w:tcBorders>
                  <w:noWrap w:val="0"/>
                  <w:vAlign w:val="center"/>
                </w:tcPr>
                <w:p w14:paraId="6187F80A">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1128" w:type="pct"/>
                  <w:tcBorders>
                    <w:tl2br w:val="nil"/>
                    <w:tr2bl w:val="nil"/>
                  </w:tcBorders>
                  <w:shd w:val="clear" w:color="auto" w:fill="auto"/>
                  <w:noWrap w:val="0"/>
                  <w:vAlign w:val="center"/>
                </w:tcPr>
                <w:p w14:paraId="2F02494D">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1464" w:type="pct"/>
                  <w:tcBorders>
                    <w:tl2br w:val="nil"/>
                    <w:tr2bl w:val="nil"/>
                  </w:tcBorders>
                  <w:noWrap w:val="0"/>
                  <w:vAlign w:val="center"/>
                </w:tcPr>
                <w:p w14:paraId="7AA5488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0.023</w:t>
                  </w:r>
                </w:p>
              </w:tc>
              <w:tc>
                <w:tcPr>
                  <w:tcW w:w="1465" w:type="pct"/>
                  <w:tcBorders>
                    <w:tl2br w:val="nil"/>
                    <w:tr2bl w:val="nil"/>
                  </w:tcBorders>
                  <w:noWrap w:val="0"/>
                  <w:vAlign w:val="center"/>
                </w:tcPr>
                <w:p w14:paraId="2E99862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0.091</w:t>
                  </w:r>
                </w:p>
              </w:tc>
            </w:tr>
            <w:tr w14:paraId="30FF5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1" w:type="pct"/>
                  <w:vMerge w:val="continue"/>
                  <w:tcBorders>
                    <w:tl2br w:val="nil"/>
                    <w:tr2bl w:val="nil"/>
                  </w:tcBorders>
                  <w:noWrap w:val="0"/>
                  <w:vAlign w:val="center"/>
                </w:tcPr>
                <w:p w14:paraId="77C9AE13">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399" w:type="pct"/>
                  <w:vMerge w:val="continue"/>
                  <w:tcBorders>
                    <w:tl2br w:val="nil"/>
                    <w:tr2bl w:val="nil"/>
                  </w:tcBorders>
                  <w:noWrap w:val="0"/>
                  <w:vAlign w:val="center"/>
                </w:tcPr>
                <w:p w14:paraId="7C629A50">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128" w:type="pct"/>
                  <w:tcBorders>
                    <w:tl2br w:val="nil"/>
                    <w:tr2bl w:val="nil"/>
                  </w:tcBorders>
                  <w:shd w:val="clear" w:color="auto" w:fill="auto"/>
                  <w:noWrap w:val="0"/>
                  <w:vAlign w:val="center"/>
                </w:tcPr>
                <w:p w14:paraId="265D8E5A">
                  <w:pP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SO</w:t>
                  </w:r>
                  <w:r>
                    <w:rPr>
                      <w:rFonts w:ascii="Times New Roman" w:hAnsi="Times New Roman" w:eastAsia="宋体" w:cs="Times New Roman"/>
                      <w:color w:val="000000" w:themeColor="text1"/>
                      <w:sz w:val="21"/>
                      <w:szCs w:val="21"/>
                      <w:vertAlign w:val="subscript"/>
                      <w14:textFill>
                        <w14:solidFill>
                          <w14:schemeClr w14:val="tx1"/>
                        </w14:solidFill>
                      </w14:textFill>
                    </w:rPr>
                    <w:t>2</w:t>
                  </w:r>
                </w:p>
              </w:tc>
              <w:tc>
                <w:tcPr>
                  <w:tcW w:w="1464" w:type="pct"/>
                  <w:tcBorders>
                    <w:tl2br w:val="nil"/>
                    <w:tr2bl w:val="nil"/>
                  </w:tcBorders>
                  <w:noWrap w:val="0"/>
                  <w:vAlign w:val="center"/>
                </w:tcPr>
                <w:p w14:paraId="566E0A8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0.0036</w:t>
                  </w:r>
                </w:p>
              </w:tc>
              <w:tc>
                <w:tcPr>
                  <w:tcW w:w="1465" w:type="pct"/>
                  <w:tcBorders>
                    <w:tl2br w:val="nil"/>
                    <w:tr2bl w:val="nil"/>
                  </w:tcBorders>
                  <w:noWrap w:val="0"/>
                  <w:vAlign w:val="center"/>
                </w:tcPr>
                <w:p w14:paraId="290D4BA5">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0.066</w:t>
                  </w:r>
                </w:p>
              </w:tc>
            </w:tr>
            <w:tr w14:paraId="6BFCE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1" w:type="pct"/>
                  <w:vMerge w:val="continue"/>
                  <w:tcBorders>
                    <w:tl2br w:val="nil"/>
                    <w:tr2bl w:val="nil"/>
                  </w:tcBorders>
                  <w:noWrap w:val="0"/>
                  <w:vAlign w:val="center"/>
                </w:tcPr>
                <w:p w14:paraId="451D7CED">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399" w:type="pct"/>
                  <w:vMerge w:val="continue"/>
                  <w:tcBorders>
                    <w:tl2br w:val="nil"/>
                    <w:tr2bl w:val="nil"/>
                  </w:tcBorders>
                  <w:noWrap w:val="0"/>
                  <w:vAlign w:val="center"/>
                </w:tcPr>
                <w:p w14:paraId="0A43D5AE">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128" w:type="pct"/>
                  <w:tcBorders>
                    <w:tl2br w:val="nil"/>
                    <w:tr2bl w:val="nil"/>
                  </w:tcBorders>
                  <w:shd w:val="clear" w:color="auto" w:fill="auto"/>
                  <w:noWrap w:val="0"/>
                  <w:vAlign w:val="center"/>
                </w:tcPr>
                <w:p w14:paraId="0DFC391F">
                  <w:pP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NOx</w:t>
                  </w:r>
                </w:p>
              </w:tc>
              <w:tc>
                <w:tcPr>
                  <w:tcW w:w="1464" w:type="pct"/>
                  <w:tcBorders>
                    <w:tl2br w:val="nil"/>
                    <w:tr2bl w:val="nil"/>
                  </w:tcBorders>
                  <w:noWrap w:val="0"/>
                  <w:vAlign w:val="center"/>
                </w:tcPr>
                <w:p w14:paraId="34A265C4">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0.0605</w:t>
                  </w:r>
                </w:p>
              </w:tc>
              <w:tc>
                <w:tcPr>
                  <w:tcW w:w="1465" w:type="pct"/>
                  <w:tcBorders>
                    <w:tl2br w:val="nil"/>
                    <w:tr2bl w:val="nil"/>
                  </w:tcBorders>
                  <w:noWrap w:val="0"/>
                  <w:vAlign w:val="center"/>
                </w:tcPr>
                <w:p w14:paraId="6092DDF8">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0.168</w:t>
                  </w:r>
                </w:p>
              </w:tc>
            </w:tr>
            <w:tr w14:paraId="43F01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1" w:type="pct"/>
                  <w:vMerge w:val="continue"/>
                  <w:tcBorders>
                    <w:tl2br w:val="nil"/>
                    <w:tr2bl w:val="nil"/>
                  </w:tcBorders>
                  <w:noWrap w:val="0"/>
                  <w:vAlign w:val="center"/>
                </w:tcPr>
                <w:p w14:paraId="5C12AB02">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399" w:type="pct"/>
                  <w:vMerge w:val="continue"/>
                  <w:tcBorders>
                    <w:tl2br w:val="nil"/>
                    <w:tr2bl w:val="nil"/>
                  </w:tcBorders>
                  <w:noWrap w:val="0"/>
                  <w:vAlign w:val="center"/>
                </w:tcPr>
                <w:p w14:paraId="60AA99FB">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28" w:type="pct"/>
                  <w:tcBorders>
                    <w:tl2br w:val="nil"/>
                    <w:tr2bl w:val="nil"/>
                  </w:tcBorders>
                  <w:shd w:val="clear" w:color="auto" w:fill="auto"/>
                  <w:noWrap w:val="0"/>
                  <w:vAlign w:val="center"/>
                </w:tcPr>
                <w:p w14:paraId="514D5444">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1464" w:type="pct"/>
                  <w:tcBorders>
                    <w:tl2br w:val="nil"/>
                    <w:tr2bl w:val="nil"/>
                  </w:tcBorders>
                  <w:noWrap w:val="0"/>
                  <w:vAlign w:val="center"/>
                </w:tcPr>
                <w:p w14:paraId="39D7568A">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1.409</w:t>
                  </w:r>
                </w:p>
              </w:tc>
              <w:tc>
                <w:tcPr>
                  <w:tcW w:w="1465" w:type="pct"/>
                  <w:tcBorders>
                    <w:tl2br w:val="nil"/>
                    <w:tr2bl w:val="nil"/>
                  </w:tcBorders>
                  <w:noWrap w:val="0"/>
                  <w:vAlign w:val="center"/>
                </w:tcPr>
                <w:p w14:paraId="6B5ECE26">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0.076</w:t>
                  </w:r>
                </w:p>
              </w:tc>
            </w:tr>
            <w:tr w14:paraId="42831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1" w:type="pct"/>
                  <w:vMerge w:val="continue"/>
                  <w:tcBorders>
                    <w:tl2br w:val="nil"/>
                    <w:tr2bl w:val="nil"/>
                  </w:tcBorders>
                  <w:noWrap w:val="0"/>
                  <w:vAlign w:val="center"/>
                </w:tcPr>
                <w:p w14:paraId="5C18A6D9">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399" w:type="pct"/>
                  <w:vMerge w:val="continue"/>
                  <w:tcBorders>
                    <w:tl2br w:val="nil"/>
                    <w:tr2bl w:val="nil"/>
                  </w:tcBorders>
                  <w:noWrap w:val="0"/>
                  <w:vAlign w:val="center"/>
                </w:tcPr>
                <w:p w14:paraId="6D833D71">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28" w:type="pct"/>
                  <w:tcBorders>
                    <w:tl2br w:val="nil"/>
                    <w:tr2bl w:val="nil"/>
                  </w:tcBorders>
                  <w:shd w:val="clear" w:color="auto" w:fill="auto"/>
                  <w:noWrap w:val="0"/>
                  <w:vAlign w:val="center"/>
                </w:tcPr>
                <w:p w14:paraId="1F590E44">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甲苯</w:t>
                  </w:r>
                </w:p>
              </w:tc>
              <w:tc>
                <w:tcPr>
                  <w:tcW w:w="1464" w:type="pct"/>
                  <w:tcBorders>
                    <w:tl2br w:val="nil"/>
                    <w:tr2bl w:val="nil"/>
                  </w:tcBorders>
                  <w:noWrap w:val="0"/>
                  <w:vAlign w:val="center"/>
                </w:tcPr>
                <w:p w14:paraId="621953FA">
                  <w:pPr>
                    <w:adjustRightInd w:val="0"/>
                    <w:snapToGrid w:val="0"/>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465" w:type="pct"/>
                  <w:tcBorders>
                    <w:tl2br w:val="nil"/>
                    <w:tr2bl w:val="nil"/>
                  </w:tcBorders>
                  <w:noWrap w:val="0"/>
                  <w:vAlign w:val="center"/>
                </w:tcPr>
                <w:p w14:paraId="6976F46A">
                  <w:pPr>
                    <w:adjustRightInd w:val="0"/>
                    <w:snapToGrid w:val="0"/>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0.015</w:t>
                  </w:r>
                </w:p>
              </w:tc>
            </w:tr>
            <w:tr w14:paraId="60A32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1" w:type="pct"/>
                  <w:vMerge w:val="continue"/>
                  <w:tcBorders>
                    <w:tl2br w:val="nil"/>
                    <w:tr2bl w:val="nil"/>
                  </w:tcBorders>
                  <w:noWrap w:val="0"/>
                  <w:vAlign w:val="center"/>
                </w:tcPr>
                <w:p w14:paraId="7D2FE05E">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399" w:type="pct"/>
                  <w:vMerge w:val="continue"/>
                  <w:tcBorders>
                    <w:tl2br w:val="nil"/>
                    <w:tr2bl w:val="nil"/>
                  </w:tcBorders>
                  <w:noWrap w:val="0"/>
                  <w:vAlign w:val="center"/>
                </w:tcPr>
                <w:p w14:paraId="200513C9">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128" w:type="pct"/>
                  <w:tcBorders>
                    <w:tl2br w:val="nil"/>
                    <w:tr2bl w:val="nil"/>
                  </w:tcBorders>
                  <w:shd w:val="clear" w:color="auto" w:fill="auto"/>
                  <w:noWrap w:val="0"/>
                  <w:vAlign w:val="center"/>
                </w:tcPr>
                <w:p w14:paraId="4F6E2452">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二甲苯</w:t>
                  </w:r>
                </w:p>
              </w:tc>
              <w:tc>
                <w:tcPr>
                  <w:tcW w:w="1464" w:type="pct"/>
                  <w:tcBorders>
                    <w:tl2br w:val="nil"/>
                    <w:tr2bl w:val="nil"/>
                  </w:tcBorders>
                  <w:noWrap w:val="0"/>
                  <w:vAlign w:val="center"/>
                </w:tcPr>
                <w:p w14:paraId="2C293128">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w:t>
                  </w:r>
                  <w:r>
                    <w:rPr>
                      <w:rFonts w:hint="eastAsia" w:cs="Times New Roman"/>
                      <w:color w:val="000000" w:themeColor="text1"/>
                      <w:sz w:val="21"/>
                      <w:szCs w:val="21"/>
                      <w:lang w:val="en-US" w:eastAsia="zh-CN"/>
                      <w14:textFill>
                        <w14:solidFill>
                          <w14:schemeClr w14:val="tx1"/>
                        </w14:solidFill>
                      </w14:textFill>
                    </w:rPr>
                    <w:t>513</w:t>
                  </w:r>
                </w:p>
              </w:tc>
              <w:tc>
                <w:tcPr>
                  <w:tcW w:w="1465" w:type="pct"/>
                  <w:tcBorders>
                    <w:tl2br w:val="nil"/>
                    <w:tr2bl w:val="nil"/>
                  </w:tcBorders>
                  <w:noWrap w:val="0"/>
                  <w:vAlign w:val="center"/>
                </w:tcPr>
                <w:p w14:paraId="02295B2B">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0.002</w:t>
                  </w:r>
                </w:p>
              </w:tc>
            </w:tr>
            <w:tr w14:paraId="4A83B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41" w:type="pct"/>
                  <w:vMerge w:val="continue"/>
                  <w:tcBorders>
                    <w:tl2br w:val="nil"/>
                    <w:tr2bl w:val="nil"/>
                  </w:tcBorders>
                  <w:noWrap w:val="0"/>
                  <w:vAlign w:val="center"/>
                </w:tcPr>
                <w:p w14:paraId="71577FE8">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399" w:type="pct"/>
                  <w:vMerge w:val="restart"/>
                  <w:tcBorders>
                    <w:tl2br w:val="nil"/>
                    <w:tr2bl w:val="nil"/>
                  </w:tcBorders>
                  <w:noWrap w:val="0"/>
                  <w:vAlign w:val="center"/>
                </w:tcPr>
                <w:p w14:paraId="41CA641D">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无组织</w:t>
                  </w:r>
                </w:p>
              </w:tc>
              <w:tc>
                <w:tcPr>
                  <w:tcW w:w="1128" w:type="pct"/>
                  <w:tcBorders>
                    <w:tl2br w:val="nil"/>
                    <w:tr2bl w:val="nil"/>
                  </w:tcBorders>
                  <w:noWrap w:val="0"/>
                  <w:vAlign w:val="center"/>
                </w:tcPr>
                <w:p w14:paraId="2FC66B40">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1464" w:type="pct"/>
                  <w:tcBorders>
                    <w:tl2br w:val="nil"/>
                    <w:tr2bl w:val="nil"/>
                  </w:tcBorders>
                  <w:noWrap w:val="0"/>
                  <w:vAlign w:val="center"/>
                </w:tcPr>
                <w:p w14:paraId="7C4A144D">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1.236</w:t>
                  </w:r>
                </w:p>
              </w:tc>
              <w:tc>
                <w:tcPr>
                  <w:tcW w:w="1465" w:type="pct"/>
                  <w:tcBorders>
                    <w:tl2br w:val="nil"/>
                    <w:tr2bl w:val="nil"/>
                  </w:tcBorders>
                  <w:noWrap w:val="0"/>
                  <w:vAlign w:val="center"/>
                </w:tcPr>
                <w:p w14:paraId="53F40CD5">
                  <w:pPr>
                    <w:adjustRightInd w:val="0"/>
                    <w:snapToGrid w:val="0"/>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2F458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1" w:type="pct"/>
                  <w:vMerge w:val="continue"/>
                  <w:tcBorders>
                    <w:tl2br w:val="nil"/>
                    <w:tr2bl w:val="nil"/>
                  </w:tcBorders>
                  <w:noWrap w:val="0"/>
                  <w:vAlign w:val="center"/>
                </w:tcPr>
                <w:p w14:paraId="2A9E86DE">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399" w:type="pct"/>
                  <w:vMerge w:val="continue"/>
                  <w:tcBorders>
                    <w:tl2br w:val="nil"/>
                    <w:tr2bl w:val="nil"/>
                  </w:tcBorders>
                  <w:noWrap w:val="0"/>
                  <w:vAlign w:val="center"/>
                </w:tcPr>
                <w:p w14:paraId="7F6441AE">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128" w:type="pct"/>
                  <w:tcBorders>
                    <w:tl2br w:val="nil"/>
                    <w:tr2bl w:val="nil"/>
                  </w:tcBorders>
                  <w:noWrap w:val="0"/>
                  <w:vAlign w:val="center"/>
                </w:tcPr>
                <w:p w14:paraId="69BAEF19">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二甲苯</w:t>
                  </w:r>
                </w:p>
              </w:tc>
              <w:tc>
                <w:tcPr>
                  <w:tcW w:w="1464" w:type="pct"/>
                  <w:tcBorders>
                    <w:tl2br w:val="nil"/>
                    <w:tr2bl w:val="nil"/>
                  </w:tcBorders>
                  <w:noWrap w:val="0"/>
                  <w:vAlign w:val="center"/>
                </w:tcPr>
                <w:p w14:paraId="3E225CF6">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0.045</w:t>
                  </w:r>
                </w:p>
              </w:tc>
              <w:tc>
                <w:tcPr>
                  <w:tcW w:w="1465" w:type="pct"/>
                  <w:tcBorders>
                    <w:tl2br w:val="nil"/>
                    <w:tr2bl w:val="nil"/>
                  </w:tcBorders>
                  <w:noWrap w:val="0"/>
                  <w:vAlign w:val="center"/>
                </w:tcPr>
                <w:p w14:paraId="7F4A8A7E">
                  <w:pPr>
                    <w:adjustRightInd w:val="0"/>
                    <w:snapToGrid w:val="0"/>
                    <w:spacing w:line="240" w:lineRule="auto"/>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293FE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1" w:type="pct"/>
                  <w:vMerge w:val="restart"/>
                  <w:tcBorders>
                    <w:tl2br w:val="nil"/>
                    <w:tr2bl w:val="nil"/>
                  </w:tcBorders>
                  <w:noWrap w:val="0"/>
                  <w:vAlign w:val="center"/>
                </w:tcPr>
                <w:p w14:paraId="230E8E47">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固体废物</w:t>
                  </w:r>
                </w:p>
              </w:tc>
              <w:tc>
                <w:tcPr>
                  <w:tcW w:w="1528" w:type="pct"/>
                  <w:gridSpan w:val="2"/>
                  <w:tcBorders>
                    <w:tl2br w:val="nil"/>
                    <w:tr2bl w:val="nil"/>
                  </w:tcBorders>
                  <w:noWrap w:val="0"/>
                  <w:vAlign w:val="center"/>
                </w:tcPr>
                <w:p w14:paraId="5860407F">
                  <w:pPr>
                    <w:pStyle w:val="156"/>
                    <w:spacing w:line="240" w:lineRule="auto"/>
                    <w:jc w:val="center"/>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eastAsia" w:ascii="Times New Roman" w:hAnsi="Times New Roman" w:cs="Times New Roman"/>
                      <w:color w:val="000000" w:themeColor="text1"/>
                      <w:kern w:val="2"/>
                      <w:sz w:val="21"/>
                      <w:lang w:val="en-US" w:eastAsia="zh-CN"/>
                      <w14:textFill>
                        <w14:solidFill>
                          <w14:schemeClr w14:val="tx1"/>
                        </w14:solidFill>
                      </w14:textFill>
                    </w:rPr>
                    <w:t>一般固体废物</w:t>
                  </w:r>
                </w:p>
              </w:tc>
              <w:tc>
                <w:tcPr>
                  <w:tcW w:w="1464" w:type="pct"/>
                  <w:tcBorders>
                    <w:tl2br w:val="nil"/>
                    <w:tr2bl w:val="nil"/>
                  </w:tcBorders>
                  <w:noWrap w:val="0"/>
                  <w:vAlign w:val="center"/>
                </w:tcPr>
                <w:p w14:paraId="4F038E0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51</w:t>
                  </w:r>
                </w:p>
              </w:tc>
              <w:tc>
                <w:tcPr>
                  <w:tcW w:w="1465" w:type="pct"/>
                  <w:tcBorders>
                    <w:tl2br w:val="nil"/>
                    <w:tr2bl w:val="nil"/>
                  </w:tcBorders>
                  <w:noWrap w:val="0"/>
                  <w:vAlign w:val="center"/>
                </w:tcPr>
                <w:p w14:paraId="4386D286">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.4</w:t>
                  </w:r>
                </w:p>
              </w:tc>
            </w:tr>
            <w:tr w14:paraId="370CB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41" w:type="pct"/>
                  <w:vMerge w:val="continue"/>
                  <w:tcBorders>
                    <w:tl2br w:val="nil"/>
                    <w:tr2bl w:val="nil"/>
                  </w:tcBorders>
                  <w:noWrap w:val="0"/>
                  <w:vAlign w:val="center"/>
                </w:tcPr>
                <w:p w14:paraId="7728FD67">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528" w:type="pct"/>
                  <w:gridSpan w:val="2"/>
                  <w:tcBorders>
                    <w:tl2br w:val="nil"/>
                    <w:tr2bl w:val="nil"/>
                  </w:tcBorders>
                  <w:noWrap w:val="0"/>
                  <w:vAlign w:val="center"/>
                </w:tcPr>
                <w:p w14:paraId="46B3DB23">
                  <w:pPr>
                    <w:pStyle w:val="156"/>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危险废物</w:t>
                  </w:r>
                </w:p>
              </w:tc>
              <w:tc>
                <w:tcPr>
                  <w:tcW w:w="1464" w:type="pct"/>
                  <w:tcBorders>
                    <w:tl2br w:val="nil"/>
                    <w:tr2bl w:val="nil"/>
                  </w:tcBorders>
                  <w:noWrap w:val="0"/>
                  <w:vAlign w:val="center"/>
                </w:tcPr>
                <w:p w14:paraId="6E81F37D">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r>
                    <w:rPr>
                      <w:rFonts w:hint="eastAsia" w:cs="Times New Roman"/>
                      <w:i w:val="0"/>
                      <w:iCs w:val="0"/>
                      <w:color w:val="000000" w:themeColor="text1"/>
                      <w:kern w:val="0"/>
                      <w:sz w:val="21"/>
                      <w:szCs w:val="21"/>
                      <w:u w:val="none"/>
                      <w:lang w:val="en-US" w:eastAsia="zh-CN" w:bidi="ar"/>
                      <w14:textFill>
                        <w14:solidFill>
                          <w14:schemeClr w14:val="tx1"/>
                        </w14:solidFill>
                      </w14:textFill>
                    </w:rPr>
                    <w:t>8.372</w:t>
                  </w:r>
                </w:p>
              </w:tc>
              <w:tc>
                <w:tcPr>
                  <w:tcW w:w="1465" w:type="pct"/>
                  <w:tcBorders>
                    <w:tl2br w:val="nil"/>
                    <w:tr2bl w:val="nil"/>
                  </w:tcBorders>
                  <w:noWrap w:val="0"/>
                  <w:vAlign w:val="center"/>
                </w:tcPr>
                <w:p w14:paraId="409163EA">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22.25</w:t>
                  </w:r>
                </w:p>
              </w:tc>
            </w:tr>
            <w:tr w14:paraId="56E10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1" w:type="pct"/>
                  <w:vMerge w:val="continue"/>
                  <w:tcBorders>
                    <w:tl2br w:val="nil"/>
                    <w:tr2bl w:val="nil"/>
                  </w:tcBorders>
                  <w:noWrap w:val="0"/>
                  <w:vAlign w:val="center"/>
                </w:tcPr>
                <w:p w14:paraId="473C2377">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1528" w:type="pct"/>
                  <w:gridSpan w:val="2"/>
                  <w:tcBorders>
                    <w:tl2br w:val="nil"/>
                    <w:tr2bl w:val="nil"/>
                  </w:tcBorders>
                  <w:noWrap w:val="0"/>
                  <w:vAlign w:val="center"/>
                </w:tcPr>
                <w:p w14:paraId="7DEDE617">
                  <w:pPr>
                    <w:pStyle w:val="156"/>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职工生活垃圾</w:t>
                  </w:r>
                </w:p>
              </w:tc>
              <w:tc>
                <w:tcPr>
                  <w:tcW w:w="1464" w:type="pct"/>
                  <w:tcBorders>
                    <w:tl2br w:val="nil"/>
                    <w:tr2bl w:val="nil"/>
                  </w:tcBorders>
                  <w:noWrap w:val="0"/>
                  <w:vAlign w:val="center"/>
                </w:tcPr>
                <w:p w14:paraId="03867BD4">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6.75</w:t>
                  </w:r>
                </w:p>
              </w:tc>
              <w:tc>
                <w:tcPr>
                  <w:tcW w:w="1465" w:type="pct"/>
                  <w:tcBorders>
                    <w:tl2br w:val="nil"/>
                    <w:tr2bl w:val="nil"/>
                  </w:tcBorders>
                  <w:noWrap w:val="0"/>
                  <w:vAlign w:val="center"/>
                </w:tcPr>
                <w:p w14:paraId="795CE32C">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6.75</w:t>
                  </w:r>
                </w:p>
              </w:tc>
            </w:tr>
            <w:tr w14:paraId="1184E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tcBorders>
                    <w:tl2br w:val="nil"/>
                    <w:tr2bl w:val="nil"/>
                  </w:tcBorders>
                  <w:noWrap w:val="0"/>
                  <w:vAlign w:val="center"/>
                </w:tcPr>
                <w:p w14:paraId="0B0CCDB1">
                  <w:pPr>
                    <w:adjustRightInd w:val="0"/>
                    <w:snapToGrid w:val="0"/>
                    <w:spacing w:line="240" w:lineRule="auto"/>
                    <w:ind w:firstLine="0" w:firstLineChars="0"/>
                    <w:jc w:val="left"/>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注：固体废物为产生量。</w:t>
                  </w:r>
                  <w:r>
                    <w:rPr>
                      <w:rFonts w:hint="eastAsia"/>
                      <w:color w:val="000000" w:themeColor="text1"/>
                      <w:sz w:val="21"/>
                      <w:szCs w:val="21"/>
                      <w:highlight w:val="none"/>
                      <w:lang w:val="en-US" w:eastAsia="zh-CN"/>
                      <w14:textFill>
                        <w14:solidFill>
                          <w14:schemeClr w14:val="tx1"/>
                        </w14:solidFill>
                      </w14:textFill>
                    </w:rPr>
                    <w:t>废气污染物实际排放量根据监测速率×2400h计算。</w:t>
                  </w:r>
                </w:p>
              </w:tc>
            </w:tr>
          </w:tbl>
          <w:p w14:paraId="37BA6767">
            <w:pPr>
              <w:spacing w:before="120" w:beforeLines="50" w:line="360" w:lineRule="auto"/>
              <w:outlineLvl w:val="1"/>
              <w:rPr>
                <w:rFonts w:hint="default" w:ascii="Times New Roman" w:hAnsi="Times New Roman" w:eastAsia="宋体"/>
                <w:b/>
                <w:color w:val="000000" w:themeColor="text1"/>
                <w:sz w:val="30"/>
                <w:szCs w:val="30"/>
                <w:highlight w:val="none"/>
                <w:lang w:val="en-US"/>
                <w14:textFill>
                  <w14:solidFill>
                    <w14:schemeClr w14:val="tx1"/>
                  </w14:solidFill>
                </w14:textFill>
              </w:rPr>
            </w:pPr>
            <w:r>
              <w:rPr>
                <w:rFonts w:hint="eastAsia" w:ascii="Times New Roman" w:hAnsi="Times New Roman" w:eastAsia="宋体"/>
                <w:b/>
                <w:color w:val="000000" w:themeColor="text1"/>
                <w:sz w:val="30"/>
                <w:szCs w:val="30"/>
                <w:highlight w:val="none"/>
                <w:lang w:val="en-US" w:eastAsia="zh-CN"/>
                <w14:textFill>
                  <w14:solidFill>
                    <w14:schemeClr w14:val="tx1"/>
                  </w14:solidFill>
                </w14:textFill>
              </w:rPr>
              <w:t>2.</w:t>
            </w:r>
            <w:r>
              <w:rPr>
                <w:rFonts w:hint="eastAsia"/>
                <w:b/>
                <w:color w:val="000000" w:themeColor="text1"/>
                <w:sz w:val="30"/>
                <w:szCs w:val="30"/>
                <w:highlight w:val="none"/>
                <w:lang w:val="en-US" w:eastAsia="zh-CN"/>
                <w14:textFill>
                  <w14:solidFill>
                    <w14:schemeClr w14:val="tx1"/>
                  </w14:solidFill>
                </w14:textFill>
              </w:rPr>
              <w:t>7相关环保要求落实情况</w:t>
            </w:r>
          </w:p>
          <w:p w14:paraId="182FE2CA">
            <w:pPr>
              <w:pStyle w:val="11"/>
              <w:spacing w:line="240" w:lineRule="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w:t>
            </w:r>
            <w:r>
              <w:rPr>
                <w:rFonts w:hint="eastAsia" w:ascii="Times New Roman" w:hAnsi="Times New Roman" w:cs="Times New Roman"/>
                <w:b/>
                <w:bCs/>
                <w:color w:val="000000" w:themeColor="text1"/>
                <w:sz w:val="24"/>
                <w:lang w:val="en-US" w:eastAsia="zh-CN"/>
                <w14:textFill>
                  <w14:solidFill>
                    <w14:schemeClr w14:val="tx1"/>
                  </w14:solidFill>
                </w14:textFill>
              </w:rPr>
              <w:t>7.1</w:t>
            </w:r>
            <w:r>
              <w:rPr>
                <w:rFonts w:hint="default" w:ascii="Times New Roman" w:hAnsi="Times New Roman" w:cs="Times New Roman"/>
                <w:b/>
                <w:bCs/>
                <w:color w:val="000000" w:themeColor="text1"/>
                <w:sz w:val="24"/>
                <w14:textFill>
                  <w14:solidFill>
                    <w14:schemeClr w14:val="tx1"/>
                  </w14:solidFill>
                </w14:textFill>
              </w:rPr>
              <w:t>现有工程</w:t>
            </w:r>
            <w:r>
              <w:rPr>
                <w:rFonts w:hint="eastAsia" w:ascii="Times New Roman" w:hAnsi="Times New Roman" w:cs="Times New Roman"/>
                <w:b/>
                <w:bCs/>
                <w:color w:val="000000" w:themeColor="text1"/>
                <w:sz w:val="24"/>
                <w:lang w:val="en-US" w:eastAsia="zh-CN"/>
                <w14:textFill>
                  <w14:solidFill>
                    <w14:schemeClr w14:val="tx1"/>
                  </w14:solidFill>
                </w14:textFill>
              </w:rPr>
              <w:t>环评批复要求及落实情况</w:t>
            </w:r>
          </w:p>
          <w:p w14:paraId="3CBB5F34">
            <w:pPr>
              <w:pStyle w:val="146"/>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现有环境影响评价审批执行情况详见下表。</w:t>
            </w:r>
          </w:p>
          <w:p w14:paraId="6CE3A8CF">
            <w:pPr>
              <w:pStyle w:val="146"/>
              <w:spacing w:line="240" w:lineRule="auto"/>
              <w:ind w:firstLine="48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highlight w:val="none"/>
                <w:lang w:val="en-US" w:eastAsia="zh-CN"/>
                <w14:textFill>
                  <w14:solidFill>
                    <w14:schemeClr w14:val="tx1"/>
                  </w14:solidFill>
                </w14:textFill>
              </w:rPr>
              <w:t>表2.7-1 环评批复执行情况一览表</w:t>
            </w:r>
          </w:p>
          <w:tbl>
            <w:tblPr>
              <w:tblStyle w:val="31"/>
              <w:tblW w:w="499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282"/>
              <w:gridCol w:w="3622"/>
              <w:gridCol w:w="796"/>
            </w:tblGrid>
            <w:tr w14:paraId="7AACD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44" w:type="pct"/>
                  <w:vAlign w:val="center"/>
                </w:tcPr>
                <w:p w14:paraId="51C57F50">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1984" w:type="pct"/>
                  <w:vAlign w:val="center"/>
                </w:tcPr>
                <w:p w14:paraId="4D42F509">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批复要求</w:t>
                  </w:r>
                </w:p>
              </w:tc>
              <w:tc>
                <w:tcPr>
                  <w:tcW w:w="2190" w:type="pct"/>
                  <w:vAlign w:val="center"/>
                </w:tcPr>
                <w:p w14:paraId="63750F6B">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执行情况</w:t>
                  </w:r>
                </w:p>
              </w:tc>
              <w:tc>
                <w:tcPr>
                  <w:tcW w:w="481" w:type="pct"/>
                  <w:vAlign w:val="center"/>
                </w:tcPr>
                <w:p w14:paraId="224663F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符合性</w:t>
                  </w:r>
                </w:p>
              </w:tc>
            </w:tr>
            <w:tr w14:paraId="02920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vAlign w:val="center"/>
                </w:tcPr>
                <w:p w14:paraId="41073AE8">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984" w:type="pct"/>
                  <w:vAlign w:val="center"/>
                </w:tcPr>
                <w:p w14:paraId="6DEFE453">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项目应实行清污分流，只允许设一个规范化排放口，生产废水应经处理达标后汇同经化粪池处理达标的生活污水排入市政污水管网纳入福建青口海峡环保有限公司（青口新区污水处理厂）处理</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2190" w:type="pct"/>
                  <w:vAlign w:val="center"/>
                </w:tcPr>
                <w:p w14:paraId="58DFB9FA">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现有工程</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实行雨污分流，设有一个规范化总排放口，</w:t>
                  </w:r>
                  <w:r>
                    <w:rPr>
                      <w:rFonts w:hint="eastAsia" w:cs="Times New Roman"/>
                      <w:color w:val="000000" w:themeColor="text1"/>
                      <w:sz w:val="21"/>
                      <w:szCs w:val="21"/>
                      <w:lang w:val="en-US" w:eastAsia="zh-CN"/>
                      <w14:textFill>
                        <w14:solidFill>
                          <w14:schemeClr w14:val="tx1"/>
                        </w14:solidFill>
                      </w14:textFill>
                    </w:rPr>
                    <w:t>生产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废水经</w:t>
                  </w:r>
                  <w:r>
                    <w:rPr>
                      <w:rFonts w:hint="eastAsia" w:cs="Times New Roman"/>
                      <w:color w:val="000000" w:themeColor="text1"/>
                      <w:sz w:val="21"/>
                      <w:szCs w:val="21"/>
                      <w:lang w:val="en-US" w:eastAsia="zh-CN"/>
                      <w14:textFill>
                        <w14:solidFill>
                          <w14:schemeClr w14:val="tx1"/>
                        </w14:solidFill>
                      </w14:textFill>
                    </w:rPr>
                    <w:t>自建污水处理设施</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处理后汇同经化粪池处理达标的生活污水排入市政污水管网，最终纳入福建青口海峡环保有限公司（青口新区污水处理厂）处理，污水处理站处理规模为</w:t>
                  </w:r>
                  <w:r>
                    <w:rPr>
                      <w:rFonts w:hint="eastAsia" w:cs="Times New Roman"/>
                      <w:color w:val="000000" w:themeColor="text1"/>
                      <w:sz w:val="21"/>
                      <w:szCs w:val="21"/>
                      <w:lang w:val="en-US" w:eastAsia="zh-CN"/>
                      <w14:textFill>
                        <w14:solidFill>
                          <w14:schemeClr w14:val="tx1"/>
                        </w14:solidFill>
                      </w14:textFill>
                    </w:rPr>
                    <w:t>4t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。根据监测结果，项目废水经厂区废水处理设施处理后各类污染物符合《污水综合排放标准》(GB8978-1996)表4</w:t>
                  </w:r>
                  <w:r>
                    <w:rPr>
                      <w:rFonts w:hint="eastAsia" w:cs="Times New Roman"/>
                      <w:color w:val="000000" w:themeColor="text1"/>
                      <w:sz w:val="21"/>
                      <w:szCs w:val="21"/>
                      <w:lang w:val="en-US" w:eastAsia="zh-CN"/>
                      <w14:textFill>
                        <w14:solidFill>
                          <w14:schemeClr w14:val="tx1"/>
                        </w14:solidFill>
                      </w14:textFill>
                    </w:rPr>
                    <w:t>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级标准限值要求。</w:t>
                  </w:r>
                </w:p>
              </w:tc>
              <w:tc>
                <w:tcPr>
                  <w:tcW w:w="481" w:type="pct"/>
                  <w:vAlign w:val="center"/>
                </w:tcPr>
                <w:p w14:paraId="266320FC">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7924D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vAlign w:val="center"/>
                </w:tcPr>
                <w:p w14:paraId="63708027">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984" w:type="pct"/>
                  <w:vAlign w:val="center"/>
                </w:tcPr>
                <w:p w14:paraId="5F868944">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项目应加强对各类废气排放的控制和管理，认真落实废气控制措施，保证工艺废气处理设施的处理能力、效率达到规范要求。</w:t>
                  </w:r>
                </w:p>
              </w:tc>
              <w:tc>
                <w:tcPr>
                  <w:tcW w:w="2190" w:type="pct"/>
                  <w:vAlign w:val="center"/>
                </w:tcPr>
                <w:p w14:paraId="1B130BFC">
                  <w:pPr>
                    <w:adjustRightInd w:val="0"/>
                    <w:snapToGrid w:val="0"/>
                    <w:spacing w:line="240" w:lineRule="auto"/>
                    <w:ind w:firstLine="0" w:firstLineChars="0"/>
                    <w:jc w:val="lef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电泳涂装生产线中电泳槽涂料挥发的有机废气、电泳固化炉废气和喷漆涂装生产线中调漆房产生的有机废气、喷漆室水帘除漆雾系统产生的有机废气、固化炉废气经收集后统一进入“喷淋塔+UV光氧净化+活性炭吸附”装置进行处理，处理后的废气由1根22m高排气筒(2#)排放。</w:t>
                  </w:r>
                </w:p>
                <w:p w14:paraId="1C9B113B">
                  <w:pPr>
                    <w:adjustRightInd w:val="0"/>
                    <w:snapToGrid w:val="0"/>
                    <w:spacing w:line="240" w:lineRule="auto"/>
                    <w:ind w:firstLine="0" w:firstLineChars="0"/>
                    <w:jc w:val="lef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喷漆涂装生产线中打磨工序产生的金属粉尘，经布袋除尘器处理后无组织排放；除尘台产生的粉尘颗粒物(G3)，经除尘台的吸式收集器收集后通过活性炭绵进行处理，处理后的颗粒物由1根20m高排气筒(1#)向大气排放。</w:t>
                  </w:r>
                </w:p>
                <w:p w14:paraId="1CEC17A5">
                  <w:pPr>
                    <w:adjustRightInd w:val="0"/>
                    <w:snapToGrid w:val="0"/>
                    <w:spacing w:line="240" w:lineRule="auto"/>
                    <w:ind w:firstLine="0" w:firstLineChars="0"/>
                    <w:jc w:val="lef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喷漆预处理需对工件进行打磨，打磨产生的颗粒物经布袋除尘器处理后，直接向大气环境排放。</w:t>
                  </w:r>
                </w:p>
              </w:tc>
              <w:tc>
                <w:tcPr>
                  <w:tcW w:w="481" w:type="pct"/>
                  <w:vAlign w:val="center"/>
                </w:tcPr>
                <w:p w14:paraId="0DB33157">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790A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vAlign w:val="center"/>
                </w:tcPr>
                <w:p w14:paraId="7BF4B9E1">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984" w:type="pct"/>
                  <w:vAlign w:val="center"/>
                </w:tcPr>
                <w:p w14:paraId="64DCDEED">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项目应合理布局，并采取相应的隔声、减振等降噪控制措施，确保厂界噪声达标排放。</w:t>
                  </w:r>
                </w:p>
              </w:tc>
              <w:tc>
                <w:tcPr>
                  <w:tcW w:w="2190" w:type="pct"/>
                  <w:vAlign w:val="center"/>
                </w:tcPr>
                <w:p w14:paraId="1A138AD6">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各生产车间分区明确，喷漆在独立密闭房间内，生产区和办公区分区明确：优先选用低噪声型设备，采取隔声、消声、减振等综合减噪措施。根据监测结果，</w:t>
                  </w:r>
                  <w:r>
                    <w:rPr>
                      <w:rFonts w:hint="eastAsia" w:cs="Times New Roman"/>
                      <w:color w:val="000000" w:themeColor="text1"/>
                      <w:sz w:val="21"/>
                      <w:szCs w:val="21"/>
                      <w:lang w:val="en-US" w:eastAsia="zh-CN"/>
                      <w14:textFill>
                        <w14:solidFill>
                          <w14:schemeClr w14:val="tx1"/>
                        </w14:solidFill>
                      </w14:textFill>
                    </w:rPr>
                    <w:t>现状厂界噪声</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符合《工业企业厂界环境噪声排放标准》（GB12348-2008）表中3类标准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81" w:type="pct"/>
                  <w:vAlign w:val="center"/>
                </w:tcPr>
                <w:p w14:paraId="20FC3B56">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4B7C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vAlign w:val="center"/>
                </w:tcPr>
                <w:p w14:paraId="3653BB90">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984" w:type="pct"/>
                  <w:vAlign w:val="center"/>
                </w:tcPr>
                <w:p w14:paraId="1D185C47">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项目应按规范设置危险废物和一般工业固体废物分类暂存场所，并建立危险废物管理台账，严格按规定做好危险废物的收集和转移工作，杜绝二次污染；危险废物储存时间不得超过一年，应妥善收集，规范贮存，并同意委托有资质的专业单位进行处置。</w:t>
                  </w:r>
                </w:p>
              </w:tc>
              <w:tc>
                <w:tcPr>
                  <w:tcW w:w="2190" w:type="pct"/>
                  <w:vAlign w:val="center"/>
                </w:tcPr>
                <w:p w14:paraId="6B2299F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现有工程</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设有1处危废暂存间（面积13m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）用于危险废物暂存，并贴有危废标识，危险废物委托</w:t>
                  </w:r>
                  <w:r>
                    <w:rPr>
                      <w:rFonts w:hint="eastAsia" w:cs="Times New Roman"/>
                      <w:color w:val="000000" w:themeColor="text1"/>
                      <w:sz w:val="21"/>
                      <w:szCs w:val="21"/>
                      <w:lang w:val="en-US" w:eastAsia="zh-CN"/>
                      <w14:textFill>
                        <w14:solidFill>
                          <w14:schemeClr w14:val="tx1"/>
                        </w14:solidFill>
                      </w14:textFill>
                    </w:rPr>
                    <w:t>邵武绿益新环保产业开发有限公司</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安全处置；废油漆桶、天那水桶、其他原料空桶等作为危险废物，纳入危废管理，金属粉尘收集后外售综合利用：生活垃圾委托环卫部门及时清运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481" w:type="pct"/>
                  <w:vAlign w:val="center"/>
                </w:tcPr>
                <w:p w14:paraId="38C83EF9">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355847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vAlign w:val="center"/>
                </w:tcPr>
                <w:p w14:paraId="2037F19C">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984" w:type="pct"/>
                  <w:vAlign w:val="center"/>
                </w:tcPr>
                <w:p w14:paraId="76FD4ADA">
                  <w:pPr>
                    <w:adjustRightInd w:val="0"/>
                    <w:snapToGrid w:val="0"/>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项目应落实好废水集中收集设施、厂区地面硬化防渗、固废堆场和生产装置区的地面防渗、危险品和危废储存场所围堰的建设，以预防对区域地下水水质的影响。项目应加强风险防范管理、完善风险事故防范措施，制定环境应急预案，并报环保行政主管部门备案，并定期开展突发性事故应急演练工作，以杜绝污染事故的发生</w:t>
                  </w:r>
                </w:p>
              </w:tc>
              <w:tc>
                <w:tcPr>
                  <w:tcW w:w="2190" w:type="pct"/>
                  <w:vAlign w:val="center"/>
                </w:tcPr>
                <w:p w14:paraId="3D2D3147">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现有工程</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设有1处污水处理站，生产废水经收集后集中到污水处理站进行处理，厂区地面采用水泥硬化，危废间地面涂有环氧树脂防渗材料并设有围堰。制定有环境风险应急预案</w:t>
                  </w:r>
                  <w:r>
                    <w:rPr>
                      <w:rFonts w:hint="eastAsia" w:cs="Times New Roman"/>
                      <w:color w:val="000000" w:themeColor="text1"/>
                      <w:sz w:val="21"/>
                      <w:szCs w:val="21"/>
                      <w:lang w:val="en-US" w:eastAsia="zh-CN"/>
                      <w14:textFill>
                        <w14:solidFill>
                          <w14:schemeClr w14:val="tx1"/>
                        </w14:solidFill>
                      </w14:textFill>
                    </w:rPr>
                    <w:t>，但为2021年编制，未及时修编。</w:t>
                  </w:r>
                </w:p>
              </w:tc>
              <w:tc>
                <w:tcPr>
                  <w:tcW w:w="481" w:type="pct"/>
                  <w:vAlign w:val="center"/>
                </w:tcPr>
                <w:p w14:paraId="0D32D942">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未及时修编应急预案</w:t>
                  </w:r>
                </w:p>
              </w:tc>
            </w:tr>
          </w:tbl>
          <w:p w14:paraId="578D64E1">
            <w:pPr>
              <w:pStyle w:val="11"/>
              <w:keepNext w:val="0"/>
              <w:keepLines w:val="0"/>
              <w:pageBreakBefore w:val="0"/>
              <w:kinsoku/>
              <w:wordWrap/>
              <w:overflowPunct/>
              <w:topLinePunct w:val="0"/>
              <w:autoSpaceDE/>
              <w:autoSpaceDN/>
              <w:bidi w:val="0"/>
              <w:adjustRightInd/>
              <w:spacing w:before="0" w:after="0" w:line="360" w:lineRule="auto"/>
              <w:ind w:right="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w:t>
            </w:r>
            <w:r>
              <w:rPr>
                <w:rFonts w:hint="eastAsia" w:ascii="Times New Roman" w:hAnsi="Times New Roman" w:cs="Times New Roman"/>
                <w:b/>
                <w:bCs/>
                <w:color w:val="000000" w:themeColor="text1"/>
                <w:sz w:val="24"/>
                <w:lang w:val="en-US" w:eastAsia="zh-CN"/>
                <w14:textFill>
                  <w14:solidFill>
                    <w14:schemeClr w14:val="tx1"/>
                  </w14:solidFill>
                </w14:textFill>
              </w:rPr>
              <w:t>7.2</w:t>
            </w:r>
            <w:r>
              <w:rPr>
                <w:rFonts w:hint="default" w:ascii="Times New Roman" w:hAnsi="Times New Roman" w:cs="Times New Roman"/>
                <w:b/>
                <w:bCs/>
                <w:color w:val="000000" w:themeColor="text1"/>
                <w:sz w:val="24"/>
                <w14:textFill>
                  <w14:solidFill>
                    <w14:schemeClr w14:val="tx1"/>
                  </w14:solidFill>
                </w14:textFill>
              </w:rPr>
              <w:t>现有工程</w:t>
            </w:r>
            <w:r>
              <w:rPr>
                <w:rFonts w:hint="eastAsia" w:ascii="Times New Roman" w:hAnsi="Times New Roman" w:cs="Times New Roman"/>
                <w:b/>
                <w:bCs/>
                <w:color w:val="000000" w:themeColor="text1"/>
                <w:sz w:val="24"/>
                <w:lang w:val="en-US" w:eastAsia="zh-CN"/>
                <w14:textFill>
                  <w14:solidFill>
                    <w14:schemeClr w14:val="tx1"/>
                  </w14:solidFill>
                </w14:textFill>
              </w:rPr>
              <w:t>竣工验收意见后续要求及落实情况</w:t>
            </w:r>
          </w:p>
          <w:p w14:paraId="08E39F3B">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根据2021年04月05日验收组成员提出的竣工验收后续要求，现有工程验收意见后续要求及落实情况见表2.7-2。</w:t>
            </w:r>
          </w:p>
          <w:p w14:paraId="14E71F86">
            <w:pPr>
              <w:pStyle w:val="146"/>
              <w:spacing w:line="240" w:lineRule="auto"/>
              <w:ind w:firstLine="48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表2</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.7-2</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 xml:space="preserve">  现有工程</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验收意见要求及落实情况一览表</w:t>
            </w:r>
          </w:p>
          <w:tbl>
            <w:tblPr>
              <w:tblStyle w:val="31"/>
              <w:tblW w:w="84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5"/>
              <w:gridCol w:w="3533"/>
              <w:gridCol w:w="3292"/>
              <w:gridCol w:w="950"/>
            </w:tblGrid>
            <w:tr w14:paraId="56738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noWrap w:val="0"/>
                  <w:vAlign w:val="center"/>
                </w:tcPr>
                <w:p w14:paraId="71EBC21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序号</w:t>
                  </w:r>
                </w:p>
              </w:tc>
              <w:tc>
                <w:tcPr>
                  <w:tcW w:w="3533" w:type="dxa"/>
                  <w:tcBorders>
                    <w:tl2br w:val="nil"/>
                    <w:tr2bl w:val="nil"/>
                  </w:tcBorders>
                  <w:noWrap w:val="0"/>
                  <w:vAlign w:val="center"/>
                </w:tcPr>
                <w:p w14:paraId="7D38239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验收意见要求</w:t>
                  </w:r>
                </w:p>
              </w:tc>
              <w:tc>
                <w:tcPr>
                  <w:tcW w:w="3292" w:type="dxa"/>
                  <w:tcBorders>
                    <w:tl2br w:val="nil"/>
                    <w:tr2bl w:val="nil"/>
                  </w:tcBorders>
                  <w:noWrap w:val="0"/>
                  <w:vAlign w:val="center"/>
                </w:tcPr>
                <w:p w14:paraId="66C2BFE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实际落实情况</w:t>
                  </w:r>
                </w:p>
              </w:tc>
              <w:tc>
                <w:tcPr>
                  <w:tcW w:w="950" w:type="dxa"/>
                  <w:tcBorders>
                    <w:tl2br w:val="nil"/>
                    <w:tr2bl w:val="nil"/>
                  </w:tcBorders>
                  <w:noWrap w:val="0"/>
                  <w:vAlign w:val="center"/>
                </w:tcPr>
                <w:p w14:paraId="2000633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备注</w:t>
                  </w:r>
                </w:p>
              </w:tc>
            </w:tr>
            <w:tr w14:paraId="41EB2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noWrap w:val="0"/>
                  <w:vAlign w:val="center"/>
                </w:tcPr>
                <w:p w14:paraId="4DA66A8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c>
                <w:tcPr>
                  <w:tcW w:w="3533" w:type="dxa"/>
                  <w:tcBorders>
                    <w:tl2br w:val="nil"/>
                    <w:tr2bl w:val="nil"/>
                  </w:tcBorders>
                  <w:noWrap w:val="0"/>
                  <w:vAlign w:val="center"/>
                </w:tcPr>
                <w:p w14:paraId="6D3A576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项目应加强对废水、废气处理设施的管理，保证污染物稳定达标排放</w:t>
                  </w:r>
                </w:p>
              </w:tc>
              <w:tc>
                <w:tcPr>
                  <w:tcW w:w="3292" w:type="dxa"/>
                  <w:tcBorders>
                    <w:tl2br w:val="nil"/>
                    <w:tr2bl w:val="nil"/>
                  </w:tcBorders>
                  <w:noWrap w:val="0"/>
                  <w:vAlign w:val="center"/>
                </w:tcPr>
                <w:p w14:paraId="20EB099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根据自行监测结果，近年来企业各污染物均可做到达标排放</w:t>
                  </w:r>
                </w:p>
              </w:tc>
              <w:tc>
                <w:tcPr>
                  <w:tcW w:w="950" w:type="dxa"/>
                  <w:tcBorders>
                    <w:tl2br w:val="nil"/>
                    <w:tr2bl w:val="nil"/>
                  </w:tcBorders>
                  <w:noWrap w:val="0"/>
                  <w:vAlign w:val="center"/>
                </w:tcPr>
                <w:p w14:paraId="210FA63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已落实</w:t>
                  </w:r>
                </w:p>
              </w:tc>
            </w:tr>
            <w:tr w14:paraId="63075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noWrap w:val="0"/>
                  <w:vAlign w:val="center"/>
                </w:tcPr>
                <w:p w14:paraId="5976551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c>
                <w:tcPr>
                  <w:tcW w:w="3533" w:type="dxa"/>
                  <w:tcBorders>
                    <w:tl2br w:val="nil"/>
                    <w:tr2bl w:val="nil"/>
                  </w:tcBorders>
                  <w:noWrap w:val="0"/>
                  <w:vAlign w:val="center"/>
                </w:tcPr>
                <w:p w14:paraId="416E7CF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加强项目运营期产生的一般工业固体废物和危险废物的管理，保证处理、处置措施有效、可行</w:t>
                  </w:r>
                </w:p>
              </w:tc>
              <w:tc>
                <w:tcPr>
                  <w:tcW w:w="3292" w:type="dxa"/>
                  <w:tcBorders>
                    <w:tl2br w:val="nil"/>
                    <w:tr2bl w:val="nil"/>
                  </w:tcBorders>
                  <w:noWrap w:val="0"/>
                  <w:vAlign w:val="center"/>
                </w:tcPr>
                <w:p w14:paraId="2498D26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已建一般工业固体废物间、危险废物暂存间等，并按要求妥善处理各类废物</w:t>
                  </w:r>
                </w:p>
              </w:tc>
              <w:tc>
                <w:tcPr>
                  <w:tcW w:w="950" w:type="dxa"/>
                  <w:tcBorders>
                    <w:tl2br w:val="nil"/>
                    <w:tr2bl w:val="nil"/>
                  </w:tcBorders>
                  <w:noWrap w:val="0"/>
                  <w:vAlign w:val="center"/>
                </w:tcPr>
                <w:p w14:paraId="1157BF3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已落实</w:t>
                  </w:r>
                </w:p>
              </w:tc>
            </w:tr>
            <w:tr w14:paraId="7EA21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noWrap w:val="0"/>
                  <w:vAlign w:val="center"/>
                </w:tcPr>
                <w:p w14:paraId="11C77C0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w:t>
                  </w:r>
                </w:p>
              </w:tc>
              <w:tc>
                <w:tcPr>
                  <w:tcW w:w="3533" w:type="dxa"/>
                  <w:tcBorders>
                    <w:tl2br w:val="nil"/>
                    <w:tr2bl w:val="nil"/>
                  </w:tcBorders>
                  <w:noWrap w:val="0"/>
                  <w:vAlign w:val="center"/>
                </w:tcPr>
                <w:p w14:paraId="493F9C9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加强环境应急预案的学习与演练，提高应急响应能力，降低环境事故风险</w:t>
                  </w:r>
                </w:p>
              </w:tc>
              <w:tc>
                <w:tcPr>
                  <w:tcW w:w="3292" w:type="dxa"/>
                  <w:tcBorders>
                    <w:tl2br w:val="nil"/>
                    <w:tr2bl w:val="nil"/>
                  </w:tcBorders>
                  <w:noWrap w:val="0"/>
                  <w:vAlign w:val="center"/>
                </w:tcPr>
                <w:p w14:paraId="49E9859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未定期组织演练，厂区配套了雨水切换阀门，但应急池缺乏管理，内部残留雨水和垃圾，且未及时修编应急预案</w:t>
                  </w:r>
                </w:p>
              </w:tc>
              <w:tc>
                <w:tcPr>
                  <w:tcW w:w="950" w:type="dxa"/>
                  <w:tcBorders>
                    <w:tl2br w:val="nil"/>
                    <w:tr2bl w:val="nil"/>
                  </w:tcBorders>
                  <w:noWrap w:val="0"/>
                  <w:vAlign w:val="center"/>
                </w:tcPr>
                <w:p w14:paraId="2CEA83C0">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未落实</w:t>
                  </w:r>
                </w:p>
              </w:tc>
            </w:tr>
            <w:tr w14:paraId="57211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noWrap w:val="0"/>
                  <w:vAlign w:val="center"/>
                </w:tcPr>
                <w:p w14:paraId="12AC4F1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w:t>
                  </w:r>
                </w:p>
              </w:tc>
              <w:tc>
                <w:tcPr>
                  <w:tcW w:w="3533" w:type="dxa"/>
                  <w:tcBorders>
                    <w:tl2br w:val="nil"/>
                    <w:tr2bl w:val="nil"/>
                  </w:tcBorders>
                  <w:noWrap w:val="0"/>
                  <w:vAlign w:val="center"/>
                </w:tcPr>
                <w:p w14:paraId="2B10071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设置强有力的环境管理机构和环境监测机构，建立一套健全、完善的环境管理制度</w:t>
                  </w:r>
                </w:p>
              </w:tc>
              <w:tc>
                <w:tcPr>
                  <w:tcW w:w="3292" w:type="dxa"/>
                  <w:tcBorders>
                    <w:tl2br w:val="nil"/>
                    <w:tr2bl w:val="nil"/>
                  </w:tcBorders>
                  <w:noWrap w:val="0"/>
                  <w:vAlign w:val="center"/>
                </w:tcPr>
                <w:p w14:paraId="5AF87A6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已建立环境管理制度，按期委托有资质监测单位开展自行监测</w:t>
                  </w:r>
                </w:p>
              </w:tc>
              <w:tc>
                <w:tcPr>
                  <w:tcW w:w="950" w:type="dxa"/>
                  <w:tcBorders>
                    <w:tl2br w:val="nil"/>
                    <w:tr2bl w:val="nil"/>
                  </w:tcBorders>
                  <w:noWrap w:val="0"/>
                  <w:vAlign w:val="center"/>
                </w:tcPr>
                <w:p w14:paraId="597C3A07">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已落实</w:t>
                  </w:r>
                </w:p>
              </w:tc>
            </w:tr>
            <w:tr w14:paraId="07AE4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noWrap w:val="0"/>
                  <w:vAlign w:val="center"/>
                </w:tcPr>
                <w:p w14:paraId="3417922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w:t>
                  </w:r>
                </w:p>
              </w:tc>
              <w:tc>
                <w:tcPr>
                  <w:tcW w:w="3533" w:type="dxa"/>
                  <w:tcBorders>
                    <w:tl2br w:val="nil"/>
                    <w:tr2bl w:val="nil"/>
                  </w:tcBorders>
                  <w:noWrap w:val="0"/>
                  <w:vAlign w:val="center"/>
                </w:tcPr>
                <w:p w14:paraId="0C73CDB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针对氮氧化物、二氧化硫重新申请排污权交易</w:t>
                  </w:r>
                </w:p>
              </w:tc>
              <w:tc>
                <w:tcPr>
                  <w:tcW w:w="3292" w:type="dxa"/>
                  <w:tcBorders>
                    <w:tl2br w:val="nil"/>
                    <w:tr2bl w:val="nil"/>
                  </w:tcBorders>
                  <w:noWrap w:val="0"/>
                  <w:vAlign w:val="center"/>
                </w:tcPr>
                <w:p w14:paraId="75F76CD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未重新申请排污权交易</w:t>
                  </w:r>
                </w:p>
              </w:tc>
              <w:tc>
                <w:tcPr>
                  <w:tcW w:w="950" w:type="dxa"/>
                  <w:tcBorders>
                    <w:tl2br w:val="nil"/>
                    <w:tr2bl w:val="nil"/>
                  </w:tcBorders>
                  <w:noWrap w:val="0"/>
                  <w:vAlign w:val="center"/>
                </w:tcPr>
                <w:p w14:paraId="4968BCEC">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未落实</w:t>
                  </w:r>
                </w:p>
              </w:tc>
            </w:tr>
          </w:tbl>
          <w:p w14:paraId="230AC804">
            <w:pPr>
              <w:pStyle w:val="11"/>
              <w:keepNext w:val="0"/>
              <w:keepLines w:val="0"/>
              <w:pageBreakBefore w:val="0"/>
              <w:kinsoku/>
              <w:wordWrap/>
              <w:overflowPunct/>
              <w:topLinePunct w:val="0"/>
              <w:autoSpaceDE/>
              <w:autoSpaceDN/>
              <w:bidi w:val="0"/>
              <w:adjustRightInd/>
              <w:spacing w:before="0" w:after="0" w:line="360" w:lineRule="auto"/>
              <w:ind w:right="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w:t>
            </w:r>
            <w:r>
              <w:rPr>
                <w:rFonts w:hint="eastAsia" w:ascii="Times New Roman" w:hAnsi="Times New Roman" w:cs="Times New Roman"/>
                <w:b/>
                <w:bCs/>
                <w:color w:val="000000" w:themeColor="text1"/>
                <w:sz w:val="24"/>
                <w:lang w:val="en-US" w:eastAsia="zh-CN"/>
                <w14:textFill>
                  <w14:solidFill>
                    <w14:schemeClr w14:val="tx1"/>
                  </w14:solidFill>
                </w14:textFill>
              </w:rPr>
              <w:t>7.3</w:t>
            </w:r>
            <w:r>
              <w:rPr>
                <w:rFonts w:hint="default" w:ascii="Times New Roman" w:hAnsi="Times New Roman" w:cs="Times New Roman"/>
                <w:b/>
                <w:bCs/>
                <w:color w:val="000000" w:themeColor="text1"/>
                <w:sz w:val="24"/>
                <w14:textFill>
                  <w14:solidFill>
                    <w14:schemeClr w14:val="tx1"/>
                  </w14:solidFill>
                </w14:textFill>
              </w:rPr>
              <w:t>现有工程</w:t>
            </w:r>
            <w:r>
              <w:rPr>
                <w:rFonts w:hint="eastAsia" w:ascii="Times New Roman" w:hAnsi="Times New Roman" w:cs="Times New Roman"/>
                <w:b/>
                <w:bCs/>
                <w:color w:val="000000" w:themeColor="text1"/>
                <w:sz w:val="24"/>
                <w:lang w:val="en-US" w:eastAsia="zh-CN"/>
                <w14:textFill>
                  <w14:solidFill>
                    <w14:schemeClr w14:val="tx1"/>
                  </w14:solidFill>
                </w14:textFill>
              </w:rPr>
              <w:t>自行监测要求及落实情况</w:t>
            </w:r>
          </w:p>
          <w:p w14:paraId="5385333D">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现有工程</w:t>
            </w:r>
            <w:r>
              <w:rPr>
                <w:rFonts w:hint="eastAsia" w:ascii="Times New Roman" w:hAnsi="Times New Roman" w:cs="Times New Roman"/>
                <w:bCs/>
                <w:color w:val="000000" w:themeColor="text1"/>
                <w:sz w:val="24"/>
                <w:lang w:val="en-US" w:eastAsia="zh-CN"/>
                <w14:textFill>
                  <w14:solidFill>
                    <w14:schemeClr w14:val="tx1"/>
                  </w14:solidFill>
                </w14:textFill>
              </w:rPr>
              <w:t>排污许可证自行监测要求见表2.7-3</w:t>
            </w:r>
            <w:r>
              <w:rPr>
                <w:rFonts w:hint="default" w:ascii="Times New Roman" w:hAnsi="Times New Roman" w:cs="Times New Roman"/>
                <w:bCs/>
                <w:color w:val="000000" w:themeColor="text1"/>
                <w:sz w:val="24"/>
                <w14:textFill>
                  <w14:solidFill>
                    <w14:schemeClr w14:val="tx1"/>
                  </w14:solidFill>
                </w14:textFill>
              </w:rPr>
              <w:t>。</w:t>
            </w:r>
          </w:p>
          <w:p w14:paraId="14A18B8E">
            <w:pPr>
              <w:pStyle w:val="146"/>
              <w:spacing w:line="240" w:lineRule="auto"/>
              <w:ind w:firstLine="48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2.7-3</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 xml:space="preserve">  现有工程排污许可证自行监测要求</w:t>
            </w:r>
          </w:p>
          <w:tbl>
            <w:tblPr>
              <w:tblStyle w:val="31"/>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191"/>
              <w:gridCol w:w="1305"/>
              <w:gridCol w:w="3304"/>
              <w:gridCol w:w="1149"/>
              <w:gridCol w:w="984"/>
            </w:tblGrid>
            <w:tr w14:paraId="3D0FE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tcBorders>
                    <w:tl2br w:val="nil"/>
                    <w:tr2bl w:val="nil"/>
                  </w:tcBorders>
                  <w:noWrap w:val="0"/>
                  <w:vAlign w:val="center"/>
                </w:tcPr>
                <w:p w14:paraId="65986CFC">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序号</w:t>
                  </w:r>
                </w:p>
              </w:tc>
              <w:tc>
                <w:tcPr>
                  <w:tcW w:w="699" w:type="pct"/>
                  <w:tcBorders>
                    <w:tl2br w:val="nil"/>
                    <w:tr2bl w:val="nil"/>
                  </w:tcBorders>
                  <w:noWrap w:val="0"/>
                  <w:vAlign w:val="center"/>
                </w:tcPr>
                <w:p w14:paraId="6497FD52">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类型</w:t>
                  </w:r>
                </w:p>
              </w:tc>
              <w:tc>
                <w:tcPr>
                  <w:tcW w:w="766" w:type="pct"/>
                  <w:tcBorders>
                    <w:tl2br w:val="nil"/>
                    <w:tr2bl w:val="nil"/>
                  </w:tcBorders>
                  <w:noWrap w:val="0"/>
                  <w:vAlign w:val="center"/>
                </w:tcPr>
                <w:p w14:paraId="32064A64">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监测点名称</w:t>
                  </w:r>
                </w:p>
              </w:tc>
              <w:tc>
                <w:tcPr>
                  <w:tcW w:w="1939" w:type="pct"/>
                  <w:tcBorders>
                    <w:tl2br w:val="nil"/>
                    <w:tr2bl w:val="nil"/>
                  </w:tcBorders>
                  <w:noWrap w:val="0"/>
                  <w:vAlign w:val="center"/>
                </w:tcPr>
                <w:p w14:paraId="47E30774">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监测项目</w:t>
                  </w:r>
                </w:p>
              </w:tc>
              <w:tc>
                <w:tcPr>
                  <w:tcW w:w="674" w:type="pct"/>
                  <w:tcBorders>
                    <w:tl2br w:val="nil"/>
                    <w:tr2bl w:val="nil"/>
                  </w:tcBorders>
                  <w:noWrap w:val="0"/>
                  <w:vAlign w:val="center"/>
                </w:tcPr>
                <w:p w14:paraId="7B08AF40">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监测方式</w:t>
                  </w:r>
                </w:p>
              </w:tc>
              <w:tc>
                <w:tcPr>
                  <w:tcW w:w="577" w:type="pct"/>
                  <w:tcBorders>
                    <w:tl2br w:val="nil"/>
                    <w:tr2bl w:val="nil"/>
                  </w:tcBorders>
                  <w:noWrap w:val="0"/>
                  <w:vAlign w:val="center"/>
                </w:tcPr>
                <w:p w14:paraId="7A576401">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监测频次</w:t>
                  </w:r>
                </w:p>
              </w:tc>
            </w:tr>
            <w:tr w14:paraId="7B4BF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42" w:type="pct"/>
                  <w:tcBorders>
                    <w:tl2br w:val="nil"/>
                    <w:tr2bl w:val="nil"/>
                  </w:tcBorders>
                  <w:noWrap w:val="0"/>
                  <w:vAlign w:val="center"/>
                </w:tcPr>
                <w:p w14:paraId="7BAF8464">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1</w:t>
                  </w:r>
                </w:p>
              </w:tc>
              <w:tc>
                <w:tcPr>
                  <w:tcW w:w="699" w:type="pct"/>
                  <w:vMerge w:val="restart"/>
                  <w:tcBorders>
                    <w:tl2br w:val="nil"/>
                    <w:tr2bl w:val="nil"/>
                  </w:tcBorders>
                  <w:noWrap w:val="0"/>
                  <w:vAlign w:val="center"/>
                </w:tcPr>
                <w:p w14:paraId="644C1D81">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有组织废气</w:t>
                  </w:r>
                </w:p>
              </w:tc>
              <w:tc>
                <w:tcPr>
                  <w:tcW w:w="766" w:type="pct"/>
                  <w:tcBorders>
                    <w:tl2br w:val="nil"/>
                    <w:tr2bl w:val="nil"/>
                  </w:tcBorders>
                  <w:noWrap w:val="0"/>
                  <w:vAlign w:val="center"/>
                </w:tcPr>
                <w:p w14:paraId="5EDCDBEA">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涂装车间废气排放口</w:t>
                  </w:r>
                </w:p>
              </w:tc>
              <w:tc>
                <w:tcPr>
                  <w:tcW w:w="1939" w:type="pct"/>
                  <w:tcBorders>
                    <w:tl2br w:val="nil"/>
                    <w:tr2bl w:val="nil"/>
                  </w:tcBorders>
                  <w:noWrap w:val="0"/>
                  <w:vAlign w:val="center"/>
                </w:tcPr>
                <w:p w14:paraId="1576702A">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林格曼黑度、氮氧化物、二氧化硫、甲苯、二甲苯、非甲烷总烃、颗粒物</w:t>
                  </w:r>
                </w:p>
              </w:tc>
              <w:tc>
                <w:tcPr>
                  <w:tcW w:w="674" w:type="pct"/>
                  <w:tcBorders>
                    <w:tl2br w:val="nil"/>
                    <w:tr2bl w:val="nil"/>
                  </w:tcBorders>
                  <w:noWrap w:val="0"/>
                  <w:vAlign w:val="center"/>
                </w:tcPr>
                <w:p w14:paraId="13698202">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手工监测</w:t>
                  </w:r>
                </w:p>
              </w:tc>
              <w:tc>
                <w:tcPr>
                  <w:tcW w:w="577" w:type="pct"/>
                  <w:tcBorders>
                    <w:tl2br w:val="nil"/>
                    <w:tr2bl w:val="nil"/>
                  </w:tcBorders>
                  <w:noWrap w:val="0"/>
                  <w:vAlign w:val="center"/>
                </w:tcPr>
                <w:p w14:paraId="5235FB80">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年</w:t>
                  </w:r>
                </w:p>
              </w:tc>
            </w:tr>
            <w:tr w14:paraId="56B66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42" w:type="pct"/>
                  <w:tcBorders>
                    <w:tl2br w:val="nil"/>
                    <w:tr2bl w:val="nil"/>
                  </w:tcBorders>
                  <w:noWrap w:val="0"/>
                  <w:vAlign w:val="center"/>
                </w:tcPr>
                <w:p w14:paraId="68A85ADA">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2</w:t>
                  </w:r>
                </w:p>
              </w:tc>
              <w:tc>
                <w:tcPr>
                  <w:tcW w:w="699" w:type="pct"/>
                  <w:vMerge w:val="continue"/>
                  <w:tcBorders>
                    <w:tl2br w:val="nil"/>
                    <w:tr2bl w:val="nil"/>
                  </w:tcBorders>
                  <w:noWrap w:val="0"/>
                  <w:vAlign w:val="center"/>
                </w:tcPr>
                <w:p w14:paraId="32738B55">
                  <w:pPr>
                    <w:pStyle w:val="161"/>
                    <w:adjustRightInd/>
                    <w:snapToGrid/>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p>
              </w:tc>
              <w:tc>
                <w:tcPr>
                  <w:tcW w:w="766" w:type="pct"/>
                  <w:tcBorders>
                    <w:tl2br w:val="nil"/>
                    <w:tr2bl w:val="nil"/>
                  </w:tcBorders>
                  <w:noWrap w:val="0"/>
                  <w:vAlign w:val="center"/>
                </w:tcPr>
                <w:p w14:paraId="25AF2192">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喷漆打磨废气排放口</w:t>
                  </w:r>
                </w:p>
              </w:tc>
              <w:tc>
                <w:tcPr>
                  <w:tcW w:w="1939" w:type="pct"/>
                  <w:tcBorders>
                    <w:tl2br w:val="nil"/>
                    <w:tr2bl w:val="nil"/>
                  </w:tcBorders>
                  <w:noWrap w:val="0"/>
                  <w:vAlign w:val="center"/>
                </w:tcPr>
                <w:p w14:paraId="231C929A">
                  <w:pPr>
                    <w:pStyle w:val="161"/>
                    <w:adjustRightInd/>
                    <w:snapToGrid/>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颗粒物</w:t>
                  </w:r>
                </w:p>
              </w:tc>
              <w:tc>
                <w:tcPr>
                  <w:tcW w:w="674" w:type="pct"/>
                  <w:tcBorders>
                    <w:tl2br w:val="nil"/>
                    <w:tr2bl w:val="nil"/>
                  </w:tcBorders>
                  <w:noWrap w:val="0"/>
                  <w:vAlign w:val="center"/>
                </w:tcPr>
                <w:p w14:paraId="27FC13F7">
                  <w:pPr>
                    <w:pStyle w:val="161"/>
                    <w:adjustRightInd/>
                    <w:snapToGrid/>
                    <w:spacing w:line="240" w:lineRule="auto"/>
                    <w:ind w:left="-115" w:leftChars="0" w:right="-92" w:rightChars="0"/>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手工监测</w:t>
                  </w:r>
                </w:p>
              </w:tc>
              <w:tc>
                <w:tcPr>
                  <w:tcW w:w="577" w:type="pct"/>
                  <w:tcBorders>
                    <w:tl2br w:val="nil"/>
                    <w:tr2bl w:val="nil"/>
                  </w:tcBorders>
                  <w:noWrap w:val="0"/>
                  <w:vAlign w:val="center"/>
                </w:tcPr>
                <w:p w14:paraId="4B672C84">
                  <w:pPr>
                    <w:pStyle w:val="161"/>
                    <w:adjustRightInd/>
                    <w:snapToGrid/>
                    <w:spacing w:line="240" w:lineRule="auto"/>
                    <w:ind w:left="-115" w:leftChars="0" w:right="-92" w:rightChars="0"/>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年</w:t>
                  </w:r>
                </w:p>
              </w:tc>
            </w:tr>
            <w:tr w14:paraId="62AE5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2" w:type="pct"/>
                  <w:tcBorders>
                    <w:tl2br w:val="nil"/>
                    <w:tr2bl w:val="nil"/>
                  </w:tcBorders>
                  <w:noWrap w:val="0"/>
                  <w:vAlign w:val="center"/>
                </w:tcPr>
                <w:p w14:paraId="59214528">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3</w:t>
                  </w:r>
                </w:p>
              </w:tc>
              <w:tc>
                <w:tcPr>
                  <w:tcW w:w="699" w:type="pct"/>
                  <w:tcBorders>
                    <w:tl2br w:val="nil"/>
                    <w:tr2bl w:val="nil"/>
                  </w:tcBorders>
                  <w:noWrap w:val="0"/>
                  <w:vAlign w:val="center"/>
                </w:tcPr>
                <w:p w14:paraId="54860091">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废水</w:t>
                  </w:r>
                </w:p>
              </w:tc>
              <w:tc>
                <w:tcPr>
                  <w:tcW w:w="766" w:type="pct"/>
                  <w:tcBorders>
                    <w:tl2br w:val="nil"/>
                    <w:tr2bl w:val="nil"/>
                  </w:tcBorders>
                  <w:noWrap w:val="0"/>
                  <w:vAlign w:val="center"/>
                </w:tcPr>
                <w:p w14:paraId="6FE85D61">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废水总排放口</w:t>
                  </w:r>
                </w:p>
              </w:tc>
              <w:tc>
                <w:tcPr>
                  <w:tcW w:w="1939" w:type="pct"/>
                  <w:tcBorders>
                    <w:tl2br w:val="nil"/>
                    <w:tr2bl w:val="nil"/>
                  </w:tcBorders>
                  <w:noWrap w:val="0"/>
                  <w:vAlign w:val="center"/>
                </w:tcPr>
                <w:p w14:paraId="055A3CF1">
                  <w:pPr>
                    <w:pStyle w:val="161"/>
                    <w:adjustRightInd/>
                    <w:snapToGrid/>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pH、COD</w:t>
                  </w:r>
                  <w:r>
                    <w:rPr>
                      <w:rFonts w:hint="default" w:ascii="Times New Roman" w:hAnsi="Times New Roman" w:cs="Times New Roman"/>
                      <w:color w:val="000000" w:themeColor="text1"/>
                      <w:spacing w:val="0"/>
                      <w:sz w:val="21"/>
                      <w:szCs w:val="21"/>
                      <w:vertAlign w:val="subscript"/>
                      <w14:textFill>
                        <w14:solidFill>
                          <w14:schemeClr w14:val="tx1"/>
                        </w14:solidFill>
                      </w14:textFill>
                    </w:rPr>
                    <w:t>Cr</w:t>
                  </w:r>
                  <w:r>
                    <w:rPr>
                      <w:rFonts w:hint="default" w:ascii="Times New Roman" w:hAnsi="Times New Roman" w:cs="Times New Roman"/>
                      <w:color w:val="000000" w:themeColor="text1"/>
                      <w:spacing w:val="0"/>
                      <w:sz w:val="21"/>
                      <w:szCs w:val="21"/>
                      <w14:textFill>
                        <w14:solidFill>
                          <w14:schemeClr w14:val="tx1"/>
                        </w14:solidFill>
                      </w14:textFill>
                    </w:rPr>
                    <w:t>、BOD</w:t>
                  </w:r>
                  <w:r>
                    <w:rPr>
                      <w:rFonts w:hint="default" w:ascii="Times New Roman" w:hAnsi="Times New Roman" w:cs="Times New Roman"/>
                      <w:color w:val="000000" w:themeColor="text1"/>
                      <w:spacing w:val="0"/>
                      <w:sz w:val="21"/>
                      <w:szCs w:val="21"/>
                      <w:vertAlign w:val="subscript"/>
                      <w14:textFill>
                        <w14:solidFill>
                          <w14:schemeClr w14:val="tx1"/>
                        </w14:solidFill>
                      </w14:textFill>
                    </w:rPr>
                    <w:t>5</w:t>
                  </w:r>
                  <w:r>
                    <w:rPr>
                      <w:rFonts w:hint="default" w:ascii="Times New Roman" w:hAnsi="Times New Roman" w:cs="Times New Roman"/>
                      <w:color w:val="000000" w:themeColor="text1"/>
                      <w:spacing w:val="0"/>
                      <w:sz w:val="21"/>
                      <w:szCs w:val="21"/>
                      <w14:textFill>
                        <w14:solidFill>
                          <w14:schemeClr w14:val="tx1"/>
                        </w14:solidFill>
                      </w14:textFill>
                    </w:rPr>
                    <w:t>、SS、</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石油类、磷酸盐、LAS、</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NH</w:t>
                  </w:r>
                  <w:r>
                    <w:rPr>
                      <w:rFonts w:hint="default" w:ascii="Times New Roman" w:hAnsi="Times New Roman" w:eastAsia="宋体" w:cs="Times New Roman"/>
                      <w:color w:val="000000" w:themeColor="text1"/>
                      <w:spacing w:val="0"/>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-N</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总磷（以P计</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w:t>
                  </w:r>
                </w:p>
              </w:tc>
              <w:tc>
                <w:tcPr>
                  <w:tcW w:w="674" w:type="pct"/>
                  <w:tcBorders>
                    <w:tl2br w:val="nil"/>
                    <w:tr2bl w:val="nil"/>
                  </w:tcBorders>
                  <w:noWrap w:val="0"/>
                  <w:vAlign w:val="center"/>
                </w:tcPr>
                <w:p w14:paraId="2D1D696E">
                  <w:pPr>
                    <w:pStyle w:val="161"/>
                    <w:adjustRightInd/>
                    <w:snapToGrid/>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手工监测</w:t>
                  </w:r>
                </w:p>
              </w:tc>
              <w:tc>
                <w:tcPr>
                  <w:tcW w:w="577" w:type="pct"/>
                  <w:tcBorders>
                    <w:tl2br w:val="nil"/>
                    <w:tr2bl w:val="nil"/>
                  </w:tcBorders>
                  <w:noWrap w:val="0"/>
                  <w:vAlign w:val="center"/>
                </w:tcPr>
                <w:p w14:paraId="75918D31">
                  <w:pPr>
                    <w:pStyle w:val="161"/>
                    <w:adjustRightInd/>
                    <w:snapToGrid/>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半年</w:t>
                  </w:r>
                </w:p>
              </w:tc>
            </w:tr>
            <w:tr w14:paraId="709B7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tcBorders>
                    <w:tl2br w:val="nil"/>
                    <w:tr2bl w:val="nil"/>
                  </w:tcBorders>
                  <w:noWrap w:val="0"/>
                  <w:vAlign w:val="center"/>
                </w:tcPr>
                <w:p w14:paraId="3FA83F95">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4</w:t>
                  </w:r>
                </w:p>
              </w:tc>
              <w:tc>
                <w:tcPr>
                  <w:tcW w:w="699" w:type="pct"/>
                  <w:tcBorders>
                    <w:tl2br w:val="nil"/>
                    <w:tr2bl w:val="nil"/>
                  </w:tcBorders>
                  <w:noWrap w:val="0"/>
                  <w:vAlign w:val="center"/>
                </w:tcPr>
                <w:p w14:paraId="74F01911">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噪声</w:t>
                  </w:r>
                </w:p>
              </w:tc>
              <w:tc>
                <w:tcPr>
                  <w:tcW w:w="766" w:type="pct"/>
                  <w:tcBorders>
                    <w:tl2br w:val="nil"/>
                    <w:tr2bl w:val="nil"/>
                  </w:tcBorders>
                  <w:noWrap w:val="0"/>
                  <w:vAlign w:val="center"/>
                </w:tcPr>
                <w:p w14:paraId="5A0E8089">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厂界</w:t>
                  </w:r>
                </w:p>
              </w:tc>
              <w:tc>
                <w:tcPr>
                  <w:tcW w:w="1939" w:type="pct"/>
                  <w:tcBorders>
                    <w:tl2br w:val="nil"/>
                    <w:tr2bl w:val="nil"/>
                  </w:tcBorders>
                  <w:noWrap w:val="0"/>
                  <w:vAlign w:val="center"/>
                </w:tcPr>
                <w:p w14:paraId="78C2E599">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Leq</w:t>
                  </w:r>
                </w:p>
              </w:tc>
              <w:tc>
                <w:tcPr>
                  <w:tcW w:w="674" w:type="pct"/>
                  <w:tcBorders>
                    <w:tl2br w:val="nil"/>
                    <w:tr2bl w:val="nil"/>
                  </w:tcBorders>
                  <w:noWrap w:val="0"/>
                  <w:vAlign w:val="center"/>
                </w:tcPr>
                <w:p w14:paraId="50A1AD6B">
                  <w:pPr>
                    <w:pStyle w:val="161"/>
                    <w:adjustRightInd/>
                    <w:snapToGrid/>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手工监测</w:t>
                  </w:r>
                </w:p>
              </w:tc>
              <w:tc>
                <w:tcPr>
                  <w:tcW w:w="577" w:type="pct"/>
                  <w:tcBorders>
                    <w:tl2br w:val="nil"/>
                    <w:tr2bl w:val="nil"/>
                  </w:tcBorders>
                  <w:noWrap w:val="0"/>
                  <w:vAlign w:val="center"/>
                </w:tcPr>
                <w:p w14:paraId="76E46836">
                  <w:pPr>
                    <w:pStyle w:val="161"/>
                    <w:adjustRightInd/>
                    <w:snapToGrid/>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季</w:t>
                  </w:r>
                </w:p>
              </w:tc>
            </w:tr>
            <w:tr w14:paraId="711B8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tcBorders>
                    <w:tl2br w:val="nil"/>
                    <w:tr2bl w:val="nil"/>
                  </w:tcBorders>
                  <w:noWrap w:val="0"/>
                  <w:vAlign w:val="center"/>
                </w:tcPr>
                <w:p w14:paraId="02583289">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5</w:t>
                  </w:r>
                </w:p>
              </w:tc>
              <w:tc>
                <w:tcPr>
                  <w:tcW w:w="699" w:type="pct"/>
                  <w:tcBorders>
                    <w:tl2br w:val="nil"/>
                    <w:tr2bl w:val="nil"/>
                  </w:tcBorders>
                  <w:noWrap w:val="0"/>
                  <w:vAlign w:val="center"/>
                </w:tcPr>
                <w:p w14:paraId="022E353B">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无组织废气</w:t>
                  </w:r>
                </w:p>
              </w:tc>
              <w:tc>
                <w:tcPr>
                  <w:tcW w:w="766" w:type="pct"/>
                  <w:tcBorders>
                    <w:tl2br w:val="nil"/>
                    <w:tr2bl w:val="nil"/>
                  </w:tcBorders>
                  <w:noWrap w:val="0"/>
                  <w:vAlign w:val="center"/>
                </w:tcPr>
                <w:p w14:paraId="6FCE41E3">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厂界无组织</w:t>
                  </w:r>
                </w:p>
              </w:tc>
              <w:tc>
                <w:tcPr>
                  <w:tcW w:w="1939" w:type="pct"/>
                  <w:tcBorders>
                    <w:tl2br w:val="nil"/>
                    <w:tr2bl w:val="nil"/>
                  </w:tcBorders>
                  <w:noWrap w:val="0"/>
                  <w:vAlign w:val="center"/>
                </w:tcPr>
                <w:p w14:paraId="656E7207">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颗粒物、二甲苯、甲苯、非甲烷总烃</w:t>
                  </w:r>
                </w:p>
              </w:tc>
              <w:tc>
                <w:tcPr>
                  <w:tcW w:w="674" w:type="pct"/>
                  <w:tcBorders>
                    <w:tl2br w:val="nil"/>
                    <w:tr2bl w:val="nil"/>
                  </w:tcBorders>
                  <w:noWrap w:val="0"/>
                  <w:vAlign w:val="center"/>
                </w:tcPr>
                <w:p w14:paraId="079DDCCB">
                  <w:pPr>
                    <w:pStyle w:val="161"/>
                    <w:adjustRightInd/>
                    <w:snapToGrid/>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手工监测</w:t>
                  </w:r>
                </w:p>
              </w:tc>
              <w:tc>
                <w:tcPr>
                  <w:tcW w:w="577" w:type="pct"/>
                  <w:tcBorders>
                    <w:tl2br w:val="nil"/>
                    <w:tr2bl w:val="nil"/>
                  </w:tcBorders>
                  <w:noWrap w:val="0"/>
                  <w:vAlign w:val="center"/>
                </w:tcPr>
                <w:p w14:paraId="3941B56A">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半年</w:t>
                  </w:r>
                </w:p>
              </w:tc>
            </w:tr>
            <w:tr w14:paraId="25AF5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342" w:type="pct"/>
                  <w:tcBorders>
                    <w:tl2br w:val="nil"/>
                    <w:tr2bl w:val="nil"/>
                  </w:tcBorders>
                  <w:noWrap w:val="0"/>
                  <w:vAlign w:val="center"/>
                </w:tcPr>
                <w:p w14:paraId="2903225A">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6</w:t>
                  </w:r>
                </w:p>
              </w:tc>
              <w:tc>
                <w:tcPr>
                  <w:tcW w:w="699" w:type="pct"/>
                  <w:tcBorders>
                    <w:tl2br w:val="nil"/>
                    <w:tr2bl w:val="nil"/>
                  </w:tcBorders>
                  <w:noWrap w:val="0"/>
                  <w:vAlign w:val="center"/>
                </w:tcPr>
                <w:p w14:paraId="157F55F2">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雨水</w:t>
                  </w:r>
                </w:p>
              </w:tc>
              <w:tc>
                <w:tcPr>
                  <w:tcW w:w="766" w:type="pct"/>
                  <w:tcBorders>
                    <w:tl2br w:val="nil"/>
                    <w:tr2bl w:val="nil"/>
                  </w:tcBorders>
                  <w:noWrap w:val="0"/>
                  <w:vAlign w:val="center"/>
                </w:tcPr>
                <w:p w14:paraId="161713F1">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雨水排放口</w:t>
                  </w:r>
                </w:p>
              </w:tc>
              <w:tc>
                <w:tcPr>
                  <w:tcW w:w="1939" w:type="pct"/>
                  <w:tcBorders>
                    <w:tl2br w:val="nil"/>
                    <w:tr2bl w:val="nil"/>
                  </w:tcBorders>
                  <w:noWrap w:val="0"/>
                  <w:vAlign w:val="center"/>
                </w:tcPr>
                <w:p w14:paraId="7874A3B9">
                  <w:pPr>
                    <w:pStyle w:val="161"/>
                    <w:adjustRightInd/>
                    <w:snapToGrid/>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COD</w:t>
                  </w:r>
                  <w:r>
                    <w:rPr>
                      <w:rFonts w:hint="default" w:ascii="Times New Roman" w:hAnsi="Times New Roman" w:cs="Times New Roman"/>
                      <w:color w:val="000000" w:themeColor="text1"/>
                      <w:spacing w:val="0"/>
                      <w:sz w:val="21"/>
                      <w:szCs w:val="21"/>
                      <w:vertAlign w:val="subscript"/>
                      <w14:textFill>
                        <w14:solidFill>
                          <w14:schemeClr w14:val="tx1"/>
                        </w14:solidFill>
                      </w14:textFill>
                    </w:rPr>
                    <w:t>Cr</w:t>
                  </w:r>
                </w:p>
              </w:tc>
              <w:tc>
                <w:tcPr>
                  <w:tcW w:w="674" w:type="pct"/>
                  <w:tcBorders>
                    <w:tl2br w:val="nil"/>
                    <w:tr2bl w:val="nil"/>
                  </w:tcBorders>
                  <w:noWrap w:val="0"/>
                  <w:vAlign w:val="center"/>
                </w:tcPr>
                <w:p w14:paraId="04379D40">
                  <w:pPr>
                    <w:pStyle w:val="161"/>
                    <w:adjustRightInd/>
                    <w:snapToGrid/>
                    <w:spacing w:line="240" w:lineRule="auto"/>
                    <w:ind w:left="-115" w:leftChars="0" w:right="-92" w:rightChars="0"/>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手工监测</w:t>
                  </w:r>
                </w:p>
              </w:tc>
              <w:tc>
                <w:tcPr>
                  <w:tcW w:w="577" w:type="pct"/>
                  <w:tcBorders>
                    <w:tl2br w:val="nil"/>
                    <w:tr2bl w:val="nil"/>
                  </w:tcBorders>
                  <w:noWrap w:val="0"/>
                  <w:vAlign w:val="center"/>
                </w:tcPr>
                <w:p w14:paraId="5EB48A72">
                  <w:pPr>
                    <w:pStyle w:val="161"/>
                    <w:adjustRightInd/>
                    <w:snapToGrid/>
                    <w:spacing w:line="240" w:lineRule="auto"/>
                    <w:ind w:left="-115" w:leftChars="0" w:right="-92" w:rightChars="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有流动水时按日监测</w:t>
                  </w:r>
                </w:p>
              </w:tc>
            </w:tr>
          </w:tbl>
          <w:p w14:paraId="1419914C">
            <w:pPr>
              <w:pStyle w:val="11"/>
              <w:keepNext w:val="0"/>
              <w:keepLines w:val="0"/>
              <w:pageBreakBefore w:val="0"/>
              <w:widowControl/>
              <w:kinsoku/>
              <w:wordWrap w:val="0"/>
              <w:overflowPunct/>
              <w:topLinePunct w:val="0"/>
              <w:autoSpaceDE/>
              <w:autoSpaceDN/>
              <w:bidi w:val="0"/>
              <w:adjustRightInd/>
              <w:snapToGrid w:val="0"/>
              <w:spacing w:before="157" w:beforeLines="50" w:after="0" w:line="360" w:lineRule="auto"/>
              <w:ind w:right="113"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福州术立新能源科技有限公司</w:t>
            </w:r>
            <w:r>
              <w:rPr>
                <w:rFonts w:hint="eastAsia"/>
                <w:bCs/>
                <w:color w:val="000000" w:themeColor="text1"/>
                <w:spacing w:val="0"/>
                <w:sz w:val="24"/>
                <w:szCs w:val="24"/>
                <w:highlight w:val="none"/>
                <w14:textFill>
                  <w14:solidFill>
                    <w14:schemeClr w14:val="tx1"/>
                  </w14:solidFill>
                </w14:textFill>
              </w:rPr>
              <w:t>不具备自承担自行监测的能力，委托</w:t>
            </w:r>
            <w:r>
              <w:rPr>
                <w:rFonts w:hint="eastAsia"/>
                <w:color w:val="000000" w:themeColor="text1"/>
                <w:sz w:val="24"/>
                <w:highlight w:val="none"/>
                <w:lang w:val="en-US" w:eastAsia="zh-CN"/>
                <w14:textFill>
                  <w14:solidFill>
                    <w14:schemeClr w14:val="tx1"/>
                  </w14:solidFill>
                </w14:textFill>
              </w:rPr>
              <w:t>有资质单位</w:t>
            </w:r>
            <w:r>
              <w:rPr>
                <w:rFonts w:hint="eastAsia"/>
                <w:bCs/>
                <w:color w:val="000000" w:themeColor="text1"/>
                <w:spacing w:val="0"/>
                <w:sz w:val="24"/>
                <w:szCs w:val="24"/>
                <w:highlight w:val="none"/>
                <w14:textFill>
                  <w14:solidFill>
                    <w14:schemeClr w14:val="tx1"/>
                  </w14:solidFill>
                </w14:textFill>
              </w:rPr>
              <w:t>开展自行监测。</w:t>
            </w:r>
            <w:r>
              <w:rPr>
                <w:rFonts w:hint="eastAsia"/>
                <w:bCs/>
                <w:color w:val="000000" w:themeColor="text1"/>
                <w:spacing w:val="0"/>
                <w:sz w:val="24"/>
                <w:szCs w:val="24"/>
                <w:highlight w:val="none"/>
                <w:lang w:val="en-US" w:eastAsia="zh-CN"/>
                <w14:textFill>
                  <w14:solidFill>
                    <w14:schemeClr w14:val="tx1"/>
                  </w14:solidFill>
                </w14:textFill>
              </w:rPr>
              <w:t>根据收集的自行监测报告显示，企业各污染物日常可做到达标排放</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22DE4B81">
            <w:pPr>
              <w:spacing w:before="120" w:beforeLines="50" w:line="360" w:lineRule="auto"/>
              <w:outlineLvl w:val="1"/>
              <w:rPr>
                <w:rFonts w:hint="eastAsia" w:ascii="Times New Roman" w:hAnsi="Times New Roman" w:eastAsia="宋体"/>
                <w:b/>
                <w:color w:val="000000" w:themeColor="text1"/>
                <w:sz w:val="30"/>
                <w:szCs w:val="30"/>
                <w:highlight w:val="none"/>
                <w14:textFill>
                  <w14:solidFill>
                    <w14:schemeClr w14:val="tx1"/>
                  </w14:solidFill>
                </w14:textFill>
              </w:rPr>
            </w:pPr>
            <w:r>
              <w:rPr>
                <w:rFonts w:hint="eastAsia" w:ascii="Times New Roman" w:hAnsi="Times New Roman" w:eastAsia="宋体"/>
                <w:b/>
                <w:color w:val="000000" w:themeColor="text1"/>
                <w:sz w:val="30"/>
                <w:szCs w:val="30"/>
                <w:highlight w:val="none"/>
                <w:lang w:val="en-US" w:eastAsia="zh-CN"/>
                <w14:textFill>
                  <w14:solidFill>
                    <w14:schemeClr w14:val="tx1"/>
                  </w14:solidFill>
                </w14:textFill>
              </w:rPr>
              <w:t>2.</w:t>
            </w:r>
            <w:r>
              <w:rPr>
                <w:rFonts w:hint="eastAsia"/>
                <w:b/>
                <w:color w:val="000000" w:themeColor="text1"/>
                <w:sz w:val="30"/>
                <w:szCs w:val="30"/>
                <w:highlight w:val="none"/>
                <w:lang w:val="en-US" w:eastAsia="zh-CN"/>
                <w14:textFill>
                  <w14:solidFill>
                    <w14:schemeClr w14:val="tx1"/>
                  </w14:solidFill>
                </w14:textFill>
              </w:rPr>
              <w:t>8</w:t>
            </w:r>
            <w:r>
              <w:rPr>
                <w:rFonts w:hint="eastAsia" w:ascii="Times New Roman" w:hAnsi="Times New Roman" w:eastAsia="宋体"/>
                <w:b/>
                <w:color w:val="000000" w:themeColor="text1"/>
                <w:sz w:val="30"/>
                <w:szCs w:val="30"/>
                <w:highlight w:val="none"/>
                <w:lang w:val="en-US" w:eastAsia="zh-CN"/>
                <w14:textFill>
                  <w14:solidFill>
                    <w14:schemeClr w14:val="tx1"/>
                  </w14:solidFill>
                </w14:textFill>
              </w:rPr>
              <w:t>现有工程存在的</w:t>
            </w:r>
            <w:r>
              <w:rPr>
                <w:rFonts w:hint="default" w:ascii="Times New Roman" w:hAnsi="Times New Roman" w:eastAsia="宋体" w:cs="Times New Roman"/>
                <w:b/>
                <w:color w:val="000000" w:themeColor="text1"/>
                <w:sz w:val="30"/>
                <w:szCs w:val="30"/>
                <w:highlight w:val="none"/>
                <w:lang w:val="en-US" w:eastAsia="zh-CN"/>
                <w14:textFill>
                  <w14:solidFill>
                    <w14:schemeClr w14:val="tx1"/>
                  </w14:solidFill>
                </w14:textFill>
              </w:rPr>
              <w:t>主要环境</w:t>
            </w:r>
            <w:r>
              <w:rPr>
                <w:rFonts w:hint="eastAsia" w:ascii="Times New Roman" w:hAnsi="Times New Roman" w:eastAsia="宋体" w:cs="Times New Roman"/>
                <w:b/>
                <w:color w:val="000000" w:themeColor="text1"/>
                <w:sz w:val="30"/>
                <w:szCs w:val="30"/>
                <w:highlight w:val="none"/>
                <w:lang w:val="en-US" w:eastAsia="zh-CN"/>
                <w14:textFill>
                  <w14:solidFill>
                    <w14:schemeClr w14:val="tx1"/>
                  </w14:solidFill>
                </w14:textFill>
              </w:rPr>
              <w:t>问题及</w:t>
            </w:r>
            <w:r>
              <w:rPr>
                <w:rFonts w:hint="default" w:ascii="Times New Roman" w:hAnsi="Times New Roman" w:eastAsia="宋体" w:cs="Times New Roman"/>
                <w:b/>
                <w:color w:val="000000" w:themeColor="text1"/>
                <w:sz w:val="30"/>
                <w:szCs w:val="30"/>
                <w:highlight w:val="none"/>
                <w:lang w:val="en-US" w:eastAsia="zh-CN"/>
                <w14:textFill>
                  <w14:solidFill>
                    <w14:schemeClr w14:val="tx1"/>
                  </w14:solidFill>
                </w14:textFill>
              </w:rPr>
              <w:t>整改措施</w:t>
            </w:r>
          </w:p>
          <w:p w14:paraId="48C08537">
            <w:pPr>
              <w:pStyle w:val="11"/>
              <w:spacing w:line="240" w:lineRule="auto"/>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按照现行环保要求，现有工程存在的主要环境问题及整改措施见表2.8-1。</w:t>
            </w:r>
          </w:p>
          <w:p w14:paraId="71DC5A07">
            <w:pPr>
              <w:pStyle w:val="146"/>
              <w:spacing w:line="240" w:lineRule="auto"/>
              <w:ind w:firstLine="48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2.8-1 现有工程存在的主要环境问题及整改措施</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一览表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882"/>
              <w:gridCol w:w="3372"/>
              <w:gridCol w:w="1254"/>
            </w:tblGrid>
            <w:tr w14:paraId="521B6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noWrap w:val="0"/>
                  <w:vAlign w:val="center"/>
                </w:tcPr>
                <w:p w14:paraId="20A8E59F">
                  <w:pPr>
                    <w:tabs>
                      <w:tab w:val="left" w:pos="3420"/>
                    </w:tabs>
                    <w:spacing w:line="3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序号</w:t>
                  </w:r>
                </w:p>
              </w:tc>
              <w:tc>
                <w:tcPr>
                  <w:tcW w:w="1740" w:type="pct"/>
                  <w:noWrap w:val="0"/>
                  <w:vAlign w:val="center"/>
                </w:tcPr>
                <w:p w14:paraId="4147E35B">
                  <w:pPr>
                    <w:tabs>
                      <w:tab w:val="left" w:pos="3420"/>
                    </w:tabs>
                    <w:spacing w:line="340" w:lineRule="exact"/>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存在主要环境问题</w:t>
                  </w:r>
                </w:p>
              </w:tc>
              <w:tc>
                <w:tcPr>
                  <w:tcW w:w="2036" w:type="pct"/>
                  <w:noWrap w:val="0"/>
                  <w:vAlign w:val="center"/>
                </w:tcPr>
                <w:p w14:paraId="267DF1BA">
                  <w:pPr>
                    <w:tabs>
                      <w:tab w:val="left" w:pos="3420"/>
                    </w:tabs>
                    <w:spacing w:line="340" w:lineRule="exact"/>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整改措施</w:t>
                  </w:r>
                </w:p>
              </w:tc>
              <w:tc>
                <w:tcPr>
                  <w:tcW w:w="757" w:type="pct"/>
                  <w:noWrap w:val="0"/>
                  <w:vAlign w:val="center"/>
                </w:tcPr>
                <w:p w14:paraId="785877B1">
                  <w:pPr>
                    <w:tabs>
                      <w:tab w:val="left" w:pos="3420"/>
                    </w:tabs>
                    <w:spacing w:line="340" w:lineRule="exact"/>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整改时限</w:t>
                  </w:r>
                </w:p>
              </w:tc>
            </w:tr>
            <w:tr w14:paraId="45C81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noWrap w:val="0"/>
                  <w:vAlign w:val="center"/>
                </w:tcPr>
                <w:p w14:paraId="10C2B989">
                  <w:pPr>
                    <w:tabs>
                      <w:tab w:val="left" w:pos="3420"/>
                    </w:tabs>
                    <w:spacing w:line="340" w:lineRule="exact"/>
                    <w:jc w:val="center"/>
                    <w:rPr>
                      <w:rFonts w:hint="eastAsia" w:ascii="Times New Roman" w:hAnsi="Times New Roman"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w:t>
                  </w:r>
                </w:p>
              </w:tc>
              <w:tc>
                <w:tcPr>
                  <w:tcW w:w="1740" w:type="pct"/>
                  <w:shd w:val="clear" w:color="auto" w:fill="auto"/>
                  <w:noWrap w:val="0"/>
                  <w:vAlign w:val="center"/>
                </w:tcPr>
                <w:p w14:paraId="4912703F">
                  <w:pPr>
                    <w:tabs>
                      <w:tab w:val="left" w:pos="3420"/>
                    </w:tabs>
                    <w:spacing w:line="340" w:lineRule="exact"/>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可回收的原辅料空桶部分杂乱堆放</w:t>
                  </w:r>
                </w:p>
              </w:tc>
              <w:tc>
                <w:tcPr>
                  <w:tcW w:w="2036" w:type="pct"/>
                  <w:shd w:val="clear" w:color="auto" w:fill="auto"/>
                  <w:noWrap w:val="0"/>
                  <w:vAlign w:val="center"/>
                </w:tcPr>
                <w:p w14:paraId="2155BEDC">
                  <w:pPr>
                    <w:tabs>
                      <w:tab w:val="left" w:pos="3420"/>
                    </w:tabs>
                    <w:spacing w:line="340" w:lineRule="exact"/>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厂区内设置可回收的空桶暂存区，采取防雨防渗措施</w:t>
                  </w:r>
                </w:p>
              </w:tc>
              <w:tc>
                <w:tcPr>
                  <w:tcW w:w="757" w:type="pct"/>
                  <w:noWrap w:val="0"/>
                  <w:vAlign w:val="center"/>
                </w:tcPr>
                <w:p w14:paraId="5FBA8F88">
                  <w:pPr>
                    <w:tabs>
                      <w:tab w:val="left" w:pos="3420"/>
                    </w:tabs>
                    <w:spacing w:line="340" w:lineRule="exact"/>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2026年3月</w:t>
                  </w:r>
                </w:p>
              </w:tc>
            </w:tr>
            <w:tr w14:paraId="633FE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noWrap w:val="0"/>
                  <w:vAlign w:val="center"/>
                </w:tcPr>
                <w:p w14:paraId="5F0C6BD7">
                  <w:pPr>
                    <w:tabs>
                      <w:tab w:val="left" w:pos="3420"/>
                    </w:tabs>
                    <w:spacing w:line="340" w:lineRule="exact"/>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w:t>
                  </w:r>
                </w:p>
              </w:tc>
              <w:tc>
                <w:tcPr>
                  <w:tcW w:w="1740" w:type="pct"/>
                  <w:shd w:val="clear" w:color="auto" w:fill="auto"/>
                  <w:noWrap w:val="0"/>
                  <w:vAlign w:val="center"/>
                </w:tcPr>
                <w:p w14:paraId="658A85A3">
                  <w:pPr>
                    <w:tabs>
                      <w:tab w:val="left" w:pos="3420"/>
                    </w:tabs>
                    <w:spacing w:line="340" w:lineRule="exact"/>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未定期组织演练，厂区配套了雨水切换阀门，但应急池缺乏管理，内部残留雨水和垃圾，且未及时修编应急预案</w:t>
                  </w:r>
                </w:p>
              </w:tc>
              <w:tc>
                <w:tcPr>
                  <w:tcW w:w="2036" w:type="pct"/>
                  <w:shd w:val="clear" w:color="auto" w:fill="auto"/>
                  <w:noWrap w:val="0"/>
                  <w:vAlign w:val="center"/>
                </w:tcPr>
                <w:p w14:paraId="52CB93B1">
                  <w:pPr>
                    <w:tabs>
                      <w:tab w:val="left" w:pos="3420"/>
                    </w:tabs>
                    <w:spacing w:line="340" w:lineRule="exact"/>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及时修编应急预案，定期组织演练，清空应急池</w:t>
                  </w:r>
                </w:p>
              </w:tc>
              <w:tc>
                <w:tcPr>
                  <w:tcW w:w="757" w:type="pct"/>
                  <w:noWrap w:val="0"/>
                  <w:vAlign w:val="center"/>
                </w:tcPr>
                <w:p w14:paraId="14C4AD25">
                  <w:pPr>
                    <w:tabs>
                      <w:tab w:val="left" w:pos="3420"/>
                    </w:tabs>
                    <w:spacing w:line="340" w:lineRule="exact"/>
                    <w:jc w:val="center"/>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2026年5月</w:t>
                  </w:r>
                </w:p>
              </w:tc>
            </w:tr>
            <w:tr w14:paraId="2E6BD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noWrap w:val="0"/>
                  <w:vAlign w:val="center"/>
                </w:tcPr>
                <w:p w14:paraId="465854D2">
                  <w:pPr>
                    <w:tabs>
                      <w:tab w:val="left" w:pos="3420"/>
                    </w:tabs>
                    <w:spacing w:line="340" w:lineRule="exact"/>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w:t>
                  </w:r>
                </w:p>
              </w:tc>
              <w:tc>
                <w:tcPr>
                  <w:tcW w:w="1740" w:type="pct"/>
                  <w:shd w:val="clear" w:color="auto" w:fill="auto"/>
                  <w:noWrap w:val="0"/>
                  <w:vAlign w:val="center"/>
                </w:tcPr>
                <w:p w14:paraId="3DBFD0B7">
                  <w:pPr>
                    <w:pStyle w:val="16"/>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UV光氧催化实际应用过程对VOCs去除效率较小，且设备腐蚀老旧，部分废气管道破损</w:t>
                  </w:r>
                </w:p>
              </w:tc>
              <w:tc>
                <w:tcPr>
                  <w:tcW w:w="2036" w:type="pct"/>
                  <w:shd w:val="clear" w:color="auto" w:fill="auto"/>
                  <w:noWrap w:val="0"/>
                  <w:vAlign w:val="center"/>
                </w:tcPr>
                <w:p w14:paraId="7180EC05">
                  <w:pPr>
                    <w:pStyle w:val="16"/>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建议将破损设备更换为新设备，更新废气管道，取消UV光氧催化，替换为活性炭吸附装置</w:t>
                  </w:r>
                  <w:r>
                    <w:rPr>
                      <w:rFonts w:hint="eastAsia" w:ascii="Times New Roman" w:hAnsi="Times New Roman"/>
                      <w:color w:val="000000" w:themeColor="text1"/>
                      <w:kern w:val="0"/>
                      <w:sz w:val="21"/>
                      <w:szCs w:val="21"/>
                      <w:highlight w:val="none"/>
                      <w:lang w:val="en-US" w:eastAsia="zh-CN" w:bidi="ar"/>
                      <w14:textFill>
                        <w14:solidFill>
                          <w14:schemeClr w14:val="tx1"/>
                        </w14:solidFill>
                      </w14:textFill>
                    </w:rPr>
                    <w:t>进一步减少废气排放量</w:t>
                  </w:r>
                </w:p>
              </w:tc>
              <w:tc>
                <w:tcPr>
                  <w:tcW w:w="757" w:type="pct"/>
                  <w:vMerge w:val="restart"/>
                  <w:noWrap w:val="0"/>
                  <w:vAlign w:val="center"/>
                </w:tcPr>
                <w:p w14:paraId="437DEA1E">
                  <w:pPr>
                    <w:tabs>
                      <w:tab w:val="left" w:pos="3420"/>
                    </w:tabs>
                    <w:spacing w:line="340" w:lineRule="exact"/>
                    <w:jc w:val="center"/>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纳入本次改扩建内容</w:t>
                  </w:r>
                </w:p>
              </w:tc>
            </w:tr>
            <w:tr w14:paraId="4AA44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noWrap w:val="0"/>
                  <w:vAlign w:val="center"/>
                </w:tcPr>
                <w:p w14:paraId="66B3311C">
                  <w:pPr>
                    <w:tabs>
                      <w:tab w:val="left" w:pos="3420"/>
                    </w:tabs>
                    <w:spacing w:line="340" w:lineRule="exact"/>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w:t>
                  </w:r>
                </w:p>
              </w:tc>
              <w:tc>
                <w:tcPr>
                  <w:tcW w:w="1740" w:type="pct"/>
                  <w:noWrap w:val="0"/>
                  <w:vAlign w:val="center"/>
                </w:tcPr>
                <w:p w14:paraId="45E44D83">
                  <w:pPr>
                    <w:tabs>
                      <w:tab w:val="left" w:pos="3420"/>
                    </w:tabs>
                    <w:spacing w:line="3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氮氧化物、二氧化硫排放量超过已购买的总量指标，未重新申请排污权交易</w:t>
                  </w:r>
                </w:p>
              </w:tc>
              <w:tc>
                <w:tcPr>
                  <w:tcW w:w="2036" w:type="pct"/>
                  <w:noWrap w:val="0"/>
                  <w:vAlign w:val="center"/>
                </w:tcPr>
                <w:p w14:paraId="28A11DD4">
                  <w:pPr>
                    <w:tabs>
                      <w:tab w:val="left" w:pos="3420"/>
                    </w:tabs>
                    <w:spacing w:line="3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根据本次改扩建项目计算结果，新增购买排污权总量指标</w:t>
                  </w:r>
                </w:p>
              </w:tc>
              <w:tc>
                <w:tcPr>
                  <w:tcW w:w="757" w:type="pct"/>
                  <w:vMerge w:val="continue"/>
                  <w:noWrap w:val="0"/>
                  <w:vAlign w:val="center"/>
                </w:tcPr>
                <w:p w14:paraId="351977F9">
                  <w:pPr>
                    <w:tabs>
                      <w:tab w:val="left" w:pos="3420"/>
                    </w:tabs>
                    <w:spacing w:line="340" w:lineRule="exact"/>
                    <w:jc w:val="center"/>
                    <w:rPr>
                      <w:rFonts w:hint="eastAsia" w:cs="Times New Roman"/>
                      <w:color w:val="000000" w:themeColor="text1"/>
                      <w:highlight w:val="none"/>
                      <w:lang w:val="en-US" w:eastAsia="zh-CN"/>
                      <w14:textFill>
                        <w14:solidFill>
                          <w14:schemeClr w14:val="tx1"/>
                        </w14:solidFill>
                      </w14:textFill>
                    </w:rPr>
                  </w:pPr>
                </w:p>
              </w:tc>
            </w:tr>
            <w:tr w14:paraId="6CCD2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noWrap w:val="0"/>
                  <w:vAlign w:val="center"/>
                </w:tcPr>
                <w:p w14:paraId="05C7E9A6">
                  <w:pPr>
                    <w:tabs>
                      <w:tab w:val="left" w:pos="3420"/>
                    </w:tabs>
                    <w:spacing w:line="340" w:lineRule="exact"/>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w:t>
                  </w:r>
                </w:p>
              </w:tc>
              <w:tc>
                <w:tcPr>
                  <w:tcW w:w="1740" w:type="pct"/>
                  <w:noWrap w:val="0"/>
                  <w:vAlign w:val="center"/>
                </w:tcPr>
                <w:p w14:paraId="79721DCE">
                  <w:pPr>
                    <w:tabs>
                      <w:tab w:val="left" w:pos="3420"/>
                    </w:tabs>
                    <w:spacing w:line="3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危险废物间面积较小，不满足危险废物分类储存要求</w:t>
                  </w:r>
                  <w:r>
                    <w:rPr>
                      <w:rFonts w:hint="eastAsia" w:cs="Times New Roman"/>
                      <w:color w:val="000000" w:themeColor="text1"/>
                      <w:szCs w:val="21"/>
                      <w:lang w:val="en-US" w:eastAsia="zh-CN"/>
                      <w14:textFill>
                        <w14:solidFill>
                          <w14:schemeClr w14:val="tx1"/>
                        </w14:solidFill>
                      </w14:textFill>
                    </w:rPr>
                    <w:t>。企业实际槽液会定期更换，废槽液属于危险废物，原环评未识别该危险废物。</w:t>
                  </w:r>
                </w:p>
              </w:tc>
              <w:tc>
                <w:tcPr>
                  <w:tcW w:w="2036" w:type="pct"/>
                  <w:noWrap w:val="0"/>
                  <w:vAlign w:val="center"/>
                </w:tcPr>
                <w:p w14:paraId="1D9DB80F">
                  <w:pPr>
                    <w:tabs>
                      <w:tab w:val="left" w:pos="3420"/>
                    </w:tabs>
                    <w:spacing w:line="340" w:lineRule="exact"/>
                    <w:jc w:val="cente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拟重新建设危险废物间，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面积增加至30</w:t>
                  </w:r>
                  <w:r>
                    <w:rPr>
                      <w:rFonts w:ascii="Times New Roman" w:hAnsi="Times New Roman" w:eastAsia="宋体" w:cs="Times New Roman"/>
                      <w:color w:val="000000" w:themeColor="text1"/>
                      <w:sz w:val="21"/>
                      <w:szCs w:val="21"/>
                      <w14:textFill>
                        <w14:solidFill>
                          <w14:schemeClr w14:val="tx1"/>
                        </w14:solidFill>
                      </w14:textFill>
                    </w:rPr>
                    <w:t>m</w:t>
                  </w:r>
                  <w:r>
                    <w:rPr>
                      <w:rFonts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vertAlign w:val="baseline"/>
                      <w:lang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将更换的废槽液纳入危险废物管理</w:t>
                  </w:r>
                </w:p>
              </w:tc>
              <w:tc>
                <w:tcPr>
                  <w:tcW w:w="757" w:type="pct"/>
                  <w:vMerge w:val="continue"/>
                  <w:noWrap w:val="0"/>
                  <w:vAlign w:val="center"/>
                </w:tcPr>
                <w:p w14:paraId="26F899D1">
                  <w:pPr>
                    <w:tabs>
                      <w:tab w:val="left" w:pos="3420"/>
                    </w:tabs>
                    <w:spacing w:line="340" w:lineRule="exact"/>
                    <w:jc w:val="center"/>
                    <w:rPr>
                      <w:rFonts w:hint="eastAsia" w:cs="Times New Roman"/>
                      <w:color w:val="000000" w:themeColor="text1"/>
                      <w:highlight w:val="none"/>
                      <w:lang w:val="en-US" w:eastAsia="zh-CN"/>
                      <w14:textFill>
                        <w14:solidFill>
                          <w14:schemeClr w14:val="tx1"/>
                        </w14:solidFill>
                      </w14:textFill>
                    </w:rPr>
                  </w:pPr>
                </w:p>
              </w:tc>
            </w:tr>
          </w:tbl>
          <w:p w14:paraId="58F33EA5">
            <w:pPr>
              <w:spacing w:before="120" w:beforeLines="50" w:line="360" w:lineRule="auto"/>
              <w:outlineLvl w:val="1"/>
              <w:rPr>
                <w:rFonts w:hint="eastAsia" w:ascii="Times New Roman" w:hAnsi="Times New Roman" w:eastAsia="宋体"/>
                <w:b/>
                <w:color w:val="000000" w:themeColor="text1"/>
                <w:sz w:val="30"/>
                <w:szCs w:val="30"/>
                <w:highlight w:val="none"/>
                <w14:textFill>
                  <w14:solidFill>
                    <w14:schemeClr w14:val="tx1"/>
                  </w14:solidFill>
                </w14:textFill>
              </w:rPr>
            </w:pPr>
            <w:r>
              <w:rPr>
                <w:rFonts w:hint="eastAsia" w:ascii="Times New Roman" w:hAnsi="Times New Roman" w:eastAsia="宋体"/>
                <w:b/>
                <w:color w:val="000000" w:themeColor="text1"/>
                <w:sz w:val="30"/>
                <w:szCs w:val="30"/>
                <w:highlight w:val="none"/>
                <w:lang w:val="en-US" w:eastAsia="zh-CN"/>
                <w14:textFill>
                  <w14:solidFill>
                    <w14:schemeClr w14:val="tx1"/>
                  </w14:solidFill>
                </w14:textFill>
              </w:rPr>
              <w:t>2.</w:t>
            </w:r>
            <w:r>
              <w:rPr>
                <w:rFonts w:hint="eastAsia"/>
                <w:b/>
                <w:color w:val="000000" w:themeColor="text1"/>
                <w:sz w:val="30"/>
                <w:szCs w:val="30"/>
                <w:highlight w:val="none"/>
                <w:lang w:val="en-US" w:eastAsia="zh-CN"/>
                <w14:textFill>
                  <w14:solidFill>
                    <w14:schemeClr w14:val="tx1"/>
                  </w14:solidFill>
                </w14:textFill>
              </w:rPr>
              <w:t>9</w:t>
            </w:r>
            <w:r>
              <w:rPr>
                <w:rFonts w:hint="eastAsia" w:ascii="Times New Roman" w:hAnsi="Times New Roman" w:eastAsia="宋体"/>
                <w:b/>
                <w:color w:val="000000" w:themeColor="text1"/>
                <w:sz w:val="30"/>
                <w:szCs w:val="30"/>
                <w:highlight w:val="none"/>
                <w:lang w:val="en-US" w:eastAsia="zh-CN"/>
                <w14:textFill>
                  <w14:solidFill>
                    <w14:schemeClr w14:val="tx1"/>
                  </w14:solidFill>
                </w14:textFill>
              </w:rPr>
              <w:t>突发环境事件及环保投诉处理情况回顾</w:t>
            </w:r>
          </w:p>
          <w:p w14:paraId="18566A90">
            <w:pPr>
              <w:pStyle w:val="146"/>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根据环境风险源及风险识别结果，本项目主要环境风险是火灾事故、废水排放事故、废气事故排放。根据调查，运营期未发生事故排放。经查询，建设单位自投产运行以来，尚无收到环保投诉情况。</w:t>
            </w:r>
          </w:p>
          <w:p w14:paraId="4FB2CCBD">
            <w:pPr>
              <w:pStyle w:val="25"/>
              <w:keepNext w:val="0"/>
              <w:keepLines w:val="0"/>
              <w:pageBreakBefore w:val="0"/>
              <w:widowControl/>
              <w:kinsoku/>
              <w:wordWrap/>
              <w:overflowPunct/>
              <w:topLinePunct w:val="0"/>
              <w:autoSpaceDE/>
              <w:autoSpaceDN/>
              <w:bidi w:val="0"/>
              <w:adjustRightInd w:val="0"/>
              <w:snapToGrid w:val="0"/>
              <w:spacing w:before="157" w:beforeLines="5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p>
        </w:tc>
      </w:tr>
    </w:tbl>
    <w:p w14:paraId="00ECDB16">
      <w:pPr>
        <w:pStyle w:val="25"/>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sectPr>
          <w:pgSz w:w="11906" w:h="16838"/>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226BCD2D">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15" w:lineRule="auto"/>
        <w:jc w:val="center"/>
        <w:textAlignment w:val="auto"/>
        <w:outlineLvl w:val="9"/>
        <w:rPr>
          <w:rFonts w:hint="default" w:ascii="Times New Roman" w:hAnsi="Times New Roman" w:eastAsia="黑体" w:cs="Times New Roman"/>
          <w:snapToGrid w:val="0"/>
          <w:color w:val="000000" w:themeColor="text1"/>
          <w:sz w:val="30"/>
          <w:szCs w:val="30"/>
          <w14:textFill>
            <w14:solidFill>
              <w14:schemeClr w14:val="tx1"/>
            </w14:solidFill>
          </w14:textFill>
        </w:rPr>
      </w:pPr>
    </w:p>
    <w:bookmarkEnd w:id="5"/>
    <w:bookmarkEnd w:id="8"/>
    <w:p w14:paraId="1A348F08">
      <w:pPr>
        <w:pStyle w:val="25"/>
        <w:keepNext w:val="0"/>
        <w:keepLines w:val="0"/>
        <w:pageBreakBefore w:val="0"/>
        <w:widowControl/>
        <w:kinsoku/>
        <w:wordWrap/>
        <w:overflowPunct/>
        <w:topLinePunct w:val="0"/>
        <w:autoSpaceDE/>
        <w:autoSpaceDN/>
        <w:bidi w:val="0"/>
        <w:adjustRightInd/>
        <w:snapToGrid/>
        <w:spacing w:before="0" w:beforeAutospacing="0"/>
        <w:jc w:val="center"/>
        <w:textAlignment w:val="auto"/>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9" w:name="_Toc12879"/>
      <w:bookmarkStart w:id="10" w:name="_Toc6760"/>
      <w:r>
        <w:rPr>
          <w:rFonts w:hint="default" w:ascii="Times New Roman" w:hAnsi="Times New Roman" w:eastAsia="黑体" w:cs="Times New Roman"/>
          <w:snapToGrid w:val="0"/>
          <w:color w:val="000000" w:themeColor="text1"/>
          <w:sz w:val="30"/>
          <w:szCs w:val="30"/>
          <w14:textFill>
            <w14:solidFill>
              <w14:schemeClr w14:val="tx1"/>
            </w14:solidFill>
          </w14:textFill>
        </w:rPr>
        <w:t>三、区域环境质量现状、环境保护目标及评价标准</w:t>
      </w:r>
      <w:bookmarkEnd w:id="9"/>
      <w:bookmarkEnd w:id="10"/>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467"/>
      </w:tblGrid>
      <w:tr w14:paraId="43BC9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00" w:type="dxa"/>
            <w:noWrap w:val="0"/>
            <w:vAlign w:val="center"/>
          </w:tcPr>
          <w:p w14:paraId="4CED6079">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bookmarkStart w:id="11" w:name="_Toc29040"/>
            <w:r>
              <w:rPr>
                <w:rFonts w:hint="default" w:ascii="Times New Roman" w:hAnsi="Times New Roman" w:cs="Times New Roman"/>
                <w:color w:val="000000" w:themeColor="text1"/>
                <w:kern w:val="0"/>
                <w:szCs w:val="21"/>
                <w14:textFill>
                  <w14:solidFill>
                    <w14:schemeClr w14:val="tx1"/>
                  </w14:solidFill>
                </w14:textFill>
              </w:rPr>
              <w:t>区域</w:t>
            </w:r>
          </w:p>
          <w:p w14:paraId="3B8AF5BB">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环境</w:t>
            </w:r>
          </w:p>
          <w:p w14:paraId="397AA117">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质量</w:t>
            </w:r>
          </w:p>
          <w:p w14:paraId="6F7E941A">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现状</w:t>
            </w:r>
          </w:p>
        </w:tc>
        <w:tc>
          <w:tcPr>
            <w:tcW w:w="8166" w:type="dxa"/>
            <w:noWrap w:val="0"/>
            <w:vAlign w:val="center"/>
          </w:tcPr>
          <w:p w14:paraId="0E49240C">
            <w:pPr>
              <w:pStyle w:val="3"/>
              <w:spacing w:before="120" w:after="120"/>
              <w:ind w:firstLine="0"/>
              <w:rPr>
                <w:rFonts w:hint="default" w:ascii="Times New Roman" w:hAnsi="Times New Roman" w:eastAsia="宋体" w:cs="Times New Roman"/>
                <w:b/>
                <w:bCs/>
                <w:color w:val="000000" w:themeColor="text1"/>
                <w:szCs w:val="32"/>
                <w:lang w:val="en-US" w:eastAsia="zh-CN"/>
                <w14:textFill>
                  <w14:solidFill>
                    <w14:schemeClr w14:val="tx1"/>
                  </w14:solidFill>
                </w14:textFill>
              </w:rPr>
            </w:pPr>
            <w:r>
              <w:rPr>
                <w:rFonts w:hint="default" w:ascii="Times New Roman" w:hAnsi="Times New Roman" w:eastAsia="宋体" w:cs="Times New Roman"/>
                <w:b/>
                <w:bCs/>
                <w:color w:val="000000" w:themeColor="text1"/>
                <w:szCs w:val="32"/>
                <w:lang w:val="en-US" w:eastAsia="zh-CN"/>
                <w14:textFill>
                  <w14:solidFill>
                    <w14:schemeClr w14:val="tx1"/>
                  </w14:solidFill>
                </w14:textFill>
              </w:rPr>
              <w:t>3.1大气环境质量现状</w:t>
            </w:r>
          </w:p>
          <w:p w14:paraId="6FA8769B">
            <w:pPr>
              <w:adjustRightInd w:val="0"/>
              <w:snapToGrid w:val="0"/>
              <w:spacing w:line="360" w:lineRule="auto"/>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3.1.1环境空气质量功能区划</w:t>
            </w:r>
          </w:p>
          <w:p w14:paraId="486B5C69">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bookmarkStart w:id="12" w:name="_Toc338850492"/>
            <w:bookmarkStart w:id="13" w:name="_Toc339964236"/>
            <w:r>
              <w:rPr>
                <w:rFonts w:hint="default" w:ascii="Times New Roman" w:hAnsi="Times New Roman" w:cs="Times New Roman"/>
                <w:color w:val="000000" w:themeColor="text1"/>
                <w:sz w:val="24"/>
                <w:highlight w:val="none"/>
                <w14:textFill>
                  <w14:solidFill>
                    <w14:schemeClr w14:val="tx1"/>
                  </w14:solidFill>
                </w14:textFill>
              </w:rPr>
              <w:t>根据福州市人民政府榕政综</w:t>
            </w:r>
            <w:r>
              <w:rPr>
                <w:rFonts w:hint="eastAsia" w:ascii="Times New Roman" w:hAnsi="Times New Roman" w:cs="Times New Roman"/>
                <w:color w:val="000000" w:themeColor="text1"/>
                <w:sz w:val="24"/>
                <w:highlight w:val="none"/>
                <w:lang w:eastAsia="zh-CN"/>
                <w14:textFill>
                  <w14:solidFill>
                    <w14:schemeClr w14:val="tx1"/>
                  </w14:solidFill>
                </w14:textFill>
              </w:rPr>
              <w:t>〔2014〕30号</w:t>
            </w:r>
            <w:r>
              <w:rPr>
                <w:rFonts w:hint="default" w:ascii="Times New Roman" w:hAnsi="Times New Roman" w:cs="Times New Roman"/>
                <w:color w:val="000000" w:themeColor="text1"/>
                <w:sz w:val="24"/>
                <w:highlight w:val="none"/>
                <w14:textFill>
                  <w14:solidFill>
                    <w14:schemeClr w14:val="tx1"/>
                  </w14:solidFill>
                </w14:textFill>
              </w:rPr>
              <w:t>文件正式批准实施《福州市环境空气质量功能区划</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报批稿</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》的规定，</w:t>
            </w:r>
            <w:r>
              <w:rPr>
                <w:rFonts w:hint="default" w:ascii="Times New Roman" w:hAnsi="Times New Roman" w:cs="Times New Roman"/>
                <w:color w:val="000000" w:themeColor="text1"/>
                <w:sz w:val="24"/>
                <w:highlight w:val="none"/>
                <w:lang w:eastAsia="zh-CN"/>
                <w14:textFill>
                  <w14:solidFill>
                    <w14:schemeClr w14:val="tx1"/>
                  </w14:solidFill>
                </w14:textFill>
              </w:rPr>
              <w:t>项目所在区域</w:t>
            </w:r>
            <w:r>
              <w:rPr>
                <w:rFonts w:hint="default" w:ascii="Times New Roman" w:hAnsi="Times New Roman" w:cs="Times New Roman"/>
                <w:color w:val="000000" w:themeColor="text1"/>
                <w:sz w:val="24"/>
                <w:highlight w:val="none"/>
                <w14:textFill>
                  <w14:solidFill>
                    <w14:schemeClr w14:val="tx1"/>
                  </w14:solidFill>
                </w14:textFill>
              </w:rPr>
              <w:t>环境空气功能规划为二类</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区，环境空气质量执行《环境空气质量标准》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GB3095-2012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及其修改单中的二级标准。项目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其他污染因子</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非甲烷总烃参照执行《大气污染物综合排放标准详解》</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国家环境保护局科技标准司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，1996年8月）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中规定的标准限值，</w:t>
            </w:r>
            <w:r>
              <w:rPr>
                <w:rFonts w:hint="eastAsia" w:cs="Times New Roman"/>
                <w:color w:val="000000" w:themeColor="text1"/>
                <w:sz w:val="24"/>
                <w:szCs w:val="24"/>
                <w:highlight w:val="none"/>
                <w:lang w:val="en-US" w:eastAsia="zh-CN"/>
                <w14:textFill>
                  <w14:solidFill>
                    <w14:schemeClr w14:val="tx1"/>
                  </w14:solidFill>
                </w14:textFill>
              </w:rPr>
              <w:t>甲苯、二甲苯</w:t>
            </w:r>
            <w:r>
              <w:rPr>
                <w:rFonts w:hint="eastAsia"/>
                <w:color w:val="000000" w:themeColor="text1"/>
                <w:sz w:val="24"/>
                <w:szCs w:val="24"/>
                <w14:textFill>
                  <w14:solidFill>
                    <w14:schemeClr w14:val="tx1"/>
                  </w14:solidFill>
                </w14:textFill>
              </w:rPr>
              <w:t>执行《环境影响评价技术导则 大气环境》（HJ 2.2-2018）中“附录D 其他污染物空气质量浓度参考限值”</w:t>
            </w:r>
            <w:r>
              <w:rPr>
                <w:rFonts w:hint="eastAsia"/>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具体详见表3.1-1。</w:t>
            </w:r>
          </w:p>
          <w:bookmarkEnd w:id="12"/>
          <w:bookmarkEnd w:id="13"/>
          <w:p w14:paraId="57C50927">
            <w:pPr>
              <w:pStyle w:val="146"/>
              <w:spacing w:line="240" w:lineRule="auto"/>
              <w:ind w:firstLine="0" w:firstLineChars="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表3.1-1  本项目环境空气标准一览表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377"/>
              <w:gridCol w:w="2169"/>
              <w:gridCol w:w="1537"/>
              <w:gridCol w:w="3168"/>
            </w:tblGrid>
            <w:tr w14:paraId="0FA410E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noWrap w:val="0"/>
                  <w:vAlign w:val="center"/>
                </w:tcPr>
                <w:p w14:paraId="27EB1BD2">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污染物名称</w:t>
                  </w:r>
                </w:p>
              </w:tc>
              <w:tc>
                <w:tcPr>
                  <w:tcW w:w="1314" w:type="pct"/>
                  <w:noWrap w:val="0"/>
                  <w:vAlign w:val="center"/>
                </w:tcPr>
                <w:p w14:paraId="1FF72BA2">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取值时间</w:t>
                  </w:r>
                </w:p>
              </w:tc>
              <w:tc>
                <w:tcPr>
                  <w:tcW w:w="931" w:type="pct"/>
                  <w:noWrap w:val="0"/>
                  <w:vAlign w:val="center"/>
                </w:tcPr>
                <w:p w14:paraId="0587EA7C">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浓度限值</w:t>
                  </w:r>
                </w:p>
              </w:tc>
              <w:tc>
                <w:tcPr>
                  <w:tcW w:w="1919" w:type="pct"/>
                  <w:noWrap w:val="0"/>
                  <w:vAlign w:val="center"/>
                </w:tcPr>
                <w:p w14:paraId="6A76CA8E">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标准来源</w:t>
                  </w:r>
                </w:p>
              </w:tc>
            </w:tr>
            <w:tr w14:paraId="1F16227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restart"/>
                  <w:noWrap w:val="0"/>
                  <w:vAlign w:val="center"/>
                </w:tcPr>
                <w:p w14:paraId="477A740F">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10</w:t>
                  </w:r>
                </w:p>
              </w:tc>
              <w:tc>
                <w:tcPr>
                  <w:tcW w:w="1314" w:type="pct"/>
                  <w:noWrap w:val="0"/>
                  <w:vAlign w:val="center"/>
                </w:tcPr>
                <w:p w14:paraId="7C77EC52">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w:t>
                  </w:r>
                </w:p>
              </w:tc>
              <w:tc>
                <w:tcPr>
                  <w:tcW w:w="931" w:type="pct"/>
                  <w:noWrap w:val="0"/>
                  <w:vAlign w:val="center"/>
                </w:tcPr>
                <w:p w14:paraId="48812C29">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70μg/m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919" w:type="pct"/>
                  <w:vMerge w:val="restart"/>
                  <w:noWrap w:val="0"/>
                  <w:vAlign w:val="center"/>
                </w:tcPr>
                <w:p w14:paraId="57240778">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《环境空气质量标准》</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GB3095-2012</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及其修改</w:t>
                  </w:r>
                </w:p>
                <w:p w14:paraId="6A3A37B6">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单</w:t>
                  </w:r>
                  <w:r>
                    <w:rPr>
                      <w:rFonts w:hint="default" w:ascii="Times New Roman" w:hAnsi="Times New Roman" w:cs="Times New Roman"/>
                      <w:color w:val="000000" w:themeColor="text1"/>
                      <w:sz w:val="21"/>
                      <w:szCs w:val="21"/>
                      <w:highlight w:val="none"/>
                      <w14:textFill>
                        <w14:solidFill>
                          <w14:schemeClr w14:val="tx1"/>
                        </w14:solidFill>
                      </w14:textFill>
                    </w:rPr>
                    <w:t>中的二级标准</w:t>
                  </w:r>
                </w:p>
              </w:tc>
            </w:tr>
            <w:tr w14:paraId="1798F84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continue"/>
                  <w:noWrap w:val="0"/>
                  <w:vAlign w:val="center"/>
                </w:tcPr>
                <w:p w14:paraId="10799C7A">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314" w:type="pct"/>
                  <w:noWrap w:val="0"/>
                  <w:vAlign w:val="center"/>
                </w:tcPr>
                <w:p w14:paraId="21DCFD38">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24小时平均</w:t>
                  </w:r>
                </w:p>
              </w:tc>
              <w:tc>
                <w:tcPr>
                  <w:tcW w:w="931" w:type="pct"/>
                  <w:noWrap w:val="0"/>
                  <w:vAlign w:val="center"/>
                </w:tcPr>
                <w:p w14:paraId="6A37BAAD">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150μg/m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919" w:type="pct"/>
                  <w:vMerge w:val="continue"/>
                  <w:noWrap w:val="0"/>
                  <w:vAlign w:val="center"/>
                </w:tcPr>
                <w:p w14:paraId="4406C31E">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6D5C315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restart"/>
                  <w:noWrap w:val="0"/>
                  <w:vAlign w:val="center"/>
                </w:tcPr>
                <w:p w14:paraId="4EA92767">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PM</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2.5</w:t>
                  </w:r>
                </w:p>
              </w:tc>
              <w:tc>
                <w:tcPr>
                  <w:tcW w:w="1314" w:type="pct"/>
                  <w:noWrap w:val="0"/>
                  <w:vAlign w:val="center"/>
                </w:tcPr>
                <w:p w14:paraId="3CD9162D">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w:t>
                  </w:r>
                </w:p>
              </w:tc>
              <w:tc>
                <w:tcPr>
                  <w:tcW w:w="931" w:type="pct"/>
                  <w:noWrap w:val="0"/>
                  <w:vAlign w:val="center"/>
                </w:tcPr>
                <w:p w14:paraId="71FB136A">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35</w:t>
                  </w:r>
                  <w:r>
                    <w:rPr>
                      <w:rFonts w:hint="default" w:ascii="Times New Roman" w:hAnsi="Times New Roman" w:cs="Times New Roman"/>
                      <w:color w:val="000000" w:themeColor="text1"/>
                      <w:sz w:val="21"/>
                      <w:szCs w:val="21"/>
                      <w:highlight w:val="none"/>
                      <w14:textFill>
                        <w14:solidFill>
                          <w14:schemeClr w14:val="tx1"/>
                        </w14:solidFill>
                      </w14:textFill>
                    </w:rPr>
                    <w:t>μg/m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919" w:type="pct"/>
                  <w:vMerge w:val="continue"/>
                  <w:noWrap w:val="0"/>
                  <w:vAlign w:val="center"/>
                </w:tcPr>
                <w:p w14:paraId="127F5443">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08608AE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continue"/>
                  <w:noWrap w:val="0"/>
                  <w:vAlign w:val="center"/>
                </w:tcPr>
                <w:p w14:paraId="01D468CB">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314" w:type="pct"/>
                  <w:noWrap w:val="0"/>
                  <w:vAlign w:val="center"/>
                </w:tcPr>
                <w:p w14:paraId="7DD7DE6C">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24小时平均</w:t>
                  </w:r>
                </w:p>
              </w:tc>
              <w:tc>
                <w:tcPr>
                  <w:tcW w:w="931" w:type="pct"/>
                  <w:noWrap w:val="0"/>
                  <w:vAlign w:val="center"/>
                </w:tcPr>
                <w:p w14:paraId="018E2575">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75</w:t>
                  </w:r>
                  <w:r>
                    <w:rPr>
                      <w:rFonts w:hint="default" w:ascii="Times New Roman" w:hAnsi="Times New Roman" w:cs="Times New Roman"/>
                      <w:color w:val="000000" w:themeColor="text1"/>
                      <w:sz w:val="21"/>
                      <w:szCs w:val="21"/>
                      <w:highlight w:val="none"/>
                      <w14:textFill>
                        <w14:solidFill>
                          <w14:schemeClr w14:val="tx1"/>
                        </w14:solidFill>
                      </w14:textFill>
                    </w:rPr>
                    <w:t>μg/m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919" w:type="pct"/>
                  <w:vMerge w:val="continue"/>
                  <w:noWrap w:val="0"/>
                  <w:vAlign w:val="center"/>
                </w:tcPr>
                <w:p w14:paraId="4AD3552E">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7E93437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restart"/>
                  <w:noWrap w:val="0"/>
                  <w:vAlign w:val="center"/>
                </w:tcPr>
                <w:p w14:paraId="7A211CD8">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p>
              </w:tc>
              <w:tc>
                <w:tcPr>
                  <w:tcW w:w="1314" w:type="pct"/>
                  <w:noWrap w:val="0"/>
                  <w:vAlign w:val="center"/>
                </w:tcPr>
                <w:p w14:paraId="7DD0A7FD">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w:t>
                  </w:r>
                </w:p>
              </w:tc>
              <w:tc>
                <w:tcPr>
                  <w:tcW w:w="931" w:type="pct"/>
                  <w:noWrap w:val="0"/>
                  <w:vAlign w:val="center"/>
                </w:tcPr>
                <w:p w14:paraId="132A49C9">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60μg/m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919" w:type="pct"/>
                  <w:vMerge w:val="continue"/>
                  <w:noWrap w:val="0"/>
                  <w:vAlign w:val="center"/>
                </w:tcPr>
                <w:p w14:paraId="327440D3">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0EE87C2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continue"/>
                  <w:noWrap w:val="0"/>
                  <w:vAlign w:val="center"/>
                </w:tcPr>
                <w:p w14:paraId="535C862B">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314" w:type="pct"/>
                  <w:noWrap w:val="0"/>
                  <w:vAlign w:val="center"/>
                </w:tcPr>
                <w:p w14:paraId="6865F693">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24小时平均</w:t>
                  </w:r>
                </w:p>
              </w:tc>
              <w:tc>
                <w:tcPr>
                  <w:tcW w:w="931" w:type="pct"/>
                  <w:noWrap w:val="0"/>
                  <w:vAlign w:val="center"/>
                </w:tcPr>
                <w:p w14:paraId="2204B97F">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150μg/m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919" w:type="pct"/>
                  <w:vMerge w:val="continue"/>
                  <w:noWrap w:val="0"/>
                  <w:vAlign w:val="center"/>
                </w:tcPr>
                <w:p w14:paraId="15577FB5">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2972D7E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continue"/>
                  <w:noWrap w:val="0"/>
                  <w:vAlign w:val="center"/>
                </w:tcPr>
                <w:p w14:paraId="3877D0C9">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314" w:type="pct"/>
                  <w:noWrap w:val="0"/>
                  <w:vAlign w:val="center"/>
                </w:tcPr>
                <w:p w14:paraId="6483912A">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1小时平均</w:t>
                  </w:r>
                </w:p>
              </w:tc>
              <w:tc>
                <w:tcPr>
                  <w:tcW w:w="931" w:type="pct"/>
                  <w:noWrap w:val="0"/>
                  <w:vAlign w:val="center"/>
                </w:tcPr>
                <w:p w14:paraId="7FD13B60">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500μg/m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919" w:type="pct"/>
                  <w:vMerge w:val="continue"/>
                  <w:noWrap w:val="0"/>
                  <w:vAlign w:val="center"/>
                </w:tcPr>
                <w:p w14:paraId="34C9B994">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1E752FA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restart"/>
                  <w:noWrap w:val="0"/>
                  <w:vAlign w:val="center"/>
                </w:tcPr>
                <w:p w14:paraId="4C431797">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NO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p>
              </w:tc>
              <w:tc>
                <w:tcPr>
                  <w:tcW w:w="1314" w:type="pct"/>
                  <w:noWrap w:val="0"/>
                  <w:vAlign w:val="center"/>
                </w:tcPr>
                <w:p w14:paraId="78F7BDE9">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年平均</w:t>
                  </w:r>
                </w:p>
              </w:tc>
              <w:tc>
                <w:tcPr>
                  <w:tcW w:w="931" w:type="pct"/>
                  <w:noWrap w:val="0"/>
                  <w:vAlign w:val="center"/>
                </w:tcPr>
                <w:p w14:paraId="25E0F854">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40μg/m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919" w:type="pct"/>
                  <w:vMerge w:val="continue"/>
                  <w:noWrap w:val="0"/>
                  <w:vAlign w:val="center"/>
                </w:tcPr>
                <w:p w14:paraId="4F141CA9">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18324D5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continue"/>
                  <w:noWrap w:val="0"/>
                  <w:vAlign w:val="center"/>
                </w:tcPr>
                <w:p w14:paraId="5BF5C221">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314" w:type="pct"/>
                  <w:noWrap w:val="0"/>
                  <w:vAlign w:val="center"/>
                </w:tcPr>
                <w:p w14:paraId="0E692C6C">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24小时平均</w:t>
                  </w:r>
                </w:p>
              </w:tc>
              <w:tc>
                <w:tcPr>
                  <w:tcW w:w="931" w:type="pct"/>
                  <w:noWrap w:val="0"/>
                  <w:vAlign w:val="center"/>
                </w:tcPr>
                <w:p w14:paraId="5F468A0A">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80μg/m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919" w:type="pct"/>
                  <w:vMerge w:val="continue"/>
                  <w:noWrap w:val="0"/>
                  <w:vAlign w:val="center"/>
                </w:tcPr>
                <w:p w14:paraId="36159522">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0325393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continue"/>
                  <w:noWrap w:val="0"/>
                  <w:vAlign w:val="center"/>
                </w:tcPr>
                <w:p w14:paraId="63BE6C39">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314" w:type="pct"/>
                  <w:noWrap w:val="0"/>
                  <w:vAlign w:val="center"/>
                </w:tcPr>
                <w:p w14:paraId="644253CF">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1小时平均</w:t>
                  </w:r>
                </w:p>
              </w:tc>
              <w:tc>
                <w:tcPr>
                  <w:tcW w:w="931" w:type="pct"/>
                  <w:noWrap w:val="0"/>
                  <w:vAlign w:val="center"/>
                </w:tcPr>
                <w:p w14:paraId="6BEEA4AC">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200μg/m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919" w:type="pct"/>
                  <w:vMerge w:val="continue"/>
                  <w:noWrap w:val="0"/>
                  <w:vAlign w:val="center"/>
                </w:tcPr>
                <w:p w14:paraId="4CE90F01">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199C607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restart"/>
                  <w:noWrap w:val="0"/>
                  <w:vAlign w:val="center"/>
                </w:tcPr>
                <w:p w14:paraId="34FE5E05">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rightChars="0" w:firstLine="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CO</w:t>
                  </w:r>
                </w:p>
              </w:tc>
              <w:tc>
                <w:tcPr>
                  <w:tcW w:w="1314" w:type="pct"/>
                  <w:noWrap w:val="0"/>
                  <w:vAlign w:val="center"/>
                </w:tcPr>
                <w:p w14:paraId="00D1453B">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rightChars="0" w:firstLine="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24小时平均</w:t>
                  </w:r>
                </w:p>
              </w:tc>
              <w:tc>
                <w:tcPr>
                  <w:tcW w:w="931" w:type="pct"/>
                  <w:noWrap w:val="0"/>
                  <w:vAlign w:val="center"/>
                </w:tcPr>
                <w:p w14:paraId="51DD8A97">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rightChars="0" w:firstLine="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4mg/m</w:t>
                  </w:r>
                  <w:r>
                    <w:rPr>
                      <w:rFonts w:hint="default" w:ascii="Times New Roman" w:hAnsi="Times New Roman" w:eastAsia="宋体" w:cs="Times New Roman"/>
                      <w:color w:val="000000" w:themeColor="text1"/>
                      <w:kern w:val="2"/>
                      <w:sz w:val="21"/>
                      <w:szCs w:val="21"/>
                      <w:highlight w:val="none"/>
                      <w:vertAlign w:val="superscript"/>
                      <w:lang w:val="en-US" w:eastAsia="zh-CN" w:bidi="ar"/>
                      <w14:textFill>
                        <w14:solidFill>
                          <w14:schemeClr w14:val="tx1"/>
                        </w14:solidFill>
                      </w14:textFill>
                    </w:rPr>
                    <w:t>3</w:t>
                  </w:r>
                </w:p>
              </w:tc>
              <w:tc>
                <w:tcPr>
                  <w:tcW w:w="1919" w:type="pct"/>
                  <w:vMerge w:val="continue"/>
                  <w:noWrap w:val="0"/>
                  <w:vAlign w:val="center"/>
                </w:tcPr>
                <w:p w14:paraId="4B49C37B">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03332EB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continue"/>
                  <w:noWrap w:val="0"/>
                  <w:vAlign w:val="center"/>
                </w:tcPr>
                <w:p w14:paraId="5F967E6B">
                  <w:pPr>
                    <w:keepNext w:val="0"/>
                    <w:keepLines w:val="0"/>
                    <w:pageBreakBefore w:val="0"/>
                    <w:widowControl w:val="0"/>
                    <w:kinsoku/>
                    <w:wordWrap/>
                    <w:overflowPunct/>
                    <w:topLinePunct w:val="0"/>
                    <w:autoSpaceDE/>
                    <w:bidi w:val="0"/>
                    <w:adjustRightInd w:val="0"/>
                    <w:snapToGrid w:val="0"/>
                    <w:spacing w:line="240" w:lineRule="auto"/>
                    <w:ind w:firstLine="0"/>
                    <w:rPr>
                      <w:rFonts w:hint="default" w:ascii="Times New Roman" w:hAnsi="Times New Roman" w:cs="Times New Roman"/>
                      <w:color w:val="000000" w:themeColor="text1"/>
                      <w:sz w:val="21"/>
                      <w:szCs w:val="21"/>
                      <w:highlight w:val="none"/>
                      <w14:textFill>
                        <w14:solidFill>
                          <w14:schemeClr w14:val="tx1"/>
                        </w14:solidFill>
                      </w14:textFill>
                    </w:rPr>
                  </w:pPr>
                </w:p>
              </w:tc>
              <w:tc>
                <w:tcPr>
                  <w:tcW w:w="1314" w:type="pct"/>
                  <w:noWrap w:val="0"/>
                  <w:vAlign w:val="center"/>
                </w:tcPr>
                <w:p w14:paraId="646F08E3">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rightChars="0" w:firstLine="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1小时平均</w:t>
                  </w:r>
                </w:p>
              </w:tc>
              <w:tc>
                <w:tcPr>
                  <w:tcW w:w="931" w:type="pct"/>
                  <w:noWrap w:val="0"/>
                  <w:vAlign w:val="center"/>
                </w:tcPr>
                <w:p w14:paraId="04766DBF">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rightChars="0" w:firstLine="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10mg/m</w:t>
                  </w:r>
                  <w:r>
                    <w:rPr>
                      <w:rFonts w:hint="default" w:ascii="Times New Roman" w:hAnsi="Times New Roman" w:eastAsia="宋体" w:cs="Times New Roman"/>
                      <w:color w:val="000000" w:themeColor="text1"/>
                      <w:kern w:val="2"/>
                      <w:sz w:val="21"/>
                      <w:szCs w:val="21"/>
                      <w:highlight w:val="none"/>
                      <w:vertAlign w:val="superscript"/>
                      <w:lang w:val="en-US" w:eastAsia="zh-CN" w:bidi="ar"/>
                      <w14:textFill>
                        <w14:solidFill>
                          <w14:schemeClr w14:val="tx1"/>
                        </w14:solidFill>
                      </w14:textFill>
                    </w:rPr>
                    <w:t>3</w:t>
                  </w:r>
                </w:p>
              </w:tc>
              <w:tc>
                <w:tcPr>
                  <w:tcW w:w="1919" w:type="pct"/>
                  <w:vMerge w:val="continue"/>
                  <w:noWrap w:val="0"/>
                  <w:vAlign w:val="center"/>
                </w:tcPr>
                <w:p w14:paraId="34A4E9A1">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789C4E8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restart"/>
                  <w:noWrap w:val="0"/>
                  <w:vAlign w:val="center"/>
                </w:tcPr>
                <w:p w14:paraId="7187B981">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rightChars="0" w:firstLine="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O</w:t>
                  </w:r>
                  <w:r>
                    <w:rPr>
                      <w:rFonts w:hint="default" w:ascii="Times New Roman" w:hAnsi="Times New Roman" w:eastAsia="宋体" w:cs="Times New Roman"/>
                      <w:color w:val="000000" w:themeColor="text1"/>
                      <w:kern w:val="2"/>
                      <w:sz w:val="21"/>
                      <w:szCs w:val="21"/>
                      <w:highlight w:val="none"/>
                      <w:vertAlign w:val="subscript"/>
                      <w:lang w:val="en-US" w:eastAsia="zh-CN" w:bidi="ar"/>
                      <w14:textFill>
                        <w14:solidFill>
                          <w14:schemeClr w14:val="tx1"/>
                        </w14:solidFill>
                      </w14:textFill>
                    </w:rPr>
                    <w:t>3</w:t>
                  </w:r>
                </w:p>
              </w:tc>
              <w:tc>
                <w:tcPr>
                  <w:tcW w:w="1314" w:type="pct"/>
                  <w:noWrap w:val="0"/>
                  <w:vAlign w:val="center"/>
                </w:tcPr>
                <w:p w14:paraId="73252C3D">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rightChars="0" w:firstLine="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日最大8小时平均</w:t>
                  </w:r>
                </w:p>
              </w:tc>
              <w:tc>
                <w:tcPr>
                  <w:tcW w:w="931" w:type="pct"/>
                  <w:noWrap w:val="0"/>
                  <w:vAlign w:val="center"/>
                </w:tcPr>
                <w:p w14:paraId="5DC15852">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rightChars="0" w:firstLine="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160</w:t>
                  </w:r>
                  <w:r>
                    <w:rPr>
                      <w:rFonts w:hint="default" w:ascii="Times New Roman" w:hAnsi="Times New Roman" w:cs="Times New Roman"/>
                      <w:color w:val="000000" w:themeColor="text1"/>
                      <w:sz w:val="21"/>
                      <w:szCs w:val="21"/>
                      <w:highlight w:val="none"/>
                      <w14:textFill>
                        <w14:solidFill>
                          <w14:schemeClr w14:val="tx1"/>
                        </w14:solidFill>
                      </w14:textFill>
                    </w:rPr>
                    <w:t>μg/m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919" w:type="pct"/>
                  <w:vMerge w:val="continue"/>
                  <w:noWrap w:val="0"/>
                  <w:vAlign w:val="center"/>
                </w:tcPr>
                <w:p w14:paraId="409F4591">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61392AD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continue"/>
                  <w:noWrap w:val="0"/>
                  <w:vAlign w:val="center"/>
                </w:tcPr>
                <w:p w14:paraId="60FE7B5E">
                  <w:pPr>
                    <w:keepNext w:val="0"/>
                    <w:keepLines w:val="0"/>
                    <w:pageBreakBefore w:val="0"/>
                    <w:widowControl w:val="0"/>
                    <w:kinsoku/>
                    <w:wordWrap/>
                    <w:overflowPunct/>
                    <w:topLinePunct w:val="0"/>
                    <w:autoSpaceDE/>
                    <w:bidi w:val="0"/>
                    <w:adjustRightInd w:val="0"/>
                    <w:snapToGrid w:val="0"/>
                    <w:spacing w:line="240" w:lineRule="auto"/>
                    <w:ind w:firstLine="0"/>
                    <w:rPr>
                      <w:rFonts w:hint="default" w:ascii="Times New Roman" w:hAnsi="Times New Roman" w:cs="Times New Roman"/>
                      <w:color w:val="000000" w:themeColor="text1"/>
                      <w:sz w:val="21"/>
                      <w:szCs w:val="21"/>
                      <w:highlight w:val="none"/>
                      <w14:textFill>
                        <w14:solidFill>
                          <w14:schemeClr w14:val="tx1"/>
                        </w14:solidFill>
                      </w14:textFill>
                    </w:rPr>
                  </w:pPr>
                </w:p>
              </w:tc>
              <w:tc>
                <w:tcPr>
                  <w:tcW w:w="1314" w:type="pct"/>
                  <w:noWrap w:val="0"/>
                  <w:vAlign w:val="center"/>
                </w:tcPr>
                <w:p w14:paraId="517AC5A4">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rightChars="0" w:firstLine="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1小时平均</w:t>
                  </w:r>
                </w:p>
              </w:tc>
              <w:tc>
                <w:tcPr>
                  <w:tcW w:w="931" w:type="pct"/>
                  <w:noWrap w:val="0"/>
                  <w:vAlign w:val="center"/>
                </w:tcPr>
                <w:p w14:paraId="4E4EB9D1">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rightChars="0" w:firstLine="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200</w:t>
                  </w:r>
                  <w:r>
                    <w:rPr>
                      <w:rFonts w:hint="default" w:ascii="Times New Roman" w:hAnsi="Times New Roman" w:cs="Times New Roman"/>
                      <w:color w:val="000000" w:themeColor="text1"/>
                      <w:sz w:val="21"/>
                      <w:szCs w:val="21"/>
                      <w:highlight w:val="none"/>
                      <w14:textFill>
                        <w14:solidFill>
                          <w14:schemeClr w14:val="tx1"/>
                        </w14:solidFill>
                      </w14:textFill>
                    </w:rPr>
                    <w:t>μg/m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919" w:type="pct"/>
                  <w:vMerge w:val="continue"/>
                  <w:noWrap w:val="0"/>
                  <w:vAlign w:val="center"/>
                </w:tcPr>
                <w:p w14:paraId="4D055557">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426757F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restart"/>
                  <w:noWrap w:val="0"/>
                  <w:vAlign w:val="center"/>
                </w:tcPr>
                <w:p w14:paraId="571889B2">
                  <w:pPr>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color w:val="000000" w:themeColor="text1"/>
                      <w:szCs w:val="21"/>
                      <w14:textFill>
                        <w14:solidFill>
                          <w14:schemeClr w14:val="tx1"/>
                        </w14:solidFill>
                      </w14:textFill>
                    </w:rPr>
                    <w:t>TSP</w:t>
                  </w:r>
                </w:p>
              </w:tc>
              <w:tc>
                <w:tcPr>
                  <w:tcW w:w="1314" w:type="pct"/>
                  <w:noWrap w:val="0"/>
                  <w:vAlign w:val="center"/>
                </w:tcPr>
                <w:p w14:paraId="0CE9919E">
                  <w:pPr>
                    <w:snapToGrid w:val="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color w:val="000000" w:themeColor="text1"/>
                      <w:szCs w:val="21"/>
                      <w14:textFill>
                        <w14:solidFill>
                          <w14:schemeClr w14:val="tx1"/>
                        </w14:solidFill>
                      </w14:textFill>
                    </w:rPr>
                    <w:t>24</w:t>
                  </w:r>
                  <w:r>
                    <w:rPr>
                      <w:rFonts w:hAnsi="宋体"/>
                      <w:color w:val="000000" w:themeColor="text1"/>
                      <w:szCs w:val="21"/>
                      <w14:textFill>
                        <w14:solidFill>
                          <w14:schemeClr w14:val="tx1"/>
                        </w14:solidFill>
                      </w14:textFill>
                    </w:rPr>
                    <w:t>小时平均</w:t>
                  </w:r>
                </w:p>
              </w:tc>
              <w:tc>
                <w:tcPr>
                  <w:tcW w:w="931" w:type="pct"/>
                  <w:noWrap w:val="0"/>
                  <w:vAlign w:val="center"/>
                </w:tcPr>
                <w:p w14:paraId="39A77479">
                  <w:pPr>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color w:val="000000" w:themeColor="text1"/>
                      <w:szCs w:val="21"/>
                      <w14:textFill>
                        <w14:solidFill>
                          <w14:schemeClr w14:val="tx1"/>
                        </w14:solidFill>
                      </w14:textFill>
                    </w:rPr>
                    <w:t>300μg/m</w:t>
                  </w:r>
                  <w:r>
                    <w:rPr>
                      <w:color w:val="000000" w:themeColor="text1"/>
                      <w:szCs w:val="21"/>
                      <w:vertAlign w:val="superscript"/>
                      <w14:textFill>
                        <w14:solidFill>
                          <w14:schemeClr w14:val="tx1"/>
                        </w14:solidFill>
                      </w14:textFill>
                    </w:rPr>
                    <w:t>3</w:t>
                  </w:r>
                </w:p>
              </w:tc>
              <w:tc>
                <w:tcPr>
                  <w:tcW w:w="1919" w:type="pct"/>
                  <w:vMerge w:val="continue"/>
                  <w:noWrap w:val="0"/>
                  <w:vAlign w:val="center"/>
                </w:tcPr>
                <w:p w14:paraId="127DB8B3">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034EE3D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vMerge w:val="continue"/>
                  <w:noWrap w:val="0"/>
                  <w:vAlign w:val="center"/>
                </w:tcPr>
                <w:p w14:paraId="6B341605">
                  <w:pPr>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314" w:type="pct"/>
                  <w:noWrap w:val="0"/>
                  <w:vAlign w:val="center"/>
                </w:tcPr>
                <w:p w14:paraId="317A03AB">
                  <w:pPr>
                    <w:snapToGrid w:val="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color w:val="000000" w:themeColor="text1"/>
                      <w:szCs w:val="21"/>
                      <w14:textFill>
                        <w14:solidFill>
                          <w14:schemeClr w14:val="tx1"/>
                        </w14:solidFill>
                      </w14:textFill>
                    </w:rPr>
                    <w:t>1</w:t>
                  </w:r>
                  <w:r>
                    <w:rPr>
                      <w:rFonts w:hAnsi="宋体"/>
                      <w:color w:val="000000" w:themeColor="text1"/>
                      <w:szCs w:val="21"/>
                      <w14:textFill>
                        <w14:solidFill>
                          <w14:schemeClr w14:val="tx1"/>
                        </w14:solidFill>
                      </w14:textFill>
                    </w:rPr>
                    <w:t>小时平均</w:t>
                  </w:r>
                </w:p>
              </w:tc>
              <w:tc>
                <w:tcPr>
                  <w:tcW w:w="931" w:type="pct"/>
                  <w:noWrap w:val="0"/>
                  <w:vAlign w:val="center"/>
                </w:tcPr>
                <w:p w14:paraId="7DFA4743">
                  <w:pPr>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color w:val="000000" w:themeColor="text1"/>
                      <w:szCs w:val="21"/>
                      <w14:textFill>
                        <w14:solidFill>
                          <w14:schemeClr w14:val="tx1"/>
                        </w14:solidFill>
                      </w14:textFill>
                    </w:rPr>
                    <w:t>200μg/m</w:t>
                  </w:r>
                  <w:r>
                    <w:rPr>
                      <w:color w:val="000000" w:themeColor="text1"/>
                      <w:szCs w:val="21"/>
                      <w:vertAlign w:val="superscript"/>
                      <w14:textFill>
                        <w14:solidFill>
                          <w14:schemeClr w14:val="tx1"/>
                        </w14:solidFill>
                      </w14:textFill>
                    </w:rPr>
                    <w:t>3</w:t>
                  </w:r>
                </w:p>
              </w:tc>
              <w:tc>
                <w:tcPr>
                  <w:tcW w:w="1919" w:type="pct"/>
                  <w:vMerge w:val="continue"/>
                  <w:noWrap w:val="0"/>
                  <w:vAlign w:val="center"/>
                </w:tcPr>
                <w:p w14:paraId="46B3217C">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0C8D00C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noWrap w:val="0"/>
                  <w:vAlign w:val="center"/>
                </w:tcPr>
                <w:p w14:paraId="35215C0B">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非甲烷</w:t>
                  </w:r>
                </w:p>
                <w:p w14:paraId="2BF0D8DF">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总烃</w:t>
                  </w:r>
                </w:p>
              </w:tc>
              <w:tc>
                <w:tcPr>
                  <w:tcW w:w="1314" w:type="pct"/>
                  <w:noWrap w:val="0"/>
                  <w:vAlign w:val="center"/>
                </w:tcPr>
                <w:p w14:paraId="02E208A4">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14:textFill>
                        <w14:solidFill>
                          <w14:schemeClr w14:val="tx1"/>
                        </w14:solidFill>
                      </w14:textFill>
                    </w:rPr>
                    <w:t>小时均值</w:t>
                  </w:r>
                </w:p>
              </w:tc>
              <w:tc>
                <w:tcPr>
                  <w:tcW w:w="931" w:type="pct"/>
                  <w:noWrap w:val="0"/>
                  <w:vAlign w:val="center"/>
                </w:tcPr>
                <w:p w14:paraId="677454C4">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2.0mg/m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919" w:type="pct"/>
                  <w:noWrap w:val="0"/>
                  <w:vAlign w:val="center"/>
                </w:tcPr>
                <w:p w14:paraId="7FE5A1C4">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《大气污染物综合排放标准详解》</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国家环境保护局科技标准司</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1996年8月）</w:t>
                  </w:r>
                </w:p>
              </w:tc>
            </w:tr>
            <w:tr w14:paraId="511CF8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noWrap w:val="0"/>
                  <w:vAlign w:val="center"/>
                </w:tcPr>
                <w:p w14:paraId="211637C4">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二甲苯</w:t>
                  </w:r>
                </w:p>
              </w:tc>
              <w:tc>
                <w:tcPr>
                  <w:tcW w:w="1314" w:type="pct"/>
                  <w:noWrap w:val="0"/>
                  <w:vAlign w:val="center"/>
                </w:tcPr>
                <w:p w14:paraId="1B5E1180">
                  <w:pPr>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ascii="Times New Roman" w:hAnsi="Times New Roman"/>
                      <w:color w:val="000000" w:themeColor="text1"/>
                      <w14:textFill>
                        <w14:solidFill>
                          <w14:schemeClr w14:val="tx1"/>
                        </w14:solidFill>
                      </w14:textFill>
                    </w:rPr>
                    <w:t>1小时平均</w:t>
                  </w:r>
                </w:p>
              </w:tc>
              <w:tc>
                <w:tcPr>
                  <w:tcW w:w="931" w:type="pct"/>
                  <w:noWrap w:val="0"/>
                  <w:vAlign w:val="center"/>
                </w:tcPr>
                <w:p w14:paraId="28D347CB">
                  <w:pPr>
                    <w:pStyle w:val="81"/>
                    <w:keepNext w:val="0"/>
                    <w:keepLines w:val="0"/>
                    <w:pageBreakBefore w:val="0"/>
                    <w:widowControl w:val="0"/>
                    <w:kinsoku/>
                    <w:wordWrap/>
                    <w:overflowPunct/>
                    <w:topLinePunct w:val="0"/>
                    <w:autoSpaceDE/>
                    <w:autoSpaceDN/>
                    <w:bidi w:val="0"/>
                    <w:adjustRightInd/>
                    <w:snapToGrid/>
                    <w:spacing w:before="0" w:beforeLines="0" w:after="0" w:afterLines="0"/>
                    <w:ind w:left="420" w:leftChars="0" w:hanging="420" w:hangingChars="20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200</w:t>
                  </w:r>
                  <w:r>
                    <w:rPr>
                      <w:rFonts w:hint="default" w:ascii="Times New Roman" w:hAnsi="Times New Roman" w:cs="Times New Roman"/>
                      <w:color w:val="000000" w:themeColor="text1"/>
                      <w:sz w:val="21"/>
                      <w:szCs w:val="21"/>
                      <w:highlight w:val="none"/>
                      <w14:textFill>
                        <w14:solidFill>
                          <w14:schemeClr w14:val="tx1"/>
                        </w14:solidFill>
                      </w14:textFill>
                    </w:rPr>
                    <w:t>μg/m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919" w:type="pct"/>
                  <w:vMerge w:val="restart"/>
                  <w:noWrap w:val="0"/>
                  <w:vAlign w:val="center"/>
                </w:tcPr>
                <w:p w14:paraId="458E9E7E">
                  <w:pPr>
                    <w:keepNext w:val="0"/>
                    <w:keepLines w:val="0"/>
                    <w:pageBreakBefore w:val="0"/>
                    <w:widowControl w:val="0"/>
                    <w:kinsoku/>
                    <w:wordWrap/>
                    <w:overflowPunct/>
                    <w:topLinePunct w:val="0"/>
                    <w:autoSpaceDE/>
                    <w:bidi w:val="0"/>
                    <w:adjustRightInd w:val="0"/>
                    <w:snapToGrid w:val="0"/>
                    <w:spacing w:line="240" w:lineRule="auto"/>
                    <w:ind w:firstLine="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《环境影响评价技术导则 大气环境》（HJ</w:t>
                  </w:r>
                  <w:r>
                    <w:rPr>
                      <w:rFonts w:hint="eastAsia" w:ascii="Times New Roman" w:hAnsi="Times New Roman" w:eastAsia="宋体" w:cs="Times New Roman"/>
                      <w:color w:val="000000" w:themeColor="text1"/>
                      <w:szCs w:val="24"/>
                      <w:lang w:val="en-US" w:eastAsia="zh-CN"/>
                      <w14:textFill>
                        <w14:solidFill>
                          <w14:schemeClr w14:val="tx1"/>
                        </w14:solidFill>
                      </w14:textFill>
                    </w:rPr>
                    <w:t xml:space="preserve"> </w:t>
                  </w:r>
                  <w:r>
                    <w:rPr>
                      <w:rFonts w:ascii="Times New Roman" w:hAnsi="Times New Roman" w:eastAsia="宋体" w:cs="Times New Roman"/>
                      <w:color w:val="000000" w:themeColor="text1"/>
                      <w:szCs w:val="24"/>
                      <w14:textFill>
                        <w14:solidFill>
                          <w14:schemeClr w14:val="tx1"/>
                        </w14:solidFill>
                      </w14:textFill>
                    </w:rPr>
                    <w:t>2.2-2018）附录D</w:t>
                  </w:r>
                </w:p>
              </w:tc>
            </w:tr>
            <w:tr w14:paraId="3401CA9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51" w:hRule="atLeast"/>
                <w:jc w:val="center"/>
              </w:trPr>
              <w:tc>
                <w:tcPr>
                  <w:tcW w:w="834" w:type="pct"/>
                  <w:noWrap w:val="0"/>
                  <w:vAlign w:val="center"/>
                </w:tcPr>
                <w:p w14:paraId="48CBE779">
                  <w:pPr>
                    <w:keepNext w:val="0"/>
                    <w:keepLines w:val="0"/>
                    <w:pageBreakBefore w:val="0"/>
                    <w:widowControl w:val="0"/>
                    <w:kinsoku/>
                    <w:wordWrap/>
                    <w:overflowPunct/>
                    <w:topLinePunct w:val="0"/>
                    <w:autoSpaceDE/>
                    <w:bidi w:val="0"/>
                    <w:adjustRightInd w:val="0"/>
                    <w:snapToGrid w:val="0"/>
                    <w:spacing w:line="240" w:lineRule="auto"/>
                    <w:ind w:firstLine="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甲苯</w:t>
                  </w:r>
                </w:p>
              </w:tc>
              <w:tc>
                <w:tcPr>
                  <w:tcW w:w="1314" w:type="pct"/>
                  <w:noWrap w:val="0"/>
                  <w:vAlign w:val="center"/>
                </w:tcPr>
                <w:p w14:paraId="68C521D1">
                  <w:pPr>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1小时平均</w:t>
                  </w:r>
                </w:p>
              </w:tc>
              <w:tc>
                <w:tcPr>
                  <w:tcW w:w="931" w:type="pct"/>
                  <w:noWrap w:val="0"/>
                  <w:vAlign w:val="center"/>
                </w:tcPr>
                <w:p w14:paraId="4145D23E">
                  <w:pPr>
                    <w:pStyle w:val="81"/>
                    <w:keepNext w:val="0"/>
                    <w:keepLines w:val="0"/>
                    <w:pageBreakBefore w:val="0"/>
                    <w:widowControl w:val="0"/>
                    <w:kinsoku/>
                    <w:wordWrap/>
                    <w:overflowPunct/>
                    <w:topLinePunct w:val="0"/>
                    <w:autoSpaceDE/>
                    <w:autoSpaceDN/>
                    <w:bidi w:val="0"/>
                    <w:adjustRightInd/>
                    <w:snapToGrid/>
                    <w:spacing w:before="0" w:beforeLines="0" w:after="0" w:afterLines="0"/>
                    <w:ind w:left="420" w:leftChars="0" w:hanging="420" w:hangingChars="200"/>
                    <w:textAlignment w:val="auto"/>
                    <w:rPr>
                      <w:rFonts w:hint="eastAsia" w:ascii="Times New Roman" w:hAnsi="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200</w:t>
                  </w:r>
                  <w:r>
                    <w:rPr>
                      <w:rFonts w:hint="default" w:ascii="Times New Roman" w:hAnsi="Times New Roman" w:cs="Times New Roman"/>
                      <w:color w:val="000000" w:themeColor="text1"/>
                      <w:sz w:val="21"/>
                      <w:szCs w:val="21"/>
                      <w:highlight w:val="none"/>
                      <w14:textFill>
                        <w14:solidFill>
                          <w14:schemeClr w14:val="tx1"/>
                        </w14:solidFill>
                      </w14:textFill>
                    </w:rPr>
                    <w:t>μg/m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p>
              </w:tc>
              <w:tc>
                <w:tcPr>
                  <w:tcW w:w="1919" w:type="pct"/>
                  <w:vMerge w:val="continue"/>
                  <w:noWrap w:val="0"/>
                  <w:vAlign w:val="center"/>
                </w:tcPr>
                <w:p w14:paraId="7403448A">
                  <w:pPr>
                    <w:keepNext w:val="0"/>
                    <w:keepLines w:val="0"/>
                    <w:pageBreakBefore w:val="0"/>
                    <w:widowControl w:val="0"/>
                    <w:kinsoku/>
                    <w:wordWrap/>
                    <w:overflowPunct/>
                    <w:topLinePunct w:val="0"/>
                    <w:autoSpaceDE/>
                    <w:bidi w:val="0"/>
                    <w:adjustRightInd w:val="0"/>
                    <w:snapToGrid w:val="0"/>
                    <w:spacing w:line="240" w:lineRule="auto"/>
                    <w:ind w:firstLine="0"/>
                    <w:jc w:val="center"/>
                    <w:rPr>
                      <w:rFonts w:ascii="Times New Roman" w:hAnsi="Times New Roman" w:eastAsia="宋体" w:cs="Times New Roman"/>
                      <w:color w:val="000000" w:themeColor="text1"/>
                      <w:szCs w:val="24"/>
                      <w14:textFill>
                        <w14:solidFill>
                          <w14:schemeClr w14:val="tx1"/>
                        </w14:solidFill>
                      </w14:textFill>
                    </w:rPr>
                  </w:pPr>
                </w:p>
              </w:tc>
            </w:tr>
          </w:tbl>
          <w:p w14:paraId="0F422E04">
            <w:pPr>
              <w:pStyle w:val="93"/>
              <w:keepNext w:val="0"/>
              <w:keepLines w:val="0"/>
              <w:pageBreakBefore w:val="0"/>
              <w:widowControl/>
              <w:kinsoku/>
              <w:wordWrap/>
              <w:overflowPunct/>
              <w:topLinePunct w:val="0"/>
              <w:autoSpaceDE/>
              <w:autoSpaceDN/>
              <w:bidi w:val="0"/>
              <w:adjustRightInd w:val="0"/>
              <w:snapToGrid w:val="0"/>
              <w:spacing w:before="157" w:beforeLines="50"/>
              <w:ind w:left="0" w:leftChars="0" w:firstLine="0" w:firstLineChars="0"/>
              <w:textAlignment w:val="auto"/>
              <w:rPr>
                <w:rFonts w:hint="default" w:ascii="Times New Roman" w:hAnsi="Times New Roman" w:cs="Times New Roman"/>
                <w:b/>
                <w:bCs/>
                <w:color w:val="000000" w:themeColor="text1"/>
                <w:kern w:val="0"/>
                <w:sz w:val="24"/>
                <w:lang w:val="en-US" w:eastAsia="zh-CN"/>
                <w14:textFill>
                  <w14:solidFill>
                    <w14:schemeClr w14:val="tx1"/>
                  </w14:solidFill>
                </w14:textFill>
              </w:rPr>
            </w:pPr>
          </w:p>
          <w:p w14:paraId="6C15A289">
            <w:pPr>
              <w:pStyle w:val="93"/>
              <w:keepNext w:val="0"/>
              <w:keepLines w:val="0"/>
              <w:pageBreakBefore w:val="0"/>
              <w:widowControl/>
              <w:kinsoku/>
              <w:wordWrap/>
              <w:overflowPunct/>
              <w:topLinePunct w:val="0"/>
              <w:autoSpaceDE/>
              <w:autoSpaceDN/>
              <w:bidi w:val="0"/>
              <w:adjustRightInd w:val="0"/>
              <w:snapToGrid w:val="0"/>
              <w:spacing w:before="157" w:beforeLines="50"/>
              <w:ind w:left="0" w:leftChars="0" w:firstLine="0" w:firstLineChars="0"/>
              <w:textAlignment w:val="auto"/>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lang w:val="en-US" w:eastAsia="zh-CN"/>
                <w14:textFill>
                  <w14:solidFill>
                    <w14:schemeClr w14:val="tx1"/>
                  </w14:solidFill>
                </w14:textFill>
              </w:rPr>
              <w:t>3.1.2</w:t>
            </w:r>
            <w:r>
              <w:rPr>
                <w:rFonts w:hint="default" w:ascii="Times New Roman" w:hAnsi="Times New Roman" w:cs="Times New Roman"/>
                <w:b/>
                <w:bCs/>
                <w:color w:val="000000" w:themeColor="text1"/>
                <w:kern w:val="0"/>
                <w:sz w:val="24"/>
                <w14:textFill>
                  <w14:solidFill>
                    <w14:schemeClr w14:val="tx1"/>
                  </w14:solidFill>
                </w14:textFill>
              </w:rPr>
              <w:t>区域大气环境质量现状</w:t>
            </w:r>
          </w:p>
          <w:p w14:paraId="1BDDCB9C">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城市达标区域判断</w:t>
            </w:r>
          </w:p>
          <w:p w14:paraId="4A8145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城市环境</w:t>
            </w:r>
            <w:r>
              <w:rPr>
                <w:rFonts w:hint="default" w:ascii="Times New Roman" w:hAnsi="Times New Roman" w:eastAsia="宋体" w:cs="Times New Roman"/>
                <w:color w:val="000000" w:themeColor="text1"/>
                <w:sz w:val="24"/>
                <w14:textFill>
                  <w14:solidFill>
                    <w14:schemeClr w14:val="tx1"/>
                  </w14:solidFill>
                </w14:textFill>
              </w:rPr>
              <w:t>空气</w:t>
            </w:r>
            <w:r>
              <w:rPr>
                <w:rFonts w:hint="default" w:ascii="Times New Roman" w:hAnsi="Times New Roman" w:cs="Times New Roman"/>
                <w:color w:val="000000" w:themeColor="text1"/>
                <w:sz w:val="24"/>
                <w:szCs w:val="24"/>
                <w14:textFill>
                  <w14:solidFill>
                    <w14:schemeClr w14:val="tx1"/>
                  </w14:solidFill>
                </w14:textFill>
              </w:rPr>
              <w:t>质量达标情况评价指标为SO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、NO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2.5</w:t>
            </w:r>
            <w:r>
              <w:rPr>
                <w:rFonts w:hint="default" w:ascii="Times New Roman" w:hAnsi="Times New Roman" w:cs="Times New Roman"/>
                <w:color w:val="000000" w:themeColor="text1"/>
                <w:sz w:val="24"/>
                <w:szCs w:val="24"/>
                <w14:textFill>
                  <w14:solidFill>
                    <w14:schemeClr w14:val="tx1"/>
                  </w14:solidFill>
                </w14:textFill>
              </w:rPr>
              <w:t>、CO和O</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六项污染物全部达标即为城市环境空气质量达标。根据福建省生态环境</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厅</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网站</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发布的关于202</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年12月福建省城市环境空气质量通报显示：202</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年1</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12月，9个设区城市环境空气质量优良天数比例平均为98.3%，同比下降0.2个百分点；环境空气质量综合指数范围为2.16～2.81，首要污染物为臭氧。平潭综合实验区环境空气质量优良天数比例平均为99.7%，同比上升0.8个百分点；环境空气质量综合指数为1.9，首要污染物为臭氧，细颗粒物浓度为13μg/m</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详见附图</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、附图</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14:paraId="2C767BED">
            <w:pPr>
              <w:spacing w:line="360" w:lineRule="auto"/>
              <w:ind w:firstLine="480" w:firstLineChars="200"/>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2024年1—12月，58个县级城市环境空气质量优良天数比例平均为99.4%，同比下降0.1个百分点；环境空气质量综合指数范围为1.38～2.5，首要污染物为细颗粒物、臭氧。</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202</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年1</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12月</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，福州市闽侯县环境空气质量综合指数为2.17，优良天数比例100%（</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详见附图</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w:t>
            </w:r>
          </w:p>
          <w:p w14:paraId="46CAC273">
            <w:pPr>
              <w:spacing w:line="360" w:lineRule="auto"/>
              <w:ind w:firstLine="480" w:firstLineChars="200"/>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根据闽侯</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县环境监测站公益性常规监测数据统计，202</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年</w:t>
            </w:r>
            <w:r>
              <w:rPr>
                <w:rFonts w:hint="eastAsia" w:cs="Times New Roman"/>
                <w:color w:val="000000" w:themeColor="text1"/>
                <w:kern w:val="0"/>
                <w:sz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月份</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闽侯</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县城环境空气质量优，达到规定的相应功能区标准。闽侯县</w:t>
            </w:r>
            <w:r>
              <w:rPr>
                <w:rFonts w:hint="eastAsia" w:cs="Times New Roman"/>
                <w:color w:val="000000" w:themeColor="text1"/>
                <w:kern w:val="0"/>
                <w:sz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月份县城空气质量SO</w:t>
            </w:r>
            <w:r>
              <w:rPr>
                <w:rFonts w:hint="default" w:ascii="Times New Roman" w:hAnsi="Times New Roman" w:eastAsia="宋体" w:cs="Times New Roman"/>
                <w:color w:val="000000" w:themeColor="text1"/>
                <w:kern w:val="0"/>
                <w:sz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、NO</w:t>
            </w:r>
            <w:r>
              <w:rPr>
                <w:rFonts w:hint="default" w:ascii="Times New Roman" w:hAnsi="Times New Roman" w:eastAsia="宋体" w:cs="Times New Roman"/>
                <w:color w:val="000000" w:themeColor="text1"/>
                <w:kern w:val="0"/>
                <w:sz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kern w:val="0"/>
                <w:sz w:val="24"/>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、CO、O</w:t>
            </w:r>
            <w:r>
              <w:rPr>
                <w:rFonts w:hint="default" w:ascii="Times New Roman" w:hAnsi="Times New Roman" w:eastAsia="宋体" w:cs="Times New Roman"/>
                <w:color w:val="000000" w:themeColor="text1"/>
                <w:kern w:val="0"/>
                <w:sz w:val="24"/>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kern w:val="0"/>
                <w:sz w:val="24"/>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等6项污染物浓度指标的24小时均值</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其中O</w:t>
            </w:r>
            <w:r>
              <w:rPr>
                <w:rFonts w:hint="default" w:ascii="Times New Roman" w:hAnsi="Times New Roman" w:eastAsia="宋体" w:cs="Times New Roman"/>
                <w:color w:val="000000" w:themeColor="text1"/>
                <w:kern w:val="0"/>
                <w:sz w:val="24"/>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为日最大8小时平均</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达到国家</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环境空气质量标准</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GB3095-2012</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一级水平</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详见附图</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14:paraId="02F5A159">
            <w:pPr>
              <w:pStyle w:val="56"/>
              <w:keepNext w:val="0"/>
              <w:keepLines w:val="0"/>
              <w:pageBreakBefore w:val="0"/>
              <w:widowControl w:val="0"/>
              <w:kinsoku/>
              <w:wordWrap/>
              <w:overflowPunct/>
              <w:topLinePunct w:val="0"/>
              <w:autoSpaceDE w:val="0"/>
              <w:autoSpaceDN w:val="0"/>
              <w:bidi w:val="0"/>
              <w:adjustRightInd w:val="0"/>
              <w:snapToGrid/>
              <w:spacing w:after="0" w:line="360" w:lineRule="auto"/>
              <w:ind w:left="0" w:leftChars="0"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引用资料的有效性分析</w:t>
            </w:r>
          </w:p>
          <w:p w14:paraId="569F13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2"/>
                <w:lang w:eastAsia="zh-CN"/>
                <w14:textFill>
                  <w14:solidFill>
                    <w14:schemeClr w14:val="tx1"/>
                  </w14:solidFill>
                </w14:textFill>
              </w:rPr>
              <w:t>根据《建设项目环境影响报告表编制技术指南</w:t>
            </w:r>
            <w:r>
              <w:rPr>
                <w:rFonts w:hint="eastAsia" w:ascii="Times New Roman" w:hAnsi="Times New Roman" w:eastAsia="宋体"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lang w:eastAsia="zh-CN"/>
                <w14:textFill>
                  <w14:solidFill>
                    <w14:schemeClr w14:val="tx1"/>
                  </w14:solidFill>
                </w14:textFill>
              </w:rPr>
              <w:t>污染影响类</w:t>
            </w:r>
            <w:r>
              <w:rPr>
                <w:rFonts w:hint="eastAsia" w:ascii="Times New Roman" w:hAnsi="Times New Roman" w:eastAsia="宋体"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lang w:eastAsia="zh-CN"/>
                <w14:textFill>
                  <w14:solidFill>
                    <w14:schemeClr w14:val="tx1"/>
                  </w14:solidFill>
                </w14:textFill>
              </w:rPr>
              <w:t>试行</w:t>
            </w:r>
            <w:r>
              <w:rPr>
                <w:rFonts w:hint="eastAsia" w:ascii="Times New Roman" w:hAnsi="Times New Roman" w:eastAsia="宋体"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lang w:eastAsia="zh-CN"/>
                <w14:textFill>
                  <w14:solidFill>
                    <w14:schemeClr w14:val="tx1"/>
                  </w14:solidFill>
                </w14:textFill>
              </w:rPr>
              <w:t>》</w:t>
            </w:r>
            <w:r>
              <w:rPr>
                <w:rFonts w:hint="eastAsia" w:ascii="Times New Roman" w:hAnsi="Times New Roman" w:eastAsia="宋体"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lang w:eastAsia="zh-CN"/>
                <w14:textFill>
                  <w14:solidFill>
                    <w14:schemeClr w14:val="tx1"/>
                  </w14:solidFill>
                </w14:textFill>
              </w:rPr>
              <w:t>环办环评〔2020〕33号</w:t>
            </w:r>
            <w:r>
              <w:rPr>
                <w:rFonts w:hint="eastAsia" w:ascii="Times New Roman" w:hAnsi="Times New Roman" w:eastAsia="宋体"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lang w:eastAsia="zh-CN"/>
                <w14:textFill>
                  <w14:solidFill>
                    <w14:schemeClr w14:val="tx1"/>
                  </w14:solidFill>
                </w14:textFill>
              </w:rPr>
              <w:t>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本评价常规污染因子选取</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福建省生态环境厅</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、福州市闽侯县人民政府</w:t>
            </w:r>
            <w:r>
              <w:rPr>
                <w:rFonts w:hint="default" w:ascii="Times New Roman" w:hAnsi="Times New Roman" w:eastAsia="宋体" w:cs="Times New Roman"/>
                <w:color w:val="000000" w:themeColor="text1"/>
                <w:sz w:val="24"/>
                <w:szCs w:val="22"/>
                <w:lang w:eastAsia="zh-CN"/>
                <w14:textFill>
                  <w14:solidFill>
                    <w14:schemeClr w14:val="tx1"/>
                  </w14:solidFill>
                </w14:textFill>
              </w:rPr>
              <w:t>发布的环境空气质量现状信息，符合《建设项目环境影响报告表编制技术指南</w:t>
            </w:r>
            <w:r>
              <w:rPr>
                <w:rFonts w:hint="eastAsia" w:ascii="Times New Roman" w:hAnsi="Times New Roman" w:eastAsia="宋体"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lang w:eastAsia="zh-CN"/>
                <w14:textFill>
                  <w14:solidFill>
                    <w14:schemeClr w14:val="tx1"/>
                  </w14:solidFill>
                </w14:textFill>
              </w:rPr>
              <w:t>污染影响类</w:t>
            </w:r>
            <w:r>
              <w:rPr>
                <w:rFonts w:hint="eastAsia" w:ascii="Times New Roman" w:hAnsi="Times New Roman" w:eastAsia="宋体"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lang w:eastAsia="zh-CN"/>
                <w14:textFill>
                  <w14:solidFill>
                    <w14:schemeClr w14:val="tx1"/>
                  </w14:solidFill>
                </w14:textFill>
              </w:rPr>
              <w:t>试行</w:t>
            </w:r>
            <w:r>
              <w:rPr>
                <w:rFonts w:hint="eastAsia" w:ascii="Times New Roman" w:hAnsi="Times New Roman" w:eastAsia="宋体"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lang w:eastAsia="zh-CN"/>
                <w14:textFill>
                  <w14:solidFill>
                    <w14:schemeClr w14:val="tx1"/>
                  </w14:solidFill>
                </w14:textFill>
              </w:rPr>
              <w:t>》</w:t>
            </w:r>
            <w:r>
              <w:rPr>
                <w:rFonts w:hint="eastAsia" w:ascii="Times New Roman" w:hAnsi="Times New Roman" w:eastAsia="宋体"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lang w:eastAsia="zh-CN"/>
                <w14:textFill>
                  <w14:solidFill>
                    <w14:schemeClr w14:val="tx1"/>
                  </w14:solidFill>
                </w14:textFill>
              </w:rPr>
              <w:t>环办环评〔2020〕33号</w:t>
            </w:r>
            <w:r>
              <w:rPr>
                <w:rFonts w:hint="eastAsia" w:ascii="Times New Roman" w:hAnsi="Times New Roman" w:eastAsia="宋体"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lang w:eastAsia="zh-CN"/>
                <w14:textFill>
                  <w14:solidFill>
                    <w14:schemeClr w14:val="tx1"/>
                  </w14:solidFill>
                </w14:textFill>
              </w:rPr>
              <w:t>的要求。</w:t>
            </w:r>
          </w:p>
          <w:p w14:paraId="3EE77F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其他</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污染因子</w:t>
            </w:r>
          </w:p>
          <w:p w14:paraId="0EB87DBE">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①TSP</w:t>
            </w:r>
          </w:p>
          <w:p w14:paraId="55BFBB2D">
            <w:pPr>
              <w:pStyle w:val="11"/>
              <w:spacing w:before="0" w:after="0" w:line="360" w:lineRule="auto"/>
              <w:ind w:firstLine="480" w:firstLineChars="200"/>
              <w:rPr>
                <w:rFonts w:hint="default" w:ascii="Times New Roman" w:hAnsi="Times New Roman" w:cs="Times New Roman"/>
                <w:color w:val="000000" w:themeColor="text1"/>
                <w:kern w:val="2"/>
                <w:sz w:val="24"/>
                <w:szCs w:val="24"/>
                <w14:textFill>
                  <w14:solidFill>
                    <w14:schemeClr w14:val="tx1"/>
                  </w14:solidFill>
                </w14:textFill>
              </w:rPr>
            </w:pPr>
            <w:r>
              <w:rPr>
                <w:rFonts w:hint="default" w:ascii="Times New Roman" w:hAnsi="Times New Roman" w:cs="Times New Roman"/>
                <w:color w:val="000000" w:themeColor="text1"/>
                <w:kern w:val="2"/>
                <w:sz w:val="24"/>
                <w:szCs w:val="24"/>
                <w:lang w:val="en-US" w:eastAsia="zh-CN"/>
                <w14:textFill>
                  <w14:solidFill>
                    <w14:schemeClr w14:val="tx1"/>
                  </w14:solidFill>
                </w14:textFill>
              </w:rPr>
              <w:t>为了解本项目周边TSP环境现状浓度，本评价引用位于项目东北侧</w:t>
            </w:r>
            <w:r>
              <w:rPr>
                <w:rFonts w:hint="eastAsia" w:ascii="Times New Roman" w:hAnsi="Times New Roman" w:cs="Times New Roman"/>
                <w:color w:val="000000" w:themeColor="text1"/>
                <w:kern w:val="2"/>
                <w:sz w:val="24"/>
                <w:szCs w:val="24"/>
                <w:lang w:val="en-US" w:eastAsia="zh-CN"/>
                <w14:textFill>
                  <w14:solidFill>
                    <w14:schemeClr w14:val="tx1"/>
                  </w14:solidFill>
                </w14:textFill>
              </w:rPr>
              <w:t>约3.45km</w:t>
            </w:r>
            <w:r>
              <w:rPr>
                <w:rFonts w:hint="default" w:ascii="Times New Roman" w:hAnsi="Times New Roman" w:cs="Times New Roman"/>
                <w:color w:val="000000" w:themeColor="text1"/>
                <w:kern w:val="2"/>
                <w:sz w:val="24"/>
                <w:szCs w:val="24"/>
                <w:lang w:val="en-US" w:eastAsia="zh-CN"/>
                <w14:textFill>
                  <w14:solidFill>
                    <w14:schemeClr w14:val="tx1"/>
                  </w14:solidFill>
                </w14:textFill>
              </w:rPr>
              <w:t>处的《福州源德汽车科技有限公司汽车内饰塑料件加工项目》的现状监测数据进行评价</w:t>
            </w:r>
            <w:r>
              <w:rPr>
                <w:rFonts w:hint="eastAsia" w:ascii="Times New Roman" w:hAnsi="Times New Roman" w:cs="Times New Roman"/>
                <w:color w:val="000000" w:themeColor="text1"/>
                <w:kern w:val="2"/>
                <w:sz w:val="24"/>
                <w:szCs w:val="24"/>
                <w:lang w:val="en-US" w:eastAsia="zh-CN"/>
                <w14:textFill>
                  <w14:solidFill>
                    <w14:schemeClr w14:val="tx1"/>
                  </w14:solidFill>
                </w14:textFill>
              </w:rPr>
              <w:t>，2023年7月20日</w:t>
            </w:r>
            <w:r>
              <w:rPr>
                <w:rFonts w:hint="default" w:ascii="Times New Roman" w:hAnsi="Times New Roman"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14:textFill>
                  <w14:solidFill>
                    <w14:schemeClr w14:val="tx1"/>
                  </w14:solidFill>
                </w14:textFill>
              </w:rPr>
              <w:t>7月26日</w:t>
            </w:r>
            <w:r>
              <w:rPr>
                <w:rFonts w:hint="default" w:ascii="Times New Roman" w:hAnsi="Times New Roman" w:cs="Times New Roman"/>
                <w:color w:val="000000" w:themeColor="text1"/>
                <w:kern w:val="2"/>
                <w:sz w:val="24"/>
                <w:szCs w:val="24"/>
                <w:lang w:val="en-US" w:eastAsia="zh-CN"/>
                <w14:textFill>
                  <w14:solidFill>
                    <w14:schemeClr w14:val="tx1"/>
                  </w14:solidFill>
                </w14:textFill>
              </w:rPr>
              <w:t>安正计量检测有限公司对镜上村</w:t>
            </w:r>
            <w:r>
              <w:rPr>
                <w:rFonts w:hint="eastAsia" w:ascii="Times New Roman" w:hAnsi="Times New Roman" w:cs="Times New Roman"/>
                <w:color w:val="000000" w:themeColor="text1"/>
                <w:kern w:val="2"/>
                <w:sz w:val="24"/>
                <w:szCs w:val="24"/>
                <w:lang w:val="en-US" w:eastAsia="zh-CN"/>
                <w14:textFill>
                  <w14:solidFill>
                    <w14:schemeClr w14:val="tx1"/>
                  </w14:solidFill>
                </w14:textFill>
              </w:rPr>
              <w:t>环境空气</w:t>
            </w:r>
            <w:r>
              <w:rPr>
                <w:rFonts w:hint="default" w:ascii="Times New Roman" w:hAnsi="Times New Roman" w:cs="Times New Roman"/>
                <w:color w:val="000000" w:themeColor="text1"/>
                <w:kern w:val="2"/>
                <w:sz w:val="24"/>
                <w:szCs w:val="24"/>
                <w:lang w:val="en-US" w:eastAsia="zh-CN"/>
                <w14:textFill>
                  <w14:solidFill>
                    <w14:schemeClr w14:val="tx1"/>
                  </w14:solidFill>
                </w14:textFill>
              </w:rPr>
              <w:t>进行检测，本项目与引用项目位置关系及大气现状</w:t>
            </w:r>
            <w:r>
              <w:rPr>
                <w:rFonts w:hint="eastAsia" w:ascii="Times New Roman" w:hAnsi="Times New Roman" w:cs="Times New Roman"/>
                <w:color w:val="000000" w:themeColor="text1"/>
                <w:kern w:val="2"/>
                <w:sz w:val="24"/>
                <w:szCs w:val="24"/>
                <w:lang w:val="en-US" w:eastAsia="zh-CN"/>
                <w14:textFill>
                  <w14:solidFill>
                    <w14:schemeClr w14:val="tx1"/>
                  </w14:solidFill>
                </w14:textFill>
              </w:rPr>
              <w:t>监测点</w:t>
            </w:r>
            <w:r>
              <w:rPr>
                <w:rFonts w:hint="default" w:ascii="Times New Roman" w:hAnsi="Times New Roman" w:cs="Times New Roman"/>
                <w:color w:val="000000" w:themeColor="text1"/>
                <w:kern w:val="2"/>
                <w:sz w:val="24"/>
                <w:szCs w:val="24"/>
                <w:lang w:val="en-US" w:eastAsia="zh-CN"/>
                <w14:textFill>
                  <w14:solidFill>
                    <w14:schemeClr w14:val="tx1"/>
                  </w14:solidFill>
                </w14:textFill>
              </w:rPr>
              <w:t>位图见附图</w:t>
            </w:r>
            <w:r>
              <w:rPr>
                <w:rFonts w:hint="eastAsia" w:ascii="Times New Roman" w:hAnsi="Times New Roman" w:cs="Times New Roman"/>
                <w:color w:val="000000" w:themeColor="text1"/>
                <w:kern w:val="2"/>
                <w:sz w:val="24"/>
                <w:szCs w:val="24"/>
                <w:lang w:val="en-US" w:eastAsia="zh-CN"/>
                <w14:textFill>
                  <w14:solidFill>
                    <w14:schemeClr w14:val="tx1"/>
                  </w14:solidFill>
                </w14:textFill>
              </w:rPr>
              <w:t>17</w:t>
            </w:r>
            <w:r>
              <w:rPr>
                <w:rFonts w:hint="default" w:ascii="Times New Roman" w:hAnsi="Times New Roman"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14:textFill>
                  <w14:solidFill>
                    <w14:schemeClr w14:val="tx1"/>
                  </w14:solidFill>
                </w14:textFill>
              </w:rPr>
              <w:t>监测报告见附件十</w:t>
            </w:r>
            <w:r>
              <w:rPr>
                <w:rFonts w:hint="eastAsia" w:cs="Times New Roman"/>
                <w:color w:val="000000" w:themeColor="text1"/>
                <w:kern w:val="2"/>
                <w:sz w:val="24"/>
                <w:szCs w:val="24"/>
                <w:lang w:val="en-US" w:eastAsia="zh-CN"/>
                <w14:textFill>
                  <w14:solidFill>
                    <w14:schemeClr w14:val="tx1"/>
                  </w14:solidFill>
                </w14:textFill>
              </w:rPr>
              <w:t>四</w:t>
            </w:r>
            <w:r>
              <w:rPr>
                <w:rFonts w:hint="eastAsia" w:ascii="Times New Roman" w:hAnsi="Times New Roman" w:cs="Times New Roman"/>
                <w:color w:val="000000" w:themeColor="text1"/>
                <w:kern w:val="2"/>
                <w:sz w:val="24"/>
                <w:szCs w:val="24"/>
                <w:lang w:val="en-US" w:eastAsia="zh-CN"/>
                <w14:textFill>
                  <w14:solidFill>
                    <w14:schemeClr w14:val="tx1"/>
                  </w14:solidFill>
                </w14:textFill>
              </w:rPr>
              <w:t>，监测</w:t>
            </w:r>
            <w:r>
              <w:rPr>
                <w:rFonts w:hint="default" w:ascii="Times New Roman" w:hAnsi="Times New Roman" w:cs="Times New Roman"/>
                <w:color w:val="000000" w:themeColor="text1"/>
                <w:kern w:val="2"/>
                <w:sz w:val="24"/>
                <w:szCs w:val="24"/>
                <w:lang w:val="en-US" w:eastAsia="zh-CN"/>
                <w14:textFill>
                  <w14:solidFill>
                    <w14:schemeClr w14:val="tx1"/>
                  </w14:solidFill>
                </w14:textFill>
              </w:rPr>
              <w:t>结果见表3.1-2，环境空气现状评价结果详见表3.1-3。</w:t>
            </w:r>
          </w:p>
          <w:p w14:paraId="449225BD">
            <w:pPr>
              <w:pStyle w:val="146"/>
              <w:spacing w:line="240" w:lineRule="auto"/>
              <w:ind w:firstLine="0" w:firstLineChars="0"/>
              <w:jc w:val="center"/>
              <w:rPr>
                <w:rFonts w:hint="default" w:ascii="Times New Roman" w:hAnsi="Times New Roman" w:eastAsia="黑体" w:cs="Times New Roman"/>
                <w:b w:val="0"/>
                <w:bCs w:val="0"/>
                <w:color w:val="000000" w:themeColor="text1"/>
                <w:sz w:val="24"/>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表3.1-2  环境空气现状监测点位一览表</w:t>
            </w:r>
          </w:p>
          <w:p w14:paraId="6E53B36B">
            <w:pPr>
              <w:pStyle w:val="146"/>
              <w:spacing w:line="240" w:lineRule="auto"/>
              <w:ind w:firstLine="0" w:firstLineChars="0"/>
              <w:jc w:val="cente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6FBCC2DD">
            <w:pPr>
              <w:pStyle w:val="146"/>
              <w:spacing w:line="240" w:lineRule="auto"/>
              <w:ind w:firstLine="0" w:firstLineChars="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表3.1-3  项目环境空气现状评价结果表</w:t>
            </w:r>
          </w:p>
          <w:p w14:paraId="7143B6CA">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center"/>
              <w:textAlignment w:val="auto"/>
              <w:outlineLvl w:val="9"/>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2185F601">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由表3.1-3可知，项目</w:t>
            </w:r>
            <w:r>
              <w:rPr>
                <w:rFonts w:hint="eastAsia"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区域</w:t>
            </w: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TSP环境质量现状浓度符合《环境空气质量标准》</w:t>
            </w:r>
            <w:r>
              <w:rPr>
                <w:rFonts w:hint="eastAsia"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GB3095-2012</w:t>
            </w:r>
            <w:r>
              <w:rPr>
                <w:rFonts w:hint="eastAsia"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及其修改单中的二级标准。</w:t>
            </w:r>
          </w:p>
          <w:p w14:paraId="1F4D10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根据《建设项目环境影响报告表编制技术指南</w:t>
            </w:r>
            <w:r>
              <w:rPr>
                <w:rFonts w:hint="eastAsia"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污染影响类</w:t>
            </w:r>
            <w:r>
              <w:rPr>
                <w:rFonts w:hint="eastAsia"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试行</w:t>
            </w:r>
            <w:r>
              <w:rPr>
                <w:rFonts w:hint="eastAsia"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环办环评</w:t>
            </w:r>
            <w:r>
              <w:rPr>
                <w:rFonts w:hint="eastAsia"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〔2020〕33号）</w:t>
            </w: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要求：“排放国家、地方环境空气质量标准中有标准限值要求的特征污染物时，引用建设项目周边5千米范围内近3年的现有监测数据，……”。本项目TSP现状检测引用项目周边</w:t>
            </w:r>
            <w:r>
              <w:rPr>
                <w:rFonts w:hint="eastAsia" w:ascii="Times New Roman" w:hAnsi="Times New Roman" w:cs="Times New Roman"/>
                <w:color w:val="000000" w:themeColor="text1"/>
                <w:kern w:val="2"/>
                <w:sz w:val="24"/>
                <w:szCs w:val="24"/>
                <w:lang w:val="en-US" w:eastAsia="zh-CN"/>
                <w14:textFill>
                  <w14:solidFill>
                    <w14:schemeClr w14:val="tx1"/>
                  </w14:solidFill>
                </w14:textFill>
              </w:rPr>
              <w:t>约3.45km</w:t>
            </w: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处《福州源德汽车科技有限公司汽车内饰塑料件加工项目》的现状监测数据进行评价，该数据检测时间为</w:t>
            </w:r>
            <w:r>
              <w:rPr>
                <w:rFonts w:hint="eastAsia"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2023年7月20日</w:t>
            </w: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7月26日</w:t>
            </w: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，因此，项目引用的检测数据</w:t>
            </w:r>
            <w:r>
              <w:rPr>
                <w:rFonts w:hint="eastAsia" w:cs="Times New Roman"/>
                <w:b w:val="0"/>
                <w:bCs w:val="0"/>
                <w:color w:val="000000" w:themeColor="text1"/>
                <w:sz w:val="24"/>
                <w:szCs w:val="22"/>
                <w:highlight w:val="none"/>
                <w:lang w:val="en-US" w:eastAsia="zh-CN"/>
                <w14:textFill>
                  <w14:solidFill>
                    <w14:schemeClr w14:val="tx1"/>
                  </w14:solidFill>
                </w14:textFill>
              </w:rPr>
              <w:t>符合</w:t>
            </w: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要求。</w:t>
            </w:r>
          </w:p>
          <w:p w14:paraId="01867E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②非甲烷总烃</w:t>
            </w:r>
            <w:r>
              <w:rPr>
                <w:rFonts w:hint="eastAsia" w:cs="Times New Roman"/>
                <w:b w:val="0"/>
                <w:bCs w:val="0"/>
                <w:color w:val="000000" w:themeColor="text1"/>
                <w:sz w:val="24"/>
                <w:szCs w:val="22"/>
                <w:highlight w:val="none"/>
                <w:lang w:val="en-US" w:eastAsia="zh-CN"/>
                <w14:textFill>
                  <w14:solidFill>
                    <w14:schemeClr w14:val="tx1"/>
                  </w14:solidFill>
                </w14:textFill>
              </w:rPr>
              <w:t>、甲苯、二甲苯、乙酸丁酯</w:t>
            </w:r>
          </w:p>
          <w:p w14:paraId="0B98C10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2"/>
                <w:highlight w:val="none"/>
                <w:lang w:val="en-US" w:eastAsia="zh-CN"/>
                <w14:textFill>
                  <w14:solidFill>
                    <w14:schemeClr w14:val="tx1"/>
                  </w14:solidFill>
                </w14:textFill>
              </w:rPr>
              <w:t>根据环境影响评价网</w:t>
            </w:r>
            <w:r>
              <w:rPr>
                <w:rFonts w:hint="eastAsia" w:ascii="Times New Roman" w:hAnsi="Times New Roman" w:eastAsia="宋体" w:cs="Times New Roman"/>
                <w:b/>
                <w:bCs/>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2"/>
                <w:highlight w:val="none"/>
                <w:lang w:val="zh-CN" w:eastAsia="zh-CN"/>
                <w14:textFill>
                  <w14:solidFill>
                    <w14:schemeClr w14:val="tx1"/>
                  </w14:solidFill>
                </w14:textFill>
              </w:rPr>
              <w:t>生态环境部环境工程评估中心</w:t>
            </w:r>
            <w:r>
              <w:rPr>
                <w:rFonts w:hint="eastAsia" w:ascii="Times New Roman" w:hAnsi="Times New Roman" w:eastAsia="宋体" w:cs="Times New Roman"/>
                <w:b/>
                <w:bCs/>
                <w:color w:val="000000" w:themeColor="text1"/>
                <w:sz w:val="24"/>
                <w:szCs w:val="22"/>
                <w:highlight w:val="none"/>
                <w:lang w:val="zh-CN" w:eastAsia="zh-CN"/>
                <w14:textFill>
                  <w14:solidFill>
                    <w14:schemeClr w14:val="tx1"/>
                  </w14:solidFill>
                </w14:textFill>
              </w:rPr>
              <w:t>）</w:t>
            </w:r>
            <w:r>
              <w:rPr>
                <w:rFonts w:hint="default" w:ascii="Times New Roman" w:hAnsi="Times New Roman" w:eastAsia="宋体" w:cs="Times New Roman"/>
                <w:b/>
                <w:bCs/>
                <w:color w:val="000000" w:themeColor="text1"/>
                <w:sz w:val="24"/>
                <w:szCs w:val="22"/>
                <w:highlight w:val="none"/>
                <w:lang w:val="en-US" w:eastAsia="zh-CN"/>
                <w14:textFill>
                  <w14:solidFill>
                    <w14:schemeClr w14:val="tx1"/>
                  </w14:solidFill>
                </w14:textFill>
              </w:rPr>
              <w:t>关于</w:t>
            </w:r>
            <w:r>
              <w:rPr>
                <w:rFonts w:hint="default" w:ascii="Times New Roman" w:hAnsi="Times New Roman" w:eastAsia="宋体" w:cs="Times New Roman"/>
                <w:b/>
                <w:bCs/>
                <w:color w:val="000000" w:themeColor="text1"/>
                <w:sz w:val="24"/>
                <w:szCs w:val="22"/>
                <w:highlight w:val="none"/>
                <w:lang w:val="zh-CN" w:eastAsia="zh-CN"/>
                <w14:textFill>
                  <w14:solidFill>
                    <w14:schemeClr w14:val="tx1"/>
                  </w14:solidFill>
                </w14:textFill>
              </w:rPr>
              <w:t>《建设项目环境影响报告表》内容、格式及编制技术指南常见问题解答：</w:t>
            </w:r>
            <w:r>
              <w:rPr>
                <w:rFonts w:hint="default" w:ascii="Times New Roman" w:hAnsi="Times New Roman" w:eastAsia="宋体" w:cs="Times New Roman"/>
                <w:color w:val="000000" w:themeColor="text1"/>
                <w:sz w:val="24"/>
                <w:szCs w:val="22"/>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技术指南中提到“排放国家、地方环境空气质量标准中有标准限值要求的特征污染物”，其中环境空气质量标准指《环境空气质量标准》</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GB3095</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和地方的环境空气质量标准，不包括《环境影响评价技术导则大气环境》</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HJ2.2-2018</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附录D、《工业企业设计卫生标准》</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TJ36-97</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、《前苏联居住区标准》</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CH245-71</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、《环境影响评价技术导则 制药建设项目》</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HJ611-2011</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、《大气污染物综合排放标准详解》等导则或参考资料。排放的特征污染物需要在国家、地方环境空气质量标准中有限值要求才涉及现状监测，且优先引用现有监测数据</w:t>
            </w:r>
            <w:r>
              <w:rPr>
                <w:rFonts w:hint="default" w:ascii="Times New Roman" w:hAnsi="Times New Roman" w:eastAsia="宋体" w:cs="Times New Roman"/>
                <w:color w:val="000000" w:themeColor="text1"/>
                <w:sz w:val="24"/>
                <w:szCs w:val="22"/>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w:t>
            </w:r>
          </w:p>
          <w:p w14:paraId="6AB32E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i w:val="0"/>
                <w:caps w:val="0"/>
                <w:color w:val="000000" w:themeColor="text1"/>
                <w:spacing w:val="0"/>
                <w:sz w:val="24"/>
                <w:szCs w:val="24"/>
                <w:shd w:val="clear" w:color="auto" w:fill="FCFCFC"/>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4"/>
                <w:szCs w:val="24"/>
                <w:shd w:val="clear" w:color="auto" w:fill="auto"/>
                <w:lang w:val="en-US" w:eastAsia="zh-CN"/>
                <w14:textFill>
                  <w14:solidFill>
                    <w14:schemeClr w14:val="tx1"/>
                  </w14:solidFill>
                </w14:textFill>
              </w:rPr>
              <w:t>本项目排放的其他污染</w:t>
            </w:r>
            <w:r>
              <w:rPr>
                <w:rFonts w:hint="eastAsia" w:ascii="Times New Roman" w:hAnsi="Times New Roman" w:eastAsia="宋体" w:cs="Times New Roman"/>
                <w:i w:val="0"/>
                <w:caps w:val="0"/>
                <w:color w:val="000000" w:themeColor="text1"/>
                <w:spacing w:val="0"/>
                <w:sz w:val="24"/>
                <w:szCs w:val="24"/>
                <w:shd w:val="clear" w:color="auto" w:fill="auto"/>
                <w:lang w:val="en-US" w:eastAsia="zh-CN"/>
                <w14:textFill>
                  <w14:solidFill>
                    <w14:schemeClr w14:val="tx1"/>
                  </w14:solidFill>
                </w14:textFill>
              </w:rPr>
              <w:t>物</w:t>
            </w:r>
            <w:r>
              <w:rPr>
                <w:rFonts w:hint="default" w:ascii="Times New Roman" w:hAnsi="Times New Roman" w:eastAsia="宋体" w:cs="Times New Roman"/>
                <w:i w:val="0"/>
                <w:caps w:val="0"/>
                <w:color w:val="000000" w:themeColor="text1"/>
                <w:spacing w:val="0"/>
                <w:sz w:val="24"/>
                <w:szCs w:val="24"/>
                <w:shd w:val="clear" w:color="auto" w:fill="auto"/>
                <w:lang w:val="en-US" w:eastAsia="zh-CN"/>
                <w14:textFill>
                  <w14:solidFill>
                    <w14:schemeClr w14:val="tx1"/>
                  </w14:solidFill>
                </w14:textFill>
              </w:rPr>
              <w:t>为非甲烷总烃</w:t>
            </w:r>
            <w:r>
              <w:rPr>
                <w:rFonts w:hint="eastAsia" w:cs="Times New Roman"/>
                <w:b w:val="0"/>
                <w:bCs w:val="0"/>
                <w:color w:val="000000" w:themeColor="text1"/>
                <w:sz w:val="24"/>
                <w:szCs w:val="22"/>
                <w:highlight w:val="none"/>
                <w:lang w:val="en-US" w:eastAsia="zh-CN"/>
                <w14:textFill>
                  <w14:solidFill>
                    <w14:schemeClr w14:val="tx1"/>
                  </w14:solidFill>
                </w14:textFill>
              </w:rPr>
              <w:t>、甲苯、二甲苯、乙酸丁酯</w:t>
            </w:r>
            <w:r>
              <w:rPr>
                <w:rFonts w:hint="default" w:ascii="Times New Roman" w:hAnsi="Times New Roman" w:eastAsia="宋体" w:cs="Times New Roman"/>
                <w:i w:val="0"/>
                <w:caps w:val="0"/>
                <w:color w:val="000000" w:themeColor="text1"/>
                <w:spacing w:val="0"/>
                <w:sz w:val="24"/>
                <w:szCs w:val="24"/>
                <w:shd w:val="clear" w:color="auto" w:fill="auto"/>
                <w:lang w:val="en-US" w:eastAsia="zh-CN"/>
                <w14:textFill>
                  <w14:solidFill>
                    <w14:schemeClr w14:val="tx1"/>
                  </w14:solidFill>
                </w14:textFill>
              </w:rPr>
              <w:t>，不属于</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《环境空气质量标准》</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GB3095</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和地方的环境空气质量中有标准限值要求的污染物，因此，不进行现状</w:t>
            </w:r>
            <w:r>
              <w:rPr>
                <w:rFonts w:hint="eastAsia" w:cs="Times New Roman"/>
                <w:color w:val="000000" w:themeColor="text1"/>
                <w:sz w:val="24"/>
                <w:szCs w:val="22"/>
                <w:highlight w:val="none"/>
                <w:lang w:val="en-US" w:eastAsia="zh-CN"/>
                <w14:textFill>
                  <w14:solidFill>
                    <w14:schemeClr w14:val="tx1"/>
                  </w14:solidFill>
                </w14:textFill>
              </w:rPr>
              <w:t>监测</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评价。</w:t>
            </w:r>
          </w:p>
          <w:p w14:paraId="73354181">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黑体" w:cs="Times New Roman"/>
                <w:b/>
                <w:color w:val="000000" w:themeColor="text1"/>
                <w:sz w:val="28"/>
                <w:szCs w:val="28"/>
                <w14:textFill>
                  <w14:solidFill>
                    <w14:schemeClr w14:val="tx1"/>
                  </w14:solidFill>
                </w14:textFill>
              </w:rPr>
            </w:pPr>
            <w:r>
              <w:rPr>
                <w:rFonts w:hint="default" w:ascii="Times New Roman" w:hAnsi="Times New Roman" w:eastAsia="黑体" w:cs="Times New Roman"/>
                <w:b/>
                <w:color w:val="000000" w:themeColor="text1"/>
                <w:sz w:val="28"/>
                <w:szCs w:val="28"/>
                <w14:textFill>
                  <w14:solidFill>
                    <w14:schemeClr w14:val="tx1"/>
                  </w14:solidFill>
                </w14:textFill>
              </w:rPr>
              <w:t>3.2地表水环境质量现状</w:t>
            </w:r>
          </w:p>
          <w:p w14:paraId="2A83293F">
            <w:pPr>
              <w:adjustRightInd w:val="0"/>
              <w:snapToGrid w:val="0"/>
              <w:spacing w:line="360" w:lineRule="auto"/>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3.2.1地表水功能区划</w:t>
            </w:r>
          </w:p>
          <w:p w14:paraId="7E8D0D72">
            <w:pPr>
              <w:pStyle w:val="96"/>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⑴水环境</w:t>
            </w:r>
          </w:p>
          <w:p w14:paraId="07D00CA7">
            <w:pPr>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本项目生产废水</w:t>
            </w:r>
            <w:r>
              <w:rPr>
                <w:rFonts w:hint="eastAsia" w:cs="Times New Roman"/>
                <w:color w:val="000000" w:themeColor="text1"/>
                <w:sz w:val="24"/>
                <w:highlight w:val="none"/>
                <w:lang w:val="en-US" w:eastAsia="zh-CN"/>
                <w14:textFill>
                  <w14:solidFill>
                    <w14:schemeClr w14:val="tx1"/>
                  </w14:solidFill>
                </w14:textFill>
              </w:rPr>
              <w:t>经自建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废水处理设施处理达标后排入市政污水管网，送往福建青口海峡环保有限公司（青口新区污水处理厂）进行处理，</w:t>
            </w:r>
            <w:r>
              <w:rPr>
                <w:rFonts w:hint="eastAsia" w:cs="Times New Roman"/>
                <w:color w:val="000000" w:themeColor="text1"/>
                <w:sz w:val="24"/>
                <w:highlight w:val="none"/>
                <w:lang w:val="en-US" w:eastAsia="zh-CN"/>
                <w14:textFill>
                  <w14:solidFill>
                    <w14:schemeClr w14:val="tx1"/>
                  </w14:solidFill>
                </w14:textFill>
              </w:rPr>
              <w:t>污水处理厂</w:t>
            </w:r>
            <w:r>
              <w:rPr>
                <w:rFonts w:hint="default" w:ascii="Times New Roman" w:hAnsi="Times New Roman" w:cs="Times New Roman"/>
                <w:color w:val="000000" w:themeColor="text1"/>
                <w:sz w:val="24"/>
                <w:szCs w:val="22"/>
                <w:highlight w:val="none"/>
                <w:lang w:eastAsia="zh-CN"/>
                <w14:textFill>
                  <w14:solidFill>
                    <w14:schemeClr w14:val="tx1"/>
                  </w14:solidFill>
                </w14:textFill>
              </w:rPr>
              <w:t>尾水排入</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三溪河汇入</w:t>
            </w:r>
            <w:r>
              <w:rPr>
                <w:rFonts w:hint="default" w:ascii="Times New Roman" w:hAnsi="Times New Roman" w:cs="Times New Roman"/>
                <w:color w:val="000000" w:themeColor="text1"/>
                <w:sz w:val="24"/>
                <w:szCs w:val="22"/>
                <w:highlight w:val="none"/>
                <w:lang w:eastAsia="zh-CN"/>
                <w14:textFill>
                  <w14:solidFill>
                    <w14:schemeClr w14:val="tx1"/>
                  </w14:solidFill>
                </w14:textFill>
              </w:rPr>
              <w:t>陶江</w:t>
            </w:r>
            <w:r>
              <w:rPr>
                <w:rFonts w:hint="eastAsia" w:cs="Times New Roman"/>
                <w:color w:val="000000" w:themeColor="text1"/>
                <w:sz w:val="24"/>
                <w:szCs w:val="22"/>
                <w:highlight w:val="none"/>
                <w:lang w:eastAsia="zh-CN"/>
                <w14:textFill>
                  <w14:solidFill>
                    <w14:schemeClr w14:val="tx1"/>
                  </w14:solidFill>
                </w14:textFill>
              </w:rPr>
              <w:t>，</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最终汇入闽江</w:t>
            </w:r>
            <w:r>
              <w:rPr>
                <w:rFonts w:hint="default" w:ascii="Times New Roman" w:hAnsi="Times New Roman" w:eastAsia="宋体" w:cs="Times New Roman"/>
                <w:color w:val="000000" w:themeColor="text1"/>
                <w:sz w:val="24"/>
                <w:szCs w:val="22"/>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根据</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福州市人民</w:t>
            </w:r>
            <w:r>
              <w:rPr>
                <w:rFonts w:hint="default" w:ascii="Times New Roman" w:hAnsi="Times New Roman" w:eastAsia="宋体" w:cs="Times New Roman"/>
                <w:color w:val="000000" w:themeColor="text1"/>
                <w:sz w:val="24"/>
                <w:highlight w:val="none"/>
                <w14:textFill>
                  <w14:solidFill>
                    <w14:schemeClr w14:val="tx1"/>
                  </w14:solidFill>
                </w14:textFill>
              </w:rPr>
              <w:t>政府</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榕政综</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〔2019〕316号</w:t>
            </w:r>
            <w:r>
              <w:rPr>
                <w:rFonts w:hint="default" w:ascii="Times New Roman" w:hAnsi="Times New Roman" w:eastAsia="宋体" w:cs="Times New Roman"/>
                <w:color w:val="000000" w:themeColor="text1"/>
                <w:sz w:val="24"/>
                <w:highlight w:val="none"/>
                <w14:textFill>
                  <w14:solidFill>
                    <w14:schemeClr w14:val="tx1"/>
                  </w14:solidFill>
                </w14:textFill>
              </w:rPr>
              <w:t>批准《福州市</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水</w:t>
            </w:r>
            <w:r>
              <w:rPr>
                <w:rFonts w:hint="default" w:ascii="Times New Roman" w:hAnsi="Times New Roman" w:eastAsia="宋体" w:cs="Times New Roman"/>
                <w:color w:val="000000" w:themeColor="text1"/>
                <w:sz w:val="24"/>
                <w:highlight w:val="none"/>
                <w14:textFill>
                  <w14:solidFill>
                    <w14:schemeClr w14:val="tx1"/>
                  </w14:solidFill>
                </w14:textFill>
              </w:rPr>
              <w:t>功能区划》</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本项目</w:t>
            </w:r>
            <w:r>
              <w:rPr>
                <w:rFonts w:hint="default" w:ascii="Times New Roman" w:hAnsi="Times New Roman" w:cs="Times New Roman"/>
                <w:color w:val="000000" w:themeColor="text1"/>
                <w:sz w:val="24"/>
                <w:highlight w:val="none"/>
                <w:lang w:val="en-US" w:eastAsia="zh-CN"/>
                <w14:textFill>
                  <w14:solidFill>
                    <w14:schemeClr w14:val="tx1"/>
                  </w14:solidFill>
                </w14:textFill>
              </w:rPr>
              <w:t>纳污水域</w:t>
            </w:r>
            <w:r>
              <w:rPr>
                <w:rFonts w:hint="default" w:ascii="Times New Roman" w:hAnsi="Times New Roman" w:cs="Times New Roman"/>
                <w:color w:val="000000" w:themeColor="text1"/>
                <w:sz w:val="24"/>
                <w:highlight w:val="none"/>
                <w:lang w:eastAsia="zh-CN"/>
                <w14:textFill>
                  <w14:solidFill>
                    <w14:schemeClr w14:val="tx1"/>
                  </w14:solidFill>
                </w14:textFill>
              </w:rPr>
              <w:t>处于“三溪口水库坝址</w:t>
            </w:r>
            <w:r>
              <w:rPr>
                <w:rFonts w:hint="default" w:ascii="Times New Roman" w:hAnsi="Times New Roman" w:cs="Times New Roman"/>
                <w:color w:val="000000" w:themeColor="text1"/>
                <w:sz w:val="24"/>
                <w:highlight w:val="none"/>
                <w:lang w:val="en-US" w:eastAsia="zh-CN"/>
                <w14:textFill>
                  <w14:solidFill>
                    <w14:schemeClr w14:val="tx1"/>
                  </w14:solidFill>
                </w14:textFill>
              </w:rPr>
              <w:t>-与中房溪汇合口</w:t>
            </w:r>
            <w:r>
              <w:rPr>
                <w:rFonts w:hint="default" w:ascii="Times New Roman" w:hAnsi="Times New Roman" w:cs="Times New Roman"/>
                <w:color w:val="000000" w:themeColor="text1"/>
                <w:sz w:val="24"/>
                <w:highlight w:val="none"/>
                <w:lang w:eastAsia="zh-CN"/>
                <w14:textFill>
                  <w14:solidFill>
                    <w14:schemeClr w14:val="tx1"/>
                  </w14:solidFill>
                </w14:textFill>
              </w:rPr>
              <w:t>”断面，该</w:t>
            </w:r>
            <w:r>
              <w:rPr>
                <w:rFonts w:hint="eastAsia" w:ascii="Times New Roman" w:hAnsi="Times New Roman" w:cs="Times New Roman"/>
                <w:color w:val="000000" w:themeColor="text1"/>
                <w:sz w:val="24"/>
                <w:highlight w:val="none"/>
                <w:lang w:val="en-US" w:eastAsia="zh-CN"/>
                <w14:textFill>
                  <w14:solidFill>
                    <w14:schemeClr w14:val="tx1"/>
                  </w14:solidFill>
                </w14:textFill>
              </w:rPr>
              <w:t>区域地表水</w:t>
            </w:r>
            <w:r>
              <w:rPr>
                <w:rFonts w:hint="default" w:ascii="Times New Roman" w:hAnsi="Times New Roman" w:cs="Times New Roman"/>
                <w:color w:val="000000" w:themeColor="text1"/>
                <w:sz w:val="24"/>
                <w:highlight w:val="none"/>
                <w:lang w:val="en-US" w:eastAsia="zh-CN"/>
                <w14:textFill>
                  <w14:solidFill>
                    <w14:schemeClr w14:val="tx1"/>
                  </w14:solidFill>
                </w14:textFill>
              </w:rPr>
              <w:t>功能为</w:t>
            </w:r>
            <w:r>
              <w:rPr>
                <w:rFonts w:hint="default" w:ascii="Times New Roman" w:hAnsi="Times New Roman" w:cs="Times New Roman"/>
                <w:color w:val="000000" w:themeColor="text1"/>
                <w:sz w:val="24"/>
                <w:highlight w:val="none"/>
                <w:lang w:eastAsia="zh-CN"/>
                <w14:textFill>
                  <w14:solidFill>
                    <w14:schemeClr w14:val="tx1"/>
                  </w14:solidFill>
                </w14:textFill>
              </w:rPr>
              <w:t>工业、景观用水，水质保护目标</w:t>
            </w:r>
            <w:r>
              <w:rPr>
                <w:rFonts w:hint="default" w:ascii="Times New Roman" w:hAnsi="Times New Roman" w:cs="Times New Roman"/>
                <w:color w:val="000000" w:themeColor="text1"/>
                <w:sz w:val="24"/>
                <w:highlight w:val="none"/>
                <w14:textFill>
                  <w14:solidFill>
                    <w14:schemeClr w14:val="tx1"/>
                  </w14:solidFill>
                </w14:textFill>
              </w:rPr>
              <w:t>为Ⅲ类</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执行《地表水环境质量标准》</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GB3838-2002</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中Ⅲ类标准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详见表3.2-1。</w:t>
            </w:r>
          </w:p>
          <w:p w14:paraId="56C80566">
            <w:pPr>
              <w:pStyle w:val="146"/>
              <w:spacing w:line="240" w:lineRule="auto"/>
              <w:ind w:firstLine="0" w:firstLineChars="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 xml:space="preserve">表3.2-1 </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地表水环境质量标准</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GB3838-2002</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摘录</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单位：mg/L</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pH除外</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956"/>
              <w:gridCol w:w="2450"/>
              <w:gridCol w:w="1261"/>
              <w:gridCol w:w="1220"/>
              <w:gridCol w:w="1180"/>
              <w:gridCol w:w="1184"/>
            </w:tblGrid>
            <w:tr w14:paraId="242C8B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579" w:type="pct"/>
                  <w:shd w:val="clear" w:color="auto" w:fill="auto"/>
                  <w:noWrap w:val="0"/>
                  <w:vAlign w:val="center"/>
                </w:tcPr>
                <w:p w14:paraId="27ED0F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序号</w:t>
                  </w:r>
                </w:p>
              </w:tc>
              <w:tc>
                <w:tcPr>
                  <w:tcW w:w="1484" w:type="pct"/>
                  <w:shd w:val="clear" w:color="auto" w:fill="auto"/>
                  <w:noWrap w:val="0"/>
                  <w:vAlign w:val="center"/>
                </w:tcPr>
                <w:p w14:paraId="5C905C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w:t>
                  </w:r>
                </w:p>
              </w:tc>
              <w:tc>
                <w:tcPr>
                  <w:tcW w:w="764" w:type="pct"/>
                  <w:shd w:val="clear" w:color="auto" w:fill="auto"/>
                  <w:noWrap w:val="0"/>
                  <w:vAlign w:val="center"/>
                </w:tcPr>
                <w:p w14:paraId="14D64E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Ⅱ类</w:t>
                  </w:r>
                </w:p>
              </w:tc>
              <w:tc>
                <w:tcPr>
                  <w:tcW w:w="739" w:type="pct"/>
                  <w:shd w:val="clear" w:color="auto" w:fill="A4A4A4"/>
                  <w:noWrap w:val="0"/>
                  <w:vAlign w:val="center"/>
                </w:tcPr>
                <w:p w14:paraId="16063C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Ⅲ类</w:t>
                  </w:r>
                </w:p>
              </w:tc>
              <w:tc>
                <w:tcPr>
                  <w:tcW w:w="715" w:type="pct"/>
                  <w:noWrap w:val="0"/>
                  <w:vAlign w:val="center"/>
                </w:tcPr>
                <w:p w14:paraId="0524A2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Ⅳ类</w:t>
                  </w:r>
                </w:p>
              </w:tc>
              <w:tc>
                <w:tcPr>
                  <w:tcW w:w="717" w:type="pct"/>
                  <w:noWrap w:val="0"/>
                  <w:vAlign w:val="center"/>
                </w:tcPr>
                <w:p w14:paraId="5E62A5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Ⅴ类</w:t>
                  </w:r>
                </w:p>
              </w:tc>
            </w:tr>
            <w:tr w14:paraId="228995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579" w:type="pct"/>
                  <w:shd w:val="clear" w:color="auto" w:fill="auto"/>
                  <w:noWrap w:val="0"/>
                  <w:vAlign w:val="center"/>
                </w:tcPr>
                <w:p w14:paraId="574998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1484" w:type="pct"/>
                  <w:shd w:val="clear" w:color="auto" w:fill="auto"/>
                  <w:noWrap w:val="0"/>
                  <w:vAlign w:val="center"/>
                </w:tcPr>
                <w:p w14:paraId="58F459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pH</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无量纲</w:t>
                  </w:r>
                  <w:r>
                    <w:rPr>
                      <w:rFonts w:hint="eastAsia" w:ascii="Times New Roman" w:hAnsi="Times New Roman" w:cs="Times New Roman"/>
                      <w:color w:val="000000" w:themeColor="text1"/>
                      <w:highlight w:val="none"/>
                      <w:lang w:eastAsia="zh-CN"/>
                      <w14:textFill>
                        <w14:solidFill>
                          <w14:schemeClr w14:val="tx1"/>
                        </w14:solidFill>
                      </w14:textFill>
                    </w:rPr>
                    <w:t>）</w:t>
                  </w:r>
                </w:p>
              </w:tc>
              <w:tc>
                <w:tcPr>
                  <w:tcW w:w="2935" w:type="pct"/>
                  <w:gridSpan w:val="4"/>
                  <w:shd w:val="clear" w:color="auto" w:fill="A4A4A4"/>
                  <w:noWrap w:val="0"/>
                  <w:vAlign w:val="center"/>
                </w:tcPr>
                <w:p w14:paraId="6B7F13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6～9</w:t>
                  </w:r>
                </w:p>
              </w:tc>
            </w:tr>
            <w:tr w14:paraId="29B336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579" w:type="pct"/>
                  <w:shd w:val="clear" w:color="auto" w:fill="auto"/>
                  <w:noWrap w:val="0"/>
                  <w:vAlign w:val="center"/>
                </w:tcPr>
                <w:p w14:paraId="7EC0D4B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484" w:type="pct"/>
                  <w:shd w:val="clear" w:color="auto" w:fill="auto"/>
                  <w:noWrap w:val="0"/>
                  <w:vAlign w:val="center"/>
                </w:tcPr>
                <w:p w14:paraId="0F1BA06A">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snapToGrid w:val="0"/>
                      <w:color w:val="000000" w:themeColor="text1"/>
                      <w:kern w:val="18"/>
                      <w:sz w:val="21"/>
                      <w:szCs w:val="21"/>
                      <w14:textFill>
                        <w14:solidFill>
                          <w14:schemeClr w14:val="tx1"/>
                        </w14:solidFill>
                      </w14:textFill>
                    </w:rPr>
                    <w:t>溶解氧</w:t>
                  </w:r>
                  <w:r>
                    <w:rPr>
                      <w:rFonts w:hint="eastAsia" w:ascii="Times New Roman" w:hAnsi="Times New Roman" w:cs="Times New Roman"/>
                      <w:snapToGrid w:val="0"/>
                      <w:color w:val="000000" w:themeColor="text1"/>
                      <w:kern w:val="18"/>
                      <w:sz w:val="21"/>
                      <w:szCs w:val="21"/>
                      <w:lang w:eastAsia="zh-CN"/>
                      <w14:textFill>
                        <w14:solidFill>
                          <w14:schemeClr w14:val="tx1"/>
                        </w14:solidFill>
                      </w14:textFill>
                    </w:rPr>
                    <w:t>（</w:t>
                  </w:r>
                  <w:r>
                    <w:rPr>
                      <w:rFonts w:hint="default" w:ascii="Times New Roman" w:hAnsi="Times New Roman" w:cs="Times New Roman"/>
                      <w:snapToGrid w:val="0"/>
                      <w:color w:val="000000" w:themeColor="text1"/>
                      <w:kern w:val="18"/>
                      <w:sz w:val="21"/>
                      <w:szCs w:val="21"/>
                      <w14:textFill>
                        <w14:solidFill>
                          <w14:schemeClr w14:val="tx1"/>
                        </w14:solidFill>
                      </w14:textFill>
                    </w:rPr>
                    <w:t>DO</w:t>
                  </w:r>
                  <w:r>
                    <w:rPr>
                      <w:rFonts w:hint="eastAsia" w:ascii="Times New Roman" w:hAnsi="Times New Roman" w:cs="Times New Roman"/>
                      <w:snapToGrid w:val="0"/>
                      <w:color w:val="000000" w:themeColor="text1"/>
                      <w:kern w:val="18"/>
                      <w:sz w:val="21"/>
                      <w:szCs w:val="21"/>
                      <w:lang w:eastAsia="zh-CN"/>
                      <w14:textFill>
                        <w14:solidFill>
                          <w14:schemeClr w14:val="tx1"/>
                        </w14:solidFill>
                      </w14:textFill>
                    </w:rPr>
                    <w:t>）</w:t>
                  </w:r>
                  <w:r>
                    <w:rPr>
                      <w:rFonts w:hint="default" w:ascii="Times New Roman" w:hAnsi="Times New Roman" w:cs="Times New Roman"/>
                      <w:snapToGrid w:val="0"/>
                      <w:color w:val="000000" w:themeColor="text1"/>
                      <w:kern w:val="18"/>
                      <w:sz w:val="21"/>
                      <w:szCs w:val="21"/>
                      <w14:textFill>
                        <w14:solidFill>
                          <w14:schemeClr w14:val="tx1"/>
                        </w14:solidFill>
                      </w14:textFill>
                    </w:rPr>
                    <w:t>≥</w:t>
                  </w:r>
                </w:p>
              </w:tc>
              <w:tc>
                <w:tcPr>
                  <w:tcW w:w="764" w:type="pct"/>
                  <w:tcBorders>
                    <w:right w:val="single" w:color="auto" w:sz="4" w:space="0"/>
                  </w:tcBorders>
                  <w:shd w:val="clear" w:color="auto" w:fill="auto"/>
                  <w:noWrap w:val="0"/>
                  <w:vAlign w:val="center"/>
                </w:tcPr>
                <w:p w14:paraId="6AB09CFC">
                  <w:pPr>
                    <w:pStyle w:val="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w:t>
                  </w:r>
                </w:p>
              </w:tc>
              <w:tc>
                <w:tcPr>
                  <w:tcW w:w="739" w:type="pct"/>
                  <w:tcBorders>
                    <w:left w:val="single" w:color="auto" w:sz="4" w:space="0"/>
                    <w:right w:val="single" w:color="auto" w:sz="4" w:space="0"/>
                  </w:tcBorders>
                  <w:shd w:val="clear" w:color="auto" w:fill="A4A4A4"/>
                  <w:noWrap w:val="0"/>
                  <w:vAlign w:val="center"/>
                </w:tcPr>
                <w:p w14:paraId="37787631">
                  <w:pPr>
                    <w:pStyle w:val="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w:t>
                  </w:r>
                </w:p>
              </w:tc>
              <w:tc>
                <w:tcPr>
                  <w:tcW w:w="715" w:type="pct"/>
                  <w:tcBorders>
                    <w:left w:val="single" w:color="auto" w:sz="4" w:space="0"/>
                    <w:right w:val="single" w:color="auto" w:sz="4" w:space="0"/>
                  </w:tcBorders>
                  <w:noWrap w:val="0"/>
                  <w:vAlign w:val="center"/>
                </w:tcPr>
                <w:p w14:paraId="182C24A7">
                  <w:pPr>
                    <w:pStyle w:val="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w:t>
                  </w:r>
                </w:p>
              </w:tc>
              <w:tc>
                <w:tcPr>
                  <w:tcW w:w="717" w:type="pct"/>
                  <w:tcBorders>
                    <w:left w:val="single" w:color="auto" w:sz="4" w:space="0"/>
                  </w:tcBorders>
                  <w:noWrap w:val="0"/>
                  <w:vAlign w:val="center"/>
                </w:tcPr>
                <w:p w14:paraId="1AD5411A">
                  <w:pPr>
                    <w:pStyle w:val="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r>
            <w:tr w14:paraId="6C3D3C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579" w:type="pct"/>
                  <w:shd w:val="clear" w:color="auto" w:fill="auto"/>
                  <w:noWrap w:val="0"/>
                  <w:vAlign w:val="center"/>
                </w:tcPr>
                <w:p w14:paraId="40AE1E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1484" w:type="pct"/>
                  <w:shd w:val="clear" w:color="auto" w:fill="auto"/>
                  <w:noWrap w:val="0"/>
                  <w:vAlign w:val="center"/>
                </w:tcPr>
                <w:p w14:paraId="212104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COD</w:t>
                  </w:r>
                  <w:r>
                    <w:rPr>
                      <w:rFonts w:hint="default" w:ascii="Times New Roman" w:hAnsi="Times New Roman" w:cs="Times New Roman"/>
                      <w:color w:val="000000" w:themeColor="text1"/>
                      <w:highlight w:val="none"/>
                      <w:vertAlign w:val="subscript"/>
                      <w14:textFill>
                        <w14:solidFill>
                          <w14:schemeClr w14:val="tx1"/>
                        </w14:solidFill>
                      </w14:textFill>
                    </w:rPr>
                    <w:t>Mn</w:t>
                  </w:r>
                  <w:r>
                    <w:rPr>
                      <w:rFonts w:hint="default" w:ascii="Times New Roman" w:hAnsi="Times New Roman" w:cs="Times New Roman"/>
                      <w:color w:val="000000" w:themeColor="text1"/>
                      <w:highlight w:val="none"/>
                      <w14:textFill>
                        <w14:solidFill>
                          <w14:schemeClr w14:val="tx1"/>
                        </w14:solidFill>
                      </w14:textFill>
                    </w:rPr>
                    <w:t>≤</w:t>
                  </w:r>
                </w:p>
              </w:tc>
              <w:tc>
                <w:tcPr>
                  <w:tcW w:w="764" w:type="pct"/>
                  <w:tcBorders>
                    <w:right w:val="single" w:color="auto" w:sz="4" w:space="0"/>
                  </w:tcBorders>
                  <w:shd w:val="clear" w:color="auto" w:fill="auto"/>
                  <w:noWrap w:val="0"/>
                  <w:vAlign w:val="center"/>
                </w:tcPr>
                <w:p w14:paraId="401C88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c>
                <w:tcPr>
                  <w:tcW w:w="739" w:type="pct"/>
                  <w:tcBorders>
                    <w:left w:val="single" w:color="auto" w:sz="4" w:space="0"/>
                    <w:right w:val="single" w:color="auto" w:sz="4" w:space="0"/>
                  </w:tcBorders>
                  <w:shd w:val="clear" w:color="auto" w:fill="A4A4A4"/>
                  <w:noWrap w:val="0"/>
                  <w:vAlign w:val="center"/>
                </w:tcPr>
                <w:p w14:paraId="2B3977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w:t>
                  </w:r>
                </w:p>
              </w:tc>
              <w:tc>
                <w:tcPr>
                  <w:tcW w:w="715" w:type="pct"/>
                  <w:tcBorders>
                    <w:left w:val="single" w:color="auto" w:sz="4" w:space="0"/>
                    <w:right w:val="single" w:color="auto" w:sz="4" w:space="0"/>
                  </w:tcBorders>
                  <w:noWrap w:val="0"/>
                  <w:vAlign w:val="center"/>
                </w:tcPr>
                <w:p w14:paraId="1DBE85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717" w:type="pct"/>
                  <w:tcBorders>
                    <w:left w:val="single" w:color="auto" w:sz="4" w:space="0"/>
                  </w:tcBorders>
                  <w:noWrap w:val="0"/>
                  <w:vAlign w:val="center"/>
                </w:tcPr>
                <w:p w14:paraId="021979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w:t>
                  </w:r>
                </w:p>
              </w:tc>
            </w:tr>
            <w:tr w14:paraId="1FE15B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579" w:type="pct"/>
                  <w:shd w:val="clear" w:color="auto" w:fill="auto"/>
                  <w:noWrap w:val="0"/>
                  <w:vAlign w:val="center"/>
                </w:tcPr>
                <w:p w14:paraId="731BE5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p>
              </w:tc>
              <w:tc>
                <w:tcPr>
                  <w:tcW w:w="1484" w:type="pct"/>
                  <w:shd w:val="clear" w:color="auto" w:fill="auto"/>
                  <w:noWrap w:val="0"/>
                  <w:vAlign w:val="center"/>
                </w:tcPr>
                <w:p w14:paraId="0BC3AF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DO</w:t>
                  </w:r>
                  <w:r>
                    <w:rPr>
                      <w:rFonts w:hint="default" w:ascii="Times New Roman" w:hAnsi="Times New Roman" w:cs="Times New Roman"/>
                      <w:color w:val="000000" w:themeColor="text1"/>
                      <w:highlight w:val="none"/>
                      <w14:textFill>
                        <w14:solidFill>
                          <w14:schemeClr w14:val="tx1"/>
                        </w14:solidFill>
                      </w14:textFill>
                    </w:rPr>
                    <w:t>≤</w:t>
                  </w:r>
                </w:p>
              </w:tc>
              <w:tc>
                <w:tcPr>
                  <w:tcW w:w="764" w:type="pct"/>
                  <w:shd w:val="clear" w:color="auto" w:fill="auto"/>
                  <w:noWrap w:val="0"/>
                  <w:vAlign w:val="center"/>
                </w:tcPr>
                <w:p w14:paraId="357F08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w:t>
                  </w:r>
                </w:p>
              </w:tc>
              <w:tc>
                <w:tcPr>
                  <w:tcW w:w="739" w:type="pct"/>
                  <w:shd w:val="clear" w:color="auto" w:fill="A4A4A4"/>
                  <w:noWrap w:val="0"/>
                  <w:vAlign w:val="center"/>
                </w:tcPr>
                <w:p w14:paraId="3231B0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715" w:type="pct"/>
                  <w:noWrap w:val="0"/>
                  <w:vAlign w:val="center"/>
                </w:tcPr>
                <w:p w14:paraId="656749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717" w:type="pct"/>
                  <w:noWrap w:val="0"/>
                  <w:vAlign w:val="center"/>
                </w:tcPr>
                <w:p w14:paraId="2C893A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p>
              </w:tc>
            </w:tr>
            <w:tr w14:paraId="624C6A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579" w:type="pct"/>
                  <w:shd w:val="clear" w:color="auto" w:fill="auto"/>
                  <w:noWrap w:val="0"/>
                  <w:vAlign w:val="center"/>
                </w:tcPr>
                <w:p w14:paraId="7EB2BC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p>
              </w:tc>
              <w:tc>
                <w:tcPr>
                  <w:tcW w:w="1484" w:type="pct"/>
                  <w:shd w:val="clear" w:color="auto" w:fill="auto"/>
                  <w:noWrap w:val="0"/>
                  <w:vAlign w:val="center"/>
                </w:tcPr>
                <w:p w14:paraId="7DB52B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NH</w:t>
                  </w:r>
                  <w:r>
                    <w:rPr>
                      <w:rFonts w:hint="default" w:ascii="Times New Roman" w:hAnsi="Times New Roman" w:cs="Times New Roman"/>
                      <w:color w:val="000000" w:themeColor="text1"/>
                      <w:highlight w:val="none"/>
                      <w:vertAlign w:val="sub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-N≤</w:t>
                  </w:r>
                </w:p>
              </w:tc>
              <w:tc>
                <w:tcPr>
                  <w:tcW w:w="764" w:type="pct"/>
                  <w:shd w:val="clear" w:color="auto" w:fill="auto"/>
                  <w:noWrap w:val="0"/>
                  <w:vAlign w:val="center"/>
                </w:tcPr>
                <w:p w14:paraId="579AED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0.5</w:t>
                  </w:r>
                </w:p>
              </w:tc>
              <w:tc>
                <w:tcPr>
                  <w:tcW w:w="739" w:type="pct"/>
                  <w:shd w:val="clear" w:color="auto" w:fill="A4A4A4"/>
                  <w:noWrap w:val="0"/>
                  <w:vAlign w:val="center"/>
                </w:tcPr>
                <w:p w14:paraId="27E6A7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715" w:type="pct"/>
                  <w:noWrap w:val="0"/>
                  <w:vAlign w:val="center"/>
                </w:tcPr>
                <w:p w14:paraId="37CE7F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w:t>
                  </w:r>
                </w:p>
              </w:tc>
              <w:tc>
                <w:tcPr>
                  <w:tcW w:w="717" w:type="pct"/>
                  <w:noWrap w:val="0"/>
                  <w:vAlign w:val="center"/>
                </w:tcPr>
                <w:p w14:paraId="57A76E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w:t>
                  </w:r>
                </w:p>
              </w:tc>
            </w:tr>
            <w:tr w14:paraId="698743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579" w:type="pct"/>
                  <w:shd w:val="clear" w:color="auto" w:fill="auto"/>
                  <w:noWrap w:val="0"/>
                  <w:vAlign w:val="center"/>
                </w:tcPr>
                <w:p w14:paraId="3F9761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6</w:t>
                  </w:r>
                </w:p>
              </w:tc>
              <w:tc>
                <w:tcPr>
                  <w:tcW w:w="1484" w:type="pct"/>
                  <w:shd w:val="clear" w:color="auto" w:fill="auto"/>
                  <w:noWrap w:val="0"/>
                  <w:vAlign w:val="center"/>
                </w:tcPr>
                <w:p w14:paraId="0A3BC9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BOD</w:t>
                  </w:r>
                  <w:r>
                    <w:rPr>
                      <w:rFonts w:hint="default" w:ascii="Times New Roman" w:hAnsi="Times New Roman" w:cs="Times New Roman"/>
                      <w:color w:val="000000" w:themeColor="text1"/>
                      <w:highlight w:val="none"/>
                      <w:vertAlign w:val="subscript"/>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w:t>
                  </w:r>
                </w:p>
              </w:tc>
              <w:tc>
                <w:tcPr>
                  <w:tcW w:w="764" w:type="pct"/>
                  <w:shd w:val="clear" w:color="auto" w:fill="auto"/>
                  <w:noWrap w:val="0"/>
                  <w:vAlign w:val="center"/>
                </w:tcPr>
                <w:p w14:paraId="3A29F1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739" w:type="pct"/>
                  <w:shd w:val="clear" w:color="auto" w:fill="A4A4A4"/>
                  <w:noWrap w:val="0"/>
                  <w:vAlign w:val="center"/>
                </w:tcPr>
                <w:p w14:paraId="6546AF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c>
                <w:tcPr>
                  <w:tcW w:w="715" w:type="pct"/>
                  <w:noWrap w:val="0"/>
                  <w:vAlign w:val="center"/>
                </w:tcPr>
                <w:p w14:paraId="63BE19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w:t>
                  </w:r>
                </w:p>
              </w:tc>
              <w:tc>
                <w:tcPr>
                  <w:tcW w:w="717" w:type="pct"/>
                  <w:noWrap w:val="0"/>
                  <w:vAlign w:val="center"/>
                </w:tcPr>
                <w:p w14:paraId="4CB367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w:t>
                  </w:r>
                </w:p>
              </w:tc>
            </w:tr>
            <w:tr w14:paraId="1AFD16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579" w:type="pct"/>
                  <w:shd w:val="clear" w:color="auto" w:fill="auto"/>
                  <w:noWrap w:val="0"/>
                  <w:vAlign w:val="center"/>
                </w:tcPr>
                <w:p w14:paraId="362CA1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w:t>
                  </w:r>
                </w:p>
              </w:tc>
              <w:tc>
                <w:tcPr>
                  <w:tcW w:w="1484" w:type="pct"/>
                  <w:shd w:val="clear" w:color="auto" w:fill="auto"/>
                  <w:noWrap w:val="0"/>
                  <w:vAlign w:val="center"/>
                </w:tcPr>
                <w:p w14:paraId="1104EE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总磷（以P计）</w:t>
                  </w:r>
                  <w:r>
                    <w:rPr>
                      <w:rFonts w:hint="default" w:ascii="Times New Roman" w:hAnsi="Times New Roman" w:cs="Times New Roman"/>
                      <w:color w:val="000000" w:themeColor="text1"/>
                      <w:highlight w:val="none"/>
                      <w14:textFill>
                        <w14:solidFill>
                          <w14:schemeClr w14:val="tx1"/>
                        </w14:solidFill>
                      </w14:textFill>
                    </w:rPr>
                    <w:t>≤</w:t>
                  </w:r>
                </w:p>
              </w:tc>
              <w:tc>
                <w:tcPr>
                  <w:tcW w:w="764" w:type="pct"/>
                  <w:shd w:val="clear" w:color="auto" w:fill="auto"/>
                  <w:noWrap w:val="0"/>
                  <w:vAlign w:val="center"/>
                </w:tcPr>
                <w:p w14:paraId="2A1134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0.1</w:t>
                  </w:r>
                </w:p>
              </w:tc>
              <w:tc>
                <w:tcPr>
                  <w:tcW w:w="739" w:type="pct"/>
                  <w:shd w:val="clear" w:color="auto" w:fill="A4A4A4"/>
                  <w:noWrap w:val="0"/>
                  <w:vAlign w:val="center"/>
                </w:tcPr>
                <w:p w14:paraId="3DA9FF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0.2</w:t>
                  </w:r>
                </w:p>
              </w:tc>
              <w:tc>
                <w:tcPr>
                  <w:tcW w:w="715" w:type="pct"/>
                  <w:noWrap w:val="0"/>
                  <w:vAlign w:val="center"/>
                </w:tcPr>
                <w:p w14:paraId="4FC609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0.3</w:t>
                  </w:r>
                </w:p>
              </w:tc>
              <w:tc>
                <w:tcPr>
                  <w:tcW w:w="717" w:type="pct"/>
                  <w:noWrap w:val="0"/>
                  <w:vAlign w:val="center"/>
                </w:tcPr>
                <w:p w14:paraId="2D4735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0.4</w:t>
                  </w:r>
                </w:p>
              </w:tc>
            </w:tr>
            <w:tr w14:paraId="0AC18E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579" w:type="pct"/>
                  <w:shd w:val="clear" w:color="auto" w:fill="auto"/>
                  <w:noWrap w:val="0"/>
                  <w:vAlign w:val="center"/>
                </w:tcPr>
                <w:p w14:paraId="09BA7C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8</w:t>
                  </w:r>
                </w:p>
              </w:tc>
              <w:tc>
                <w:tcPr>
                  <w:tcW w:w="1484" w:type="pct"/>
                  <w:shd w:val="clear" w:color="auto" w:fill="auto"/>
                  <w:noWrap w:val="0"/>
                  <w:vAlign w:val="center"/>
                </w:tcPr>
                <w:p w14:paraId="1E1826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锌</w:t>
                  </w:r>
                  <w:r>
                    <w:rPr>
                      <w:rFonts w:hint="default" w:ascii="Times New Roman" w:hAnsi="Times New Roman" w:cs="Times New Roman"/>
                      <w:color w:val="000000" w:themeColor="text1"/>
                      <w:highlight w:val="none"/>
                      <w14:textFill>
                        <w14:solidFill>
                          <w14:schemeClr w14:val="tx1"/>
                        </w14:solidFill>
                      </w14:textFill>
                    </w:rPr>
                    <w:t>≤</w:t>
                  </w:r>
                </w:p>
              </w:tc>
              <w:tc>
                <w:tcPr>
                  <w:tcW w:w="764" w:type="pct"/>
                  <w:shd w:val="clear" w:color="auto" w:fill="auto"/>
                  <w:noWrap w:val="0"/>
                  <w:vAlign w:val="center"/>
                </w:tcPr>
                <w:p w14:paraId="26C90F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w:t>
                  </w:r>
                </w:p>
              </w:tc>
              <w:tc>
                <w:tcPr>
                  <w:tcW w:w="739" w:type="pct"/>
                  <w:shd w:val="clear" w:color="auto" w:fill="A4A4A4"/>
                  <w:noWrap w:val="0"/>
                  <w:vAlign w:val="center"/>
                </w:tcPr>
                <w:p w14:paraId="249325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w:t>
                  </w:r>
                </w:p>
              </w:tc>
              <w:tc>
                <w:tcPr>
                  <w:tcW w:w="715" w:type="pct"/>
                  <w:noWrap w:val="0"/>
                  <w:vAlign w:val="center"/>
                </w:tcPr>
                <w:p w14:paraId="4C0E05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2.0</w:t>
                  </w:r>
                </w:p>
              </w:tc>
              <w:tc>
                <w:tcPr>
                  <w:tcW w:w="717" w:type="pct"/>
                  <w:noWrap w:val="0"/>
                  <w:vAlign w:val="center"/>
                </w:tcPr>
                <w:p w14:paraId="363478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2.0</w:t>
                  </w:r>
                </w:p>
              </w:tc>
            </w:tr>
            <w:tr w14:paraId="240375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579" w:type="pct"/>
                  <w:shd w:val="clear" w:color="auto" w:fill="auto"/>
                  <w:noWrap w:val="0"/>
                  <w:vAlign w:val="center"/>
                </w:tcPr>
                <w:p w14:paraId="202CA8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9</w:t>
                  </w:r>
                </w:p>
              </w:tc>
              <w:tc>
                <w:tcPr>
                  <w:tcW w:w="1484" w:type="pct"/>
                  <w:shd w:val="clear" w:color="auto" w:fill="auto"/>
                  <w:noWrap w:val="0"/>
                  <w:vAlign w:val="center"/>
                </w:tcPr>
                <w:p w14:paraId="56D270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氟化物（以F</w:t>
                  </w:r>
                  <w:r>
                    <w:rPr>
                      <w:rFonts w:hint="eastAsia" w:cs="Times New Roman"/>
                      <w:color w:val="000000" w:themeColor="text1"/>
                      <w:highlight w:val="none"/>
                      <w:vertAlign w:val="superscript"/>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计）</w:t>
                  </w:r>
                  <w:r>
                    <w:rPr>
                      <w:rFonts w:hint="default" w:ascii="Times New Roman" w:hAnsi="Times New Roman" w:cs="Times New Roman"/>
                      <w:color w:val="000000" w:themeColor="text1"/>
                      <w:highlight w:val="none"/>
                      <w14:textFill>
                        <w14:solidFill>
                          <w14:schemeClr w14:val="tx1"/>
                        </w14:solidFill>
                      </w14:textFill>
                    </w:rPr>
                    <w:t>≤</w:t>
                  </w:r>
                </w:p>
              </w:tc>
              <w:tc>
                <w:tcPr>
                  <w:tcW w:w="764" w:type="pct"/>
                  <w:shd w:val="clear" w:color="auto" w:fill="auto"/>
                  <w:noWrap w:val="0"/>
                  <w:vAlign w:val="center"/>
                </w:tcPr>
                <w:p w14:paraId="204D27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w:t>
                  </w:r>
                </w:p>
              </w:tc>
              <w:tc>
                <w:tcPr>
                  <w:tcW w:w="739" w:type="pct"/>
                  <w:shd w:val="clear" w:color="auto" w:fill="A4A4A4"/>
                  <w:noWrap w:val="0"/>
                  <w:vAlign w:val="center"/>
                </w:tcPr>
                <w:p w14:paraId="56024B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w:t>
                  </w:r>
                </w:p>
              </w:tc>
              <w:tc>
                <w:tcPr>
                  <w:tcW w:w="715" w:type="pct"/>
                  <w:noWrap w:val="0"/>
                  <w:vAlign w:val="center"/>
                </w:tcPr>
                <w:p w14:paraId="1B09C5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1.5</w:t>
                  </w:r>
                </w:p>
              </w:tc>
              <w:tc>
                <w:tcPr>
                  <w:tcW w:w="717" w:type="pct"/>
                  <w:noWrap w:val="0"/>
                  <w:vAlign w:val="center"/>
                </w:tcPr>
                <w:p w14:paraId="1ADF75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1.5</w:t>
                  </w:r>
                </w:p>
              </w:tc>
            </w:tr>
          </w:tbl>
          <w:p w14:paraId="04A0F563">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3.2.</w:t>
            </w:r>
            <w:r>
              <w:rPr>
                <w:rFonts w:hint="default" w:ascii="Times New Roman" w:hAnsi="Times New Roman" w:cs="Times New Roman"/>
                <w:b/>
                <w:bCs/>
                <w:color w:val="000000" w:themeColor="text1"/>
                <w:kern w:val="0"/>
                <w:sz w:val="24"/>
                <w:lang w:val="en-US" w:eastAsia="zh-CN"/>
                <w14:textFill>
                  <w14:solidFill>
                    <w14:schemeClr w14:val="tx1"/>
                  </w14:solidFill>
                </w14:textFill>
              </w:rPr>
              <w:t>2</w:t>
            </w:r>
            <w:r>
              <w:rPr>
                <w:rFonts w:hint="default" w:ascii="Times New Roman" w:hAnsi="Times New Roman" w:cs="Times New Roman"/>
                <w:b/>
                <w:bCs/>
                <w:color w:val="000000" w:themeColor="text1"/>
                <w:kern w:val="0"/>
                <w:sz w:val="24"/>
                <w14:textFill>
                  <w14:solidFill>
                    <w14:schemeClr w14:val="tx1"/>
                  </w14:solidFill>
                </w14:textFill>
              </w:rPr>
              <w:t>地表水环境质量现状</w:t>
            </w:r>
          </w:p>
          <w:p w14:paraId="3A0F34AC">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bottom"/>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lang w:eastAsia="zh-CN"/>
                <w14:textFill>
                  <w14:solidFill>
                    <w14:schemeClr w14:val="tx1"/>
                  </w14:solidFill>
                </w14:textFill>
              </w:rPr>
              <w:t>（</w:t>
            </w:r>
            <w:r>
              <w:rPr>
                <w:rFonts w:ascii="Times New Roman" w:hAnsi="Times New Roman"/>
                <w:color w:val="000000" w:themeColor="text1"/>
                <w:sz w:val="24"/>
                <w14:textFill>
                  <w14:solidFill>
                    <w14:schemeClr w14:val="tx1"/>
                  </w14:solidFill>
                </w14:textFill>
              </w:rPr>
              <w:t>1</w:t>
            </w:r>
            <w:r>
              <w:rPr>
                <w:rFonts w:hint="eastAsia" w:ascii="Times New Roman" w:hAnsi="Times New Roman"/>
                <w:color w:val="000000" w:themeColor="text1"/>
                <w:sz w:val="24"/>
                <w:lang w:eastAsia="zh-CN"/>
                <w14:textFill>
                  <w14:solidFill>
                    <w14:schemeClr w14:val="tx1"/>
                  </w14:solidFill>
                </w14:textFill>
              </w:rPr>
              <w:t>）</w:t>
            </w:r>
            <w:r>
              <w:rPr>
                <w:rFonts w:ascii="Times New Roman" w:hAnsi="Times New Roman"/>
                <w:color w:val="000000" w:themeColor="text1"/>
                <w:sz w:val="24"/>
                <w14:textFill>
                  <w14:solidFill>
                    <w14:schemeClr w14:val="tx1"/>
                  </w14:solidFill>
                </w14:textFill>
              </w:rPr>
              <w:t>地表水水质现状调查</w:t>
            </w:r>
          </w:p>
          <w:p w14:paraId="4A5B57A9">
            <w:pPr>
              <w:pStyle w:val="119"/>
              <w:keepNext w:val="0"/>
              <w:keepLines w:val="0"/>
              <w:pageBreakBefore w:val="0"/>
              <w:widowControl w:val="0"/>
              <w:numPr>
                <w:ilvl w:val="0"/>
                <w:numId w:val="0"/>
              </w:numPr>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w:t>
            </w:r>
            <w:r>
              <w:rPr>
                <w:rFonts w:hint="eastAsia" w:ascii="Times New Roman" w:hAnsi="Times New Roman" w:eastAsia="宋体" w:cs="Times New Roman"/>
                <w:color w:val="000000" w:themeColor="text1"/>
                <w:lang w:val="en-US" w:eastAsia="zh-CN"/>
                <w14:textFill>
                  <w14:solidFill>
                    <w14:schemeClr w14:val="tx1"/>
                  </w14:solidFill>
                </w14:textFill>
              </w:rPr>
              <w:t>福州市人民政府</w:t>
            </w:r>
            <w:r>
              <w:rPr>
                <w:rFonts w:hint="default" w:ascii="Times New Roman" w:hAnsi="Times New Roman" w:eastAsia="宋体" w:cs="Times New Roman"/>
                <w:color w:val="000000" w:themeColor="text1"/>
                <w:lang w:val="en-US" w:eastAsia="zh-CN"/>
                <w14:textFill>
                  <w14:solidFill>
                    <w14:schemeClr w14:val="tx1"/>
                  </w14:solidFill>
                </w14:textFill>
              </w:rPr>
              <w:t>网站发布的</w:t>
            </w:r>
            <w:r>
              <w:rPr>
                <w:rFonts w:hint="eastAsia" w:ascii="Times New Roman" w:hAnsi="Times New Roman" w:eastAsia="宋体" w:cs="Times New Roman"/>
                <w:color w:val="000000" w:themeColor="text1"/>
                <w:lang w:val="en-US" w:eastAsia="zh-CN"/>
                <w14:textFill>
                  <w14:solidFill>
                    <w14:schemeClr w14:val="tx1"/>
                  </w14:solidFill>
                </w14:textFill>
              </w:rPr>
              <w:t>福州市</w:t>
            </w:r>
            <w:r>
              <w:rPr>
                <w:rFonts w:hint="default" w:ascii="Times New Roman" w:hAnsi="Times New Roman" w:eastAsia="宋体" w:cs="Times New Roman"/>
                <w:color w:val="000000" w:themeColor="text1"/>
                <w:lang w:val="en-US" w:eastAsia="zh-CN"/>
                <w14:textFill>
                  <w14:solidFill>
                    <w14:schemeClr w14:val="tx1"/>
                  </w14:solidFill>
                </w14:textFill>
              </w:rPr>
              <w:t>水环境质量状况</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202</w:t>
            </w:r>
            <w:r>
              <w:rPr>
                <w:rFonts w:hint="eastAsia"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lang w:val="en-US" w:eastAsia="zh-CN"/>
                <w14:textFill>
                  <w14:solidFill>
                    <w14:schemeClr w14:val="tx1"/>
                  </w14:solidFill>
                </w14:textFill>
              </w:rPr>
              <w:t>年1</w:t>
            </w:r>
            <w:r>
              <w:rPr>
                <w:rFonts w:hint="eastAsia" w:ascii="Times New Roman" w:hAnsi="Times New Roman" w:eastAsia="宋体" w:cs="Times New Roman"/>
                <w:color w:val="000000" w:themeColor="text1"/>
                <w:lang w:val="en-US" w:eastAsia="zh-CN"/>
                <w14:textFill>
                  <w14:solidFill>
                    <w14:schemeClr w14:val="tx1"/>
                  </w14:solidFill>
                </w14:textFill>
              </w:rPr>
              <w:t>—9</w:t>
            </w:r>
            <w:r>
              <w:rPr>
                <w:rFonts w:hint="default" w:ascii="Times New Roman" w:hAnsi="Times New Roman" w:eastAsia="宋体" w:cs="Times New Roman"/>
                <w:color w:val="000000" w:themeColor="text1"/>
                <w:lang w:val="en-US" w:eastAsia="zh-CN"/>
                <w14:textFill>
                  <w14:solidFill>
                    <w14:schemeClr w14:val="tx1"/>
                  </w14:solidFill>
                </w14:textFill>
              </w:rPr>
              <w:t>月</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2025年1-9月，主要流域9个国控断面Ⅰ-Ⅲ类水质比例为100%，36个省控及以上断面Ⅰ-Ⅲ类水质比例为100%；小流域54个省控断面Ⅰ-Ⅲ类水质比例为100%。县级及以上集中式饮用水源地水质达标率为100%。</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详见附图</w:t>
            </w:r>
            <w:r>
              <w:rPr>
                <w:rFonts w:hint="eastAsia" w:ascii="Times New Roman" w:hAnsi="Times New Roman" w:eastAsia="宋体" w:cs="Times New Roman"/>
                <w:color w:val="000000" w:themeColor="text1"/>
                <w:lang w:val="en-US" w:eastAsia="zh-CN"/>
                <w14:textFill>
                  <w14:solidFill>
                    <w14:schemeClr w14:val="tx1"/>
                  </w14:solidFill>
                </w14:textFill>
              </w:rPr>
              <w:t>9）</w:t>
            </w:r>
          </w:p>
          <w:p w14:paraId="4FAE3D17">
            <w:pPr>
              <w:pStyle w:val="119"/>
              <w:keepNext w:val="0"/>
              <w:keepLines w:val="0"/>
              <w:pageBreakBefore w:val="0"/>
              <w:widowControl w:val="0"/>
              <w:numPr>
                <w:ilvl w:val="0"/>
                <w:numId w:val="0"/>
              </w:numPr>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项目生活污水化粪池预处理后排入市政污水管网，</w:t>
            </w:r>
            <w:r>
              <w:rPr>
                <w:rFonts w:hint="eastAsia" w:ascii="Times New Roman" w:hAnsi="Times New Roman" w:eastAsia="宋体" w:cs="Times New Roman"/>
                <w:color w:val="000000" w:themeColor="text1"/>
                <w:lang w:val="en-US" w:eastAsia="zh-CN"/>
                <w14:textFill>
                  <w14:solidFill>
                    <w14:schemeClr w14:val="tx1"/>
                  </w14:solidFill>
                </w14:textFill>
              </w:rPr>
              <w:t>生产废水</w:t>
            </w:r>
            <w:r>
              <w:rPr>
                <w:rFonts w:hint="eastAsia" w:cs="Times New Roman"/>
                <w:color w:val="000000" w:themeColor="text1"/>
                <w:lang w:val="en-US" w:eastAsia="zh-CN"/>
                <w14:textFill>
                  <w14:solidFill>
                    <w14:schemeClr w14:val="tx1"/>
                  </w14:solidFill>
                </w14:textFill>
              </w:rPr>
              <w:t>经自建</w:t>
            </w:r>
            <w:r>
              <w:rPr>
                <w:rFonts w:hint="eastAsia" w:ascii="Times New Roman" w:hAnsi="Times New Roman" w:eastAsia="宋体" w:cs="Times New Roman"/>
                <w:color w:val="000000" w:themeColor="text1"/>
                <w:lang w:val="en-US" w:eastAsia="zh-CN"/>
                <w14:textFill>
                  <w14:solidFill>
                    <w14:schemeClr w14:val="tx1"/>
                  </w14:solidFill>
                </w14:textFill>
              </w:rPr>
              <w:t>废水处理设施处理达标后排入市政污水管网，</w:t>
            </w:r>
            <w:r>
              <w:rPr>
                <w:rFonts w:hint="default" w:ascii="Times New Roman" w:hAnsi="Times New Roman" w:eastAsia="宋体" w:cs="Times New Roman"/>
                <w:color w:val="000000" w:themeColor="text1"/>
                <w:lang w:val="en-US" w:eastAsia="zh-CN"/>
                <w14:textFill>
                  <w14:solidFill>
                    <w14:schemeClr w14:val="tx1"/>
                  </w14:solidFill>
                </w14:textFill>
              </w:rPr>
              <w:t>送往福建青口海峡环保有限公司</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青口新区污水处理厂</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集中处理，不直接排入周边地表水体，几乎不会改变周边水域的环境质量现状。</w:t>
            </w:r>
          </w:p>
          <w:p w14:paraId="60CB9003">
            <w:pPr>
              <w:pStyle w:val="119"/>
              <w:keepNext w:val="0"/>
              <w:keepLines w:val="0"/>
              <w:pageBreakBefore w:val="0"/>
              <w:widowControl w:val="0"/>
              <w:numPr>
                <w:ilvl w:val="0"/>
                <w:numId w:val="0"/>
              </w:numPr>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（2）引用资料的有效性分析</w:t>
            </w:r>
          </w:p>
          <w:p w14:paraId="7B776536">
            <w:pPr>
              <w:pStyle w:val="119"/>
              <w:keepNext w:val="0"/>
              <w:keepLines w:val="0"/>
              <w:pageBreakBefore w:val="0"/>
              <w:widowControl w:val="0"/>
              <w:numPr>
                <w:ilvl w:val="0"/>
                <w:numId w:val="0"/>
              </w:numPr>
              <w:kinsoku/>
              <w:wordWrap/>
              <w:overflowPunct/>
              <w:topLinePunct w:val="0"/>
              <w:autoSpaceDE/>
              <w:autoSpaceDN/>
              <w:bidi w:val="0"/>
              <w:adjustRightInd/>
              <w:snapToGrid/>
              <w:ind w:left="0"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根据《建设项目环境影响报告表编制技术指南</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污染影响类</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试行</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环办环评〔2020〕33号</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的要求：</w:t>
            </w:r>
            <w:r>
              <w:rPr>
                <w:rFonts w:hint="eastAsia" w:ascii="宋体" w:hAnsi="宋体" w:eastAsia="宋体" w:cs="宋体"/>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宋体" w:hAnsi="宋体" w:eastAsia="宋体" w:cs="宋体"/>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本次</w:t>
            </w:r>
            <w:r>
              <w:rPr>
                <w:rFonts w:hint="default" w:ascii="Times New Roman" w:hAnsi="Times New Roman" w:eastAsia="宋体" w:cs="Times New Roman"/>
                <w:color w:val="000000" w:themeColor="text1"/>
                <w:lang w:val="en-US" w:eastAsia="zh-CN"/>
                <w14:textFill>
                  <w14:solidFill>
                    <w14:schemeClr w14:val="tx1"/>
                  </w14:solidFill>
                </w14:textFill>
              </w:rPr>
              <w:t>评价选取</w:t>
            </w:r>
            <w:r>
              <w:rPr>
                <w:rFonts w:hint="eastAsia" w:ascii="Times New Roman" w:hAnsi="Times New Roman" w:eastAsia="宋体" w:cs="Times New Roman"/>
                <w:color w:val="000000" w:themeColor="text1"/>
                <w:lang w:val="en-US" w:eastAsia="zh-CN"/>
                <w14:textFill>
                  <w14:solidFill>
                    <w14:schemeClr w14:val="tx1"/>
                  </w14:solidFill>
                </w14:textFill>
              </w:rPr>
              <w:t>福州市人民政府</w:t>
            </w:r>
            <w:r>
              <w:rPr>
                <w:rFonts w:hint="default" w:ascii="Times New Roman" w:hAnsi="Times New Roman" w:eastAsia="宋体" w:cs="Times New Roman"/>
                <w:color w:val="000000" w:themeColor="text1"/>
                <w:lang w:val="en-US" w:eastAsia="zh-CN"/>
                <w14:textFill>
                  <w14:solidFill>
                    <w14:schemeClr w14:val="tx1"/>
                  </w14:solidFill>
                </w14:textFill>
              </w:rPr>
              <w:t>网站发布的水环境质量状况，符合《建设项目环境影响报告表编制技术指南</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污染影响类</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试行</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环办环评〔2020〕33号</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的要求。</w:t>
            </w:r>
          </w:p>
          <w:p w14:paraId="266135FE">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黑体" w:cs="Times New Roman"/>
                <w:b/>
                <w:color w:val="000000" w:themeColor="text1"/>
                <w:sz w:val="28"/>
                <w:szCs w:val="28"/>
                <w14:textFill>
                  <w14:solidFill>
                    <w14:schemeClr w14:val="tx1"/>
                  </w14:solidFill>
                </w14:textFill>
              </w:rPr>
            </w:pPr>
            <w:r>
              <w:rPr>
                <w:rFonts w:hint="default" w:ascii="Times New Roman" w:hAnsi="Times New Roman" w:eastAsia="黑体" w:cs="Times New Roman"/>
                <w:b/>
                <w:color w:val="000000" w:themeColor="text1"/>
                <w:sz w:val="28"/>
                <w:szCs w:val="28"/>
                <w14:textFill>
                  <w14:solidFill>
                    <w14:schemeClr w14:val="tx1"/>
                  </w14:solidFill>
                </w14:textFill>
              </w:rPr>
              <w:t>3.3声环境质量现状</w:t>
            </w:r>
          </w:p>
          <w:p w14:paraId="7AC81FAB">
            <w:pPr>
              <w:adjustRightInd w:val="0"/>
              <w:snapToGrid w:val="0"/>
              <w:spacing w:line="360" w:lineRule="auto"/>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3.3.1声环境功能区</w:t>
            </w:r>
          </w:p>
          <w:p w14:paraId="39D246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w:t>
            </w:r>
            <w:r>
              <w:rPr>
                <w:rFonts w:hint="eastAsia" w:ascii="Times New Roman" w:hAnsi="Times New Roman" w:eastAsia="宋体" w:cs="Times New Roman"/>
                <w:color w:val="000000" w:themeColor="text1"/>
                <w:sz w:val="24"/>
                <w:lang w:val="en-US" w:eastAsia="zh-CN"/>
                <w14:textFill>
                  <w14:solidFill>
                    <w14:schemeClr w14:val="tx1"/>
                  </w14:solidFill>
                </w14:textFill>
              </w:rPr>
              <w:t>福州市生态环境局关于印发《福州市城区声环境功能区划》的通知（榕环保综〔2021〕77号）</w:t>
            </w:r>
            <w:r>
              <w:rPr>
                <w:rFonts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项目所在区域划为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类功</w:t>
            </w:r>
            <w:r>
              <w:rPr>
                <w:rFonts w:hint="default" w:ascii="Times New Roman" w:hAnsi="Times New Roman" w:eastAsia="宋体" w:cs="Times New Roman"/>
                <w:color w:val="000000" w:themeColor="text1"/>
                <w:sz w:val="24"/>
                <w:szCs w:val="24"/>
                <w:highlight w:val="none"/>
                <w14:textFill>
                  <w14:solidFill>
                    <w14:schemeClr w14:val="tx1"/>
                  </w14:solidFill>
                </w14:textFill>
              </w:rPr>
              <w:t>能区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详见附图15）</w:t>
            </w:r>
            <w:r>
              <w:rPr>
                <w:rFonts w:hint="default" w:ascii="Times New Roman" w:hAnsi="Times New Roman" w:eastAsia="宋体" w:cs="Times New Roman"/>
                <w:color w:val="000000" w:themeColor="text1"/>
                <w:sz w:val="24"/>
                <w:szCs w:val="24"/>
                <w:highlight w:val="none"/>
                <w14:textFill>
                  <w14:solidFill>
                    <w14:schemeClr w14:val="tx1"/>
                  </w14:solidFill>
                </w14:textFill>
              </w:rPr>
              <w:t>，声环境质量执行《声环境质量标准》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GB3096-2008</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中的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类区标准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E84FCF4">
            <w:pPr>
              <w:pStyle w:val="146"/>
              <w:spacing w:line="240" w:lineRule="auto"/>
              <w:ind w:firstLine="0" w:firstLineChars="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表3.3-1  《声环境质量标准》</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GB3096-2008</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摘录</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w:t>
            </w:r>
          </w:p>
          <w:tbl>
            <w:tblPr>
              <w:tblStyle w:val="30"/>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803"/>
              <w:gridCol w:w="4858"/>
              <w:gridCol w:w="1054"/>
              <w:gridCol w:w="1235"/>
            </w:tblGrid>
            <w:tr w14:paraId="370C3537">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803" w:type="dxa"/>
                  <w:vMerge w:val="restart"/>
                  <w:tcBorders>
                    <w:tl2br w:val="nil"/>
                    <w:tr2bl w:val="nil"/>
                  </w:tcBorders>
                  <w:noWrap w:val="0"/>
                  <w:vAlign w:val="center"/>
                </w:tcPr>
                <w:p w14:paraId="27169FFC">
                  <w:pPr>
                    <w:pStyle w:val="94"/>
                    <w:keepNext w:val="0"/>
                    <w:keepLines w:val="0"/>
                    <w:pageBreakBefore w:val="0"/>
                    <w:kinsoku/>
                    <w:wordWrap/>
                    <w:overflowPunct/>
                    <w:topLinePunct w:val="0"/>
                    <w:autoSpaceDE/>
                    <w:autoSpaceDN/>
                    <w:bidi w:val="0"/>
                    <w:adjustRightInd/>
                    <w:spacing w:line="240" w:lineRule="auto"/>
                    <w:ind w:right="0"/>
                    <w:jc w:val="center"/>
                    <w:textAlignment w:val="auto"/>
                    <w:rPr>
                      <w:rFonts w:ascii="Times New Roman" w:hAnsi="Times New Roman"/>
                      <w:snapToGrid w:val="0"/>
                      <w:color w:val="000000" w:themeColor="text1"/>
                      <w:kern w:val="18"/>
                      <w14:textFill>
                        <w14:solidFill>
                          <w14:schemeClr w14:val="tx1"/>
                        </w14:solidFill>
                      </w14:textFill>
                    </w:rPr>
                  </w:pPr>
                  <w:r>
                    <w:rPr>
                      <w:rFonts w:ascii="Times New Roman" w:hAnsi="Times New Roman"/>
                      <w:snapToGrid w:val="0"/>
                      <w:color w:val="000000" w:themeColor="text1"/>
                      <w:kern w:val="18"/>
                      <w14:textFill>
                        <w14:solidFill>
                          <w14:schemeClr w14:val="tx1"/>
                        </w14:solidFill>
                      </w14:textFill>
                    </w:rPr>
                    <w:t>标准类别</w:t>
                  </w:r>
                </w:p>
              </w:tc>
              <w:tc>
                <w:tcPr>
                  <w:tcW w:w="4858" w:type="dxa"/>
                  <w:vMerge w:val="restart"/>
                  <w:tcBorders>
                    <w:tl2br w:val="nil"/>
                    <w:tr2bl w:val="nil"/>
                  </w:tcBorders>
                  <w:noWrap w:val="0"/>
                  <w:vAlign w:val="center"/>
                </w:tcPr>
                <w:p w14:paraId="70A4971A">
                  <w:pPr>
                    <w:pStyle w:val="94"/>
                    <w:keepNext w:val="0"/>
                    <w:keepLines w:val="0"/>
                    <w:pageBreakBefore w:val="0"/>
                    <w:kinsoku/>
                    <w:wordWrap/>
                    <w:overflowPunct/>
                    <w:topLinePunct w:val="0"/>
                    <w:autoSpaceDE/>
                    <w:autoSpaceDN/>
                    <w:bidi w:val="0"/>
                    <w:adjustRightInd/>
                    <w:spacing w:line="240" w:lineRule="auto"/>
                    <w:ind w:right="0"/>
                    <w:jc w:val="center"/>
                    <w:textAlignment w:val="auto"/>
                    <w:rPr>
                      <w:rFonts w:ascii="Times New Roman" w:hAnsi="Times New Roman"/>
                      <w:snapToGrid w:val="0"/>
                      <w:color w:val="000000" w:themeColor="text1"/>
                      <w:kern w:val="18"/>
                      <w14:textFill>
                        <w14:solidFill>
                          <w14:schemeClr w14:val="tx1"/>
                        </w14:solidFill>
                      </w14:textFill>
                    </w:rPr>
                  </w:pPr>
                  <w:r>
                    <w:rPr>
                      <w:rFonts w:ascii="Times New Roman" w:hAnsi="Times New Roman"/>
                      <w:snapToGrid w:val="0"/>
                      <w:color w:val="000000" w:themeColor="text1"/>
                      <w:kern w:val="18"/>
                      <w14:textFill>
                        <w14:solidFill>
                          <w14:schemeClr w14:val="tx1"/>
                        </w14:solidFill>
                      </w14:textFill>
                    </w:rPr>
                    <w:t>适用区域</w:t>
                  </w:r>
                </w:p>
              </w:tc>
              <w:tc>
                <w:tcPr>
                  <w:tcW w:w="2289" w:type="dxa"/>
                  <w:gridSpan w:val="2"/>
                  <w:tcBorders>
                    <w:tl2br w:val="nil"/>
                    <w:tr2bl w:val="nil"/>
                  </w:tcBorders>
                  <w:noWrap w:val="0"/>
                  <w:vAlign w:val="center"/>
                </w:tcPr>
                <w:p w14:paraId="18C504CC">
                  <w:pPr>
                    <w:pStyle w:val="94"/>
                    <w:keepNext w:val="0"/>
                    <w:keepLines w:val="0"/>
                    <w:pageBreakBefore w:val="0"/>
                    <w:kinsoku/>
                    <w:wordWrap/>
                    <w:overflowPunct/>
                    <w:topLinePunct w:val="0"/>
                    <w:autoSpaceDE/>
                    <w:autoSpaceDN/>
                    <w:bidi w:val="0"/>
                    <w:adjustRightInd/>
                    <w:spacing w:line="240" w:lineRule="auto"/>
                    <w:ind w:right="0"/>
                    <w:jc w:val="center"/>
                    <w:textAlignment w:val="auto"/>
                    <w:rPr>
                      <w:rFonts w:ascii="Times New Roman" w:hAnsi="Times New Roman"/>
                      <w:snapToGrid w:val="0"/>
                      <w:color w:val="000000" w:themeColor="text1"/>
                      <w:kern w:val="18"/>
                      <w14:textFill>
                        <w14:solidFill>
                          <w14:schemeClr w14:val="tx1"/>
                        </w14:solidFill>
                      </w14:textFill>
                    </w:rPr>
                  </w:pPr>
                  <w:r>
                    <w:rPr>
                      <w:rFonts w:ascii="Times New Roman" w:hAnsi="Times New Roman"/>
                      <w:snapToGrid w:val="0"/>
                      <w:color w:val="000000" w:themeColor="text1"/>
                      <w:kern w:val="18"/>
                      <w14:textFill>
                        <w14:solidFill>
                          <w14:schemeClr w14:val="tx1"/>
                        </w14:solidFill>
                      </w14:textFill>
                    </w:rPr>
                    <w:t>等效声级L</w:t>
                  </w:r>
                  <w:r>
                    <w:rPr>
                      <w:rFonts w:ascii="Times New Roman" w:hAnsi="Times New Roman"/>
                      <w:snapToGrid w:val="0"/>
                      <w:color w:val="000000" w:themeColor="text1"/>
                      <w:kern w:val="18"/>
                      <w:vertAlign w:val="subscript"/>
                      <w14:textFill>
                        <w14:solidFill>
                          <w14:schemeClr w14:val="tx1"/>
                        </w14:solidFill>
                      </w14:textFill>
                    </w:rPr>
                    <w:t>eq</w:t>
                  </w:r>
                  <w:r>
                    <w:rPr>
                      <w:rFonts w:ascii="Times New Roman" w:hAnsi="Times New Roman"/>
                      <w:snapToGrid w:val="0"/>
                      <w:color w:val="000000" w:themeColor="text1"/>
                      <w:kern w:val="18"/>
                      <w14:textFill>
                        <w14:solidFill>
                          <w14:schemeClr w14:val="tx1"/>
                        </w14:solidFill>
                      </w14:textFill>
                    </w:rPr>
                    <w:t>(dB(A))</w:t>
                  </w:r>
                </w:p>
              </w:tc>
            </w:tr>
            <w:tr w14:paraId="59D5CDE3">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803" w:type="dxa"/>
                  <w:vMerge w:val="continue"/>
                  <w:tcBorders>
                    <w:tl2br w:val="nil"/>
                    <w:tr2bl w:val="nil"/>
                  </w:tcBorders>
                  <w:noWrap w:val="0"/>
                  <w:vAlign w:val="center"/>
                </w:tcPr>
                <w:p w14:paraId="3F3B378D">
                  <w:pPr>
                    <w:pStyle w:val="94"/>
                    <w:keepNext w:val="0"/>
                    <w:keepLines w:val="0"/>
                    <w:pageBreakBefore w:val="0"/>
                    <w:kinsoku/>
                    <w:wordWrap/>
                    <w:overflowPunct/>
                    <w:topLinePunct w:val="0"/>
                    <w:autoSpaceDE/>
                    <w:autoSpaceDN/>
                    <w:bidi w:val="0"/>
                    <w:adjustRightInd/>
                    <w:spacing w:line="240" w:lineRule="auto"/>
                    <w:ind w:right="0"/>
                    <w:jc w:val="center"/>
                    <w:textAlignment w:val="auto"/>
                    <w:rPr>
                      <w:rFonts w:ascii="Times New Roman" w:hAnsi="Times New Roman"/>
                      <w:snapToGrid w:val="0"/>
                      <w:color w:val="000000" w:themeColor="text1"/>
                      <w:kern w:val="18"/>
                      <w14:textFill>
                        <w14:solidFill>
                          <w14:schemeClr w14:val="tx1"/>
                        </w14:solidFill>
                      </w14:textFill>
                    </w:rPr>
                  </w:pPr>
                </w:p>
              </w:tc>
              <w:tc>
                <w:tcPr>
                  <w:tcW w:w="4858" w:type="dxa"/>
                  <w:vMerge w:val="continue"/>
                  <w:tcBorders>
                    <w:tl2br w:val="nil"/>
                    <w:tr2bl w:val="nil"/>
                  </w:tcBorders>
                  <w:noWrap w:val="0"/>
                  <w:vAlign w:val="center"/>
                </w:tcPr>
                <w:p w14:paraId="51E5660A">
                  <w:pPr>
                    <w:pStyle w:val="94"/>
                    <w:keepNext w:val="0"/>
                    <w:keepLines w:val="0"/>
                    <w:pageBreakBefore w:val="0"/>
                    <w:kinsoku/>
                    <w:wordWrap/>
                    <w:overflowPunct/>
                    <w:topLinePunct w:val="0"/>
                    <w:autoSpaceDE/>
                    <w:autoSpaceDN/>
                    <w:bidi w:val="0"/>
                    <w:adjustRightInd/>
                    <w:spacing w:line="240" w:lineRule="auto"/>
                    <w:ind w:right="0"/>
                    <w:jc w:val="center"/>
                    <w:textAlignment w:val="auto"/>
                    <w:rPr>
                      <w:rFonts w:ascii="Times New Roman" w:hAnsi="Times New Roman"/>
                      <w:snapToGrid w:val="0"/>
                      <w:color w:val="000000" w:themeColor="text1"/>
                      <w:kern w:val="18"/>
                      <w14:textFill>
                        <w14:solidFill>
                          <w14:schemeClr w14:val="tx1"/>
                        </w14:solidFill>
                      </w14:textFill>
                    </w:rPr>
                  </w:pPr>
                </w:p>
              </w:tc>
              <w:tc>
                <w:tcPr>
                  <w:tcW w:w="1054" w:type="dxa"/>
                  <w:tcBorders>
                    <w:tl2br w:val="nil"/>
                    <w:tr2bl w:val="nil"/>
                  </w:tcBorders>
                  <w:noWrap w:val="0"/>
                  <w:vAlign w:val="center"/>
                </w:tcPr>
                <w:p w14:paraId="647588BF">
                  <w:pPr>
                    <w:pStyle w:val="94"/>
                    <w:keepNext w:val="0"/>
                    <w:keepLines w:val="0"/>
                    <w:pageBreakBefore w:val="0"/>
                    <w:kinsoku/>
                    <w:wordWrap/>
                    <w:overflowPunct/>
                    <w:topLinePunct w:val="0"/>
                    <w:autoSpaceDE/>
                    <w:autoSpaceDN/>
                    <w:bidi w:val="0"/>
                    <w:adjustRightInd/>
                    <w:spacing w:line="240" w:lineRule="auto"/>
                    <w:ind w:right="0"/>
                    <w:jc w:val="center"/>
                    <w:textAlignment w:val="auto"/>
                    <w:rPr>
                      <w:rFonts w:ascii="Times New Roman" w:hAnsi="Times New Roman"/>
                      <w:snapToGrid w:val="0"/>
                      <w:color w:val="000000" w:themeColor="text1"/>
                      <w:kern w:val="18"/>
                      <w14:textFill>
                        <w14:solidFill>
                          <w14:schemeClr w14:val="tx1"/>
                        </w14:solidFill>
                      </w14:textFill>
                    </w:rPr>
                  </w:pPr>
                  <w:r>
                    <w:rPr>
                      <w:rFonts w:ascii="Times New Roman" w:hAnsi="Times New Roman"/>
                      <w:snapToGrid w:val="0"/>
                      <w:color w:val="000000" w:themeColor="text1"/>
                      <w:kern w:val="18"/>
                      <w14:textFill>
                        <w14:solidFill>
                          <w14:schemeClr w14:val="tx1"/>
                        </w14:solidFill>
                      </w14:textFill>
                    </w:rPr>
                    <w:t>昼间</w:t>
                  </w:r>
                </w:p>
              </w:tc>
              <w:tc>
                <w:tcPr>
                  <w:tcW w:w="1235" w:type="dxa"/>
                  <w:tcBorders>
                    <w:tl2br w:val="nil"/>
                    <w:tr2bl w:val="nil"/>
                  </w:tcBorders>
                  <w:noWrap w:val="0"/>
                  <w:vAlign w:val="center"/>
                </w:tcPr>
                <w:p w14:paraId="5680F131">
                  <w:pPr>
                    <w:pStyle w:val="94"/>
                    <w:keepNext w:val="0"/>
                    <w:keepLines w:val="0"/>
                    <w:pageBreakBefore w:val="0"/>
                    <w:kinsoku/>
                    <w:wordWrap/>
                    <w:overflowPunct/>
                    <w:topLinePunct w:val="0"/>
                    <w:autoSpaceDE/>
                    <w:autoSpaceDN/>
                    <w:bidi w:val="0"/>
                    <w:adjustRightInd/>
                    <w:spacing w:line="240" w:lineRule="auto"/>
                    <w:ind w:right="0"/>
                    <w:jc w:val="center"/>
                    <w:textAlignment w:val="auto"/>
                    <w:rPr>
                      <w:rFonts w:hint="eastAsia" w:ascii="Times New Roman" w:hAnsi="Times New Roman"/>
                      <w:snapToGrid w:val="0"/>
                      <w:color w:val="000000" w:themeColor="text1"/>
                      <w:kern w:val="18"/>
                      <w14:textFill>
                        <w14:solidFill>
                          <w14:schemeClr w14:val="tx1"/>
                        </w14:solidFill>
                      </w14:textFill>
                    </w:rPr>
                  </w:pPr>
                  <w:r>
                    <w:rPr>
                      <w:rFonts w:hint="eastAsia" w:ascii="Times New Roman" w:hAnsi="Times New Roman"/>
                      <w:snapToGrid w:val="0"/>
                      <w:color w:val="000000" w:themeColor="text1"/>
                      <w:kern w:val="18"/>
                      <w14:textFill>
                        <w14:solidFill>
                          <w14:schemeClr w14:val="tx1"/>
                        </w14:solidFill>
                      </w14:textFill>
                    </w:rPr>
                    <w:t>夜间</w:t>
                  </w:r>
                </w:p>
              </w:tc>
            </w:tr>
            <w:tr w14:paraId="1E4FFB1A">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97" w:hRule="atLeast"/>
                <w:jc w:val="center"/>
              </w:trPr>
              <w:tc>
                <w:tcPr>
                  <w:tcW w:w="803" w:type="dxa"/>
                  <w:tcBorders>
                    <w:tl2br w:val="nil"/>
                    <w:tr2bl w:val="nil"/>
                  </w:tcBorders>
                  <w:noWrap w:val="0"/>
                  <w:vAlign w:val="center"/>
                </w:tcPr>
                <w:p w14:paraId="1F4EDB38">
                  <w:pPr>
                    <w:pStyle w:val="87"/>
                    <w:keepNext w:val="0"/>
                    <w:keepLines w:val="0"/>
                    <w:pageBreakBefore w:val="0"/>
                    <w:kinsoku/>
                    <w:wordWrap/>
                    <w:overflowPunct/>
                    <w:topLinePunct w:val="0"/>
                    <w:autoSpaceDE/>
                    <w:autoSpaceDN/>
                    <w:bidi w:val="0"/>
                    <w:adjustRightInd/>
                    <w:spacing w:line="240" w:lineRule="auto"/>
                    <w:ind w:right="0" w:rightChars="0" w:firstLine="190" w:firstLineChars="100"/>
                    <w:jc w:val="both"/>
                    <w:textAlignment w:val="auto"/>
                    <w:rPr>
                      <w:rFonts w:hint="eastAsia" w:ascii="Times New Roman" w:hAnsi="Times New Roman" w:eastAsia="宋体"/>
                      <w:snapToGrid w:val="0"/>
                      <w:color w:val="000000" w:themeColor="text1"/>
                      <w:kern w:val="18"/>
                      <w:lang w:eastAsia="zh-CN"/>
                      <w14:textFill>
                        <w14:solidFill>
                          <w14:schemeClr w14:val="tx1"/>
                        </w14:solidFill>
                      </w14:textFill>
                    </w:rPr>
                  </w:pPr>
                  <w:r>
                    <w:rPr>
                      <w:rFonts w:ascii="Times New Roman" w:hAnsi="Times New Roman"/>
                      <w:color w:val="000000" w:themeColor="text1"/>
                      <w:spacing w:val="-10"/>
                      <w:sz w:val="21"/>
                      <w14:textFill>
                        <w14:solidFill>
                          <w14:schemeClr w14:val="tx1"/>
                        </w14:solidFill>
                      </w14:textFill>
                    </w:rPr>
                    <w:t>3</w:t>
                  </w:r>
                </w:p>
              </w:tc>
              <w:tc>
                <w:tcPr>
                  <w:tcW w:w="4858" w:type="dxa"/>
                  <w:tcBorders>
                    <w:tl2br w:val="nil"/>
                    <w:tr2bl w:val="nil"/>
                  </w:tcBorders>
                  <w:noWrap w:val="0"/>
                  <w:vAlign w:val="center"/>
                </w:tcPr>
                <w:p w14:paraId="011AAD66">
                  <w:pPr>
                    <w:pStyle w:val="87"/>
                    <w:keepNext w:val="0"/>
                    <w:keepLines w:val="0"/>
                    <w:pageBreakBefore w:val="0"/>
                    <w:kinsoku/>
                    <w:wordWrap/>
                    <w:overflowPunct/>
                    <w:topLinePunct w:val="0"/>
                    <w:autoSpaceDE/>
                    <w:autoSpaceDN/>
                    <w:bidi w:val="0"/>
                    <w:adjustRightInd/>
                    <w:spacing w:before="62" w:line="240" w:lineRule="auto"/>
                    <w:ind w:right="0"/>
                    <w:jc w:val="center"/>
                    <w:textAlignment w:val="auto"/>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pacing w:val="-5"/>
                      <w:sz w:val="21"/>
                      <w14:textFill>
                        <w14:solidFill>
                          <w14:schemeClr w14:val="tx1"/>
                        </w14:solidFill>
                      </w14:textFill>
                    </w:rPr>
                    <w:t>指以工业生产、仓储物流为主要功能，需要防止工业</w:t>
                  </w:r>
                </w:p>
                <w:p w14:paraId="4167AB87">
                  <w:pPr>
                    <w:pStyle w:val="87"/>
                    <w:keepNext w:val="0"/>
                    <w:keepLines w:val="0"/>
                    <w:pageBreakBefore w:val="0"/>
                    <w:kinsoku/>
                    <w:wordWrap/>
                    <w:overflowPunct/>
                    <w:topLinePunct w:val="0"/>
                    <w:autoSpaceDE/>
                    <w:autoSpaceDN/>
                    <w:bidi w:val="0"/>
                    <w:adjustRightInd/>
                    <w:spacing w:before="71" w:line="240" w:lineRule="auto"/>
                    <w:ind w:left="0" w:leftChars="0" w:right="0" w:rightChars="0"/>
                    <w:jc w:val="center"/>
                    <w:textAlignment w:val="auto"/>
                    <w:rPr>
                      <w:rFonts w:ascii="Times New Roman" w:hAnsi="Times New Roman"/>
                      <w:snapToGrid w:val="0"/>
                      <w:color w:val="000000" w:themeColor="text1"/>
                      <w:kern w:val="18"/>
                      <w14:textFill>
                        <w14:solidFill>
                          <w14:schemeClr w14:val="tx1"/>
                        </w14:solidFill>
                      </w14:textFill>
                    </w:rPr>
                  </w:pPr>
                  <w:r>
                    <w:rPr>
                      <w:rFonts w:ascii="Times New Roman" w:hAnsi="Times New Roman"/>
                      <w:color w:val="000000" w:themeColor="text1"/>
                      <w:spacing w:val="-3"/>
                      <w:sz w:val="21"/>
                      <w14:textFill>
                        <w14:solidFill>
                          <w14:schemeClr w14:val="tx1"/>
                        </w14:solidFill>
                      </w14:textFill>
                    </w:rPr>
                    <w:t>噪声对周围环境产生严重影响的区域</w:t>
                  </w:r>
                </w:p>
              </w:tc>
              <w:tc>
                <w:tcPr>
                  <w:tcW w:w="1054" w:type="dxa"/>
                  <w:tcBorders>
                    <w:tl2br w:val="nil"/>
                    <w:tr2bl w:val="nil"/>
                  </w:tcBorders>
                  <w:noWrap w:val="0"/>
                  <w:vAlign w:val="center"/>
                </w:tcPr>
                <w:p w14:paraId="12FC6E2D">
                  <w:pPr>
                    <w:pStyle w:val="87"/>
                    <w:keepNext w:val="0"/>
                    <w:keepLines w:val="0"/>
                    <w:pageBreakBefore w:val="0"/>
                    <w:kinsoku/>
                    <w:wordWrap/>
                    <w:overflowPunct/>
                    <w:topLinePunct w:val="0"/>
                    <w:autoSpaceDE/>
                    <w:autoSpaceDN/>
                    <w:bidi w:val="0"/>
                    <w:adjustRightInd/>
                    <w:spacing w:line="240" w:lineRule="auto"/>
                    <w:ind w:left="0" w:leftChars="0" w:right="0" w:rightChars="0" w:firstLine="200" w:firstLineChars="100"/>
                    <w:jc w:val="both"/>
                    <w:textAlignment w:val="auto"/>
                    <w:rPr>
                      <w:rFonts w:hint="eastAsia" w:ascii="Times New Roman" w:hAnsi="Times New Roman" w:eastAsia="宋体"/>
                      <w:snapToGrid w:val="0"/>
                      <w:color w:val="000000" w:themeColor="text1"/>
                      <w:kern w:val="18"/>
                      <w:lang w:eastAsia="zh-CN"/>
                      <w14:textFill>
                        <w14:solidFill>
                          <w14:schemeClr w14:val="tx1"/>
                        </w14:solidFill>
                      </w14:textFill>
                    </w:rPr>
                  </w:pPr>
                  <w:r>
                    <w:rPr>
                      <w:rFonts w:ascii="Times New Roman" w:hAnsi="Times New Roman"/>
                      <w:color w:val="000000" w:themeColor="text1"/>
                      <w:spacing w:val="-5"/>
                      <w:sz w:val="21"/>
                      <w14:textFill>
                        <w14:solidFill>
                          <w14:schemeClr w14:val="tx1"/>
                        </w14:solidFill>
                      </w14:textFill>
                    </w:rPr>
                    <w:t>≤65</w:t>
                  </w:r>
                </w:p>
              </w:tc>
              <w:tc>
                <w:tcPr>
                  <w:tcW w:w="1235" w:type="dxa"/>
                  <w:tcBorders>
                    <w:tl2br w:val="nil"/>
                    <w:tr2bl w:val="nil"/>
                  </w:tcBorders>
                  <w:noWrap w:val="0"/>
                  <w:vAlign w:val="center"/>
                </w:tcPr>
                <w:p w14:paraId="71A7F67A">
                  <w:pPr>
                    <w:pStyle w:val="94"/>
                    <w:keepNext w:val="0"/>
                    <w:keepLines w:val="0"/>
                    <w:pageBreakBefore w:val="0"/>
                    <w:kinsoku/>
                    <w:wordWrap/>
                    <w:overflowPunct/>
                    <w:topLinePunct w:val="0"/>
                    <w:autoSpaceDE/>
                    <w:autoSpaceDN/>
                    <w:bidi w:val="0"/>
                    <w:adjustRightInd/>
                    <w:spacing w:line="240" w:lineRule="auto"/>
                    <w:ind w:right="0"/>
                    <w:jc w:val="center"/>
                    <w:textAlignment w:val="auto"/>
                    <w:rPr>
                      <w:rFonts w:hint="eastAsia" w:ascii="Times New Roman" w:hAnsi="Times New Roman" w:eastAsia="宋体"/>
                      <w:snapToGrid w:val="0"/>
                      <w:color w:val="000000" w:themeColor="text1"/>
                      <w:kern w:val="18"/>
                      <w:lang w:val="en-US" w:eastAsia="zh-CN"/>
                      <w14:textFill>
                        <w14:solidFill>
                          <w14:schemeClr w14:val="tx1"/>
                        </w14:solidFill>
                      </w14:textFill>
                    </w:rPr>
                  </w:pPr>
                  <w:r>
                    <w:rPr>
                      <w:rFonts w:ascii="Times New Roman" w:hAnsi="Times New Roman"/>
                      <w:snapToGrid w:val="0"/>
                      <w:color w:val="000000" w:themeColor="text1"/>
                      <w:kern w:val="18"/>
                      <w:szCs w:val="21"/>
                      <w14:textFill>
                        <w14:solidFill>
                          <w14:schemeClr w14:val="tx1"/>
                        </w14:solidFill>
                      </w14:textFill>
                    </w:rPr>
                    <w:t>≤</w:t>
                  </w:r>
                  <w:r>
                    <w:rPr>
                      <w:rFonts w:hint="eastAsia" w:ascii="Times New Roman" w:hAnsi="Times New Roman"/>
                      <w:snapToGrid w:val="0"/>
                      <w:color w:val="000000" w:themeColor="text1"/>
                      <w:kern w:val="18"/>
                      <w14:textFill>
                        <w14:solidFill>
                          <w14:schemeClr w14:val="tx1"/>
                        </w14:solidFill>
                      </w14:textFill>
                    </w:rPr>
                    <w:t>5</w:t>
                  </w:r>
                  <w:r>
                    <w:rPr>
                      <w:rFonts w:hint="eastAsia" w:ascii="Times New Roman" w:hAnsi="Times New Roman"/>
                      <w:snapToGrid w:val="0"/>
                      <w:color w:val="000000" w:themeColor="text1"/>
                      <w:kern w:val="18"/>
                      <w:lang w:val="en-US" w:eastAsia="zh-CN"/>
                      <w14:textFill>
                        <w14:solidFill>
                          <w14:schemeClr w14:val="tx1"/>
                        </w14:solidFill>
                      </w14:textFill>
                    </w:rPr>
                    <w:t>5</w:t>
                  </w:r>
                </w:p>
              </w:tc>
            </w:tr>
          </w:tbl>
          <w:p w14:paraId="7E25E4D1">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3.3.2声环境质量现状</w:t>
            </w:r>
          </w:p>
          <w:p w14:paraId="52290A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微软雅黑" w:cs="微软雅黑"/>
                <w:b w:val="0"/>
                <w:bCs w:val="0"/>
                <w:i w:val="0"/>
                <w:iCs w:val="0"/>
                <w:caps w:val="0"/>
                <w:color w:val="000000" w:themeColor="text1"/>
                <w:spacing w:val="0"/>
                <w:sz w:val="39"/>
                <w:szCs w:val="39"/>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zh-CN" w:eastAsia="zh-CN"/>
                <w14:textFill>
                  <w14:solidFill>
                    <w14:schemeClr w14:val="tx1"/>
                  </w14:solidFill>
                </w14:textFill>
              </w:rPr>
              <w:t>根据《建设项目环境影响报告表编制技术指南</w:t>
            </w:r>
            <w:r>
              <w:rPr>
                <w:rFonts w:hint="eastAsia" w:ascii="Times New Roman" w:hAnsi="Times New Roman" w:eastAsia="宋体" w:cs="Times New Roman"/>
                <w:color w:val="000000" w:themeColor="text1"/>
                <w:sz w:val="24"/>
                <w:szCs w:val="22"/>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zh-CN" w:eastAsia="zh-CN"/>
                <w14:textFill>
                  <w14:solidFill>
                    <w14:schemeClr w14:val="tx1"/>
                  </w14:solidFill>
                </w14:textFill>
              </w:rPr>
              <w:t>污染影响类</w:t>
            </w:r>
            <w:r>
              <w:rPr>
                <w:rFonts w:hint="eastAsia" w:ascii="Times New Roman" w:hAnsi="Times New Roman" w:eastAsia="宋体" w:cs="Times New Roman"/>
                <w:color w:val="000000" w:themeColor="text1"/>
                <w:sz w:val="24"/>
                <w:szCs w:val="22"/>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zh-CN" w:eastAsia="zh-CN"/>
                <w14:textFill>
                  <w14:solidFill>
                    <w14:schemeClr w14:val="tx1"/>
                  </w14:solidFill>
                </w14:textFill>
              </w:rPr>
              <w:t>试行</w:t>
            </w:r>
            <w:r>
              <w:rPr>
                <w:rFonts w:hint="eastAsia" w:ascii="Times New Roman" w:hAnsi="Times New Roman" w:eastAsia="宋体" w:cs="Times New Roman"/>
                <w:color w:val="000000" w:themeColor="text1"/>
                <w:sz w:val="24"/>
                <w:szCs w:val="22"/>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zh-CN" w:eastAsia="zh-CN"/>
                <w14:textFill>
                  <w14:solidFill>
                    <w14:schemeClr w14:val="tx1"/>
                  </w14:solidFill>
                </w14:textFill>
              </w:rPr>
              <w:t>》</w:t>
            </w:r>
            <w:r>
              <w:rPr>
                <w:rFonts w:hint="eastAsia" w:ascii="Times New Roman" w:hAnsi="Times New Roman" w:eastAsia="宋体" w:cs="Times New Roman"/>
                <w:color w:val="000000" w:themeColor="text1"/>
                <w:sz w:val="24"/>
                <w:szCs w:val="22"/>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zh-CN" w:eastAsia="zh-CN"/>
                <w14:textFill>
                  <w14:solidFill>
                    <w14:schemeClr w14:val="tx1"/>
                  </w14:solidFill>
                </w14:textFill>
              </w:rPr>
              <w:t>环办环评〔2020〕33号</w:t>
            </w:r>
            <w:r>
              <w:rPr>
                <w:rFonts w:hint="eastAsia" w:ascii="Times New Roman" w:hAnsi="Times New Roman" w:eastAsia="宋体" w:cs="Times New Roman"/>
                <w:color w:val="000000" w:themeColor="text1"/>
                <w:sz w:val="24"/>
                <w:szCs w:val="22"/>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zh-CN" w:eastAsia="zh-CN"/>
                <w14:textFill>
                  <w14:solidFill>
                    <w14:schemeClr w14:val="tx1"/>
                  </w14:solidFill>
                </w14:textFill>
              </w:rPr>
              <w:t>的要求</w:t>
            </w:r>
            <w:r>
              <w:rPr>
                <w:rFonts w:hint="eastAsia" w:ascii="Times New Roman" w:hAnsi="Times New Roman" w:eastAsia="宋体" w:cs="Times New Roman"/>
                <w:color w:val="000000" w:themeColor="text1"/>
                <w:sz w:val="24"/>
                <w:szCs w:val="22"/>
                <w:highlight w:val="none"/>
                <w:lang w:val="zh-CN" w:eastAsia="zh-CN"/>
                <w14:textFill>
                  <w14:solidFill>
                    <w14:schemeClr w14:val="tx1"/>
                  </w14:solidFill>
                </w14:textFill>
              </w:rPr>
              <w:t>：厂界外周边50米范围内存在声环境保护目标的建设项目，应监测保护目标声环境质量现状并评价达标情况。</w:t>
            </w:r>
            <w:r>
              <w:rPr>
                <w:rFonts w:hint="eastAsia" w:ascii="Times New Roman" w:hAnsi="Times New Roman" w:eastAsia="宋体" w:cs="Times New Roman"/>
                <w:b/>
                <w:bCs/>
                <w:color w:val="000000" w:themeColor="text1"/>
                <w:sz w:val="24"/>
                <w:szCs w:val="22"/>
                <w:highlight w:val="none"/>
                <w:lang w:val="en-US" w:eastAsia="zh-CN"/>
                <w14:textFill>
                  <w14:solidFill>
                    <w14:schemeClr w14:val="tx1"/>
                  </w14:solidFill>
                </w14:textFill>
              </w:rPr>
              <w:t>根据环境影响评价网（</w:t>
            </w:r>
            <w:r>
              <w:rPr>
                <w:rFonts w:hint="default" w:ascii="Times New Roman" w:hAnsi="Times New Roman" w:eastAsia="宋体" w:cs="Times New Roman"/>
                <w:b/>
                <w:bCs/>
                <w:color w:val="000000" w:themeColor="text1"/>
                <w:sz w:val="24"/>
                <w:szCs w:val="22"/>
                <w:highlight w:val="none"/>
                <w:lang w:val="zh-CN" w:eastAsia="zh-CN"/>
                <w14:textFill>
                  <w14:solidFill>
                    <w14:schemeClr w14:val="tx1"/>
                  </w14:solidFill>
                </w14:textFill>
              </w:rPr>
              <w:t>生态环境部环境工程评估中心</w:t>
            </w:r>
            <w:r>
              <w:rPr>
                <w:rFonts w:hint="eastAsia" w:ascii="Times New Roman" w:hAnsi="Times New Roman" w:eastAsia="宋体" w:cs="Times New Roman"/>
                <w:b/>
                <w:bCs/>
                <w:color w:val="000000" w:themeColor="text1"/>
                <w:sz w:val="24"/>
                <w:szCs w:val="22"/>
                <w:highlight w:val="none"/>
                <w:lang w:val="zh-CN" w:eastAsia="zh-CN"/>
                <w14:textFill>
                  <w14:solidFill>
                    <w14:schemeClr w14:val="tx1"/>
                  </w14:solidFill>
                </w14:textFill>
              </w:rPr>
              <w:t>）</w:t>
            </w:r>
            <w:r>
              <w:rPr>
                <w:rFonts w:hint="eastAsia" w:ascii="Times New Roman" w:hAnsi="Times New Roman" w:eastAsia="宋体" w:cs="Times New Roman"/>
                <w:b/>
                <w:bCs/>
                <w:color w:val="000000" w:themeColor="text1"/>
                <w:sz w:val="24"/>
                <w:szCs w:val="22"/>
                <w:highlight w:val="none"/>
                <w:lang w:val="en-US" w:eastAsia="zh-CN"/>
                <w14:textFill>
                  <w14:solidFill>
                    <w14:schemeClr w14:val="tx1"/>
                  </w14:solidFill>
                </w14:textFill>
              </w:rPr>
              <w:t>关于</w:t>
            </w:r>
            <w:r>
              <w:rPr>
                <w:rFonts w:hint="eastAsia" w:ascii="Times New Roman" w:hAnsi="Times New Roman" w:eastAsia="宋体" w:cs="Times New Roman"/>
                <w:b/>
                <w:bCs/>
                <w:color w:val="000000" w:themeColor="text1"/>
                <w:sz w:val="24"/>
                <w:szCs w:val="22"/>
                <w:highlight w:val="none"/>
                <w:lang w:val="zh-CN" w:eastAsia="zh-CN"/>
                <w14:textFill>
                  <w14:solidFill>
                    <w14:schemeClr w14:val="tx1"/>
                  </w14:solidFill>
                </w14:textFill>
              </w:rPr>
              <w:t>《建设项目环境影响报告表》内容、格式及编制技术指南常见问题解答，</w:t>
            </w:r>
            <w:r>
              <w:rPr>
                <w:rFonts w:hint="eastAsia" w:ascii="Times New Roman" w:hAnsi="Times New Roman" w:eastAsia="宋体" w:cs="Times New Roman"/>
                <w:color w:val="000000" w:themeColor="text1"/>
                <w:sz w:val="24"/>
                <w:szCs w:val="22"/>
                <w:highlight w:val="none"/>
                <w:lang w:val="zh-CN" w:eastAsia="zh-CN"/>
                <w14:textFill>
                  <w14:solidFill>
                    <w14:schemeClr w14:val="tx1"/>
                  </w14:solidFill>
                </w14:textFill>
              </w:rPr>
              <w:t>厂界外周边</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50</w:t>
            </w:r>
            <w:r>
              <w:rPr>
                <w:rFonts w:hint="eastAsia" w:ascii="Times New Roman" w:hAnsi="Times New Roman" w:eastAsia="宋体" w:cs="Times New Roman"/>
                <w:color w:val="000000" w:themeColor="text1"/>
                <w:sz w:val="24"/>
                <w:szCs w:val="22"/>
                <w:highlight w:val="none"/>
                <w:lang w:val="zh-CN" w:eastAsia="zh-CN"/>
                <w14:textFill>
                  <w14:solidFill>
                    <w14:schemeClr w14:val="tx1"/>
                  </w14:solidFill>
                </w14:textFill>
              </w:rPr>
              <w:t>米范围内存在声环境保护目标的建设项目，应监测声环境质量现状，监测点位为声环境保护目标处。</w:t>
            </w:r>
            <w:r>
              <w:rPr>
                <w:rFonts w:hint="eastAsia" w:ascii="Times New Roman" w:hAnsi="Times New Roman" w:eastAsia="宋体" w:cs="Times New Roman"/>
                <w:b/>
                <w:bCs/>
                <w:color w:val="000000" w:themeColor="text1"/>
                <w:sz w:val="24"/>
                <w:szCs w:val="22"/>
                <w:highlight w:val="none"/>
                <w:lang w:val="zh-CN" w:eastAsia="zh-CN"/>
                <w14:textFill>
                  <w14:solidFill>
                    <w14:schemeClr w14:val="tx1"/>
                  </w14:solidFill>
                </w14:textFill>
              </w:rPr>
              <w:t>厂界外周边</w:t>
            </w:r>
            <w:r>
              <w:rPr>
                <w:rFonts w:hint="eastAsia" w:ascii="Times New Roman" w:hAnsi="Times New Roman" w:eastAsia="宋体" w:cs="Times New Roman"/>
                <w:b/>
                <w:bCs/>
                <w:color w:val="000000" w:themeColor="text1"/>
                <w:sz w:val="24"/>
                <w:szCs w:val="22"/>
                <w:highlight w:val="none"/>
                <w:lang w:val="en-US" w:eastAsia="zh-CN"/>
                <w14:textFill>
                  <w14:solidFill>
                    <w14:schemeClr w14:val="tx1"/>
                  </w14:solidFill>
                </w14:textFill>
              </w:rPr>
              <w:t>50</w:t>
            </w:r>
            <w:r>
              <w:rPr>
                <w:rFonts w:hint="eastAsia" w:ascii="Times New Roman" w:hAnsi="Times New Roman" w:eastAsia="宋体" w:cs="Times New Roman"/>
                <w:b/>
                <w:bCs/>
                <w:color w:val="000000" w:themeColor="text1"/>
                <w:sz w:val="24"/>
                <w:szCs w:val="22"/>
                <w:highlight w:val="none"/>
                <w:lang w:val="zh-CN" w:eastAsia="zh-CN"/>
                <w14:textFill>
                  <w14:solidFill>
                    <w14:schemeClr w14:val="tx1"/>
                  </w14:solidFill>
                </w14:textFill>
              </w:rPr>
              <w:t>米范围内无声环境保护目标的建设项目，不再要求提供声环境质量现状监测数据。</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根据现场调查，项目厂界外50m范围内无声环境保护目标，因此，本评价不进行</w:t>
            </w:r>
            <w:r>
              <w:rPr>
                <w:rFonts w:hint="eastAsia" w:ascii="Times New Roman" w:hAnsi="Times New Roman" w:eastAsia="宋体" w:cs="Times New Roman"/>
                <w:color w:val="000000" w:themeColor="text1"/>
                <w:sz w:val="24"/>
                <w:szCs w:val="22"/>
                <w:highlight w:val="none"/>
                <w:lang w:val="zh-CN" w:eastAsia="zh-CN"/>
                <w14:textFill>
                  <w14:solidFill>
                    <w14:schemeClr w14:val="tx1"/>
                  </w14:solidFill>
                </w14:textFill>
              </w:rPr>
              <w:t>声环境质量现状监测。</w:t>
            </w:r>
          </w:p>
          <w:p w14:paraId="559C3801">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3.</w:t>
            </w: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4</w:t>
            </w:r>
            <w:r>
              <w:rPr>
                <w:rFonts w:hint="default" w:ascii="Times New Roman" w:hAnsi="Times New Roman" w:eastAsia="宋体" w:cs="Times New Roman"/>
                <w:b/>
                <w:bCs w:val="0"/>
                <w:color w:val="000000" w:themeColor="text1"/>
                <w:sz w:val="28"/>
                <w:szCs w:val="28"/>
                <w14:textFill>
                  <w14:solidFill>
                    <w14:schemeClr w14:val="tx1"/>
                  </w14:solidFill>
                </w14:textFill>
              </w:rPr>
              <w:t>生态环境现状调查</w:t>
            </w:r>
          </w:p>
          <w:p w14:paraId="38695696">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default" w:ascii="Times New Roman" w:hAnsi="Times New Roman" w:eastAsia="宋体" w:cs="Times New Roman"/>
                <w:color w:val="000000" w:themeColor="text1"/>
                <w:sz w:val="24"/>
                <w:szCs w:val="22"/>
                <w:highlight w:val="none"/>
                <w:lang w:val="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w:t>
            </w:r>
            <w:r>
              <w:rPr>
                <w:rFonts w:hint="default" w:ascii="Times New Roman" w:hAnsi="Times New Roman" w:cs="Times New Roman"/>
                <w:color w:val="000000" w:themeColor="text1"/>
                <w:sz w:val="24"/>
                <w:highlight w:val="none"/>
                <w:lang w:val="en-US" w:eastAsia="zh-CN"/>
                <w14:textFill>
                  <w14:solidFill>
                    <w14:schemeClr w14:val="tx1"/>
                  </w14:solidFill>
                </w14:textFill>
              </w:rPr>
              <w:t>次</w:t>
            </w:r>
            <w:r>
              <w:rPr>
                <w:rFonts w:hint="eastAsia" w:ascii="Times New Roman" w:hAnsi="Times New Roman" w:cs="Times New Roman"/>
                <w:color w:val="000000" w:themeColor="text1"/>
                <w:sz w:val="24"/>
                <w:highlight w:val="none"/>
                <w:lang w:val="en-US" w:eastAsia="zh-CN"/>
                <w14:textFill>
                  <w14:solidFill>
                    <w14:schemeClr w14:val="tx1"/>
                  </w14:solidFill>
                </w14:textFill>
              </w:rPr>
              <w:t>租用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已建厂房作为生产场所，</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不新增用地</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面积</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14:textFill>
                  <w14:solidFill>
                    <w14:schemeClr w14:val="tx1"/>
                  </w14:solidFill>
                </w14:textFill>
              </w:rPr>
              <w:t>根据调查，</w:t>
            </w:r>
            <w:r>
              <w:rPr>
                <w:rFonts w:hint="default" w:ascii="Times New Roman" w:hAnsi="Times New Roman" w:cs="Times New Roman"/>
                <w:color w:val="000000" w:themeColor="text1"/>
                <w:sz w:val="24"/>
                <w:highlight w:val="none"/>
                <w:lang w:val="zh-CN"/>
                <w14:textFill>
                  <w14:solidFill>
                    <w14:schemeClr w14:val="tx1"/>
                  </w14:solidFill>
                </w14:textFill>
              </w:rPr>
              <w:t>项目用地</w:t>
            </w:r>
            <w:r>
              <w:rPr>
                <w:rFonts w:hint="eastAsia" w:ascii="Times New Roman" w:hAnsi="Times New Roman" w:cs="Times New Roman"/>
                <w:color w:val="000000" w:themeColor="text1"/>
                <w:sz w:val="24"/>
                <w:highlight w:val="none"/>
                <w:lang w:val="zh-CN"/>
                <w14:textFill>
                  <w14:solidFill>
                    <w14:schemeClr w14:val="tx1"/>
                  </w14:solidFill>
                </w14:textFill>
              </w:rPr>
              <w:t>周边</w:t>
            </w:r>
            <w:r>
              <w:rPr>
                <w:rFonts w:hint="default" w:ascii="Times New Roman" w:hAnsi="Times New Roman" w:eastAsia="宋体" w:cs="Times New Roman"/>
                <w:color w:val="000000" w:themeColor="text1"/>
                <w:sz w:val="24"/>
                <w:szCs w:val="22"/>
                <w:highlight w:val="none"/>
                <w:lang w:val="zh-CN"/>
                <w14:textFill>
                  <w14:solidFill>
                    <w14:schemeClr w14:val="tx1"/>
                  </w14:solidFill>
                </w14:textFill>
              </w:rPr>
              <w:t>以城市道路、其他工业企业</w:t>
            </w:r>
            <w:r>
              <w:rPr>
                <w:rFonts w:hint="eastAsia" w:ascii="Times New Roman" w:hAnsi="Times New Roman" w:eastAsia="宋体" w:cs="Times New Roman"/>
                <w:color w:val="000000" w:themeColor="text1"/>
                <w:sz w:val="24"/>
                <w:szCs w:val="22"/>
                <w:highlight w:val="none"/>
                <w:lang w:val="zh-CN"/>
                <w14:textFill>
                  <w14:solidFill>
                    <w14:schemeClr w14:val="tx1"/>
                  </w14:solidFill>
                </w14:textFill>
              </w:rPr>
              <w:t>、</w:t>
            </w:r>
            <w:r>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t>居住区</w:t>
            </w:r>
            <w:r>
              <w:rPr>
                <w:rFonts w:hint="default" w:ascii="Times New Roman" w:hAnsi="Times New Roman" w:eastAsia="宋体" w:cs="Times New Roman"/>
                <w:color w:val="000000" w:themeColor="text1"/>
                <w:sz w:val="24"/>
                <w:szCs w:val="22"/>
                <w:highlight w:val="none"/>
                <w:lang w:val="zh-CN" w:eastAsia="zh-CN"/>
                <w14:textFill>
                  <w14:solidFill>
                    <w14:schemeClr w14:val="tx1"/>
                  </w14:solidFill>
                </w14:textFill>
              </w:rPr>
              <w:t>等为主，</w:t>
            </w:r>
            <w:r>
              <w:rPr>
                <w:rFonts w:hint="default" w:ascii="Times New Roman" w:hAnsi="Times New Roman" w:eastAsia="宋体" w:cs="Times New Roman"/>
                <w:color w:val="000000" w:themeColor="text1"/>
                <w:sz w:val="24"/>
                <w:szCs w:val="22"/>
                <w:highlight w:val="none"/>
                <w:lang w:val="zh-CN"/>
                <w14:textFill>
                  <w14:solidFill>
                    <w14:schemeClr w14:val="tx1"/>
                  </w14:solidFill>
                </w14:textFill>
              </w:rPr>
              <w:t>项目评价区域主要植被为草坪、行道树等景观树种</w:t>
            </w:r>
            <w:r>
              <w:rPr>
                <w:rFonts w:hint="default" w:ascii="Times New Roman" w:hAnsi="Times New Roman" w:eastAsia="宋体" w:cs="Times New Roman"/>
                <w:color w:val="000000" w:themeColor="text1"/>
                <w:sz w:val="24"/>
                <w:szCs w:val="22"/>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lang w:val="zh-CN"/>
                <w14:textFill>
                  <w14:solidFill>
                    <w14:schemeClr w14:val="tx1"/>
                  </w14:solidFill>
                </w14:textFill>
              </w:rPr>
              <w:t>主要动物为常见的蛙类、鸟类和昆虫类等，评价区域内无珍稀濒危物种、自然保护区、风景名胜区等生态敏感目标，调查区域也未发现国家重点保护的野生动植物等</w:t>
            </w:r>
            <w:r>
              <w:rPr>
                <w:rFonts w:hint="default" w:ascii="Times New Roman" w:hAnsi="Times New Roman" w:eastAsia="宋体" w:cs="Times New Roman"/>
                <w:color w:val="000000" w:themeColor="text1"/>
                <w:sz w:val="24"/>
                <w:szCs w:val="22"/>
                <w:highlight w:val="none"/>
                <w:lang w:val="zh-CN" w:eastAsia="zh-CN"/>
                <w14:textFill>
                  <w14:solidFill>
                    <w14:schemeClr w14:val="tx1"/>
                  </w14:solidFill>
                </w14:textFill>
              </w:rPr>
              <w:t>，因此，</w:t>
            </w:r>
            <w:r>
              <w:rPr>
                <w:rFonts w:hint="default" w:ascii="Times New Roman" w:hAnsi="Times New Roman" w:eastAsia="宋体" w:cs="Times New Roman"/>
                <w:color w:val="000000" w:themeColor="text1"/>
                <w:sz w:val="24"/>
                <w:szCs w:val="22"/>
                <w:highlight w:val="none"/>
                <w:lang w:val="zh-CN"/>
                <w14:textFill>
                  <w14:solidFill>
                    <w14:schemeClr w14:val="tx1"/>
                  </w14:solidFill>
                </w14:textFill>
              </w:rPr>
              <w:t>本环评</w:t>
            </w:r>
            <w:r>
              <w:rPr>
                <w:rFonts w:hint="default" w:ascii="Times New Roman" w:hAnsi="Times New Roman" w:eastAsia="宋体" w:cs="Times New Roman"/>
                <w:color w:val="000000" w:themeColor="text1"/>
                <w:sz w:val="24"/>
                <w:szCs w:val="22"/>
                <w:highlight w:val="none"/>
                <w:lang w:val="zh-CN" w:eastAsia="zh-CN"/>
                <w14:textFill>
                  <w14:solidFill>
                    <w14:schemeClr w14:val="tx1"/>
                  </w14:solidFill>
                </w14:textFill>
              </w:rPr>
              <w:t>不对</w:t>
            </w:r>
            <w:r>
              <w:rPr>
                <w:rFonts w:hint="default" w:ascii="Times New Roman" w:hAnsi="Times New Roman" w:eastAsia="宋体" w:cs="Times New Roman"/>
                <w:color w:val="000000" w:themeColor="text1"/>
                <w:sz w:val="24"/>
                <w:szCs w:val="22"/>
                <w:highlight w:val="none"/>
                <w:lang w:val="zh-CN"/>
                <w14:textFill>
                  <w14:solidFill>
                    <w14:schemeClr w14:val="tx1"/>
                  </w14:solidFill>
                </w14:textFill>
              </w:rPr>
              <w:t>生态环境</w:t>
            </w:r>
            <w:r>
              <w:rPr>
                <w:rFonts w:hint="default" w:ascii="Times New Roman" w:hAnsi="Times New Roman" w:cs="Times New Roman"/>
                <w:color w:val="000000" w:themeColor="text1"/>
                <w:sz w:val="24"/>
                <w:szCs w:val="22"/>
                <w:highlight w:val="none"/>
                <w:lang w:val="zh-CN"/>
                <w14:textFill>
                  <w14:solidFill>
                    <w14:schemeClr w14:val="tx1"/>
                  </w14:solidFill>
                </w14:textFill>
              </w:rPr>
              <w:t>现状</w:t>
            </w:r>
            <w:r>
              <w:rPr>
                <w:rFonts w:hint="default" w:ascii="Times New Roman" w:hAnsi="Times New Roman" w:eastAsia="宋体" w:cs="Times New Roman"/>
                <w:color w:val="000000" w:themeColor="text1"/>
                <w:sz w:val="24"/>
                <w:szCs w:val="22"/>
                <w:highlight w:val="none"/>
                <w:lang w:val="zh-CN"/>
                <w14:textFill>
                  <w14:solidFill>
                    <w14:schemeClr w14:val="tx1"/>
                  </w14:solidFill>
                </w14:textFill>
              </w:rPr>
              <w:t>进行评价</w:t>
            </w:r>
            <w:r>
              <w:rPr>
                <w:rFonts w:hint="default" w:ascii="Times New Roman" w:hAnsi="Times New Roman" w:eastAsia="宋体" w:cs="Times New Roman"/>
                <w:color w:val="000000" w:themeColor="text1"/>
                <w:sz w:val="24"/>
                <w:szCs w:val="22"/>
                <w:highlight w:val="none"/>
                <w:lang w:val="zh-CN" w:eastAsia="zh-CN"/>
                <w14:textFill>
                  <w14:solidFill>
                    <w14:schemeClr w14:val="tx1"/>
                  </w14:solidFill>
                </w14:textFill>
              </w:rPr>
              <w:t>。</w:t>
            </w:r>
          </w:p>
          <w:p w14:paraId="1A13F680">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3.5地下水</w:t>
            </w:r>
            <w:r>
              <w:rPr>
                <w:rFonts w:hint="default" w:ascii="Times New Roman" w:hAnsi="Times New Roman" w:eastAsia="宋体" w:cs="Times New Roman"/>
                <w:b/>
                <w:bCs w:val="0"/>
                <w:color w:val="000000" w:themeColor="text1"/>
                <w:sz w:val="28"/>
                <w:szCs w:val="28"/>
                <w:lang w:eastAsia="zh-CN"/>
                <w14:textFill>
                  <w14:solidFill>
                    <w14:schemeClr w14:val="tx1"/>
                  </w14:solidFill>
                </w14:textFill>
              </w:rPr>
              <w:t>、土壤</w:t>
            </w:r>
            <w:r>
              <w:rPr>
                <w:rFonts w:hint="default" w:ascii="Times New Roman" w:hAnsi="Times New Roman" w:eastAsia="宋体" w:cs="Times New Roman"/>
                <w:b/>
                <w:bCs w:val="0"/>
                <w:color w:val="000000" w:themeColor="text1"/>
                <w:sz w:val="28"/>
                <w:szCs w:val="28"/>
                <w14:textFill>
                  <w14:solidFill>
                    <w14:schemeClr w14:val="tx1"/>
                  </w14:solidFill>
                </w14:textFill>
              </w:rPr>
              <w:t>环境质量现状</w:t>
            </w:r>
          </w:p>
          <w:p w14:paraId="2EDBF2DA">
            <w:pPr>
              <w:adjustRightInd w:val="0"/>
              <w:snapToGrid w:val="0"/>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根据《建设项目环境影响报告表编制技术指南</w:t>
            </w:r>
            <w:r>
              <w:rPr>
                <w:rFonts w:hint="eastAsia"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污染影响类</w:t>
            </w:r>
            <w:r>
              <w:rPr>
                <w:rFonts w:hint="eastAsia"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试行</w:t>
            </w:r>
            <w:r>
              <w:rPr>
                <w:rFonts w:hint="eastAsia"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w:t>
            </w:r>
            <w:r>
              <w:rPr>
                <w:rFonts w:hint="eastAsia"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环办环评〔2020〕33号</w:t>
            </w:r>
            <w:r>
              <w:rPr>
                <w:rFonts w:hint="eastAsia"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规定，“原则上不开展环境质量现状调查。建设项目存在土壤、地下水环境污染途径的，应结合污染源、保护目标分布情况开展现状调查以留作背景值。</w:t>
            </w:r>
          </w:p>
          <w:p w14:paraId="4D82100C">
            <w:pPr>
              <w:adjustRightInd w:val="0"/>
              <w:snapToGrid w:val="0"/>
              <w:spacing w:line="360" w:lineRule="auto"/>
              <w:ind w:firstLine="48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现场勘查，周边以工业企业为主；项目周边地下水、土壤环境相对不敏感，采取有效的防渗措施后，项目对地下水、土壤环境影响很小，基本不存在土壤、地下水环境污染途径，因此，本评价不对项目地下水、土壤环境质量进行补充监测。</w:t>
            </w:r>
          </w:p>
        </w:tc>
      </w:tr>
      <w:tr w14:paraId="740DBE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2" w:hRule="atLeast"/>
          <w:jc w:val="center"/>
        </w:trPr>
        <w:tc>
          <w:tcPr>
            <w:tcW w:w="800" w:type="dxa"/>
            <w:noWrap w:val="0"/>
            <w:vAlign w:val="center"/>
          </w:tcPr>
          <w:p w14:paraId="23691643">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环境</w:t>
            </w:r>
          </w:p>
          <w:p w14:paraId="3AA097FE">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保护</w:t>
            </w:r>
          </w:p>
          <w:p w14:paraId="40D47EA2">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目标</w:t>
            </w:r>
          </w:p>
        </w:tc>
        <w:tc>
          <w:tcPr>
            <w:tcW w:w="8166" w:type="dxa"/>
            <w:noWrap w:val="0"/>
            <w:vAlign w:val="center"/>
          </w:tcPr>
          <w:p w14:paraId="0753FFE1">
            <w:pPr>
              <w:spacing w:before="120" w:beforeLines="50" w:after="120" w:afterLines="50" w:line="360" w:lineRule="auto"/>
              <w:outlineLvl w:val="1"/>
              <w:rPr>
                <w:rFonts w:hint="default" w:ascii="Times New Roman" w:hAnsi="Times New Roman" w:cs="Times New Roman"/>
                <w:b/>
                <w:color w:val="000000" w:themeColor="text1"/>
                <w:sz w:val="28"/>
                <w:szCs w:val="28"/>
                <w14:textFill>
                  <w14:solidFill>
                    <w14:schemeClr w14:val="tx1"/>
                  </w14:solidFill>
                </w14:textFill>
              </w:rPr>
            </w:pPr>
            <w:bookmarkStart w:id="14" w:name="_Toc17263"/>
            <w:bookmarkStart w:id="15" w:name="_Toc29384"/>
            <w:r>
              <w:rPr>
                <w:rFonts w:hint="default" w:ascii="Times New Roman" w:hAnsi="Times New Roman" w:cs="Times New Roman"/>
                <w:b/>
                <w:color w:val="000000" w:themeColor="text1"/>
                <w:sz w:val="28"/>
                <w:szCs w:val="28"/>
                <w:lang w:val="en-US" w:eastAsia="zh-CN"/>
                <w14:textFill>
                  <w14:solidFill>
                    <w14:schemeClr w14:val="tx1"/>
                  </w14:solidFill>
                </w14:textFill>
              </w:rPr>
              <w:t>3.6</w:t>
            </w:r>
            <w:r>
              <w:rPr>
                <w:rFonts w:hint="default" w:ascii="Times New Roman" w:hAnsi="Times New Roman" w:cs="Times New Roman"/>
                <w:b/>
                <w:color w:val="000000" w:themeColor="text1"/>
                <w:sz w:val="28"/>
                <w:szCs w:val="28"/>
                <w14:textFill>
                  <w14:solidFill>
                    <w14:schemeClr w14:val="tx1"/>
                  </w14:solidFill>
                </w14:textFill>
              </w:rPr>
              <w:t>环境保护目标</w:t>
            </w:r>
            <w:bookmarkEnd w:id="14"/>
            <w:bookmarkEnd w:id="15"/>
          </w:p>
          <w:p w14:paraId="420C1DDB">
            <w:pPr>
              <w:adjustRightInd w:val="0"/>
              <w:snapToGrid w:val="0"/>
              <w:spacing w:line="360" w:lineRule="auto"/>
              <w:ind w:firstLine="480" w:firstLineChars="200"/>
              <w:rPr>
                <w:rFonts w:hint="eastAsia"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根据《建设项目环境影响报告表编制技术指南</w:t>
            </w:r>
            <w:r>
              <w:rPr>
                <w:rFonts w:hint="eastAsia" w:ascii="Times New Roman" w:hAnsi="Times New Roman"/>
                <w:color w:val="000000" w:themeColor="text1"/>
                <w:kern w:val="0"/>
                <w:sz w:val="24"/>
                <w:lang w:eastAsia="zh-CN"/>
                <w14:textFill>
                  <w14:solidFill>
                    <w14:schemeClr w14:val="tx1"/>
                  </w14:solidFill>
                </w14:textFill>
              </w:rPr>
              <w:t>（</w:t>
            </w:r>
            <w:r>
              <w:rPr>
                <w:rFonts w:ascii="Times New Roman" w:hAnsi="Times New Roman"/>
                <w:color w:val="000000" w:themeColor="text1"/>
                <w:kern w:val="0"/>
                <w:sz w:val="24"/>
                <w14:textFill>
                  <w14:solidFill>
                    <w14:schemeClr w14:val="tx1"/>
                  </w14:solidFill>
                </w14:textFill>
              </w:rPr>
              <w:t>污染影响类</w:t>
            </w:r>
            <w:r>
              <w:rPr>
                <w:rFonts w:hint="eastAsia" w:ascii="Times New Roman" w:hAnsi="Times New Roman"/>
                <w:color w:val="000000" w:themeColor="text1"/>
                <w:kern w:val="0"/>
                <w:sz w:val="24"/>
                <w:lang w:eastAsia="zh-CN"/>
                <w14:textFill>
                  <w14:solidFill>
                    <w14:schemeClr w14:val="tx1"/>
                  </w14:solidFill>
                </w14:textFill>
              </w:rPr>
              <w:t>）（</w:t>
            </w:r>
            <w:r>
              <w:rPr>
                <w:rFonts w:ascii="Times New Roman" w:hAnsi="Times New Roman"/>
                <w:color w:val="000000" w:themeColor="text1"/>
                <w:kern w:val="0"/>
                <w:sz w:val="24"/>
                <w14:textFill>
                  <w14:solidFill>
                    <w14:schemeClr w14:val="tx1"/>
                  </w14:solidFill>
                </w14:textFill>
              </w:rPr>
              <w:t>试行</w:t>
            </w:r>
            <w:r>
              <w:rPr>
                <w:rFonts w:hint="eastAsia" w:ascii="Times New Roman" w:hAnsi="Times New Roman"/>
                <w:color w:val="000000" w:themeColor="text1"/>
                <w:kern w:val="0"/>
                <w:sz w:val="24"/>
                <w:lang w:eastAsia="zh-CN"/>
                <w14:textFill>
                  <w14:solidFill>
                    <w14:schemeClr w14:val="tx1"/>
                  </w14:solidFill>
                </w14:textFill>
              </w:rPr>
              <w:t>）</w:t>
            </w:r>
            <w:r>
              <w:rPr>
                <w:rFonts w:ascii="Times New Roman" w:hAnsi="Times New Roman"/>
                <w:color w:val="000000" w:themeColor="text1"/>
                <w:kern w:val="0"/>
                <w:sz w:val="24"/>
                <w14:textFill>
                  <w14:solidFill>
                    <w14:schemeClr w14:val="tx1"/>
                  </w14:solidFill>
                </w14:textFill>
              </w:rPr>
              <w:t>》</w:t>
            </w:r>
            <w:r>
              <w:rPr>
                <w:rFonts w:hint="eastAsia" w:ascii="Times New Roman" w:hAnsi="Times New Roman"/>
                <w:color w:val="000000" w:themeColor="text1"/>
                <w:kern w:val="0"/>
                <w:sz w:val="24"/>
                <w:lang w:eastAsia="zh-CN"/>
                <w14:textFill>
                  <w14:solidFill>
                    <w14:schemeClr w14:val="tx1"/>
                  </w14:solidFill>
                </w14:textFill>
              </w:rPr>
              <w:t>（</w:t>
            </w:r>
            <w:r>
              <w:rPr>
                <w:rFonts w:ascii="Times New Roman" w:hAnsi="Times New Roman"/>
                <w:color w:val="000000" w:themeColor="text1"/>
                <w:kern w:val="0"/>
                <w:sz w:val="24"/>
                <w14:textFill>
                  <w14:solidFill>
                    <w14:schemeClr w14:val="tx1"/>
                  </w14:solidFill>
                </w14:textFill>
              </w:rPr>
              <w:t>环办环评〔2020〕33号</w:t>
            </w:r>
            <w:r>
              <w:rPr>
                <w:rFonts w:hint="eastAsia" w:ascii="Times New Roman" w:hAnsi="Times New Roman"/>
                <w:color w:val="000000" w:themeColor="text1"/>
                <w:kern w:val="0"/>
                <w:sz w:val="24"/>
                <w:lang w:eastAsia="zh-CN"/>
                <w14:textFill>
                  <w14:solidFill>
                    <w14:schemeClr w14:val="tx1"/>
                  </w14:solidFill>
                </w14:textFill>
              </w:rPr>
              <w:t>）</w:t>
            </w:r>
            <w:r>
              <w:rPr>
                <w:rFonts w:ascii="Times New Roman" w:hAnsi="Times New Roman"/>
                <w:color w:val="000000" w:themeColor="text1"/>
                <w:kern w:val="0"/>
                <w:sz w:val="24"/>
                <w14:textFill>
                  <w14:solidFill>
                    <w14:schemeClr w14:val="tx1"/>
                  </w14:solidFill>
                </w14:textFill>
              </w:rPr>
              <w:t>要求以及对项目周边环境的调查，本项目大气环境</w:t>
            </w:r>
            <w:r>
              <w:rPr>
                <w:rFonts w:hint="eastAsia" w:ascii="Times New Roman" w:hAnsi="Times New Roman"/>
                <w:color w:val="000000" w:themeColor="text1"/>
                <w:kern w:val="0"/>
                <w:sz w:val="24"/>
                <w:lang w:eastAsia="zh-CN"/>
                <w14:textFill>
                  <w14:solidFill>
                    <w14:schemeClr w14:val="tx1"/>
                  </w14:solidFill>
                </w14:textFill>
              </w:rPr>
              <w:t>（</w:t>
            </w:r>
            <w:r>
              <w:rPr>
                <w:rFonts w:hint="eastAsia" w:ascii="Times New Roman" w:hAnsi="Times New Roman"/>
                <w:color w:val="000000" w:themeColor="text1"/>
                <w:kern w:val="0"/>
                <w:sz w:val="24"/>
                <w14:textFill>
                  <w14:solidFill>
                    <w14:schemeClr w14:val="tx1"/>
                  </w14:solidFill>
                </w14:textFill>
              </w:rPr>
              <w:t>厂界外500m</w:t>
            </w:r>
            <w:r>
              <w:rPr>
                <w:rFonts w:hint="eastAsia" w:ascii="Times New Roman" w:hAnsi="Times New Roman"/>
                <w:color w:val="000000" w:themeColor="text1"/>
                <w:kern w:val="0"/>
                <w:sz w:val="24"/>
                <w:lang w:eastAsia="zh-CN"/>
                <w14:textFill>
                  <w14:solidFill>
                    <w14:schemeClr w14:val="tx1"/>
                  </w14:solidFill>
                </w14:textFill>
              </w:rPr>
              <w:t>）</w:t>
            </w:r>
            <w:r>
              <w:rPr>
                <w:rFonts w:ascii="Times New Roman" w:hAnsi="Times New Roman"/>
                <w:color w:val="000000" w:themeColor="text1"/>
                <w:kern w:val="0"/>
                <w:sz w:val="24"/>
                <w14:textFill>
                  <w14:solidFill>
                    <w14:schemeClr w14:val="tx1"/>
                  </w14:solidFill>
                </w14:textFill>
              </w:rPr>
              <w:t>、地表水环境、声环境</w:t>
            </w:r>
            <w:r>
              <w:rPr>
                <w:rFonts w:hint="eastAsia" w:ascii="Times New Roman" w:hAnsi="Times New Roman"/>
                <w:color w:val="000000" w:themeColor="text1"/>
                <w:kern w:val="0"/>
                <w:sz w:val="24"/>
                <w:lang w:eastAsia="zh-CN"/>
                <w14:textFill>
                  <w14:solidFill>
                    <w14:schemeClr w14:val="tx1"/>
                  </w14:solidFill>
                </w14:textFill>
              </w:rPr>
              <w:t>（</w:t>
            </w:r>
            <w:r>
              <w:rPr>
                <w:rFonts w:hint="eastAsia" w:ascii="Times New Roman" w:hAnsi="Times New Roman"/>
                <w:color w:val="000000" w:themeColor="text1"/>
                <w:kern w:val="0"/>
                <w:sz w:val="24"/>
                <w14:textFill>
                  <w14:solidFill>
                    <w14:schemeClr w14:val="tx1"/>
                  </w14:solidFill>
                </w14:textFill>
              </w:rPr>
              <w:t>厂界外50m</w:t>
            </w:r>
            <w:r>
              <w:rPr>
                <w:rFonts w:hint="eastAsia" w:ascii="Times New Roman" w:hAnsi="Times New Roman"/>
                <w:color w:val="000000" w:themeColor="text1"/>
                <w:kern w:val="0"/>
                <w:sz w:val="24"/>
                <w:lang w:eastAsia="zh-CN"/>
                <w14:textFill>
                  <w14:solidFill>
                    <w14:schemeClr w14:val="tx1"/>
                  </w14:solidFill>
                </w14:textFill>
              </w:rPr>
              <w:t>）、</w:t>
            </w:r>
            <w:r>
              <w:rPr>
                <w:rFonts w:hint="eastAsia" w:ascii="Times New Roman" w:hAnsi="Times New Roman"/>
                <w:color w:val="000000" w:themeColor="text1"/>
                <w:kern w:val="0"/>
                <w:sz w:val="24"/>
                <w:lang w:val="en-US" w:eastAsia="zh-CN"/>
                <w14:textFill>
                  <w14:solidFill>
                    <w14:schemeClr w14:val="tx1"/>
                  </w14:solidFill>
                </w14:textFill>
              </w:rPr>
              <w:t>地下水环境（</w:t>
            </w:r>
            <w:r>
              <w:rPr>
                <w:rFonts w:hint="eastAsia" w:ascii="Times New Roman" w:hAnsi="Times New Roman"/>
                <w:color w:val="000000" w:themeColor="text1"/>
                <w:kern w:val="0"/>
                <w:sz w:val="24"/>
                <w14:textFill>
                  <w14:solidFill>
                    <w14:schemeClr w14:val="tx1"/>
                  </w14:solidFill>
                </w14:textFill>
              </w:rPr>
              <w:t>厂界外5</w:t>
            </w:r>
            <w:r>
              <w:rPr>
                <w:rFonts w:hint="eastAsia" w:ascii="Times New Roman" w:hAnsi="Times New Roman"/>
                <w:color w:val="000000" w:themeColor="text1"/>
                <w:kern w:val="0"/>
                <w:sz w:val="24"/>
                <w:lang w:val="en-US" w:eastAsia="zh-CN"/>
                <w14:textFill>
                  <w14:solidFill>
                    <w14:schemeClr w14:val="tx1"/>
                  </w14:solidFill>
                </w14:textFill>
              </w:rPr>
              <w:t>0</w:t>
            </w:r>
            <w:r>
              <w:rPr>
                <w:rFonts w:hint="eastAsia" w:ascii="Times New Roman" w:hAnsi="Times New Roman"/>
                <w:color w:val="000000" w:themeColor="text1"/>
                <w:kern w:val="0"/>
                <w:sz w:val="24"/>
                <w14:textFill>
                  <w14:solidFill>
                    <w14:schemeClr w14:val="tx1"/>
                  </w14:solidFill>
                </w14:textFill>
              </w:rPr>
              <w:t>0m</w:t>
            </w:r>
            <w:r>
              <w:rPr>
                <w:rFonts w:hint="eastAsia" w:ascii="Times New Roman" w:hAnsi="Times New Roman"/>
                <w:color w:val="000000" w:themeColor="text1"/>
                <w:kern w:val="0"/>
                <w:sz w:val="24"/>
                <w:lang w:eastAsia="zh-CN"/>
                <w14:textFill>
                  <w14:solidFill>
                    <w14:schemeClr w14:val="tx1"/>
                  </w14:solidFill>
                </w14:textFill>
              </w:rPr>
              <w:t>）</w:t>
            </w:r>
            <w:r>
              <w:rPr>
                <w:rFonts w:hint="eastAsia" w:ascii="Times New Roman" w:hAnsi="Times New Roman"/>
                <w:color w:val="000000" w:themeColor="text1"/>
                <w:kern w:val="0"/>
                <w:sz w:val="24"/>
                <w:lang w:val="en-US" w:eastAsia="zh-CN"/>
                <w14:textFill>
                  <w14:solidFill>
                    <w14:schemeClr w14:val="tx1"/>
                  </w14:solidFill>
                </w14:textFill>
              </w:rPr>
              <w:t>等环境保护目标情况</w:t>
            </w:r>
            <w:r>
              <w:rPr>
                <w:rFonts w:ascii="Times New Roman" w:hAnsi="Times New Roman"/>
                <w:color w:val="000000" w:themeColor="text1"/>
                <w:kern w:val="0"/>
                <w:sz w:val="24"/>
                <w14:textFill>
                  <w14:solidFill>
                    <w14:schemeClr w14:val="tx1"/>
                  </w14:solidFill>
                </w14:textFill>
              </w:rPr>
              <w:t>见表3.</w:t>
            </w:r>
            <w:r>
              <w:rPr>
                <w:rFonts w:hint="eastAsia" w:ascii="Times New Roman" w:hAnsi="Times New Roman"/>
                <w:color w:val="000000" w:themeColor="text1"/>
                <w:kern w:val="0"/>
                <w:sz w:val="24"/>
                <w14:textFill>
                  <w14:solidFill>
                    <w14:schemeClr w14:val="tx1"/>
                  </w14:solidFill>
                </w14:textFill>
              </w:rPr>
              <w:t>6-1</w:t>
            </w:r>
            <w:r>
              <w:rPr>
                <w:rFonts w:hint="eastAsia" w:ascii="Times New Roman" w:hAnsi="Times New Roman" w:eastAsia="宋体" w:cs="Times New Roman"/>
                <w:color w:val="000000" w:themeColor="text1"/>
                <w:kern w:val="0"/>
                <w:sz w:val="24"/>
                <w14:textFill>
                  <w14:solidFill>
                    <w14:schemeClr w14:val="tx1"/>
                  </w14:solidFill>
                </w14:textFill>
              </w:rPr>
              <w:t>和附图2。</w:t>
            </w:r>
          </w:p>
          <w:p w14:paraId="1A369585">
            <w:pPr>
              <w:pStyle w:val="146"/>
              <w:spacing w:line="240" w:lineRule="auto"/>
              <w:ind w:firstLine="0" w:firstLineChars="0"/>
              <w:jc w:val="center"/>
              <w:rPr>
                <w:rFonts w:hint="default" w:ascii="Times New Roman" w:hAnsi="Times New Roman" w:eastAsia="黑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表3.6-1  项目主要保护目标一览表</w:t>
            </w:r>
          </w:p>
          <w:tbl>
            <w:tblPr>
              <w:tblStyle w:val="30"/>
              <w:tblW w:w="4922"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076"/>
              <w:gridCol w:w="1136"/>
              <w:gridCol w:w="1582"/>
              <w:gridCol w:w="1713"/>
              <w:gridCol w:w="2586"/>
            </w:tblGrid>
            <w:tr w14:paraId="51B4F23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65" w:type="pct"/>
                  <w:tcBorders>
                    <w:left w:val="nil"/>
                    <w:bottom w:val="single" w:color="000000" w:sz="4" w:space="0"/>
                    <w:right w:val="single" w:color="000000" w:sz="4" w:space="0"/>
                  </w:tcBorders>
                  <w:noWrap w:val="0"/>
                  <w:vAlign w:val="center"/>
                </w:tcPr>
                <w:p w14:paraId="300F00A2">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环境</w:t>
                  </w:r>
                </w:p>
                <w:p w14:paraId="2AAE56C8">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要素</w:t>
                  </w:r>
                </w:p>
              </w:tc>
              <w:tc>
                <w:tcPr>
                  <w:tcW w:w="702" w:type="pct"/>
                  <w:tcBorders>
                    <w:left w:val="single" w:color="000000" w:sz="4" w:space="0"/>
                    <w:bottom w:val="single" w:color="000000" w:sz="4" w:space="0"/>
                    <w:right w:val="single" w:color="000000" w:sz="4" w:space="0"/>
                  </w:tcBorders>
                  <w:noWrap w:val="0"/>
                  <w:vAlign w:val="center"/>
                </w:tcPr>
                <w:p w14:paraId="5B3C71D3">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环境保护对象名称</w:t>
                  </w:r>
                </w:p>
              </w:tc>
              <w:tc>
                <w:tcPr>
                  <w:tcW w:w="977" w:type="pct"/>
                  <w:tcBorders>
                    <w:left w:val="single" w:color="000000" w:sz="4" w:space="0"/>
                    <w:bottom w:val="single" w:color="000000" w:sz="4" w:space="0"/>
                    <w:right w:val="single" w:color="000000" w:sz="4" w:space="0"/>
                  </w:tcBorders>
                  <w:noWrap w:val="0"/>
                  <w:vAlign w:val="center"/>
                </w:tcPr>
                <w:p w14:paraId="2AA3849F">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相对项目的方位和最近距离</w:t>
                  </w:r>
                </w:p>
              </w:tc>
              <w:tc>
                <w:tcPr>
                  <w:tcW w:w="1058" w:type="pct"/>
                  <w:tcBorders>
                    <w:left w:val="single" w:color="000000" w:sz="4" w:space="0"/>
                    <w:bottom w:val="single" w:color="000000" w:sz="4" w:space="0"/>
                    <w:right w:val="single" w:color="000000" w:sz="4" w:space="0"/>
                  </w:tcBorders>
                  <w:noWrap w:val="0"/>
                  <w:vAlign w:val="center"/>
                </w:tcPr>
                <w:p w14:paraId="57D5A306">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目标规模</w:t>
                  </w:r>
                </w:p>
              </w:tc>
              <w:tc>
                <w:tcPr>
                  <w:tcW w:w="1596" w:type="pct"/>
                  <w:tcBorders>
                    <w:left w:val="single" w:color="000000" w:sz="4" w:space="0"/>
                    <w:bottom w:val="single" w:color="000000" w:sz="4" w:space="0"/>
                    <w:right w:val="nil"/>
                  </w:tcBorders>
                  <w:noWrap w:val="0"/>
                  <w:vAlign w:val="center"/>
                </w:tcPr>
                <w:p w14:paraId="16E2689E">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环境功能</w:t>
                  </w:r>
                </w:p>
              </w:tc>
            </w:tr>
            <w:tr w14:paraId="43DF76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65" w:type="pct"/>
                  <w:tcBorders>
                    <w:top w:val="single" w:color="000000" w:sz="4" w:space="0"/>
                    <w:left w:val="nil"/>
                    <w:bottom w:val="single" w:color="000000" w:sz="4" w:space="0"/>
                    <w:right w:val="single" w:color="000000" w:sz="4" w:space="0"/>
                  </w:tcBorders>
                  <w:noWrap w:val="0"/>
                  <w:vAlign w:val="center"/>
                </w:tcPr>
                <w:p w14:paraId="358EA956">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环境空气</w:t>
                  </w:r>
                </w:p>
              </w:tc>
              <w:tc>
                <w:tcPr>
                  <w:tcW w:w="702" w:type="pct"/>
                  <w:tcBorders>
                    <w:top w:val="single" w:color="000000" w:sz="4" w:space="0"/>
                    <w:left w:val="single" w:color="000000" w:sz="4" w:space="0"/>
                    <w:bottom w:val="single" w:color="000000" w:sz="4" w:space="0"/>
                    <w:right w:val="single" w:color="000000" w:sz="4" w:space="0"/>
                  </w:tcBorders>
                  <w:noWrap w:val="0"/>
                  <w:vAlign w:val="center"/>
                </w:tcPr>
                <w:p w14:paraId="1171FEA5">
                  <w:pPr>
                    <w:pStyle w:val="87"/>
                    <w:keepNext w:val="0"/>
                    <w:keepLines w:val="0"/>
                    <w:pageBreakBefore w:val="0"/>
                    <w:widowControl/>
                    <w:kinsoku/>
                    <w:wordWrap/>
                    <w:overflowPunct/>
                    <w:topLinePunct w:val="0"/>
                    <w:autoSpaceDE/>
                    <w:autoSpaceDN/>
                    <w:bidi w:val="0"/>
                    <w:adjustRightInd/>
                    <w:snapToGrid/>
                    <w:spacing w:before="0" w:line="240" w:lineRule="auto"/>
                    <w:ind w:left="0" w:right="0" w:firstLine="0" w:firstLineChars="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卜洲村</w:t>
                  </w:r>
                </w:p>
              </w:tc>
              <w:tc>
                <w:tcPr>
                  <w:tcW w:w="977" w:type="pct"/>
                  <w:tcBorders>
                    <w:top w:val="single" w:color="000000" w:sz="4" w:space="0"/>
                    <w:left w:val="single" w:color="000000" w:sz="4" w:space="0"/>
                    <w:bottom w:val="single" w:color="000000" w:sz="4" w:space="0"/>
                    <w:right w:val="single" w:color="000000" w:sz="4" w:space="0"/>
                  </w:tcBorders>
                  <w:noWrap w:val="0"/>
                  <w:vAlign w:val="center"/>
                </w:tcPr>
                <w:p w14:paraId="2CFDD44F">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西南侧</w:t>
                  </w:r>
                  <w:r>
                    <w:rPr>
                      <w:rFonts w:hint="eastAsia" w:ascii="Times New Roman" w:hAnsi="Times New Roman"/>
                      <w:color w:val="000000" w:themeColor="text1"/>
                      <w:spacing w:val="0"/>
                      <w:sz w:val="21"/>
                      <w:szCs w:val="21"/>
                      <w:lang w:val="en-US" w:eastAsia="zh-CN"/>
                      <w14:textFill>
                        <w14:solidFill>
                          <w14:schemeClr w14:val="tx1"/>
                        </w14:solidFill>
                      </w14:textFill>
                    </w:rPr>
                    <w:t>73</w:t>
                  </w:r>
                  <w:r>
                    <w:rPr>
                      <w:rFonts w:ascii="Times New Roman" w:hAnsi="Times New Roman" w:eastAsia="Times New Roman"/>
                      <w:color w:val="000000" w:themeColor="text1"/>
                      <w:spacing w:val="0"/>
                      <w:sz w:val="21"/>
                      <w:szCs w:val="21"/>
                      <w14:textFill>
                        <w14:solidFill>
                          <w14:schemeClr w14:val="tx1"/>
                        </w14:solidFill>
                      </w14:textFill>
                    </w:rPr>
                    <w:t>m</w:t>
                  </w:r>
                </w:p>
              </w:tc>
              <w:tc>
                <w:tcPr>
                  <w:tcW w:w="1058" w:type="pct"/>
                  <w:tcBorders>
                    <w:top w:val="single" w:color="000000" w:sz="4" w:space="0"/>
                    <w:left w:val="single" w:color="000000" w:sz="4" w:space="0"/>
                    <w:bottom w:val="single" w:color="000000" w:sz="4" w:space="0"/>
                    <w:right w:val="single" w:color="000000" w:sz="4" w:space="0"/>
                  </w:tcBorders>
                  <w:noWrap w:val="0"/>
                  <w:vAlign w:val="center"/>
                </w:tcPr>
                <w:p w14:paraId="1D084004">
                  <w:pPr>
                    <w:pStyle w:val="87"/>
                    <w:keepNext w:val="0"/>
                    <w:keepLines w:val="0"/>
                    <w:pageBreakBefore w:val="0"/>
                    <w:widowControl/>
                    <w:kinsoku/>
                    <w:wordWrap/>
                    <w:overflowPunct/>
                    <w:topLinePunct w:val="0"/>
                    <w:autoSpaceDE/>
                    <w:autoSpaceDN/>
                    <w:bidi w:val="0"/>
                    <w:adjustRightInd/>
                    <w:snapToGrid/>
                    <w:spacing w:before="0" w:line="240" w:lineRule="auto"/>
                    <w:ind w:left="0" w:right="0" w:firstLine="0" w:firstLineChars="0"/>
                    <w:jc w:val="center"/>
                    <w:textAlignment w:val="auto"/>
                    <w:rPr>
                      <w:rFonts w:ascii="Times New Roman" w:hAnsi="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户</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0人</w:t>
                  </w:r>
                </w:p>
              </w:tc>
              <w:tc>
                <w:tcPr>
                  <w:tcW w:w="1596" w:type="pct"/>
                  <w:tcBorders>
                    <w:top w:val="single" w:color="000000" w:sz="4" w:space="0"/>
                    <w:left w:val="single" w:color="000000" w:sz="4" w:space="0"/>
                    <w:bottom w:val="single" w:color="000000" w:sz="4" w:space="0"/>
                    <w:right w:val="nil"/>
                  </w:tcBorders>
                  <w:noWrap w:val="0"/>
                  <w:vAlign w:val="center"/>
                </w:tcPr>
                <w:p w14:paraId="2290418F">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《环境空气质量标准》</w:t>
                  </w:r>
                  <w:r>
                    <w:rPr>
                      <w:rFonts w:hint="eastAsia" w:ascii="Times New Roman" w:hAnsi="Times New Roman"/>
                      <w:color w:val="000000" w:themeColor="text1"/>
                      <w:spacing w:val="0"/>
                      <w:sz w:val="21"/>
                      <w:szCs w:val="21"/>
                      <w:lang w:eastAsia="zh-CN"/>
                      <w14:textFill>
                        <w14:solidFill>
                          <w14:schemeClr w14:val="tx1"/>
                        </w14:solidFill>
                      </w14:textFill>
                    </w:rPr>
                    <w:t>（</w:t>
                  </w:r>
                  <w:r>
                    <w:rPr>
                      <w:rFonts w:ascii="Times New Roman" w:hAnsi="Times New Roman" w:eastAsia="Times New Roman"/>
                      <w:color w:val="000000" w:themeColor="text1"/>
                      <w:spacing w:val="0"/>
                      <w:sz w:val="21"/>
                      <w:szCs w:val="21"/>
                      <w14:textFill>
                        <w14:solidFill>
                          <w14:schemeClr w14:val="tx1"/>
                        </w14:solidFill>
                      </w14:textFill>
                    </w:rPr>
                    <w:t>GB3095-2012</w:t>
                  </w:r>
                  <w:r>
                    <w:rPr>
                      <w:rFonts w:hint="eastAsia" w:ascii="Times New Roman" w:hAnsi="Times New Roman"/>
                      <w:color w:val="000000" w:themeColor="text1"/>
                      <w:spacing w:val="0"/>
                      <w:sz w:val="21"/>
                      <w:szCs w:val="21"/>
                      <w:lang w:eastAsia="zh-CN"/>
                      <w14:textFill>
                        <w14:solidFill>
                          <w14:schemeClr w14:val="tx1"/>
                        </w14:solidFill>
                      </w14:textFill>
                    </w:rPr>
                    <w:t>）</w:t>
                  </w:r>
                  <w:r>
                    <w:rPr>
                      <w:rFonts w:ascii="Times New Roman" w:hAnsi="Times New Roman"/>
                      <w:color w:val="000000" w:themeColor="text1"/>
                      <w:spacing w:val="0"/>
                      <w:sz w:val="21"/>
                      <w:szCs w:val="21"/>
                      <w14:textFill>
                        <w14:solidFill>
                          <w14:schemeClr w14:val="tx1"/>
                        </w14:solidFill>
                      </w14:textFill>
                    </w:rPr>
                    <w:t>及其修改单二级标准</w:t>
                  </w:r>
                </w:p>
              </w:tc>
            </w:tr>
            <w:tr w14:paraId="29E022F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65" w:type="pct"/>
                  <w:vMerge w:val="restart"/>
                  <w:tcBorders>
                    <w:top w:val="single" w:color="000000" w:sz="4" w:space="0"/>
                    <w:left w:val="nil"/>
                    <w:right w:val="single" w:color="000000" w:sz="4" w:space="0"/>
                  </w:tcBorders>
                  <w:noWrap w:val="0"/>
                  <w:vAlign w:val="center"/>
                </w:tcPr>
                <w:p w14:paraId="0E6D85D2">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地表水</w:t>
                  </w:r>
                </w:p>
              </w:tc>
              <w:tc>
                <w:tcPr>
                  <w:tcW w:w="702" w:type="pct"/>
                  <w:tcBorders>
                    <w:top w:val="single" w:color="000000" w:sz="4" w:space="0"/>
                    <w:left w:val="single" w:color="000000" w:sz="4" w:space="0"/>
                    <w:bottom w:val="single" w:color="000000" w:sz="4" w:space="0"/>
                    <w:right w:val="single" w:color="000000" w:sz="4" w:space="0"/>
                  </w:tcBorders>
                  <w:noWrap w:val="0"/>
                  <w:vAlign w:val="center"/>
                </w:tcPr>
                <w:p w14:paraId="55931ACD">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三溪河</w:t>
                  </w:r>
                </w:p>
              </w:tc>
              <w:tc>
                <w:tcPr>
                  <w:tcW w:w="977" w:type="pct"/>
                  <w:tcBorders>
                    <w:top w:val="single" w:color="000000" w:sz="4" w:space="0"/>
                    <w:left w:val="single" w:color="000000" w:sz="4" w:space="0"/>
                    <w:bottom w:val="single" w:color="000000" w:sz="4" w:space="0"/>
                    <w:right w:val="single" w:color="000000" w:sz="4" w:space="0"/>
                  </w:tcBorders>
                  <w:noWrap w:val="0"/>
                  <w:vAlign w:val="center"/>
                </w:tcPr>
                <w:p w14:paraId="43E5CEE0">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西南侧</w:t>
                  </w:r>
                  <w:r>
                    <w:rPr>
                      <w:rFonts w:hint="eastAsia" w:ascii="Times New Roman" w:hAnsi="Times New Roman"/>
                      <w:color w:val="000000" w:themeColor="text1"/>
                      <w:spacing w:val="0"/>
                      <w:sz w:val="21"/>
                      <w:szCs w:val="21"/>
                      <w:lang w:val="en-US" w:eastAsia="zh-CN"/>
                      <w14:textFill>
                        <w14:solidFill>
                          <w14:schemeClr w14:val="tx1"/>
                        </w14:solidFill>
                      </w14:textFill>
                    </w:rPr>
                    <w:t>8</w:t>
                  </w:r>
                  <w:r>
                    <w:rPr>
                      <w:rFonts w:ascii="Times New Roman" w:hAnsi="Times New Roman" w:eastAsia="Times New Roman"/>
                      <w:color w:val="000000" w:themeColor="text1"/>
                      <w:spacing w:val="0"/>
                      <w:sz w:val="21"/>
                      <w:szCs w:val="21"/>
                      <w14:textFill>
                        <w14:solidFill>
                          <w14:schemeClr w14:val="tx1"/>
                        </w14:solidFill>
                      </w14:textFill>
                    </w:rPr>
                    <w:t>0m</w:t>
                  </w:r>
                </w:p>
              </w:tc>
              <w:tc>
                <w:tcPr>
                  <w:tcW w:w="1058" w:type="pct"/>
                  <w:tcBorders>
                    <w:top w:val="single" w:color="000000" w:sz="4" w:space="0"/>
                    <w:left w:val="single" w:color="000000" w:sz="4" w:space="0"/>
                    <w:bottom w:val="single" w:color="000000" w:sz="4" w:space="0"/>
                    <w:right w:val="single" w:color="000000" w:sz="4" w:space="0"/>
                  </w:tcBorders>
                  <w:noWrap w:val="0"/>
                  <w:vAlign w:val="center"/>
                </w:tcPr>
                <w:p w14:paraId="20270052">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小型河流</w:t>
                  </w:r>
                </w:p>
              </w:tc>
              <w:tc>
                <w:tcPr>
                  <w:tcW w:w="1596" w:type="pct"/>
                  <w:vMerge w:val="restart"/>
                  <w:tcBorders>
                    <w:top w:val="single" w:color="000000" w:sz="4" w:space="0"/>
                    <w:left w:val="single" w:color="000000" w:sz="4" w:space="0"/>
                    <w:right w:val="nil"/>
                  </w:tcBorders>
                  <w:noWrap w:val="0"/>
                  <w:vAlign w:val="center"/>
                </w:tcPr>
                <w:p w14:paraId="43F8A0D5">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《地表水环境质量标准》</w:t>
                  </w:r>
                </w:p>
                <w:p w14:paraId="1D7F715D">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eastAsia="Times New Roman"/>
                      <w:color w:val="000000" w:themeColor="text1"/>
                      <w:spacing w:val="0"/>
                      <w:sz w:val="21"/>
                      <w:szCs w:val="21"/>
                      <w14:textFill>
                        <w14:solidFill>
                          <w14:schemeClr w14:val="tx1"/>
                        </w14:solidFill>
                      </w14:textFill>
                    </w:rPr>
                    <w:t>(GB3838-2002)</w:t>
                  </w:r>
                  <w:r>
                    <w:rPr>
                      <w:rFonts w:hint="eastAsia" w:ascii="Times New Roman" w:hAnsi="Times New Roman"/>
                      <w:color w:val="000000" w:themeColor="text1"/>
                      <w:spacing w:val="0"/>
                      <w:sz w:val="21"/>
                      <w:szCs w:val="21"/>
                      <w:lang w:eastAsia="zh-CN"/>
                      <w14:textFill>
                        <w14:solidFill>
                          <w14:schemeClr w14:val="tx1"/>
                        </w14:solidFill>
                      </w14:textFill>
                    </w:rPr>
                    <w:t>Ⅲ</w:t>
                  </w:r>
                  <w:r>
                    <w:rPr>
                      <w:rFonts w:ascii="Times New Roman" w:hAnsi="Times New Roman"/>
                      <w:color w:val="000000" w:themeColor="text1"/>
                      <w:spacing w:val="0"/>
                      <w:sz w:val="21"/>
                      <w:szCs w:val="21"/>
                      <w14:textFill>
                        <w14:solidFill>
                          <w14:schemeClr w14:val="tx1"/>
                        </w14:solidFill>
                      </w14:textFill>
                    </w:rPr>
                    <w:t>类</w:t>
                  </w:r>
                </w:p>
              </w:tc>
            </w:tr>
            <w:tr w14:paraId="256B59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65" w:type="pct"/>
                  <w:vMerge w:val="continue"/>
                  <w:tcBorders>
                    <w:left w:val="nil"/>
                    <w:bottom w:val="single" w:color="000000" w:sz="4" w:space="0"/>
                    <w:right w:val="single" w:color="000000" w:sz="4" w:space="0"/>
                  </w:tcBorders>
                  <w:noWrap w:val="0"/>
                  <w:vAlign w:val="center"/>
                </w:tcPr>
                <w:p w14:paraId="36A9E5BB">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p>
              </w:tc>
              <w:tc>
                <w:tcPr>
                  <w:tcW w:w="702" w:type="pct"/>
                  <w:tcBorders>
                    <w:top w:val="single" w:color="000000" w:sz="4" w:space="0"/>
                    <w:left w:val="single" w:color="000000" w:sz="4" w:space="0"/>
                    <w:bottom w:val="single" w:color="000000" w:sz="4" w:space="0"/>
                    <w:right w:val="single" w:color="000000" w:sz="4" w:space="0"/>
                  </w:tcBorders>
                  <w:noWrap w:val="0"/>
                  <w:vAlign w:val="center"/>
                </w:tcPr>
                <w:p w14:paraId="4ED558AD">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陶江</w:t>
                  </w:r>
                </w:p>
              </w:tc>
              <w:tc>
                <w:tcPr>
                  <w:tcW w:w="977" w:type="pct"/>
                  <w:tcBorders>
                    <w:top w:val="single" w:color="000000" w:sz="4" w:space="0"/>
                    <w:left w:val="single" w:color="000000" w:sz="4" w:space="0"/>
                    <w:bottom w:val="single" w:color="000000" w:sz="4" w:space="0"/>
                    <w:right w:val="single" w:color="000000" w:sz="4" w:space="0"/>
                  </w:tcBorders>
                  <w:noWrap w:val="0"/>
                  <w:vAlign w:val="center"/>
                </w:tcPr>
                <w:p w14:paraId="19891CDE">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东</w:t>
                  </w:r>
                  <w:r>
                    <w:rPr>
                      <w:rFonts w:ascii="Times New Roman" w:hAnsi="Times New Roman"/>
                      <w:color w:val="000000" w:themeColor="text1"/>
                      <w:spacing w:val="0"/>
                      <w:sz w:val="21"/>
                      <w:szCs w:val="21"/>
                      <w14:textFill>
                        <w14:solidFill>
                          <w14:schemeClr w14:val="tx1"/>
                        </w14:solidFill>
                      </w14:textFill>
                    </w:rPr>
                    <w:t>侧</w:t>
                  </w:r>
                  <w:r>
                    <w:rPr>
                      <w:rFonts w:hint="eastAsia" w:ascii="Times New Roman" w:hAnsi="Times New Roman"/>
                      <w:color w:val="000000" w:themeColor="text1"/>
                      <w:spacing w:val="0"/>
                      <w:sz w:val="21"/>
                      <w:szCs w:val="21"/>
                      <w:lang w:val="en-US" w:eastAsia="zh-CN"/>
                      <w14:textFill>
                        <w14:solidFill>
                          <w14:schemeClr w14:val="tx1"/>
                        </w14:solidFill>
                      </w14:textFill>
                    </w:rPr>
                    <w:t>46</w:t>
                  </w:r>
                  <w:r>
                    <w:rPr>
                      <w:rFonts w:ascii="Times New Roman" w:hAnsi="Times New Roman" w:eastAsia="Times New Roman"/>
                      <w:color w:val="000000" w:themeColor="text1"/>
                      <w:spacing w:val="0"/>
                      <w:sz w:val="21"/>
                      <w:szCs w:val="21"/>
                      <w14:textFill>
                        <w14:solidFill>
                          <w14:schemeClr w14:val="tx1"/>
                        </w14:solidFill>
                      </w14:textFill>
                    </w:rPr>
                    <w:t>0m</w:t>
                  </w:r>
                </w:p>
              </w:tc>
              <w:tc>
                <w:tcPr>
                  <w:tcW w:w="1058" w:type="pct"/>
                  <w:tcBorders>
                    <w:top w:val="single" w:color="000000" w:sz="4" w:space="0"/>
                    <w:left w:val="single" w:color="000000" w:sz="4" w:space="0"/>
                    <w:bottom w:val="single" w:color="000000" w:sz="4" w:space="0"/>
                    <w:right w:val="single" w:color="000000" w:sz="4" w:space="0"/>
                  </w:tcBorders>
                  <w:noWrap w:val="0"/>
                  <w:vAlign w:val="center"/>
                </w:tcPr>
                <w:p w14:paraId="7005E7DB">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型河流</w:t>
                  </w:r>
                </w:p>
              </w:tc>
              <w:tc>
                <w:tcPr>
                  <w:tcW w:w="1596" w:type="pct"/>
                  <w:vMerge w:val="continue"/>
                  <w:tcBorders>
                    <w:left w:val="single" w:color="000000" w:sz="4" w:space="0"/>
                    <w:bottom w:val="single" w:color="000000" w:sz="4" w:space="0"/>
                    <w:right w:val="nil"/>
                  </w:tcBorders>
                  <w:noWrap w:val="0"/>
                  <w:vAlign w:val="center"/>
                </w:tcPr>
                <w:p w14:paraId="4B4F91FD">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Times New Roman"/>
                      <w:color w:val="000000" w:themeColor="text1"/>
                      <w:spacing w:val="0"/>
                      <w:sz w:val="21"/>
                      <w:szCs w:val="21"/>
                      <w14:textFill>
                        <w14:solidFill>
                          <w14:schemeClr w14:val="tx1"/>
                        </w14:solidFill>
                      </w14:textFill>
                    </w:rPr>
                  </w:pPr>
                </w:p>
              </w:tc>
            </w:tr>
            <w:tr w14:paraId="3DDE384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665" w:type="pct"/>
                  <w:tcBorders>
                    <w:top w:val="single" w:color="000000" w:sz="4" w:space="0"/>
                    <w:left w:val="nil"/>
                    <w:bottom w:val="single" w:color="000000" w:sz="4" w:space="0"/>
                    <w:right w:val="single" w:color="000000" w:sz="4" w:space="0"/>
                  </w:tcBorders>
                  <w:noWrap w:val="0"/>
                  <w:vAlign w:val="center"/>
                </w:tcPr>
                <w:p w14:paraId="435DD562">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声环境</w:t>
                  </w:r>
                </w:p>
              </w:tc>
              <w:tc>
                <w:tcPr>
                  <w:tcW w:w="4334" w:type="pct"/>
                  <w:gridSpan w:val="4"/>
                  <w:tcBorders>
                    <w:top w:val="single" w:color="000000" w:sz="4" w:space="0"/>
                    <w:left w:val="single" w:color="000000" w:sz="4" w:space="0"/>
                    <w:bottom w:val="single" w:color="000000" w:sz="4" w:space="0"/>
                    <w:right w:val="nil"/>
                  </w:tcBorders>
                  <w:noWrap w:val="0"/>
                  <w:vAlign w:val="center"/>
                </w:tcPr>
                <w:p w14:paraId="52848989">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项目厂界外</w:t>
                  </w:r>
                  <w:r>
                    <w:rPr>
                      <w:rFonts w:ascii="Times New Roman" w:hAnsi="Times New Roman" w:eastAsia="Times New Roman"/>
                      <w:color w:val="000000" w:themeColor="text1"/>
                      <w:spacing w:val="0"/>
                      <w:sz w:val="21"/>
                      <w:szCs w:val="21"/>
                      <w14:textFill>
                        <w14:solidFill>
                          <w14:schemeClr w14:val="tx1"/>
                        </w14:solidFill>
                      </w14:textFill>
                    </w:rPr>
                    <w:t>50m</w:t>
                  </w:r>
                  <w:r>
                    <w:rPr>
                      <w:rFonts w:ascii="Times New Roman" w:hAnsi="Times New Roman"/>
                      <w:color w:val="000000" w:themeColor="text1"/>
                      <w:spacing w:val="0"/>
                      <w:sz w:val="21"/>
                      <w:szCs w:val="21"/>
                      <w14:textFill>
                        <w14:solidFill>
                          <w14:schemeClr w14:val="tx1"/>
                        </w14:solidFill>
                      </w14:textFill>
                    </w:rPr>
                    <w:t>范围内无声环境保护目标</w:t>
                  </w:r>
                </w:p>
              </w:tc>
            </w:tr>
            <w:tr w14:paraId="599D346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9" w:hRule="atLeast"/>
              </w:trPr>
              <w:tc>
                <w:tcPr>
                  <w:tcW w:w="665" w:type="pct"/>
                  <w:tcBorders>
                    <w:top w:val="single" w:color="000000" w:sz="4" w:space="0"/>
                    <w:left w:val="nil"/>
                    <w:right w:val="single" w:color="000000" w:sz="4" w:space="0"/>
                  </w:tcBorders>
                  <w:noWrap w:val="0"/>
                  <w:vAlign w:val="center"/>
                </w:tcPr>
                <w:p w14:paraId="2F4B83E4">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地下水</w:t>
                  </w:r>
                </w:p>
              </w:tc>
              <w:tc>
                <w:tcPr>
                  <w:tcW w:w="4334" w:type="pct"/>
                  <w:gridSpan w:val="4"/>
                  <w:tcBorders>
                    <w:top w:val="single" w:color="000000" w:sz="4" w:space="0"/>
                    <w:left w:val="single" w:color="000000" w:sz="4" w:space="0"/>
                    <w:right w:val="nil"/>
                  </w:tcBorders>
                  <w:noWrap w:val="0"/>
                  <w:vAlign w:val="center"/>
                </w:tcPr>
                <w:p w14:paraId="6188ECB7">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项目厂界外</w:t>
                  </w:r>
                  <w:r>
                    <w:rPr>
                      <w:rFonts w:ascii="Times New Roman" w:hAnsi="Times New Roman" w:eastAsia="Times New Roman"/>
                      <w:color w:val="000000" w:themeColor="text1"/>
                      <w:spacing w:val="0"/>
                      <w:sz w:val="21"/>
                      <w:szCs w:val="21"/>
                      <w14:textFill>
                        <w14:solidFill>
                          <w14:schemeClr w14:val="tx1"/>
                        </w14:solidFill>
                      </w14:textFill>
                    </w:rPr>
                    <w:t>500</w:t>
                  </w:r>
                  <w:r>
                    <w:rPr>
                      <w:rFonts w:ascii="Times New Roman" w:hAnsi="Times New Roman"/>
                      <w:color w:val="000000" w:themeColor="text1"/>
                      <w:spacing w:val="0"/>
                      <w:sz w:val="21"/>
                      <w:szCs w:val="21"/>
                      <w14:textFill>
                        <w14:solidFill>
                          <w14:schemeClr w14:val="tx1"/>
                        </w14:solidFill>
                      </w14:textFill>
                    </w:rPr>
                    <w:t>米范围内无地下水集中式饮用水水源和热水、矿泉水、温泉等特殊地下水资源</w:t>
                  </w:r>
                </w:p>
              </w:tc>
            </w:tr>
          </w:tbl>
          <w:p w14:paraId="358AEA51">
            <w:pPr>
              <w:adjustRightInd w:val="0"/>
              <w:snapToGrid w:val="0"/>
              <w:jc w:val="both"/>
              <w:rPr>
                <w:rFonts w:hint="default" w:ascii="Times New Roman" w:hAnsi="Times New Roman" w:cs="Times New Roman"/>
                <w:color w:val="000000" w:themeColor="text1"/>
                <w:kern w:val="0"/>
                <w:szCs w:val="21"/>
                <w14:textFill>
                  <w14:solidFill>
                    <w14:schemeClr w14:val="tx1"/>
                  </w14:solidFill>
                </w14:textFill>
              </w:rPr>
            </w:pPr>
          </w:p>
        </w:tc>
      </w:tr>
      <w:tr w14:paraId="2C177C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800" w:type="dxa"/>
            <w:noWrap w:val="0"/>
            <w:tcMar>
              <w:left w:w="28" w:type="dxa"/>
              <w:right w:w="28" w:type="dxa"/>
            </w:tcMar>
            <w:vAlign w:val="center"/>
          </w:tcPr>
          <w:p w14:paraId="275A0B4E">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污染</w:t>
            </w:r>
          </w:p>
          <w:p w14:paraId="17442351">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物排</w:t>
            </w:r>
          </w:p>
          <w:p w14:paraId="46700567">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放控</w:t>
            </w:r>
          </w:p>
          <w:p w14:paraId="62AA21FF">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制标</w:t>
            </w:r>
          </w:p>
          <w:p w14:paraId="55157ABB">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准</w:t>
            </w:r>
          </w:p>
        </w:tc>
        <w:tc>
          <w:tcPr>
            <w:tcW w:w="8166" w:type="dxa"/>
            <w:noWrap w:val="0"/>
            <w:vAlign w:val="center"/>
          </w:tcPr>
          <w:p w14:paraId="4FF638FC">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textAlignment w:val="auto"/>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3.7污染物排放标准</w:t>
            </w:r>
          </w:p>
          <w:p w14:paraId="0CDF6E09">
            <w:pPr>
              <w:adjustRightInd w:val="0"/>
              <w:snapToGrid w:val="0"/>
              <w:spacing w:line="360" w:lineRule="auto"/>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3.</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7.1</w:t>
            </w:r>
            <w:r>
              <w:rPr>
                <w:rFonts w:hint="default" w:ascii="Times New Roman" w:hAnsi="Times New Roman" w:eastAsia="宋体" w:cs="Times New Roman"/>
                <w:b/>
                <w:bCs w:val="0"/>
                <w:color w:val="000000" w:themeColor="text1"/>
                <w:sz w:val="24"/>
                <w:szCs w:val="24"/>
                <w14:textFill>
                  <w14:solidFill>
                    <w14:schemeClr w14:val="tx1"/>
                  </w14:solidFill>
                </w14:textFill>
              </w:rPr>
              <w:t>水污染物</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排放标准</w:t>
            </w:r>
          </w:p>
          <w:p w14:paraId="5B7C5C9C">
            <w:pPr>
              <w:pStyle w:val="67"/>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项目</w:t>
            </w:r>
            <w:r>
              <w:rPr>
                <w:rFonts w:hint="default" w:ascii="Times New Roman" w:hAnsi="Times New Roman" w:cs="Times New Roman"/>
                <w:color w:val="000000" w:themeColor="text1"/>
                <w:highlight w:val="none"/>
                <w:lang w:eastAsia="zh-CN"/>
                <w14:textFill>
                  <w14:solidFill>
                    <w14:schemeClr w14:val="tx1"/>
                  </w14:solidFill>
                </w14:textFill>
              </w:rPr>
              <w:t>水污染物</w:t>
            </w:r>
            <w:r>
              <w:rPr>
                <w:rFonts w:hint="default" w:ascii="Times New Roman" w:hAnsi="Times New Roman" w:cs="Times New Roman"/>
                <w:color w:val="000000" w:themeColor="text1"/>
                <w:highlight w:val="none"/>
                <w14:textFill>
                  <w14:solidFill>
                    <w14:schemeClr w14:val="tx1"/>
                  </w14:solidFill>
                </w14:textFill>
              </w:rPr>
              <w:t>排放标准</w:t>
            </w:r>
          </w:p>
          <w:p w14:paraId="67AE28C6">
            <w:pPr>
              <w:spacing w:line="360" w:lineRule="auto"/>
              <w:ind w:firstLine="480" w:firstLineChars="200"/>
              <w:rPr>
                <w:rFonts w:hint="eastAsia"/>
                <w:color w:val="000000" w:themeColor="text1"/>
                <w:kern w:val="18"/>
                <w:sz w:val="24"/>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本项目生活污水</w:t>
            </w:r>
            <w:r>
              <w:rPr>
                <w:rFonts w:hint="eastAsia"/>
                <w:color w:val="000000" w:themeColor="text1"/>
                <w:kern w:val="18"/>
                <w:sz w:val="24"/>
                <w:lang w:val="en-US" w:eastAsia="zh-CN"/>
                <w14:textFill>
                  <w14:solidFill>
                    <w14:schemeClr w14:val="tx1"/>
                  </w14:solidFill>
                </w14:textFill>
              </w:rPr>
              <w:t>依托出租方已建化粪池处理后排入市政污水管网接至</w:t>
            </w:r>
            <w:r>
              <w:rPr>
                <w:rFonts w:hint="eastAsia" w:ascii="Times New Roman" w:hAnsi="Times New Roman" w:cs="Times New Roman"/>
                <w:color w:val="000000" w:themeColor="text1"/>
                <w:sz w:val="24"/>
                <w:szCs w:val="20"/>
                <w:lang w:eastAsia="zh-CN"/>
                <w14:textFill>
                  <w14:solidFill>
                    <w14:schemeClr w14:val="tx1"/>
                  </w14:solidFill>
                </w14:textFill>
              </w:rPr>
              <w:t>福建青口海峡环保有限公司（青口新区污水处理厂）</w:t>
            </w:r>
            <w:r>
              <w:rPr>
                <w:rFonts w:hint="eastAsia" w:ascii="Times New Roman" w:hAnsi="Times New Roman" w:cs="Times New Roman"/>
                <w:color w:val="000000" w:themeColor="text1"/>
                <w:sz w:val="24"/>
                <w:szCs w:val="20"/>
                <w:lang w:val="en-US" w:eastAsia="zh-CN"/>
                <w14:textFill>
                  <w14:solidFill>
                    <w14:schemeClr w14:val="tx1"/>
                  </w14:solidFill>
                </w14:textFill>
              </w:rPr>
              <w:t>处理</w:t>
            </w:r>
            <w:r>
              <w:rPr>
                <w:rFonts w:hint="eastAsia"/>
                <w:color w:val="000000" w:themeColor="text1"/>
                <w:kern w:val="18"/>
                <w:sz w:val="24"/>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生产废水</w:t>
            </w:r>
            <w:r>
              <w:rPr>
                <w:rFonts w:hint="eastAsia" w:cs="Times New Roman"/>
                <w:color w:val="000000" w:themeColor="text1"/>
                <w:sz w:val="24"/>
                <w:highlight w:val="none"/>
                <w:lang w:val="en-US" w:eastAsia="zh-CN"/>
                <w14:textFill>
                  <w14:solidFill>
                    <w14:schemeClr w14:val="tx1"/>
                  </w14:solidFill>
                </w14:textFill>
              </w:rPr>
              <w:t>经自建</w:t>
            </w:r>
            <w:r>
              <w:rPr>
                <w:rFonts w:hint="eastAsia" w:ascii="Times New Roman" w:hAnsi="Times New Roman" w:cs="Times New Roman"/>
                <w:color w:val="000000" w:themeColor="text1"/>
                <w:sz w:val="24"/>
                <w:highlight w:val="none"/>
                <w:lang w:val="en-US" w:eastAsia="zh-CN"/>
                <w14:textFill>
                  <w14:solidFill>
                    <w14:schemeClr w14:val="tx1"/>
                  </w14:solidFill>
                </w14:textFill>
              </w:rPr>
              <w:t>废水处理设施处理后</w:t>
            </w:r>
            <w:r>
              <w:rPr>
                <w:rFonts w:hint="eastAsia"/>
                <w:color w:val="000000" w:themeColor="text1"/>
                <w:kern w:val="18"/>
                <w:sz w:val="24"/>
                <w:lang w:val="en-US" w:eastAsia="zh-CN"/>
                <w14:textFill>
                  <w14:solidFill>
                    <w14:schemeClr w14:val="tx1"/>
                  </w14:solidFill>
                </w14:textFill>
              </w:rPr>
              <w:t>排入市政污水管网接至</w:t>
            </w:r>
            <w:r>
              <w:rPr>
                <w:rFonts w:hint="eastAsia" w:ascii="Times New Roman" w:hAnsi="Times New Roman" w:cs="Times New Roman"/>
                <w:color w:val="000000" w:themeColor="text1"/>
                <w:sz w:val="24"/>
                <w:szCs w:val="20"/>
                <w:lang w:eastAsia="zh-CN"/>
                <w14:textFill>
                  <w14:solidFill>
                    <w14:schemeClr w14:val="tx1"/>
                  </w14:solidFill>
                </w14:textFill>
              </w:rPr>
              <w:t>福建青口海峡环保有限公司（青口新区污水处理厂）</w:t>
            </w:r>
            <w:r>
              <w:rPr>
                <w:rFonts w:hint="eastAsia" w:ascii="Times New Roman" w:hAnsi="Times New Roman" w:cs="Times New Roman"/>
                <w:color w:val="000000" w:themeColor="text1"/>
                <w:sz w:val="24"/>
                <w:szCs w:val="20"/>
                <w:lang w:val="en-US" w:eastAsia="zh-CN"/>
                <w14:textFill>
                  <w14:solidFill>
                    <w14:schemeClr w14:val="tx1"/>
                  </w14:solidFill>
                </w14:textFill>
              </w:rPr>
              <w:t>处理。</w:t>
            </w:r>
          </w:p>
          <w:p w14:paraId="546E77E7">
            <w:pPr>
              <w:spacing w:line="360" w:lineRule="auto"/>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0"/>
                <w:lang w:eastAsia="zh-CN"/>
                <w14:textFill>
                  <w14:solidFill>
                    <w14:schemeClr w14:val="tx1"/>
                  </w14:solidFill>
                </w14:textFill>
              </w:rPr>
              <w:t>厂区</w:t>
            </w:r>
            <w:r>
              <w:rPr>
                <w:rFonts w:hint="eastAsia" w:ascii="Times New Roman" w:hAnsi="Times New Roman" w:cs="Times New Roman"/>
                <w:color w:val="000000" w:themeColor="text1"/>
                <w:sz w:val="24"/>
                <w:highlight w:val="none"/>
                <w:lang w:val="en-US" w:eastAsia="zh-CN"/>
                <w14:textFill>
                  <w14:solidFill>
                    <w14:schemeClr w14:val="tx1"/>
                  </w14:solidFill>
                </w14:textFill>
              </w:rPr>
              <w:t>生产废水及生活污水排放执行《污水综合排放标准》（GB8978-1996）表4三级标准（其中氨氮</w:t>
            </w:r>
            <w:r>
              <w:rPr>
                <w:rFonts w:hint="eastAsia" w:cs="Times New Roman"/>
                <w:color w:val="000000" w:themeColor="text1"/>
                <w:sz w:val="24"/>
                <w:highlight w:val="none"/>
                <w:lang w:val="en-US" w:eastAsia="zh-CN"/>
                <w14:textFill>
                  <w14:solidFill>
                    <w14:schemeClr w14:val="tx1"/>
                  </w14:solidFill>
                </w14:textFill>
              </w:rPr>
              <w:t>、总磷</w:t>
            </w:r>
            <w:r>
              <w:rPr>
                <w:rFonts w:hint="eastAsia" w:ascii="Times New Roman" w:hAnsi="Times New Roman" w:cs="Times New Roman"/>
                <w:color w:val="000000" w:themeColor="text1"/>
                <w:sz w:val="24"/>
                <w:highlight w:val="none"/>
                <w:lang w:val="en-US" w:eastAsia="zh-CN"/>
                <w14:textFill>
                  <w14:solidFill>
                    <w14:schemeClr w14:val="tx1"/>
                  </w14:solidFill>
                </w14:textFill>
              </w:rPr>
              <w:t>参照执行《污水排入城镇下水道水质标准》（GB/T31962-2015）表1中B级标准限值），</w:t>
            </w:r>
            <w:r>
              <w:rPr>
                <w:rFonts w:hint="default" w:ascii="Times New Roman" w:hAnsi="Times New Roman" w:eastAsia="宋体" w:cs="Times New Roman"/>
                <w:color w:val="000000" w:themeColor="text1"/>
                <w:sz w:val="24"/>
                <w:szCs w:val="24"/>
                <w:highlight w:val="none"/>
                <w14:textFill>
                  <w14:solidFill>
                    <w14:schemeClr w14:val="tx1"/>
                  </w14:solidFill>
                </w14:textFill>
              </w:rPr>
              <w:t>详见表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3.7-1</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p>
          <w:p w14:paraId="4070B62B">
            <w:pPr>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0"/>
                <w:lang w:eastAsia="zh-CN"/>
                <w14:textFill>
                  <w14:solidFill>
                    <w14:schemeClr w14:val="tx1"/>
                  </w14:solidFill>
                </w14:textFill>
              </w:rPr>
              <w:t>福建青口海峡环保有限公司（青口新区污水处理厂）</w:t>
            </w:r>
            <w:r>
              <w:rPr>
                <w:rFonts w:hint="default" w:ascii="Times New Roman" w:hAnsi="Times New Roman" w:cs="Times New Roman"/>
                <w:color w:val="000000" w:themeColor="text1"/>
                <w:sz w:val="24"/>
                <w:szCs w:val="20"/>
                <w14:textFill>
                  <w14:solidFill>
                    <w14:schemeClr w14:val="tx1"/>
                  </w14:solidFill>
                </w14:textFill>
              </w:rPr>
              <w:t>尾水</w:t>
            </w:r>
            <w:r>
              <w:rPr>
                <w:rFonts w:hint="default" w:ascii="Times New Roman" w:hAnsi="Times New Roman" w:cs="Times New Roman"/>
                <w:color w:val="000000" w:themeColor="text1"/>
                <w:sz w:val="24"/>
                <w:szCs w:val="24"/>
                <w14:textFill>
                  <w14:solidFill>
                    <w14:schemeClr w14:val="tx1"/>
                  </w14:solidFill>
                </w14:textFill>
              </w:rPr>
              <w:t>排放执行《城镇污水处理厂污染物排放标准》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GB18918-2002</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及其修改单表1的一级</w:t>
            </w:r>
            <w:r>
              <w:rPr>
                <w:rFonts w:hint="default" w:ascii="Times New Roman" w:hAnsi="Times New Roman" w:eastAsia="宋体" w:cs="Times New Roman"/>
                <w:color w:val="000000" w:themeColor="text1"/>
                <w:sz w:val="24"/>
                <w:szCs w:val="24"/>
                <w:shd w:val="clear" w:color="auto" w:fill="FFFFFF"/>
                <w:lang w:eastAsia="zh-CN"/>
                <w14:textFill>
                  <w14:solidFill>
                    <w14:schemeClr w14:val="tx1"/>
                  </w14:solidFill>
                </w14:textFill>
              </w:rPr>
              <w:t>A排放标准</w:t>
            </w:r>
            <w:r>
              <w:rPr>
                <w:rFonts w:hint="eastAsia" w:ascii="Times New Roman" w:hAnsi="Times New Roman" w:eastAsia="宋体" w:cs="Times New Roman"/>
                <w:color w:val="000000" w:themeColor="text1"/>
                <w:sz w:val="24"/>
                <w:szCs w:val="24"/>
                <w:shd w:val="clear" w:color="auto" w:fill="FFFFFF"/>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具体详见表3.</w:t>
            </w:r>
            <w:r>
              <w:rPr>
                <w:rFonts w:hint="eastAsia" w:ascii="Times New Roman" w:hAnsi="Times New Roman" w:cs="Times New Roman"/>
                <w:color w:val="000000" w:themeColor="text1"/>
                <w:sz w:val="24"/>
                <w:szCs w:val="24"/>
                <w:lang w:val="en-US" w:eastAsia="zh-CN"/>
                <w14:textFill>
                  <w14:solidFill>
                    <w14:schemeClr w14:val="tx1"/>
                  </w14:solidFill>
                </w14:textFill>
              </w:rPr>
              <w:t>7-2。</w:t>
            </w:r>
          </w:p>
          <w:p w14:paraId="38794009">
            <w:pPr>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p>
          <w:p w14:paraId="2412D54E">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p>
          <w:p w14:paraId="20DCB889">
            <w:pPr>
              <w:pStyle w:val="146"/>
              <w:spacing w:line="240" w:lineRule="auto"/>
              <w:ind w:firstLine="48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表3.7-1  项目污水排放标准限值一览表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5"/>
              <w:gridCol w:w="1822"/>
              <w:gridCol w:w="4571"/>
            </w:tblGrid>
            <w:tr w14:paraId="2DBC1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5" w:type="pct"/>
                  <w:noWrap w:val="0"/>
                  <w:vAlign w:val="center"/>
                </w:tcPr>
                <w:p w14:paraId="148BE64C">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污染物名称</w:t>
                  </w:r>
                </w:p>
              </w:tc>
              <w:tc>
                <w:tcPr>
                  <w:tcW w:w="1104" w:type="pct"/>
                  <w:noWrap w:val="0"/>
                  <w:vAlign w:val="center"/>
                </w:tcPr>
                <w:p w14:paraId="10CD84B9">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14:textFill>
                        <w14:solidFill>
                          <w14:schemeClr w14:val="tx1"/>
                        </w14:solidFill>
                      </w14:textFill>
                    </w:rPr>
                  </w:pPr>
                  <w:r>
                    <w:rPr>
                      <w:rFonts w:hint="default" w:ascii="Times New Roman" w:hAnsi="Times New Roman" w:eastAsia="宋体" w:cs="宋体"/>
                      <w:color w:val="000000" w:themeColor="text1"/>
                      <w:spacing w:val="0"/>
                      <w:sz w:val="21"/>
                      <w14:textFill>
                        <w14:solidFill>
                          <w14:schemeClr w14:val="tx1"/>
                        </w14:solidFill>
                      </w14:textFill>
                    </w:rPr>
                    <w:t>三级标准值</w:t>
                  </w:r>
                </w:p>
              </w:tc>
              <w:tc>
                <w:tcPr>
                  <w:tcW w:w="2770" w:type="pct"/>
                  <w:noWrap w:val="0"/>
                  <w:vAlign w:val="center"/>
                </w:tcPr>
                <w:p w14:paraId="744BDBC9">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标准</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来源</w:t>
                  </w:r>
                </w:p>
              </w:tc>
            </w:tr>
            <w:tr w14:paraId="1224E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5" w:type="pct"/>
                  <w:noWrap w:val="0"/>
                  <w:vAlign w:val="center"/>
                </w:tcPr>
                <w:p w14:paraId="03484CD6">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default" w:ascii="Times New Roman" w:hAnsi="Times New Roman" w:eastAsia="宋体" w:cs="宋体"/>
                      <w:color w:val="000000" w:themeColor="text1"/>
                      <w:spacing w:val="0"/>
                      <w:sz w:val="21"/>
                      <w:lang w:eastAsia="zh-CN"/>
                      <w14:textFill>
                        <w14:solidFill>
                          <w14:schemeClr w14:val="tx1"/>
                        </w14:solidFill>
                      </w14:textFill>
                    </w:rPr>
                    <w:t>pH</w:t>
                  </w:r>
                </w:p>
              </w:tc>
              <w:tc>
                <w:tcPr>
                  <w:tcW w:w="1104" w:type="pct"/>
                  <w:noWrap w:val="0"/>
                  <w:vAlign w:val="center"/>
                </w:tcPr>
                <w:p w14:paraId="3C817B95">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default" w:ascii="Times New Roman" w:hAnsi="Times New Roman" w:eastAsia="宋体" w:cs="宋体"/>
                      <w:color w:val="000000" w:themeColor="text1"/>
                      <w:spacing w:val="0"/>
                      <w:sz w:val="21"/>
                      <w14:textFill>
                        <w14:solidFill>
                          <w14:schemeClr w14:val="tx1"/>
                        </w14:solidFill>
                      </w14:textFill>
                    </w:rPr>
                    <w:t>6～9</w:t>
                  </w:r>
                  <w:r>
                    <w:rPr>
                      <w:rFonts w:hint="eastAsia" w:ascii="Times New Roman" w:hAnsi="Times New Roman" w:eastAsia="宋体" w:cs="宋体"/>
                      <w:color w:val="000000" w:themeColor="text1"/>
                      <w:spacing w:val="0"/>
                      <w:sz w:val="21"/>
                      <w:lang w:eastAsia="zh-CN"/>
                      <w14:textFill>
                        <w14:solidFill>
                          <w14:schemeClr w14:val="tx1"/>
                        </w14:solidFill>
                      </w14:textFill>
                    </w:rPr>
                    <w:t>（</w:t>
                  </w:r>
                  <w:r>
                    <w:rPr>
                      <w:rFonts w:hint="default" w:ascii="Times New Roman" w:hAnsi="Times New Roman" w:eastAsia="宋体" w:cs="宋体"/>
                      <w:color w:val="000000" w:themeColor="text1"/>
                      <w:spacing w:val="0"/>
                      <w:sz w:val="21"/>
                      <w14:textFill>
                        <w14:solidFill>
                          <w14:schemeClr w14:val="tx1"/>
                        </w14:solidFill>
                      </w14:textFill>
                    </w:rPr>
                    <w:t>无量纲</w:t>
                  </w:r>
                  <w:r>
                    <w:rPr>
                      <w:rFonts w:hint="eastAsia" w:ascii="Times New Roman" w:hAnsi="Times New Roman" w:eastAsia="宋体" w:cs="宋体"/>
                      <w:color w:val="000000" w:themeColor="text1"/>
                      <w:spacing w:val="0"/>
                      <w:sz w:val="21"/>
                      <w:lang w:eastAsia="zh-CN"/>
                      <w14:textFill>
                        <w14:solidFill>
                          <w14:schemeClr w14:val="tx1"/>
                        </w14:solidFill>
                      </w14:textFill>
                    </w:rPr>
                    <w:t>）</w:t>
                  </w:r>
                </w:p>
              </w:tc>
              <w:tc>
                <w:tcPr>
                  <w:tcW w:w="2770" w:type="pct"/>
                  <w:vMerge w:val="restart"/>
                  <w:noWrap w:val="0"/>
                  <w:vAlign w:val="center"/>
                </w:tcPr>
                <w:p w14:paraId="1AF8C2D3">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14:textFill>
                        <w14:solidFill>
                          <w14:schemeClr w14:val="tx1"/>
                        </w14:solidFill>
                      </w14:textFill>
                    </w:rPr>
                  </w:pPr>
                  <w:r>
                    <w:rPr>
                      <w:rFonts w:hint="default" w:ascii="Times New Roman" w:hAnsi="Times New Roman" w:eastAsia="宋体" w:cs="宋体"/>
                      <w:color w:val="000000" w:themeColor="text1"/>
                      <w:spacing w:val="0"/>
                      <w:sz w:val="21"/>
                      <w14:textFill>
                        <w14:solidFill>
                          <w14:schemeClr w14:val="tx1"/>
                        </w14:solidFill>
                      </w14:textFill>
                    </w:rPr>
                    <w:t>《污水综合排放标准》</w:t>
                  </w:r>
                  <w:r>
                    <w:rPr>
                      <w:rFonts w:hint="eastAsia" w:ascii="Times New Roman" w:hAnsi="Times New Roman" w:eastAsia="宋体" w:cs="宋体"/>
                      <w:color w:val="000000" w:themeColor="text1"/>
                      <w:spacing w:val="0"/>
                      <w:sz w:val="21"/>
                      <w:lang w:eastAsia="zh-CN"/>
                      <w14:textFill>
                        <w14:solidFill>
                          <w14:schemeClr w14:val="tx1"/>
                        </w14:solidFill>
                      </w14:textFill>
                    </w:rPr>
                    <w:t>（</w:t>
                  </w:r>
                  <w:r>
                    <w:rPr>
                      <w:rFonts w:hint="default" w:ascii="Times New Roman" w:hAnsi="Times New Roman" w:eastAsia="宋体" w:cs="宋体"/>
                      <w:color w:val="000000" w:themeColor="text1"/>
                      <w:spacing w:val="0"/>
                      <w:sz w:val="21"/>
                      <w14:textFill>
                        <w14:solidFill>
                          <w14:schemeClr w14:val="tx1"/>
                        </w14:solidFill>
                      </w14:textFill>
                    </w:rPr>
                    <w:t>GB8978-1996）</w:t>
                  </w:r>
                </w:p>
                <w:p w14:paraId="0D8EC221">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eastAsia="zh-CN"/>
                      <w14:textFill>
                        <w14:solidFill>
                          <w14:schemeClr w14:val="tx1"/>
                        </w14:solidFill>
                      </w14:textFill>
                    </w:rPr>
                  </w:pPr>
                  <w:r>
                    <w:rPr>
                      <w:rFonts w:hint="default" w:ascii="Times New Roman" w:hAnsi="Times New Roman" w:eastAsia="宋体" w:cs="宋体"/>
                      <w:color w:val="000000" w:themeColor="text1"/>
                      <w:spacing w:val="0"/>
                      <w:sz w:val="21"/>
                      <w14:textFill>
                        <w14:solidFill>
                          <w14:schemeClr w14:val="tx1"/>
                        </w14:solidFill>
                      </w14:textFill>
                    </w:rPr>
                    <w:t>表4三级标准</w:t>
                  </w:r>
                </w:p>
              </w:tc>
            </w:tr>
            <w:tr w14:paraId="02410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5" w:type="pct"/>
                  <w:noWrap w:val="0"/>
                  <w:vAlign w:val="center"/>
                </w:tcPr>
                <w:p w14:paraId="53995CEE">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default" w:ascii="Times New Roman" w:hAnsi="Times New Roman" w:eastAsia="宋体" w:cs="宋体"/>
                      <w:color w:val="000000" w:themeColor="text1"/>
                      <w:spacing w:val="0"/>
                      <w:sz w:val="21"/>
                      <w:lang w:eastAsia="zh-CN"/>
                      <w14:textFill>
                        <w14:solidFill>
                          <w14:schemeClr w14:val="tx1"/>
                        </w14:solidFill>
                      </w14:textFill>
                    </w:rPr>
                    <w:t>COD</w:t>
                  </w:r>
                </w:p>
              </w:tc>
              <w:tc>
                <w:tcPr>
                  <w:tcW w:w="1104" w:type="pct"/>
                  <w:noWrap w:val="0"/>
                  <w:vAlign w:val="center"/>
                </w:tcPr>
                <w:p w14:paraId="175FA8E8">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default" w:ascii="Times New Roman" w:hAnsi="Times New Roman" w:eastAsia="宋体" w:cs="宋体"/>
                      <w:color w:val="000000" w:themeColor="text1"/>
                      <w:spacing w:val="0"/>
                      <w:sz w:val="21"/>
                      <w:lang w:eastAsia="zh-CN"/>
                      <w14:textFill>
                        <w14:solidFill>
                          <w14:schemeClr w14:val="tx1"/>
                        </w14:solidFill>
                      </w14:textFill>
                    </w:rPr>
                    <w:t>500m</w:t>
                  </w:r>
                  <w:r>
                    <w:rPr>
                      <w:rFonts w:hint="default" w:ascii="Times New Roman" w:hAnsi="Times New Roman" w:eastAsia="宋体" w:cs="宋体"/>
                      <w:color w:val="000000" w:themeColor="text1"/>
                      <w:spacing w:val="0"/>
                      <w:sz w:val="21"/>
                      <w14:textFill>
                        <w14:solidFill>
                          <w14:schemeClr w14:val="tx1"/>
                        </w14:solidFill>
                      </w14:textFill>
                    </w:rPr>
                    <w:t>g/L</w:t>
                  </w:r>
                </w:p>
              </w:tc>
              <w:tc>
                <w:tcPr>
                  <w:tcW w:w="2770" w:type="pct"/>
                  <w:vMerge w:val="continue"/>
                  <w:noWrap w:val="0"/>
                  <w:vAlign w:val="center"/>
                </w:tcPr>
                <w:p w14:paraId="3A8689B2">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14:textFill>
                        <w14:solidFill>
                          <w14:schemeClr w14:val="tx1"/>
                        </w14:solidFill>
                      </w14:textFill>
                    </w:rPr>
                  </w:pPr>
                </w:p>
              </w:tc>
            </w:tr>
            <w:tr w14:paraId="1C089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5" w:type="pct"/>
                  <w:noWrap w:val="0"/>
                  <w:vAlign w:val="center"/>
                </w:tcPr>
                <w:p w14:paraId="19E3451A">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default" w:ascii="Times New Roman" w:hAnsi="Times New Roman" w:eastAsia="宋体" w:cs="宋体"/>
                      <w:color w:val="000000" w:themeColor="text1"/>
                      <w:spacing w:val="0"/>
                      <w:sz w:val="21"/>
                      <w:lang w:eastAsia="zh-CN"/>
                      <w14:textFill>
                        <w14:solidFill>
                          <w14:schemeClr w14:val="tx1"/>
                        </w14:solidFill>
                      </w14:textFill>
                    </w:rPr>
                    <w:t>BOD</w:t>
                  </w:r>
                  <w:r>
                    <w:rPr>
                      <w:rFonts w:hint="default" w:ascii="Times New Roman" w:hAnsi="Times New Roman" w:eastAsia="宋体" w:cs="宋体"/>
                      <w:color w:val="000000" w:themeColor="text1"/>
                      <w:spacing w:val="0"/>
                      <w:sz w:val="21"/>
                      <w:vertAlign w:val="subscript"/>
                      <w:lang w:eastAsia="zh-CN"/>
                      <w14:textFill>
                        <w14:solidFill>
                          <w14:schemeClr w14:val="tx1"/>
                        </w14:solidFill>
                      </w14:textFill>
                    </w:rPr>
                    <w:t>5</w:t>
                  </w:r>
                </w:p>
              </w:tc>
              <w:tc>
                <w:tcPr>
                  <w:tcW w:w="1104" w:type="pct"/>
                  <w:noWrap w:val="0"/>
                  <w:vAlign w:val="center"/>
                </w:tcPr>
                <w:p w14:paraId="5792F901">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default" w:ascii="Times New Roman" w:hAnsi="Times New Roman" w:eastAsia="宋体" w:cs="宋体"/>
                      <w:color w:val="000000" w:themeColor="text1"/>
                      <w:spacing w:val="0"/>
                      <w:sz w:val="21"/>
                      <w14:textFill>
                        <w14:solidFill>
                          <w14:schemeClr w14:val="tx1"/>
                        </w14:solidFill>
                      </w14:textFill>
                    </w:rPr>
                    <w:t>300mg/L</w:t>
                  </w:r>
                </w:p>
              </w:tc>
              <w:tc>
                <w:tcPr>
                  <w:tcW w:w="2770" w:type="pct"/>
                  <w:vMerge w:val="continue"/>
                  <w:noWrap w:val="0"/>
                  <w:vAlign w:val="center"/>
                </w:tcPr>
                <w:p w14:paraId="5A49D0C9">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14:textFill>
                        <w14:solidFill>
                          <w14:schemeClr w14:val="tx1"/>
                        </w14:solidFill>
                      </w14:textFill>
                    </w:rPr>
                  </w:pPr>
                </w:p>
              </w:tc>
            </w:tr>
            <w:tr w14:paraId="536CD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5" w:type="pct"/>
                  <w:noWrap w:val="0"/>
                  <w:vAlign w:val="center"/>
                </w:tcPr>
                <w:p w14:paraId="49E88D82">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default" w:ascii="Times New Roman" w:hAnsi="Times New Roman" w:eastAsia="宋体" w:cs="宋体"/>
                      <w:color w:val="000000" w:themeColor="text1"/>
                      <w:spacing w:val="0"/>
                      <w:sz w:val="21"/>
                      <w:lang w:eastAsia="zh-CN"/>
                      <w14:textFill>
                        <w14:solidFill>
                          <w14:schemeClr w14:val="tx1"/>
                        </w14:solidFill>
                      </w14:textFill>
                    </w:rPr>
                    <w:t>SS</w:t>
                  </w:r>
                </w:p>
              </w:tc>
              <w:tc>
                <w:tcPr>
                  <w:tcW w:w="1104" w:type="pct"/>
                  <w:noWrap w:val="0"/>
                  <w:vAlign w:val="center"/>
                </w:tcPr>
                <w:p w14:paraId="0621C21D">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default" w:ascii="Times New Roman" w:hAnsi="Times New Roman" w:eastAsia="宋体" w:cs="宋体"/>
                      <w:color w:val="000000" w:themeColor="text1"/>
                      <w:spacing w:val="0"/>
                      <w:sz w:val="21"/>
                      <w14:textFill>
                        <w14:solidFill>
                          <w14:schemeClr w14:val="tx1"/>
                        </w14:solidFill>
                      </w14:textFill>
                    </w:rPr>
                    <w:t>400mg/L</w:t>
                  </w:r>
                </w:p>
              </w:tc>
              <w:tc>
                <w:tcPr>
                  <w:tcW w:w="2770" w:type="pct"/>
                  <w:vMerge w:val="continue"/>
                  <w:noWrap w:val="0"/>
                  <w:vAlign w:val="center"/>
                </w:tcPr>
                <w:p w14:paraId="317572FC">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14:textFill>
                        <w14:solidFill>
                          <w14:schemeClr w14:val="tx1"/>
                        </w14:solidFill>
                      </w14:textFill>
                    </w:rPr>
                  </w:pPr>
                </w:p>
              </w:tc>
            </w:tr>
            <w:tr w14:paraId="593BD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5" w:type="pct"/>
                  <w:noWrap w:val="0"/>
                  <w:vAlign w:val="center"/>
                </w:tcPr>
                <w:p w14:paraId="4AD462B2">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default" w:ascii="Times New Roman" w:hAnsi="Times New Roman" w:eastAsia="宋体" w:cs="宋体"/>
                      <w:color w:val="000000" w:themeColor="text1"/>
                      <w:spacing w:val="0"/>
                      <w:sz w:val="21"/>
                      <w:lang w:eastAsia="zh-CN"/>
                      <w14:textFill>
                        <w14:solidFill>
                          <w14:schemeClr w14:val="tx1"/>
                        </w14:solidFill>
                      </w14:textFill>
                    </w:rPr>
                    <w:t>总锌</w:t>
                  </w:r>
                </w:p>
              </w:tc>
              <w:tc>
                <w:tcPr>
                  <w:tcW w:w="1104" w:type="pct"/>
                  <w:noWrap w:val="0"/>
                  <w:vAlign w:val="center"/>
                </w:tcPr>
                <w:p w14:paraId="5295D3DB">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eastAsia" w:ascii="Times New Roman" w:hAnsi="Times New Roman" w:eastAsia="宋体" w:cs="宋体"/>
                      <w:color w:val="000000" w:themeColor="text1"/>
                      <w:spacing w:val="0"/>
                      <w:sz w:val="21"/>
                      <w:lang w:val="en-US" w:eastAsia="zh-CN"/>
                      <w14:textFill>
                        <w14:solidFill>
                          <w14:schemeClr w14:val="tx1"/>
                        </w14:solidFill>
                      </w14:textFill>
                    </w:rPr>
                  </w:pPr>
                  <w:r>
                    <w:rPr>
                      <w:rFonts w:hint="default" w:ascii="Times New Roman" w:hAnsi="Times New Roman" w:eastAsia="宋体" w:cs="宋体"/>
                      <w:color w:val="000000" w:themeColor="text1"/>
                      <w:spacing w:val="0"/>
                      <w:sz w:val="21"/>
                      <w14:textFill>
                        <w14:solidFill>
                          <w14:schemeClr w14:val="tx1"/>
                        </w14:solidFill>
                      </w14:textFill>
                    </w:rPr>
                    <w:t>5</w:t>
                  </w:r>
                  <w:r>
                    <w:rPr>
                      <w:rFonts w:hint="eastAsia" w:ascii="Times New Roman" w:hAnsi="Times New Roman" w:eastAsia="宋体" w:cs="宋体"/>
                      <w:color w:val="000000" w:themeColor="text1"/>
                      <w:spacing w:val="0"/>
                      <w:sz w:val="21"/>
                      <w:lang w:val="en-US" w:eastAsia="zh-CN"/>
                      <w14:textFill>
                        <w14:solidFill>
                          <w14:schemeClr w14:val="tx1"/>
                        </w14:solidFill>
                      </w14:textFill>
                    </w:rPr>
                    <w:t>.0</w:t>
                  </w:r>
                  <w:r>
                    <w:rPr>
                      <w:rFonts w:hint="default" w:ascii="Times New Roman" w:hAnsi="Times New Roman" w:eastAsia="宋体" w:cs="宋体"/>
                      <w:color w:val="000000" w:themeColor="text1"/>
                      <w:spacing w:val="0"/>
                      <w:sz w:val="21"/>
                      <w14:textFill>
                        <w14:solidFill>
                          <w14:schemeClr w14:val="tx1"/>
                        </w14:solidFill>
                      </w14:textFill>
                    </w:rPr>
                    <w:t>mg/L</w:t>
                  </w:r>
                </w:p>
              </w:tc>
              <w:tc>
                <w:tcPr>
                  <w:tcW w:w="2770" w:type="pct"/>
                  <w:vMerge w:val="continue"/>
                  <w:noWrap w:val="0"/>
                  <w:vAlign w:val="center"/>
                </w:tcPr>
                <w:p w14:paraId="215A9655">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p>
              </w:tc>
            </w:tr>
            <w:tr w14:paraId="77135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5" w:type="pct"/>
                  <w:noWrap w:val="0"/>
                  <w:vAlign w:val="center"/>
                </w:tcPr>
                <w:p w14:paraId="7ADB005A">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LAS</w:t>
                  </w:r>
                </w:p>
              </w:tc>
              <w:tc>
                <w:tcPr>
                  <w:tcW w:w="1104" w:type="pct"/>
                  <w:noWrap w:val="0"/>
                  <w:vAlign w:val="center"/>
                </w:tcPr>
                <w:p w14:paraId="081FA4B1">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0"/>
                      <w:sz w:val="21"/>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20</w:t>
                  </w:r>
                  <w:r>
                    <w:rPr>
                      <w:rFonts w:hint="default" w:ascii="Times New Roman" w:hAnsi="Times New Roman" w:eastAsia="宋体" w:cs="宋体"/>
                      <w:color w:val="000000" w:themeColor="text1"/>
                      <w:spacing w:val="0"/>
                      <w:sz w:val="21"/>
                      <w14:textFill>
                        <w14:solidFill>
                          <w14:schemeClr w14:val="tx1"/>
                        </w14:solidFill>
                      </w14:textFill>
                    </w:rPr>
                    <w:t>mg/L</w:t>
                  </w:r>
                </w:p>
              </w:tc>
              <w:tc>
                <w:tcPr>
                  <w:tcW w:w="2770" w:type="pct"/>
                  <w:vMerge w:val="continue"/>
                  <w:noWrap w:val="0"/>
                  <w:vAlign w:val="center"/>
                </w:tcPr>
                <w:p w14:paraId="65D6B0C0">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p>
              </w:tc>
            </w:tr>
            <w:tr w14:paraId="76A1D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5" w:type="pct"/>
                  <w:noWrap w:val="0"/>
                  <w:vAlign w:val="center"/>
                </w:tcPr>
                <w:p w14:paraId="43957D26">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eastAsia"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石油类</w:t>
                  </w:r>
                </w:p>
              </w:tc>
              <w:tc>
                <w:tcPr>
                  <w:tcW w:w="1104" w:type="pct"/>
                  <w:noWrap w:val="0"/>
                  <w:vAlign w:val="center"/>
                </w:tcPr>
                <w:p w14:paraId="3A7465C8">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0"/>
                      <w:sz w:val="21"/>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20</w:t>
                  </w:r>
                  <w:r>
                    <w:rPr>
                      <w:rFonts w:hint="default" w:ascii="Times New Roman" w:hAnsi="Times New Roman" w:eastAsia="宋体" w:cs="宋体"/>
                      <w:color w:val="000000" w:themeColor="text1"/>
                      <w:spacing w:val="0"/>
                      <w:sz w:val="21"/>
                      <w14:textFill>
                        <w14:solidFill>
                          <w14:schemeClr w14:val="tx1"/>
                        </w14:solidFill>
                      </w14:textFill>
                    </w:rPr>
                    <w:t>mg/L</w:t>
                  </w:r>
                </w:p>
              </w:tc>
              <w:tc>
                <w:tcPr>
                  <w:tcW w:w="2770" w:type="pct"/>
                  <w:vMerge w:val="continue"/>
                  <w:noWrap w:val="0"/>
                  <w:vAlign w:val="center"/>
                </w:tcPr>
                <w:p w14:paraId="6DF18580">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p>
              </w:tc>
            </w:tr>
            <w:tr w14:paraId="5C274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5" w:type="pct"/>
                  <w:noWrap w:val="0"/>
                  <w:vAlign w:val="center"/>
                </w:tcPr>
                <w:p w14:paraId="3D28E9FB">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氟化物</w:t>
                  </w:r>
                </w:p>
              </w:tc>
              <w:tc>
                <w:tcPr>
                  <w:tcW w:w="1104" w:type="pct"/>
                  <w:noWrap w:val="0"/>
                  <w:vAlign w:val="center"/>
                </w:tcPr>
                <w:p w14:paraId="42373D89">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eastAsia"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20</w:t>
                  </w:r>
                  <w:r>
                    <w:rPr>
                      <w:rFonts w:hint="default" w:ascii="Times New Roman" w:hAnsi="Times New Roman" w:eastAsia="宋体" w:cs="宋体"/>
                      <w:color w:val="000000" w:themeColor="text1"/>
                      <w:spacing w:val="0"/>
                      <w:sz w:val="21"/>
                      <w14:textFill>
                        <w14:solidFill>
                          <w14:schemeClr w14:val="tx1"/>
                        </w14:solidFill>
                      </w14:textFill>
                    </w:rPr>
                    <w:t>mg/L</w:t>
                  </w:r>
                </w:p>
              </w:tc>
              <w:tc>
                <w:tcPr>
                  <w:tcW w:w="2770" w:type="pct"/>
                  <w:vMerge w:val="continue"/>
                  <w:noWrap w:val="0"/>
                  <w:vAlign w:val="center"/>
                </w:tcPr>
                <w:p w14:paraId="1095233F">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p>
              </w:tc>
            </w:tr>
            <w:tr w14:paraId="44C4B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5" w:type="pct"/>
                  <w:noWrap w:val="0"/>
                  <w:vAlign w:val="center"/>
                </w:tcPr>
                <w:p w14:paraId="21C6CF19">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color w:val="000000" w:themeColor="text1"/>
                      <w:kern w:val="18"/>
                      <w:sz w:val="21"/>
                      <w:szCs w:val="21"/>
                      <w14:textFill>
                        <w14:solidFill>
                          <w14:schemeClr w14:val="tx1"/>
                        </w14:solidFill>
                      </w14:textFill>
                    </w:rPr>
                    <w:t>NH</w:t>
                  </w:r>
                  <w:r>
                    <w:rPr>
                      <w:rFonts w:hint="default" w:ascii="Times New Roman" w:hAnsi="Times New Roman" w:eastAsia="宋体" w:cs="Times New Roman"/>
                      <w:color w:val="000000" w:themeColor="text1"/>
                      <w:kern w:val="18"/>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kern w:val="18"/>
                      <w:sz w:val="21"/>
                      <w:szCs w:val="21"/>
                      <w14:textFill>
                        <w14:solidFill>
                          <w14:schemeClr w14:val="tx1"/>
                        </w14:solidFill>
                      </w14:textFill>
                    </w:rPr>
                    <w:t>-N</w:t>
                  </w:r>
                </w:p>
              </w:tc>
              <w:tc>
                <w:tcPr>
                  <w:tcW w:w="1104" w:type="pct"/>
                  <w:noWrap w:val="0"/>
                  <w:vAlign w:val="center"/>
                </w:tcPr>
                <w:p w14:paraId="463FF056">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eastAsia"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4</w:t>
                  </w:r>
                  <w:r>
                    <w:rPr>
                      <w:rFonts w:hint="default" w:ascii="Times New Roman" w:hAnsi="Times New Roman" w:eastAsia="宋体" w:cs="宋体"/>
                      <w:color w:val="000000" w:themeColor="text1"/>
                      <w:spacing w:val="0"/>
                      <w:sz w:val="21"/>
                      <w14:textFill>
                        <w14:solidFill>
                          <w14:schemeClr w14:val="tx1"/>
                        </w14:solidFill>
                      </w14:textFill>
                    </w:rPr>
                    <w:t>5mg/L</w:t>
                  </w:r>
                </w:p>
              </w:tc>
              <w:tc>
                <w:tcPr>
                  <w:tcW w:w="2770" w:type="pct"/>
                  <w:vMerge w:val="restart"/>
                  <w:noWrap w:val="0"/>
                  <w:vAlign w:val="center"/>
                </w:tcPr>
                <w:p w14:paraId="6FB06E94">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default" w:ascii="Times New Roman" w:hAnsi="Times New Roman" w:eastAsia="宋体" w:cs="宋体"/>
                      <w:color w:val="000000" w:themeColor="text1"/>
                      <w:spacing w:val="0"/>
                      <w:sz w:val="21"/>
                      <w:lang w:val="en-US" w:eastAsia="zh-CN"/>
                      <w14:textFill>
                        <w14:solidFill>
                          <w14:schemeClr w14:val="tx1"/>
                        </w14:solidFill>
                      </w14:textFill>
                    </w:rPr>
                    <w:t>《污水排入城镇下水道水质标准》（GB/T 31962-2015）表1中B级标准限值</w:t>
                  </w:r>
                </w:p>
              </w:tc>
            </w:tr>
            <w:tr w14:paraId="4894D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5" w:type="pct"/>
                  <w:noWrap w:val="0"/>
                  <w:vAlign w:val="center"/>
                </w:tcPr>
                <w:p w14:paraId="4C1C06C6">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总磷（以P计）</w:t>
                  </w:r>
                </w:p>
              </w:tc>
              <w:tc>
                <w:tcPr>
                  <w:tcW w:w="1104" w:type="pct"/>
                  <w:noWrap w:val="0"/>
                  <w:vAlign w:val="center"/>
                </w:tcPr>
                <w:p w14:paraId="0D4FD0FE">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8</w:t>
                  </w:r>
                  <w:r>
                    <w:rPr>
                      <w:rFonts w:hint="default" w:ascii="Times New Roman" w:hAnsi="Times New Roman" w:eastAsia="宋体" w:cs="宋体"/>
                      <w:color w:val="000000" w:themeColor="text1"/>
                      <w:spacing w:val="0"/>
                      <w:sz w:val="21"/>
                      <w14:textFill>
                        <w14:solidFill>
                          <w14:schemeClr w14:val="tx1"/>
                        </w14:solidFill>
                      </w14:textFill>
                    </w:rPr>
                    <w:t>mg/L</w:t>
                  </w:r>
                </w:p>
              </w:tc>
              <w:tc>
                <w:tcPr>
                  <w:tcW w:w="2770" w:type="pct"/>
                  <w:vMerge w:val="continue"/>
                  <w:noWrap w:val="0"/>
                  <w:vAlign w:val="center"/>
                </w:tcPr>
                <w:p w14:paraId="6F29BD23">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p>
              </w:tc>
            </w:tr>
          </w:tbl>
          <w:p w14:paraId="1B071828">
            <w:pPr>
              <w:pStyle w:val="146"/>
              <w:spacing w:line="240" w:lineRule="auto"/>
              <w:ind w:firstLine="48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3.7-2</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 xml:space="preserve"> 污水处理厂污水排放标准</w:t>
            </w:r>
          </w:p>
          <w:tbl>
            <w:tblPr>
              <w:tblStyle w:val="3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5"/>
              <w:gridCol w:w="3059"/>
              <w:gridCol w:w="3100"/>
            </w:tblGrid>
            <w:tr w14:paraId="1EE3A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noWrap w:val="0"/>
                  <w:vAlign w:val="center"/>
                </w:tcPr>
                <w:p w14:paraId="4366F0B8">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r>
                    <w:rPr>
                      <w:rFonts w:hint="default" w:ascii="Times New Roman" w:hAnsi="Times New Roman" w:eastAsia="宋体" w:cs="Times New Roman"/>
                      <w:color w:val="000000" w:themeColor="text1"/>
                      <w:kern w:val="18"/>
                      <w:sz w:val="21"/>
                      <w:szCs w:val="21"/>
                      <w14:textFill>
                        <w14:solidFill>
                          <w14:schemeClr w14:val="tx1"/>
                        </w14:solidFill>
                      </w14:textFill>
                    </w:rPr>
                    <w:t>污染物名称</w:t>
                  </w:r>
                </w:p>
              </w:tc>
              <w:tc>
                <w:tcPr>
                  <w:tcW w:w="1855" w:type="pct"/>
                  <w:noWrap w:val="0"/>
                  <w:vAlign w:val="center"/>
                </w:tcPr>
                <w:p w14:paraId="101E2D25">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一级</w:t>
                  </w:r>
                  <w:r>
                    <w:rPr>
                      <w:rFonts w:hint="eastAsia" w:ascii="Times New Roman" w:hAnsi="Times New Roman" w:cs="Times New Roman"/>
                      <w:color w:val="000000" w:themeColor="text1"/>
                      <w:sz w:val="21"/>
                      <w:szCs w:val="21"/>
                      <w:lang w:val="en-US" w:eastAsia="zh-CN"/>
                      <w14:textFill>
                        <w14:solidFill>
                          <w14:schemeClr w14:val="tx1"/>
                        </w14:solidFill>
                      </w14:textFill>
                    </w:rPr>
                    <w:t>A</w:t>
                  </w:r>
                  <w:r>
                    <w:rPr>
                      <w:rFonts w:hint="default" w:ascii="Times New Roman" w:hAnsi="Times New Roman" w:cs="Times New Roman"/>
                      <w:color w:val="000000" w:themeColor="text1"/>
                      <w:sz w:val="21"/>
                      <w:szCs w:val="21"/>
                      <w:lang w:eastAsia="zh-CN"/>
                      <w14:textFill>
                        <w14:solidFill>
                          <w14:schemeClr w14:val="tx1"/>
                        </w14:solidFill>
                      </w14:textFill>
                    </w:rPr>
                    <w:t>标准</w:t>
                  </w:r>
                </w:p>
              </w:tc>
              <w:tc>
                <w:tcPr>
                  <w:tcW w:w="1878" w:type="pct"/>
                  <w:noWrap w:val="0"/>
                  <w:vAlign w:val="center"/>
                </w:tcPr>
                <w:p w14:paraId="25E36096">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r>
                    <w:rPr>
                      <w:rFonts w:hint="default" w:ascii="Times New Roman" w:hAnsi="Times New Roman" w:eastAsia="宋体" w:cs="Times New Roman"/>
                      <w:color w:val="000000" w:themeColor="text1"/>
                      <w:kern w:val="18"/>
                      <w:sz w:val="21"/>
                      <w:szCs w:val="21"/>
                      <w14:textFill>
                        <w14:solidFill>
                          <w14:schemeClr w14:val="tx1"/>
                        </w14:solidFill>
                      </w14:textFill>
                    </w:rPr>
                    <w:t>标准来源</w:t>
                  </w:r>
                </w:p>
              </w:tc>
            </w:tr>
            <w:tr w14:paraId="3E0CB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noWrap w:val="0"/>
                  <w:vAlign w:val="center"/>
                </w:tcPr>
                <w:p w14:paraId="766EF4CC">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r>
                    <w:rPr>
                      <w:rFonts w:hint="default" w:ascii="Times New Roman" w:hAnsi="Times New Roman" w:eastAsia="宋体" w:cs="Times New Roman"/>
                      <w:color w:val="000000" w:themeColor="text1"/>
                      <w:kern w:val="18"/>
                      <w:sz w:val="21"/>
                      <w:szCs w:val="21"/>
                      <w14:textFill>
                        <w14:solidFill>
                          <w14:schemeClr w14:val="tx1"/>
                        </w14:solidFill>
                      </w14:textFill>
                    </w:rPr>
                    <w:t>pH</w:t>
                  </w:r>
                </w:p>
              </w:tc>
              <w:tc>
                <w:tcPr>
                  <w:tcW w:w="1855" w:type="pct"/>
                  <w:noWrap w:val="0"/>
                  <w:vAlign w:val="center"/>
                </w:tcPr>
                <w:p w14:paraId="0DF94EF4">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r>
                    <w:rPr>
                      <w:rFonts w:hint="default" w:ascii="Times New Roman" w:hAnsi="Times New Roman" w:eastAsia="宋体" w:cs="Times New Roman"/>
                      <w:color w:val="000000" w:themeColor="text1"/>
                      <w:kern w:val="18"/>
                      <w:sz w:val="21"/>
                      <w:szCs w:val="21"/>
                      <w14:textFill>
                        <w14:solidFill>
                          <w14:schemeClr w14:val="tx1"/>
                        </w14:solidFill>
                      </w14:textFill>
                    </w:rPr>
                    <w:t>6～9</w:t>
                  </w:r>
                </w:p>
              </w:tc>
              <w:tc>
                <w:tcPr>
                  <w:tcW w:w="1878" w:type="pct"/>
                  <w:vMerge w:val="restart"/>
                  <w:noWrap w:val="0"/>
                  <w:vAlign w:val="center"/>
                </w:tcPr>
                <w:p w14:paraId="16F4FF50">
                  <w:pPr>
                    <w:keepNext w:val="0"/>
                    <w:keepLines w:val="0"/>
                    <w:pageBreakBefore w:val="0"/>
                    <w:widowControl/>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GB18918-2002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及其修改单</w:t>
                  </w:r>
                  <w:r>
                    <w:rPr>
                      <w:rFonts w:hint="default" w:ascii="Times New Roman" w:hAnsi="Times New Roman" w:eastAsia="宋体" w:cs="Times New Roman"/>
                      <w:color w:val="000000" w:themeColor="text1"/>
                      <w:sz w:val="21"/>
                      <w:szCs w:val="21"/>
                      <w:highlight w:val="none"/>
                      <w14:textFill>
                        <w14:solidFill>
                          <w14:schemeClr w14:val="tx1"/>
                        </w14:solidFill>
                      </w14:textFill>
                    </w:rPr>
                    <w:t>表1</w:t>
                  </w:r>
                </w:p>
              </w:tc>
            </w:tr>
            <w:tr w14:paraId="1CA40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noWrap w:val="0"/>
                  <w:vAlign w:val="center"/>
                </w:tcPr>
                <w:p w14:paraId="13795DE5">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r>
                    <w:rPr>
                      <w:rFonts w:hint="default" w:ascii="Times New Roman" w:hAnsi="Times New Roman" w:eastAsia="宋体" w:cs="Times New Roman"/>
                      <w:color w:val="000000" w:themeColor="text1"/>
                      <w:kern w:val="18"/>
                      <w:sz w:val="21"/>
                      <w:szCs w:val="21"/>
                      <w14:textFill>
                        <w14:solidFill>
                          <w14:schemeClr w14:val="tx1"/>
                        </w14:solidFill>
                      </w14:textFill>
                    </w:rPr>
                    <w:t>COD</w:t>
                  </w:r>
                </w:p>
              </w:tc>
              <w:tc>
                <w:tcPr>
                  <w:tcW w:w="1855" w:type="pct"/>
                  <w:noWrap w:val="0"/>
                  <w:vAlign w:val="center"/>
                </w:tcPr>
                <w:p w14:paraId="738D8C5E">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50</w:t>
                  </w:r>
                  <w:r>
                    <w:rPr>
                      <w:rFonts w:hint="default" w:ascii="Times New Roman" w:hAnsi="Times New Roman" w:eastAsia="宋体" w:cs="Times New Roman"/>
                      <w:color w:val="000000" w:themeColor="text1"/>
                      <w:kern w:val="18"/>
                      <w:sz w:val="21"/>
                      <w:szCs w:val="21"/>
                      <w14:textFill>
                        <w14:solidFill>
                          <w14:schemeClr w14:val="tx1"/>
                        </w14:solidFill>
                      </w14:textFill>
                    </w:rPr>
                    <w:t>mg/L</w:t>
                  </w:r>
                </w:p>
              </w:tc>
              <w:tc>
                <w:tcPr>
                  <w:tcW w:w="1878" w:type="pct"/>
                  <w:vMerge w:val="continue"/>
                  <w:noWrap w:val="0"/>
                  <w:vAlign w:val="center"/>
                </w:tcPr>
                <w:p w14:paraId="1438D8E2">
                  <w:pPr>
                    <w:keepNext w:val="0"/>
                    <w:keepLines w:val="0"/>
                    <w:pageBreakBefore w:val="0"/>
                    <w:widowControl/>
                    <w:kinsoku/>
                    <w:wordWrap/>
                    <w:overflowPunct/>
                    <w:topLinePunct w:val="0"/>
                    <w:autoSpaceDE/>
                    <w:autoSpaceDN/>
                    <w:bidi w:val="0"/>
                    <w:adjustRightInd/>
                    <w:snapToGrid/>
                    <w:spacing w:line="340" w:lineRule="exact"/>
                    <w:ind w:firstLine="0"/>
                    <w:jc w:val="left"/>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p>
              </w:tc>
            </w:tr>
            <w:tr w14:paraId="4026D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noWrap w:val="0"/>
                  <w:vAlign w:val="center"/>
                </w:tcPr>
                <w:p w14:paraId="49F57B84">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r>
                    <w:rPr>
                      <w:rFonts w:hint="default" w:ascii="Times New Roman" w:hAnsi="Times New Roman" w:eastAsia="宋体" w:cs="Times New Roman"/>
                      <w:color w:val="000000" w:themeColor="text1"/>
                      <w:kern w:val="18"/>
                      <w:sz w:val="21"/>
                      <w:szCs w:val="21"/>
                      <w14:textFill>
                        <w14:solidFill>
                          <w14:schemeClr w14:val="tx1"/>
                        </w14:solidFill>
                      </w14:textFill>
                    </w:rPr>
                    <w:t>BOD</w:t>
                  </w:r>
                  <w:r>
                    <w:rPr>
                      <w:rFonts w:hint="default" w:ascii="Times New Roman" w:hAnsi="Times New Roman" w:eastAsia="宋体" w:cs="Times New Roman"/>
                      <w:color w:val="000000" w:themeColor="text1"/>
                      <w:kern w:val="18"/>
                      <w:sz w:val="21"/>
                      <w:szCs w:val="21"/>
                      <w:vertAlign w:val="subscript"/>
                      <w14:textFill>
                        <w14:solidFill>
                          <w14:schemeClr w14:val="tx1"/>
                        </w14:solidFill>
                      </w14:textFill>
                    </w:rPr>
                    <w:t>5</w:t>
                  </w:r>
                </w:p>
              </w:tc>
              <w:tc>
                <w:tcPr>
                  <w:tcW w:w="1855" w:type="pct"/>
                  <w:noWrap w:val="0"/>
                  <w:vAlign w:val="center"/>
                </w:tcPr>
                <w:p w14:paraId="2C22FBDC">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18"/>
                      <w:sz w:val="21"/>
                      <w:szCs w:val="21"/>
                      <w14:textFill>
                        <w14:solidFill>
                          <w14:schemeClr w14:val="tx1"/>
                        </w14:solidFill>
                      </w14:textFill>
                    </w:rPr>
                    <w:t>0mg/L</w:t>
                  </w:r>
                </w:p>
              </w:tc>
              <w:tc>
                <w:tcPr>
                  <w:tcW w:w="1878" w:type="pct"/>
                  <w:vMerge w:val="continue"/>
                  <w:noWrap w:val="0"/>
                  <w:vAlign w:val="center"/>
                </w:tcPr>
                <w:p w14:paraId="0BE23CB6">
                  <w:pPr>
                    <w:keepNext w:val="0"/>
                    <w:keepLines w:val="0"/>
                    <w:pageBreakBefore w:val="0"/>
                    <w:widowControl/>
                    <w:kinsoku/>
                    <w:wordWrap/>
                    <w:overflowPunct/>
                    <w:topLinePunct w:val="0"/>
                    <w:autoSpaceDE/>
                    <w:autoSpaceDN/>
                    <w:bidi w:val="0"/>
                    <w:adjustRightInd/>
                    <w:snapToGrid/>
                    <w:spacing w:line="340" w:lineRule="exact"/>
                    <w:ind w:firstLine="0"/>
                    <w:jc w:val="left"/>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p>
              </w:tc>
            </w:tr>
            <w:tr w14:paraId="0B424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noWrap w:val="0"/>
                  <w:vAlign w:val="center"/>
                </w:tcPr>
                <w:p w14:paraId="2E2254CA">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r>
                    <w:rPr>
                      <w:rFonts w:hint="default" w:ascii="Times New Roman" w:hAnsi="Times New Roman" w:eastAsia="宋体" w:cs="Times New Roman"/>
                      <w:color w:val="000000" w:themeColor="text1"/>
                      <w:kern w:val="18"/>
                      <w:sz w:val="21"/>
                      <w:szCs w:val="21"/>
                      <w14:textFill>
                        <w14:solidFill>
                          <w14:schemeClr w14:val="tx1"/>
                        </w14:solidFill>
                      </w14:textFill>
                    </w:rPr>
                    <w:t>SS</w:t>
                  </w:r>
                </w:p>
              </w:tc>
              <w:tc>
                <w:tcPr>
                  <w:tcW w:w="1855" w:type="pct"/>
                  <w:noWrap w:val="0"/>
                  <w:vAlign w:val="center"/>
                </w:tcPr>
                <w:p w14:paraId="551C6D09">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1</w:t>
                  </w:r>
                  <w:r>
                    <w:rPr>
                      <w:rFonts w:hint="default" w:ascii="Times New Roman" w:hAnsi="Times New Roman" w:cs="Times New Roman"/>
                      <w:color w:val="000000" w:themeColor="text1"/>
                      <w:kern w:val="18"/>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kern w:val="18"/>
                      <w:sz w:val="21"/>
                      <w:szCs w:val="21"/>
                      <w14:textFill>
                        <w14:solidFill>
                          <w14:schemeClr w14:val="tx1"/>
                        </w14:solidFill>
                      </w14:textFill>
                    </w:rPr>
                    <w:t>mg/L</w:t>
                  </w:r>
                </w:p>
              </w:tc>
              <w:tc>
                <w:tcPr>
                  <w:tcW w:w="1878" w:type="pct"/>
                  <w:vMerge w:val="continue"/>
                  <w:noWrap w:val="0"/>
                  <w:vAlign w:val="center"/>
                </w:tcPr>
                <w:p w14:paraId="11657599">
                  <w:pPr>
                    <w:keepNext w:val="0"/>
                    <w:keepLines w:val="0"/>
                    <w:pageBreakBefore w:val="0"/>
                    <w:widowControl/>
                    <w:kinsoku/>
                    <w:wordWrap/>
                    <w:overflowPunct/>
                    <w:topLinePunct w:val="0"/>
                    <w:autoSpaceDE/>
                    <w:autoSpaceDN/>
                    <w:bidi w:val="0"/>
                    <w:adjustRightInd/>
                    <w:snapToGrid/>
                    <w:spacing w:line="340" w:lineRule="exact"/>
                    <w:ind w:firstLine="0"/>
                    <w:jc w:val="left"/>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p>
              </w:tc>
            </w:tr>
            <w:tr w14:paraId="08F59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noWrap w:val="0"/>
                  <w:vAlign w:val="center"/>
                </w:tcPr>
                <w:p w14:paraId="62DC97E8">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r>
                    <w:rPr>
                      <w:rFonts w:hint="default" w:ascii="Times New Roman" w:hAnsi="Times New Roman" w:eastAsia="宋体" w:cs="Times New Roman"/>
                      <w:color w:val="000000" w:themeColor="text1"/>
                      <w:kern w:val="18"/>
                      <w:sz w:val="21"/>
                      <w:szCs w:val="21"/>
                      <w14:textFill>
                        <w14:solidFill>
                          <w14:schemeClr w14:val="tx1"/>
                        </w14:solidFill>
                      </w14:textFill>
                    </w:rPr>
                    <w:t>NH</w:t>
                  </w:r>
                  <w:r>
                    <w:rPr>
                      <w:rFonts w:hint="default" w:ascii="Times New Roman" w:hAnsi="Times New Roman" w:eastAsia="宋体" w:cs="Times New Roman"/>
                      <w:color w:val="000000" w:themeColor="text1"/>
                      <w:kern w:val="18"/>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kern w:val="18"/>
                      <w:sz w:val="21"/>
                      <w:szCs w:val="21"/>
                      <w14:textFill>
                        <w14:solidFill>
                          <w14:schemeClr w14:val="tx1"/>
                        </w14:solidFill>
                      </w14:textFill>
                    </w:rPr>
                    <w:t>-N</w:t>
                  </w:r>
                </w:p>
              </w:tc>
              <w:tc>
                <w:tcPr>
                  <w:tcW w:w="1855" w:type="pct"/>
                  <w:noWrap w:val="0"/>
                  <w:vAlign w:val="center"/>
                </w:tcPr>
                <w:p w14:paraId="12726D01">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5(8)*</w:t>
                  </w:r>
                  <w:r>
                    <w:rPr>
                      <w:rFonts w:hint="default" w:ascii="Times New Roman" w:hAnsi="Times New Roman" w:eastAsia="宋体" w:cs="Times New Roman"/>
                      <w:color w:val="000000" w:themeColor="text1"/>
                      <w:kern w:val="18"/>
                      <w:sz w:val="21"/>
                      <w:szCs w:val="21"/>
                      <w14:textFill>
                        <w14:solidFill>
                          <w14:schemeClr w14:val="tx1"/>
                        </w14:solidFill>
                      </w14:textFill>
                    </w:rPr>
                    <w:t>mg/L</w:t>
                  </w:r>
                </w:p>
              </w:tc>
              <w:tc>
                <w:tcPr>
                  <w:tcW w:w="1878" w:type="pct"/>
                  <w:vMerge w:val="continue"/>
                  <w:noWrap w:val="0"/>
                  <w:vAlign w:val="center"/>
                </w:tcPr>
                <w:p w14:paraId="7B8B161B">
                  <w:pPr>
                    <w:keepNext w:val="0"/>
                    <w:keepLines w:val="0"/>
                    <w:pageBreakBefore w:val="0"/>
                    <w:widowControl/>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p>
              </w:tc>
            </w:tr>
            <w:tr w14:paraId="0E244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noWrap w:val="0"/>
                  <w:vAlign w:val="center"/>
                </w:tcPr>
                <w:p w14:paraId="262577AA">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0"/>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LAS</w:t>
                  </w:r>
                </w:p>
              </w:tc>
              <w:tc>
                <w:tcPr>
                  <w:tcW w:w="1855" w:type="pct"/>
                  <w:noWrap w:val="0"/>
                  <w:vAlign w:val="center"/>
                </w:tcPr>
                <w:p w14:paraId="45712DE2">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0.5</w:t>
                  </w:r>
                  <w:r>
                    <w:rPr>
                      <w:rFonts w:hint="default" w:ascii="Times New Roman" w:hAnsi="Times New Roman" w:eastAsia="宋体" w:cs="Times New Roman"/>
                      <w:color w:val="000000" w:themeColor="text1"/>
                      <w:kern w:val="18"/>
                      <w:sz w:val="21"/>
                      <w:szCs w:val="21"/>
                      <w14:textFill>
                        <w14:solidFill>
                          <w14:schemeClr w14:val="tx1"/>
                        </w14:solidFill>
                      </w14:textFill>
                    </w:rPr>
                    <w:t>mg/L</w:t>
                  </w:r>
                </w:p>
              </w:tc>
              <w:tc>
                <w:tcPr>
                  <w:tcW w:w="1878" w:type="pct"/>
                  <w:vMerge w:val="continue"/>
                  <w:noWrap w:val="0"/>
                  <w:vAlign w:val="center"/>
                </w:tcPr>
                <w:p w14:paraId="27272FB9">
                  <w:pPr>
                    <w:keepNext w:val="0"/>
                    <w:keepLines w:val="0"/>
                    <w:pageBreakBefore w:val="0"/>
                    <w:widowControl/>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p>
              </w:tc>
            </w:tr>
            <w:tr w14:paraId="1FF61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noWrap w:val="0"/>
                  <w:vAlign w:val="center"/>
                </w:tcPr>
                <w:p w14:paraId="4E076BFB">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0"/>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石油类</w:t>
                  </w:r>
                </w:p>
              </w:tc>
              <w:tc>
                <w:tcPr>
                  <w:tcW w:w="1855" w:type="pct"/>
                  <w:noWrap w:val="0"/>
                  <w:vAlign w:val="center"/>
                </w:tcPr>
                <w:p w14:paraId="67CD2CAC">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18"/>
                      <w:sz w:val="21"/>
                      <w:szCs w:val="21"/>
                      <w14:textFill>
                        <w14:solidFill>
                          <w14:schemeClr w14:val="tx1"/>
                        </w14:solidFill>
                      </w14:textFill>
                    </w:rPr>
                    <w:t>mg/L</w:t>
                  </w:r>
                </w:p>
              </w:tc>
              <w:tc>
                <w:tcPr>
                  <w:tcW w:w="1878" w:type="pct"/>
                  <w:vMerge w:val="continue"/>
                  <w:noWrap w:val="0"/>
                  <w:vAlign w:val="center"/>
                </w:tcPr>
                <w:p w14:paraId="25C42886">
                  <w:pPr>
                    <w:keepNext w:val="0"/>
                    <w:keepLines w:val="0"/>
                    <w:pageBreakBefore w:val="0"/>
                    <w:widowControl/>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p>
              </w:tc>
            </w:tr>
            <w:tr w14:paraId="08695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noWrap w:val="0"/>
                  <w:vAlign w:val="center"/>
                </w:tcPr>
                <w:p w14:paraId="47A23200">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eastAsia"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总磷（以P计）</w:t>
                  </w:r>
                </w:p>
              </w:tc>
              <w:tc>
                <w:tcPr>
                  <w:tcW w:w="1855" w:type="pct"/>
                  <w:noWrap w:val="0"/>
                  <w:vAlign w:val="center"/>
                </w:tcPr>
                <w:p w14:paraId="7BDDDB1F">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0.5</w:t>
                  </w:r>
                  <w:r>
                    <w:rPr>
                      <w:rFonts w:hint="default" w:ascii="Times New Roman" w:hAnsi="Times New Roman" w:eastAsia="宋体" w:cs="Times New Roman"/>
                      <w:color w:val="000000" w:themeColor="text1"/>
                      <w:kern w:val="18"/>
                      <w:sz w:val="21"/>
                      <w:szCs w:val="21"/>
                      <w14:textFill>
                        <w14:solidFill>
                          <w14:schemeClr w14:val="tx1"/>
                        </w14:solidFill>
                      </w14:textFill>
                    </w:rPr>
                    <w:t>mg/L</w:t>
                  </w:r>
                </w:p>
              </w:tc>
              <w:tc>
                <w:tcPr>
                  <w:tcW w:w="1878" w:type="pct"/>
                  <w:vMerge w:val="continue"/>
                  <w:noWrap w:val="0"/>
                  <w:vAlign w:val="center"/>
                </w:tcPr>
                <w:p w14:paraId="6BC25AED">
                  <w:pPr>
                    <w:keepNext w:val="0"/>
                    <w:keepLines w:val="0"/>
                    <w:pageBreakBefore w:val="0"/>
                    <w:widowControl/>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p>
              </w:tc>
            </w:tr>
            <w:tr w14:paraId="2A3B9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pct"/>
                  <w:noWrap w:val="0"/>
                  <w:vAlign w:val="center"/>
                </w:tcPr>
                <w:p w14:paraId="44F30EE3">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eastAsia" w:ascii="Times New Roman" w:hAnsi="Times New Roman" w:eastAsia="宋体" w:cs="宋体"/>
                      <w:color w:val="000000" w:themeColor="text1"/>
                      <w:spacing w:val="0"/>
                      <w:sz w:val="21"/>
                      <w:lang w:val="en-US" w:eastAsia="zh-CN"/>
                      <w14:textFill>
                        <w14:solidFill>
                          <w14:schemeClr w14:val="tx1"/>
                        </w14:solidFill>
                      </w14:textFill>
                    </w:rPr>
                  </w:pPr>
                  <w:r>
                    <w:rPr>
                      <w:rFonts w:hint="default" w:ascii="Times New Roman" w:hAnsi="Times New Roman" w:eastAsia="宋体" w:cs="宋体"/>
                      <w:color w:val="000000" w:themeColor="text1"/>
                      <w:spacing w:val="0"/>
                      <w:sz w:val="21"/>
                      <w:lang w:eastAsia="zh-CN"/>
                      <w14:textFill>
                        <w14:solidFill>
                          <w14:schemeClr w14:val="tx1"/>
                        </w14:solidFill>
                      </w14:textFill>
                    </w:rPr>
                    <w:t>总锌</w:t>
                  </w:r>
                </w:p>
              </w:tc>
              <w:tc>
                <w:tcPr>
                  <w:tcW w:w="1855" w:type="pct"/>
                  <w:noWrap w:val="0"/>
                  <w:vAlign w:val="center"/>
                </w:tcPr>
                <w:p w14:paraId="7F2E5950">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18"/>
                      <w:sz w:val="21"/>
                      <w:szCs w:val="21"/>
                      <w14:textFill>
                        <w14:solidFill>
                          <w14:schemeClr w14:val="tx1"/>
                        </w14:solidFill>
                      </w14:textFill>
                    </w:rPr>
                    <w:t>mg/L</w:t>
                  </w:r>
                </w:p>
              </w:tc>
              <w:tc>
                <w:tcPr>
                  <w:tcW w:w="1878" w:type="pct"/>
                  <w:noWrap w:val="0"/>
                  <w:vAlign w:val="center"/>
                </w:tcPr>
                <w:p w14:paraId="29455947">
                  <w:pPr>
                    <w:keepNext w:val="0"/>
                    <w:keepLines w:val="0"/>
                    <w:pageBreakBefore w:val="0"/>
                    <w:widowControl/>
                    <w:kinsoku/>
                    <w:wordWrap/>
                    <w:overflowPunct/>
                    <w:topLinePunct w:val="0"/>
                    <w:autoSpaceDE/>
                    <w:autoSpaceDN/>
                    <w:bidi w:val="0"/>
                    <w:adjustRightInd/>
                    <w:snapToGrid/>
                    <w:spacing w:line="340" w:lineRule="exact"/>
                    <w:ind w:firstLine="0"/>
                    <w:jc w:val="center"/>
                    <w:textAlignment w:val="auto"/>
                    <w:rPr>
                      <w:rFonts w:hint="eastAsia" w:ascii="Times New Roman" w:hAnsi="Times New Roman" w:eastAsia="宋体" w:cs="Times New Roman"/>
                      <w:color w:val="000000" w:themeColor="text1"/>
                      <w:kern w:val="18"/>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GB18918-2002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及其修改单</w:t>
                  </w:r>
                  <w:r>
                    <w:rPr>
                      <w:rFonts w:hint="default" w:ascii="Times New Roman" w:hAnsi="Times New Roman" w:eastAsia="宋体" w:cs="Times New Roman"/>
                      <w:color w:val="000000" w:themeColor="text1"/>
                      <w:sz w:val="21"/>
                      <w:szCs w:val="21"/>
                      <w:highlight w:val="none"/>
                      <w14:textFill>
                        <w14:solidFill>
                          <w14:schemeClr w14:val="tx1"/>
                        </w14:solidFill>
                      </w14:textFill>
                    </w:rPr>
                    <w:t>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r>
            <w:tr w14:paraId="72AED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noWrap w:val="0"/>
                  <w:vAlign w:val="center"/>
                </w:tcPr>
                <w:p w14:paraId="57279820">
                  <w:pPr>
                    <w:keepNext w:val="0"/>
                    <w:keepLines w:val="0"/>
                    <w:widowControl/>
                    <w:suppressLineNumbers w:val="0"/>
                    <w:jc w:val="left"/>
                    <w:rPr>
                      <w:rFonts w:hint="default" w:ascii="Times New Roman" w:hAnsi="Times New Roman" w:eastAsia="宋体" w:cs="Times New Roman"/>
                      <w:color w:val="000000" w:themeColor="text1"/>
                      <w:kern w:val="18"/>
                      <w:sz w:val="21"/>
                      <w:szCs w:val="21"/>
                      <w14:textFill>
                        <w14:solidFill>
                          <w14:schemeClr w14:val="tx1"/>
                        </w14:solidFill>
                      </w14:textFill>
                    </w:rPr>
                  </w:pPr>
                  <w:r>
                    <w:rPr>
                      <w:rFonts w:hint="eastAsia" w:ascii="宋体" w:hAnsi="宋体" w:eastAsia="宋体" w:cs="宋体"/>
                      <w:b w:val="0"/>
                      <w:bCs w:val="0"/>
                      <w:i w:val="0"/>
                      <w:iCs w:val="0"/>
                      <w:color w:val="000000" w:themeColor="text1"/>
                      <w:kern w:val="0"/>
                      <w:sz w:val="21"/>
                      <w:szCs w:val="21"/>
                      <w:lang w:val="en-US" w:eastAsia="zh-CN" w:bidi="ar"/>
                      <w14:textFill>
                        <w14:solidFill>
                          <w14:schemeClr w14:val="tx1"/>
                        </w14:solidFill>
                      </w14:textFill>
                    </w:rPr>
                    <w:t>备注：</w:t>
                  </w:r>
                  <w:r>
                    <w:rPr>
                      <w:rFonts w:ascii="宋体" w:hAnsi="宋体" w:eastAsia="宋体" w:cs="宋体"/>
                      <w:b w:val="0"/>
                      <w:bCs w:val="0"/>
                      <w:i w:val="0"/>
                      <w:iCs w:val="0"/>
                      <w:color w:val="000000" w:themeColor="text1"/>
                      <w:kern w:val="0"/>
                      <w:sz w:val="21"/>
                      <w:szCs w:val="21"/>
                      <w:lang w:val="en-US" w:eastAsia="zh-CN" w:bidi="ar"/>
                      <w14:textFill>
                        <w14:solidFill>
                          <w14:schemeClr w14:val="tx1"/>
                        </w14:solidFill>
                      </w14:textFill>
                    </w:rPr>
                    <w:t>括号外数值为水温</w:t>
                  </w:r>
                  <w:r>
                    <w:rPr>
                      <w:rFonts w:ascii="TimesNewRomanPSMT" w:hAnsi="TimesNewRomanPSMT" w:eastAsia="TimesNewRomanPSMT" w:cs="TimesNewRomanPSMT"/>
                      <w:b w:val="0"/>
                      <w:bCs w:val="0"/>
                      <w:i w:val="0"/>
                      <w:iCs w:val="0"/>
                      <w:color w:val="000000" w:themeColor="text1"/>
                      <w:kern w:val="0"/>
                      <w:sz w:val="21"/>
                      <w:szCs w:val="21"/>
                      <w:lang w:val="en-US" w:eastAsia="zh-CN" w:bidi="ar"/>
                      <w14:textFill>
                        <w14:solidFill>
                          <w14:schemeClr w14:val="tx1"/>
                        </w14:solidFill>
                      </w14:textFill>
                    </w:rPr>
                    <w:t>&gt;12</w:t>
                  </w:r>
                  <w:r>
                    <w:rPr>
                      <w:rFonts w:ascii="宋体" w:hAnsi="宋体" w:eastAsia="宋体" w:cs="宋体"/>
                      <w:b w:val="0"/>
                      <w:bCs w:val="0"/>
                      <w:i w:val="0"/>
                      <w:iCs w:val="0"/>
                      <w:color w:val="000000" w:themeColor="text1"/>
                      <w:kern w:val="0"/>
                      <w:sz w:val="21"/>
                      <w:szCs w:val="21"/>
                      <w:lang w:val="en-US" w:eastAsia="zh-CN" w:bidi="ar"/>
                      <w14:textFill>
                        <w14:solidFill>
                          <w14:schemeClr w14:val="tx1"/>
                        </w14:solidFill>
                      </w14:textFill>
                    </w:rPr>
                    <w:t>℃时的控制指标，括号内数值为水温≤</w:t>
                  </w:r>
                  <w:r>
                    <w:rPr>
                      <w:rFonts w:ascii="TimesNewRomanPSMT" w:hAnsi="TimesNewRomanPSMT" w:eastAsia="TimesNewRomanPSMT" w:cs="TimesNewRomanPSMT"/>
                      <w:b w:val="0"/>
                      <w:bCs w:val="0"/>
                      <w:i w:val="0"/>
                      <w:iCs w:val="0"/>
                      <w:color w:val="000000" w:themeColor="text1"/>
                      <w:kern w:val="0"/>
                      <w:sz w:val="21"/>
                      <w:szCs w:val="21"/>
                      <w:lang w:val="en-US" w:eastAsia="zh-CN" w:bidi="ar"/>
                      <w14:textFill>
                        <w14:solidFill>
                          <w14:schemeClr w14:val="tx1"/>
                        </w14:solidFill>
                      </w14:textFill>
                    </w:rPr>
                    <w:t>12</w:t>
                  </w:r>
                  <w:r>
                    <w:rPr>
                      <w:rFonts w:ascii="宋体" w:hAnsi="宋体" w:eastAsia="宋体" w:cs="宋体"/>
                      <w:b w:val="0"/>
                      <w:bCs w:val="0"/>
                      <w:i w:val="0"/>
                      <w:iCs w:val="0"/>
                      <w:color w:val="000000" w:themeColor="text1"/>
                      <w:kern w:val="0"/>
                      <w:sz w:val="21"/>
                      <w:szCs w:val="21"/>
                      <w:lang w:val="en-US" w:eastAsia="zh-CN" w:bidi="ar"/>
                      <w14:textFill>
                        <w14:solidFill>
                          <w14:schemeClr w14:val="tx1"/>
                        </w14:solidFill>
                      </w14:textFill>
                    </w:rPr>
                    <w:t>℃时的控制指标。</w:t>
                  </w:r>
                </w:p>
              </w:tc>
            </w:tr>
          </w:tbl>
          <w:p w14:paraId="31BDD60D">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3.</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7.2大气</w:t>
            </w:r>
            <w:r>
              <w:rPr>
                <w:rFonts w:hint="default" w:ascii="Times New Roman" w:hAnsi="Times New Roman" w:eastAsia="宋体" w:cs="Times New Roman"/>
                <w:b/>
                <w:bCs w:val="0"/>
                <w:color w:val="000000" w:themeColor="text1"/>
                <w:sz w:val="24"/>
                <w:szCs w:val="24"/>
                <w14:textFill>
                  <w14:solidFill>
                    <w14:schemeClr w14:val="tx1"/>
                  </w14:solidFill>
                </w14:textFill>
              </w:rPr>
              <w:t>污染物</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排放标准</w:t>
            </w:r>
          </w:p>
          <w:p w14:paraId="36041BBA">
            <w:pPr>
              <w:spacing w:line="360" w:lineRule="auto"/>
              <w:ind w:firstLine="480" w:firstLineChars="200"/>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改扩建后全厂共设</w:t>
            </w:r>
            <w:r>
              <w:rPr>
                <w:rFonts w:hint="eastAsia" w:cs="Times New Roman"/>
                <w:b w:val="0"/>
                <w:bCs/>
                <w:color w:val="000000" w:themeColor="text1"/>
                <w:sz w:val="24"/>
                <w:szCs w:val="24"/>
                <w:lang w:val="en-US" w:eastAsia="zh-CN"/>
                <w14:textFill>
                  <w14:solidFill>
                    <w14:schemeClr w14:val="tx1"/>
                  </w14:solidFill>
                </w14:textFill>
              </w:rPr>
              <w:t>8</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根排气筒，</w:t>
            </w:r>
            <w:r>
              <w:rPr>
                <w:rFonts w:hint="eastAsia" w:cs="Times New Roman"/>
                <w:b w:val="0"/>
                <w:bCs/>
                <w:color w:val="000000" w:themeColor="text1"/>
                <w:sz w:val="24"/>
                <w:szCs w:val="24"/>
                <w:lang w:val="en-US" w:eastAsia="zh-CN"/>
                <w14:textFill>
                  <w14:solidFill>
                    <w14:schemeClr w14:val="tx1"/>
                  </w14:solidFill>
                </w14:textFill>
              </w:rPr>
              <w:t>各排气筒排放废气种类如下：</w:t>
            </w:r>
          </w:p>
          <w:p w14:paraId="2E3BB623">
            <w:pPr>
              <w:pStyle w:val="146"/>
              <w:spacing w:line="240" w:lineRule="auto"/>
              <w:ind w:firstLine="48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3.7-3</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 xml:space="preserve"> </w:t>
            </w:r>
            <w:r>
              <w:rPr>
                <w:rFonts w:hint="eastAsia" w:cs="Times New Roman"/>
                <w:b/>
                <w:color w:val="000000" w:themeColor="text1"/>
                <w:highlight w:val="none"/>
                <w:lang w:val="en-US" w:eastAsia="zh-CN"/>
                <w14:textFill>
                  <w14:solidFill>
                    <w14:schemeClr w14:val="tx1"/>
                  </w14:solidFill>
                </w14:textFill>
              </w:rPr>
              <w:t>各排气筒排放废气类型一览表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05"/>
              <w:gridCol w:w="3563"/>
              <w:gridCol w:w="2657"/>
            </w:tblGrid>
            <w:tr w14:paraId="1DF2D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noWrap w:val="0"/>
                  <w:vAlign w:val="center"/>
                </w:tcPr>
                <w:p w14:paraId="6D58C010">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位置</w:t>
                  </w:r>
                </w:p>
              </w:tc>
              <w:tc>
                <w:tcPr>
                  <w:tcW w:w="791" w:type="pct"/>
                  <w:noWrap w:val="0"/>
                  <w:vAlign w:val="center"/>
                </w:tcPr>
                <w:p w14:paraId="49418B2E">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排气筒编号</w:t>
                  </w:r>
                </w:p>
              </w:tc>
              <w:tc>
                <w:tcPr>
                  <w:tcW w:w="2159" w:type="pct"/>
                  <w:noWrap w:val="0"/>
                  <w:vAlign w:val="center"/>
                </w:tcPr>
                <w:p w14:paraId="411F6E93">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废气类型</w:t>
                  </w:r>
                </w:p>
              </w:tc>
              <w:tc>
                <w:tcPr>
                  <w:tcW w:w="1610" w:type="pct"/>
                  <w:noWrap w:val="0"/>
                  <w:vAlign w:val="center"/>
                </w:tcPr>
                <w:p w14:paraId="3A000AB6">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污染因子</w:t>
                  </w:r>
                </w:p>
              </w:tc>
            </w:tr>
            <w:tr w14:paraId="71654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restart"/>
                  <w:noWrap w:val="0"/>
                  <w:vAlign w:val="center"/>
                </w:tcPr>
                <w:p w14:paraId="038955ED">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3#厂房</w:t>
                  </w:r>
                </w:p>
              </w:tc>
              <w:tc>
                <w:tcPr>
                  <w:tcW w:w="791" w:type="pct"/>
                  <w:noWrap w:val="0"/>
                  <w:vAlign w:val="center"/>
                </w:tcPr>
                <w:p w14:paraId="5D074BCB">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DA001</w:t>
                  </w:r>
                </w:p>
              </w:tc>
              <w:tc>
                <w:tcPr>
                  <w:tcW w:w="2159" w:type="pct"/>
                  <w:noWrap w:val="0"/>
                  <w:vAlign w:val="center"/>
                </w:tcPr>
                <w:p w14:paraId="5BF6AEFF">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电泳前处理酸性废气</w:t>
                  </w:r>
                </w:p>
              </w:tc>
              <w:tc>
                <w:tcPr>
                  <w:tcW w:w="1610" w:type="pct"/>
                  <w:noWrap w:val="0"/>
                  <w:vAlign w:val="center"/>
                </w:tcPr>
                <w:p w14:paraId="40060187">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磷酸</w:t>
                  </w:r>
                </w:p>
              </w:tc>
            </w:tr>
            <w:tr w14:paraId="46A94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noWrap w:val="0"/>
                  <w:vAlign w:val="center"/>
                </w:tcPr>
                <w:p w14:paraId="1EF4CF43">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pPr>
                </w:p>
              </w:tc>
              <w:tc>
                <w:tcPr>
                  <w:tcW w:w="791" w:type="pct"/>
                  <w:noWrap w:val="0"/>
                  <w:vAlign w:val="center"/>
                </w:tcPr>
                <w:p w14:paraId="0B665005">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DA002</w:t>
                  </w:r>
                </w:p>
              </w:tc>
              <w:tc>
                <w:tcPr>
                  <w:tcW w:w="2159" w:type="pct"/>
                  <w:noWrap w:val="0"/>
                  <w:vAlign w:val="center"/>
                </w:tcPr>
                <w:p w14:paraId="1F091589">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电泳、电泳烘干固化、喷粉烘干固化、</w:t>
                  </w:r>
                  <w:r>
                    <w:rPr>
                      <w:rFonts w:hint="eastAsia" w:cs="Times New Roman"/>
                      <w:color w:val="000000" w:themeColor="text1"/>
                      <w:spacing w:val="0"/>
                      <w:sz w:val="21"/>
                      <w:szCs w:val="21"/>
                      <w:highlight w:val="none"/>
                      <w:lang w:val="en-US" w:eastAsia="zh-CN"/>
                      <w14:textFill>
                        <w14:solidFill>
                          <w14:schemeClr w14:val="tx1"/>
                        </w14:solidFill>
                      </w14:textFill>
                    </w:rPr>
                    <w:t>脱漆废气</w:t>
                  </w:r>
                </w:p>
              </w:tc>
              <w:tc>
                <w:tcPr>
                  <w:tcW w:w="1610" w:type="pct"/>
                  <w:noWrap w:val="0"/>
                  <w:vAlign w:val="center"/>
                </w:tcPr>
                <w:p w14:paraId="384FD0CC">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非甲烷总烃、</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、NO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、颗粒物</w:t>
                  </w:r>
                  <w:r>
                    <w:rPr>
                      <w:rFonts w:hint="eastAsia" w:cs="Times New Roman"/>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磷酸</w:t>
                  </w:r>
                </w:p>
              </w:tc>
            </w:tr>
            <w:tr w14:paraId="243AE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noWrap w:val="0"/>
                  <w:vAlign w:val="center"/>
                </w:tcPr>
                <w:p w14:paraId="477266E2">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pPr>
                </w:p>
              </w:tc>
              <w:tc>
                <w:tcPr>
                  <w:tcW w:w="791" w:type="pct"/>
                  <w:shd w:val="clear" w:color="auto" w:fill="auto"/>
                  <w:noWrap w:val="0"/>
                  <w:vAlign w:val="center"/>
                </w:tcPr>
                <w:p w14:paraId="5C1BBCA8">
                  <w:pPr>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000000" w:themeColor="text1"/>
                      <w:kern w:val="18"/>
                      <w:sz w:val="21"/>
                      <w:szCs w:val="21"/>
                      <w:lang w:val="en-US" w:eastAsia="zh-CN" w:bidi="ar-SA"/>
                      <w14:textFill>
                        <w14:solidFill>
                          <w14:schemeClr w14:val="tx1"/>
                        </w14:solidFill>
                      </w14:textFill>
                    </w:rPr>
                  </w:pPr>
                  <w:r>
                    <w:rPr>
                      <w:rFonts w:hint="eastAsia" w:cs="Times New Roman"/>
                      <w:color w:val="000000" w:themeColor="text1"/>
                      <w:kern w:val="18"/>
                      <w:sz w:val="21"/>
                      <w:szCs w:val="21"/>
                      <w:lang w:val="en-US" w:eastAsia="zh-CN"/>
                      <w14:textFill>
                        <w14:solidFill>
                          <w14:schemeClr w14:val="tx1"/>
                        </w14:solidFill>
                      </w14:textFill>
                    </w:rPr>
                    <w:t>DA009</w:t>
                  </w:r>
                </w:p>
              </w:tc>
              <w:tc>
                <w:tcPr>
                  <w:tcW w:w="2159" w:type="pct"/>
                  <w:shd w:val="clear" w:color="auto" w:fill="auto"/>
                  <w:noWrap w:val="0"/>
                  <w:vAlign w:val="center"/>
                </w:tcPr>
                <w:p w14:paraId="73E26295">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eastAsia="宋体" w:cs="Times New Roman"/>
                      <w:color w:val="000000" w:themeColor="text1"/>
                      <w:kern w:val="18"/>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喷胶/喷漆废气及烘干</w:t>
                  </w:r>
                  <w:r>
                    <w:rPr>
                      <w:rFonts w:hint="eastAsia" w:ascii="Times New Roman" w:hAnsi="Times New Roman" w:cs="Times New Roman"/>
                      <w:color w:val="000000" w:themeColor="text1"/>
                      <w:kern w:val="18"/>
                      <w:sz w:val="21"/>
                      <w:szCs w:val="21"/>
                      <w:lang w:val="en-US" w:eastAsia="zh-CN"/>
                      <w14:textFill>
                        <w14:solidFill>
                          <w14:schemeClr w14:val="tx1"/>
                        </w14:solidFill>
                      </w14:textFill>
                    </w:rPr>
                    <w:t>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废气</w:t>
                  </w:r>
                </w:p>
              </w:tc>
              <w:tc>
                <w:tcPr>
                  <w:tcW w:w="1610" w:type="pct"/>
                  <w:shd w:val="clear" w:color="auto" w:fill="auto"/>
                  <w:noWrap w:val="0"/>
                  <w:vAlign w:val="center"/>
                </w:tcPr>
                <w:p w14:paraId="506CC1B1">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eastAsia="宋体" w:cs="Times New Roman"/>
                      <w:color w:val="000000" w:themeColor="text1"/>
                      <w:kern w:val="18"/>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非甲烷总烃、二甲苯、乙酸丁酯、</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、NO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、颗粒物</w:t>
                  </w:r>
                </w:p>
              </w:tc>
            </w:tr>
            <w:tr w14:paraId="24D35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restart"/>
                  <w:noWrap w:val="0"/>
                  <w:vAlign w:val="center"/>
                </w:tcPr>
                <w:p w14:paraId="20569BD7">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2#厂房</w:t>
                  </w:r>
                </w:p>
              </w:tc>
              <w:tc>
                <w:tcPr>
                  <w:tcW w:w="791" w:type="pct"/>
                  <w:noWrap w:val="0"/>
                  <w:vAlign w:val="center"/>
                </w:tcPr>
                <w:p w14:paraId="3623E900">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DA003</w:t>
                  </w:r>
                </w:p>
              </w:tc>
              <w:tc>
                <w:tcPr>
                  <w:tcW w:w="2159" w:type="pct"/>
                  <w:noWrap w:val="0"/>
                  <w:vAlign w:val="center"/>
                </w:tcPr>
                <w:p w14:paraId="62D6F04C">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电泳前处理及钝化酸性废气</w:t>
                  </w:r>
                </w:p>
              </w:tc>
              <w:tc>
                <w:tcPr>
                  <w:tcW w:w="1610" w:type="pct"/>
                  <w:noWrap w:val="0"/>
                  <w:vAlign w:val="center"/>
                </w:tcPr>
                <w:p w14:paraId="1C6B201C">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氮氧化物、</w:t>
                  </w: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磷酸</w:t>
                  </w:r>
                </w:p>
              </w:tc>
            </w:tr>
            <w:tr w14:paraId="0EE81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noWrap w:val="0"/>
                  <w:vAlign w:val="center"/>
                </w:tcPr>
                <w:p w14:paraId="0325E36D">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pPr>
                </w:p>
              </w:tc>
              <w:tc>
                <w:tcPr>
                  <w:tcW w:w="791" w:type="pct"/>
                  <w:noWrap w:val="0"/>
                  <w:vAlign w:val="center"/>
                </w:tcPr>
                <w:p w14:paraId="62DDB20E">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DA004</w:t>
                  </w:r>
                </w:p>
              </w:tc>
              <w:tc>
                <w:tcPr>
                  <w:tcW w:w="2159" w:type="pct"/>
                  <w:noWrap w:val="0"/>
                  <w:vAlign w:val="center"/>
                </w:tcPr>
                <w:p w14:paraId="7A594C91">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电泳、电泳烘干固化、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钝化</w:t>
                  </w:r>
                  <w:r>
                    <w:rPr>
                      <w:rFonts w:hint="eastAsia" w:cs="Times New Roman"/>
                      <w:color w:val="000000" w:themeColor="text1"/>
                      <w:spacing w:val="0"/>
                      <w:sz w:val="21"/>
                      <w:szCs w:val="21"/>
                      <w:highlight w:val="none"/>
                      <w:lang w:val="en-US" w:eastAsia="zh-CN"/>
                      <w14:textFill>
                        <w14:solidFill>
                          <w14:schemeClr w14:val="tx1"/>
                        </w14:solidFill>
                      </w14:textFill>
                    </w:rPr>
                    <w:t>水洗</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烘干、</w:t>
                  </w:r>
                  <w:r>
                    <w:rPr>
                      <w:rFonts w:hint="eastAsia" w:ascii="Times New Roman" w:hAnsi="Times New Roman" w:cs="Times New Roman"/>
                      <w:color w:val="000000" w:themeColor="text1"/>
                      <w:kern w:val="18"/>
                      <w:sz w:val="21"/>
                      <w:szCs w:val="21"/>
                      <w:lang w:val="en-US" w:eastAsia="zh-CN"/>
                      <w14:textFill>
                        <w14:solidFill>
                          <w14:schemeClr w14:val="tx1"/>
                        </w14:solidFill>
                      </w14:textFill>
                    </w:rPr>
                    <w:t>喷粉烘干固化、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丝印烘干废气</w:t>
                  </w:r>
                </w:p>
              </w:tc>
              <w:tc>
                <w:tcPr>
                  <w:tcW w:w="1610" w:type="pct"/>
                  <w:noWrap w:val="0"/>
                  <w:vAlign w:val="center"/>
                </w:tcPr>
                <w:p w14:paraId="33028426">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非甲烷总烃、甲苯、</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、NO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、颗粒物</w:t>
                  </w:r>
                </w:p>
              </w:tc>
            </w:tr>
            <w:tr w14:paraId="64EDA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noWrap w:val="0"/>
                  <w:vAlign w:val="center"/>
                </w:tcPr>
                <w:p w14:paraId="703B580D">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pPr>
                </w:p>
              </w:tc>
              <w:tc>
                <w:tcPr>
                  <w:tcW w:w="791" w:type="pct"/>
                  <w:noWrap w:val="0"/>
                  <w:vAlign w:val="center"/>
                </w:tcPr>
                <w:p w14:paraId="40BD713D">
                  <w:pPr>
                    <w:keepNext w:val="0"/>
                    <w:keepLines w:val="0"/>
                    <w:pageBreakBefore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000000" w:themeColor="text1"/>
                      <w:kern w:val="18"/>
                      <w:sz w:val="21"/>
                      <w:szCs w:val="21"/>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DA005</w:t>
                  </w:r>
                </w:p>
              </w:tc>
              <w:tc>
                <w:tcPr>
                  <w:tcW w:w="2159" w:type="pct"/>
                  <w:noWrap w:val="0"/>
                  <w:vAlign w:val="center"/>
                </w:tcPr>
                <w:p w14:paraId="09AC57B0">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喷胶废气及喷胶烘干</w:t>
                  </w:r>
                  <w:r>
                    <w:rPr>
                      <w:rFonts w:hint="eastAsia" w:ascii="Times New Roman" w:hAnsi="Times New Roman" w:cs="Times New Roman"/>
                      <w:color w:val="000000" w:themeColor="text1"/>
                      <w:kern w:val="18"/>
                      <w:sz w:val="21"/>
                      <w:szCs w:val="21"/>
                      <w:lang w:val="en-US" w:eastAsia="zh-CN"/>
                      <w14:textFill>
                        <w14:solidFill>
                          <w14:schemeClr w14:val="tx1"/>
                        </w14:solidFill>
                      </w14:textFill>
                    </w:rPr>
                    <w:t>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废气</w:t>
                  </w:r>
                </w:p>
              </w:tc>
              <w:tc>
                <w:tcPr>
                  <w:tcW w:w="1610" w:type="pct"/>
                  <w:noWrap w:val="0"/>
                  <w:vAlign w:val="center"/>
                </w:tcPr>
                <w:p w14:paraId="70538236">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非甲烷总烃、</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、NO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、颗粒物</w:t>
                  </w:r>
                </w:p>
              </w:tc>
            </w:tr>
            <w:tr w14:paraId="25A51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noWrap w:val="0"/>
                  <w:vAlign w:val="center"/>
                </w:tcPr>
                <w:p w14:paraId="40E41341">
                  <w:pPr>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pPr>
                </w:p>
              </w:tc>
              <w:tc>
                <w:tcPr>
                  <w:tcW w:w="791" w:type="pct"/>
                  <w:noWrap w:val="0"/>
                  <w:vAlign w:val="center"/>
                </w:tcPr>
                <w:p w14:paraId="23C9C3B7">
                  <w:pPr>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0"/>
                      <w:kern w:val="0"/>
                      <w:sz w:val="21"/>
                      <w:szCs w:val="22"/>
                      <w:lang w:val="en-US" w:eastAsia="zh-CN" w:bidi="ar"/>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DA006</w:t>
                  </w:r>
                </w:p>
              </w:tc>
              <w:tc>
                <w:tcPr>
                  <w:tcW w:w="2159" w:type="pct"/>
                  <w:shd w:val="clear" w:color="auto" w:fill="auto"/>
                  <w:noWrap w:val="0"/>
                  <w:vAlign w:val="center"/>
                </w:tcPr>
                <w:p w14:paraId="65209B99">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18"/>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燃气热水锅炉废气</w:t>
                  </w:r>
                </w:p>
              </w:tc>
              <w:tc>
                <w:tcPr>
                  <w:tcW w:w="1610" w:type="pct"/>
                  <w:shd w:val="clear" w:color="auto" w:fill="auto"/>
                  <w:noWrap w:val="0"/>
                  <w:vAlign w:val="center"/>
                </w:tcPr>
                <w:p w14:paraId="5F2FC857">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18"/>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SO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、NO</w:t>
                  </w:r>
                  <w:r>
                    <w:rPr>
                      <w:rFonts w:hint="default" w:ascii="Times New Roman" w:hAnsi="Times New Roman" w:cs="Times New Roman"/>
                      <w:color w:val="000000" w:themeColor="text1"/>
                      <w:spacing w:val="0"/>
                      <w:sz w:val="21"/>
                      <w:szCs w:val="21"/>
                      <w:highlight w:val="none"/>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、颗粒物</w:t>
                  </w:r>
                </w:p>
              </w:tc>
            </w:tr>
            <w:tr w14:paraId="37887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noWrap w:val="0"/>
                  <w:vAlign w:val="center"/>
                </w:tcPr>
                <w:p w14:paraId="024000FC">
                  <w:pPr>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pPr>
                </w:p>
              </w:tc>
              <w:tc>
                <w:tcPr>
                  <w:tcW w:w="791" w:type="pct"/>
                  <w:noWrap w:val="0"/>
                  <w:vAlign w:val="center"/>
                </w:tcPr>
                <w:p w14:paraId="7374DD7A">
                  <w:pPr>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0"/>
                      <w:kern w:val="0"/>
                      <w:sz w:val="21"/>
                      <w:szCs w:val="22"/>
                      <w:lang w:val="en-US" w:eastAsia="zh-CN" w:bidi="ar"/>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DA007</w:t>
                  </w:r>
                </w:p>
              </w:tc>
              <w:tc>
                <w:tcPr>
                  <w:tcW w:w="2159" w:type="pct"/>
                  <w:shd w:val="clear" w:color="auto" w:fill="auto"/>
                  <w:noWrap w:val="0"/>
                  <w:vAlign w:val="center"/>
                </w:tcPr>
                <w:p w14:paraId="76E86C9E">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18"/>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喷粉粉尘</w:t>
                  </w:r>
                </w:p>
              </w:tc>
              <w:tc>
                <w:tcPr>
                  <w:tcW w:w="1610" w:type="pct"/>
                  <w:shd w:val="clear" w:color="auto" w:fill="auto"/>
                  <w:noWrap w:val="0"/>
                  <w:vAlign w:val="center"/>
                </w:tcPr>
                <w:p w14:paraId="1A5853B2">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18"/>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颗粒物</w:t>
                  </w:r>
                </w:p>
              </w:tc>
            </w:tr>
            <w:tr w14:paraId="26DDA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noWrap w:val="0"/>
                  <w:vAlign w:val="center"/>
                </w:tcPr>
                <w:p w14:paraId="7C5BE860">
                  <w:pPr>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pPr>
                </w:p>
              </w:tc>
              <w:tc>
                <w:tcPr>
                  <w:tcW w:w="791" w:type="pct"/>
                  <w:noWrap w:val="0"/>
                  <w:vAlign w:val="center"/>
                </w:tcPr>
                <w:p w14:paraId="76423B1F">
                  <w:pPr>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eastAsia"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DA008</w:t>
                  </w:r>
                </w:p>
              </w:tc>
              <w:tc>
                <w:tcPr>
                  <w:tcW w:w="2159" w:type="pct"/>
                  <w:shd w:val="clear" w:color="auto" w:fill="auto"/>
                  <w:noWrap w:val="0"/>
                  <w:vAlign w:val="center"/>
                </w:tcPr>
                <w:p w14:paraId="4D491B1B">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18"/>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喷粉粉尘</w:t>
                  </w:r>
                </w:p>
              </w:tc>
              <w:tc>
                <w:tcPr>
                  <w:tcW w:w="1610" w:type="pct"/>
                  <w:shd w:val="clear" w:color="auto" w:fill="auto"/>
                  <w:noWrap w:val="0"/>
                  <w:vAlign w:val="center"/>
                </w:tcPr>
                <w:p w14:paraId="54EA85D6">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18"/>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颗粒物</w:t>
                  </w:r>
                </w:p>
              </w:tc>
            </w:tr>
          </w:tbl>
          <w:p w14:paraId="6870489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前处理酸性废气以磷酸、硝酸为主，其中磷酸用量较低，且挥发度较低，本评价不对其提出排放标准要求；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前处理废气中氮氧化物</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排放执行《大气污染物综合排放标准》</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GB16297-1996</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表2中二级排放标准以及无组织排放监控浓度限值</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，由于</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该</w:t>
            </w:r>
            <w:r>
              <w:rPr>
                <w:rFonts w:hint="eastAsia"/>
                <w:b/>
                <w:bCs/>
                <w:color w:val="000000" w:themeColor="text1"/>
                <w:sz w:val="24"/>
                <w:szCs w:val="24"/>
                <w:highlight w:val="none"/>
                <w:lang w:val="en-US" w:eastAsia="zh-CN"/>
                <w14:textFill>
                  <w14:solidFill>
                    <w14:schemeClr w14:val="tx1"/>
                  </w14:solidFill>
                </w14:textFill>
              </w:rPr>
              <w:t>排气筒高度未高出周边200m范围最高建筑5m以上，因此排放速率严格50%执行</w:t>
            </w:r>
            <w:r>
              <w:rPr>
                <w:rFonts w:hint="eastAsia"/>
                <w:color w:val="000000" w:themeColor="text1"/>
                <w:sz w:val="24"/>
                <w:szCs w:val="24"/>
                <w:highlight w:val="none"/>
                <w:lang w:val="en-US" w:eastAsia="zh-CN"/>
                <w14:textFill>
                  <w14:solidFill>
                    <w14:schemeClr w14:val="tx1"/>
                  </w14:solidFill>
                </w14:textFill>
              </w:rPr>
              <w:t>。</w:t>
            </w:r>
          </w:p>
          <w:p w14:paraId="70C2D69C">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对于有机废气</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非甲烷总烃</w:t>
            </w:r>
            <w:r>
              <w:rPr>
                <w:rFonts w:hint="eastAsia" w:cs="Times New Roman"/>
                <w:color w:val="000000" w:themeColor="text1"/>
                <w:sz w:val="24"/>
                <w:highlight w:val="none"/>
                <w:lang w:val="en-US" w:eastAsia="zh-CN"/>
                <w14:textFill>
                  <w14:solidFill>
                    <w14:schemeClr w14:val="tx1"/>
                  </w14:solidFill>
                </w14:textFill>
              </w:rPr>
              <w:t>、甲苯、二甲苯、乙酸丁酯</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排放执行《工业涂装工序挥发性有机物排放标准》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DB35/1783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表1中涉涂装工序的其它行业排气筒挥发性有机物排放限值</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表4中企业边界监控点浓度限值</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48E0A983">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天然气固化炉燃烧废气</w:t>
            </w:r>
            <w:r>
              <w:rPr>
                <w:rFonts w:hint="eastAsia" w:ascii="Times New Roman" w:hAnsi="Times New Roman"/>
                <w:color w:val="000000" w:themeColor="text1"/>
                <w:sz w:val="24"/>
                <w:lang w:val="en-US" w:eastAsia="zh-CN"/>
                <w14:textFill>
                  <w14:solidFill>
                    <w14:schemeClr w14:val="tx1"/>
                  </w14:solidFill>
                </w14:textFill>
              </w:rPr>
              <w:t>中烟气黑度</w:t>
            </w:r>
            <w:r>
              <w:rPr>
                <w:rFonts w:ascii="Times New Roman" w:hAnsi="Times New Roman"/>
                <w:color w:val="000000" w:themeColor="text1"/>
                <w:sz w:val="24"/>
                <w14:textFill>
                  <w14:solidFill>
                    <w14:schemeClr w14:val="tx1"/>
                  </w14:solidFill>
                </w14:textFill>
              </w:rPr>
              <w:t>排放执行《工业炉窑大气污染物排放标准》（GB9078-1996）</w:t>
            </w:r>
            <w:r>
              <w:rPr>
                <w:rFonts w:hint="eastAsia" w:ascii="Times New Roman" w:hAnsi="Times New Roman"/>
                <w:color w:val="000000" w:themeColor="text1"/>
                <w:sz w:val="24"/>
                <w:lang w:val="en-US" w:eastAsia="zh-CN"/>
                <w14:textFill>
                  <w14:solidFill>
                    <w14:schemeClr w14:val="tx1"/>
                  </w14:solidFill>
                </w14:textFill>
              </w:rPr>
              <w:t>中标准，根据《福建省工业炉窑大气污染综合治理方案》（闽环保大气〔2019〕10号），“铸造、日用玻璃、石灰、钨、氮肥、电石、活性炭等暂未制订行业排放标准的工业炉窑，鼓励按照颗粒物、二氧化硫、氮氧化物排放限值分别不高于30、200、300毫克/立方米实施改造”，因此固化炉颗粒物、二氧化硫、氮氧化物执行《福建省工业炉窑大气污染综合治理方案》（闽环保大气〔2019〕10号）中要求</w:t>
            </w:r>
            <w:r>
              <w:rPr>
                <w:rFonts w:ascii="Times New Roman" w:hAnsi="Times New Roman"/>
                <w:color w:val="000000" w:themeColor="text1"/>
                <w:sz w:val="24"/>
                <w14:textFill>
                  <w14:solidFill>
                    <w14:schemeClr w14:val="tx1"/>
                  </w14:solidFill>
                </w14:textFill>
              </w:rPr>
              <w:t>。</w:t>
            </w:r>
          </w:p>
          <w:p w14:paraId="41A473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喷粉粉尘</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排放执行《大气污染物综合排放标准》</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GB16297-1996</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表2中二级排放标准以及无组织排放监控浓度限值</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该</w:t>
            </w:r>
            <w:r>
              <w:rPr>
                <w:rFonts w:hint="eastAsia"/>
                <w:b/>
                <w:bCs/>
                <w:color w:val="000000" w:themeColor="text1"/>
                <w:sz w:val="24"/>
                <w:szCs w:val="24"/>
                <w:highlight w:val="none"/>
                <w:lang w:val="en-US" w:eastAsia="zh-CN"/>
                <w14:textFill>
                  <w14:solidFill>
                    <w14:schemeClr w14:val="tx1"/>
                  </w14:solidFill>
                </w14:textFill>
              </w:rPr>
              <w:t>排气筒高度未高出周边200m范围最高建筑5m以上，因此</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颗粒物</w:t>
            </w:r>
            <w:r>
              <w:rPr>
                <w:rFonts w:hint="eastAsia"/>
                <w:b/>
                <w:bCs/>
                <w:color w:val="000000" w:themeColor="text1"/>
                <w:sz w:val="24"/>
                <w:szCs w:val="24"/>
                <w:highlight w:val="none"/>
                <w:lang w:val="en-US" w:eastAsia="zh-CN"/>
                <w14:textFill>
                  <w14:solidFill>
                    <w14:schemeClr w14:val="tx1"/>
                  </w14:solidFill>
                </w14:textFill>
              </w:rPr>
              <w:t>排放速率严格50%执行</w:t>
            </w:r>
            <w:r>
              <w:rPr>
                <w:rFonts w:hint="eastAsia"/>
                <w:color w:val="000000" w:themeColor="text1"/>
                <w:sz w:val="24"/>
                <w:szCs w:val="24"/>
                <w:highlight w:val="none"/>
                <w:lang w:val="en-US" w:eastAsia="zh-CN"/>
                <w14:textFill>
                  <w14:solidFill>
                    <w14:schemeClr w14:val="tx1"/>
                  </w14:solidFill>
                </w14:textFill>
              </w:rPr>
              <w:t>。</w:t>
            </w:r>
          </w:p>
          <w:p w14:paraId="3DE71699">
            <w:pPr>
              <w:adjustRightInd w:val="0"/>
              <w:snapToGrid w:val="0"/>
              <w:spacing w:line="360" w:lineRule="auto"/>
              <w:ind w:firstLine="480" w:firstLineChars="200"/>
              <w:jc w:val="left"/>
              <w:rPr>
                <w:rFonts w:hint="eastAsia"/>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天然气热水锅炉</w:t>
            </w:r>
            <w:r>
              <w:rPr>
                <w:rFonts w:hint="eastAsia" w:hAnsi="宋体" w:eastAsia="宋体"/>
                <w:color w:val="000000" w:themeColor="text1"/>
                <w:sz w:val="24"/>
                <w:lang w:val="en-US" w:eastAsia="zh-CN"/>
                <w14:textFill>
                  <w14:solidFill>
                    <w14:schemeClr w14:val="tx1"/>
                  </w14:solidFill>
                </w14:textFill>
              </w:rPr>
              <w:t>烟囱高度15</w:t>
            </w:r>
            <w:r>
              <w:rPr>
                <w:rFonts w:eastAsia="宋体"/>
                <w:color w:val="000000" w:themeColor="text1"/>
                <w:sz w:val="24"/>
                <w:szCs w:val="24"/>
                <w14:textFill>
                  <w14:solidFill>
                    <w14:schemeClr w14:val="tx1"/>
                  </w14:solidFill>
                </w14:textFill>
              </w:rPr>
              <w:t>m</w:t>
            </w: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锅炉</w:t>
            </w:r>
            <w:r>
              <w:rPr>
                <w:rFonts w:hint="eastAsia" w:hAnsi="宋体" w:eastAsia="宋体"/>
                <w:b w:val="0"/>
                <w:bCs w:val="0"/>
                <w:color w:val="000000" w:themeColor="text1"/>
                <w:sz w:val="24"/>
                <w14:textFill>
                  <w14:solidFill>
                    <w14:schemeClr w14:val="tx1"/>
                  </w14:solidFill>
                </w14:textFill>
              </w:rPr>
              <w:t>排放</w:t>
            </w:r>
            <w:r>
              <w:rPr>
                <w:rFonts w:hAnsi="宋体" w:eastAsia="宋体"/>
                <w:b w:val="0"/>
                <w:bCs w:val="0"/>
                <w:color w:val="000000" w:themeColor="text1"/>
                <w:sz w:val="24"/>
                <w14:textFill>
                  <w14:solidFill>
                    <w14:schemeClr w14:val="tx1"/>
                  </w14:solidFill>
                </w14:textFill>
              </w:rPr>
              <w:t>执行《锅炉大气污染物排放标准》（</w:t>
            </w:r>
            <w:r>
              <w:rPr>
                <w:rFonts w:eastAsia="宋体"/>
                <w:b w:val="0"/>
                <w:bCs w:val="0"/>
                <w:color w:val="000000" w:themeColor="text1"/>
                <w:sz w:val="24"/>
                <w14:textFill>
                  <w14:solidFill>
                    <w14:schemeClr w14:val="tx1"/>
                  </w14:solidFill>
                </w14:textFill>
              </w:rPr>
              <w:t>GB13271-2014</w:t>
            </w:r>
            <w:r>
              <w:rPr>
                <w:rFonts w:hAnsi="宋体" w:eastAsia="宋体"/>
                <w:b w:val="0"/>
                <w:bCs w:val="0"/>
                <w:color w:val="000000" w:themeColor="text1"/>
                <w:sz w:val="24"/>
                <w14:textFill>
                  <w14:solidFill>
                    <w14:schemeClr w14:val="tx1"/>
                  </w14:solidFill>
                </w14:textFill>
              </w:rPr>
              <w:t>）表</w:t>
            </w:r>
            <w:r>
              <w:rPr>
                <w:rFonts w:hint="eastAsia"/>
                <w:b w:val="0"/>
                <w:bCs w:val="0"/>
                <w:color w:val="000000" w:themeColor="text1"/>
                <w:sz w:val="24"/>
                <w:szCs w:val="24"/>
                <w:shd w:val="clear" w:color="auto" w:fill="FFFFFF"/>
                <w:lang w:val="en-US" w:eastAsia="zh-CN"/>
                <w14:textFill>
                  <w14:solidFill>
                    <w14:schemeClr w14:val="tx1"/>
                  </w14:solidFill>
                </w14:textFill>
              </w:rPr>
              <w:t>3</w:t>
            </w:r>
            <w:r>
              <w:rPr>
                <w:rFonts w:hint="eastAsia" w:ascii="Times New Roman" w:hAnsi="Times New Roman" w:eastAsia="宋体"/>
                <w:b w:val="0"/>
                <w:bCs w:val="0"/>
                <w:color w:val="000000" w:themeColor="text1"/>
                <w:sz w:val="24"/>
                <w:szCs w:val="24"/>
                <w:shd w:val="clear" w:color="auto" w:fill="FFFFFF"/>
                <w:lang w:val="en-US" w:eastAsia="zh-CN"/>
                <w14:textFill>
                  <w14:solidFill>
                    <w14:schemeClr w14:val="tx1"/>
                  </w14:solidFill>
                </w14:textFill>
              </w:rPr>
              <w:t>的“燃气锅炉”</w:t>
            </w:r>
            <w:r>
              <w:rPr>
                <w:rFonts w:hint="eastAsia"/>
                <w:b w:val="0"/>
                <w:bCs w:val="0"/>
                <w:color w:val="000000" w:themeColor="text1"/>
                <w:sz w:val="24"/>
                <w:szCs w:val="24"/>
                <w:shd w:val="clear" w:color="auto" w:fill="FFFFFF"/>
                <w:lang w:val="en-US" w:eastAsia="zh-CN"/>
                <w14:textFill>
                  <w14:solidFill>
                    <w14:schemeClr w14:val="tx1"/>
                  </w14:solidFill>
                </w14:textFill>
              </w:rPr>
              <w:t>特别</w:t>
            </w:r>
            <w:r>
              <w:rPr>
                <w:rFonts w:hint="eastAsia" w:ascii="Times New Roman" w:hAnsi="Times New Roman" w:eastAsia="宋体"/>
                <w:b w:val="0"/>
                <w:bCs w:val="0"/>
                <w:color w:val="000000" w:themeColor="text1"/>
                <w:sz w:val="24"/>
                <w:szCs w:val="24"/>
                <w:shd w:val="clear" w:color="auto" w:fill="FFFFFF"/>
                <w:lang w:val="en-US" w:eastAsia="zh-CN"/>
                <w14:textFill>
                  <w14:solidFill>
                    <w14:schemeClr w14:val="tx1"/>
                  </w14:solidFill>
                </w14:textFill>
              </w:rPr>
              <w:t>排放限值要求</w:t>
            </w:r>
            <w:r>
              <w:rPr>
                <w:rFonts w:hint="eastAsia"/>
                <w:b w:val="0"/>
                <w:bCs w:val="0"/>
                <w:color w:val="000000" w:themeColor="text1"/>
                <w:sz w:val="24"/>
                <w:szCs w:val="24"/>
                <w:shd w:val="clear" w:color="auto" w:fill="FFFFFF"/>
                <w:lang w:val="en-US" w:eastAsia="zh-CN"/>
                <w14:textFill>
                  <w14:solidFill>
                    <w14:schemeClr w14:val="tx1"/>
                  </w14:solidFill>
                </w14:textFill>
              </w:rPr>
              <w:t>。</w:t>
            </w:r>
          </w:p>
          <w:p w14:paraId="470D84C0">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另外</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非甲烷总烃厂区内监控点浓度限值执行《工业涂装工序挥发性有机物排放标准》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DB35/1783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2018)表3厂区内监控点浓度限值，厂区内监控点处任意一次非甲烷总烃浓度值执行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挥发性有机物无组织排放控制标准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GB37822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2019</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附录A的表A.1的相应规定</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32916395">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14:paraId="2526040D">
            <w:pPr>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p>
          <w:p w14:paraId="5BE74EAE">
            <w:pPr>
              <w:pStyle w:val="146"/>
              <w:spacing w:line="240" w:lineRule="auto"/>
              <w:ind w:firstLine="0" w:firstLineChars="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p>
          <w:p w14:paraId="384DAA4E">
            <w:pPr>
              <w:pStyle w:val="146"/>
              <w:spacing w:line="240" w:lineRule="auto"/>
              <w:ind w:firstLine="0" w:firstLineChars="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表3.</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7-</w:t>
            </w:r>
            <w:r>
              <w:rPr>
                <w:rFonts w:hint="eastAsia" w:cs="Times New Roman"/>
                <w:b/>
                <w:color w:val="000000" w:themeColor="text1"/>
                <w:highlight w:val="none"/>
                <w:lang w:val="en-US" w:eastAsia="zh-CN"/>
                <w14:textFill>
                  <w14:solidFill>
                    <w14:schemeClr w14:val="tx1"/>
                  </w14:solidFill>
                </w14:textFill>
              </w:rPr>
              <w:t>4</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 xml:space="preserve">  有组织废气排放标准</w:t>
            </w:r>
          </w:p>
          <w:tbl>
            <w:tblPr>
              <w:tblStyle w:val="3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53"/>
              <w:gridCol w:w="1251"/>
              <w:gridCol w:w="1327"/>
              <w:gridCol w:w="962"/>
              <w:gridCol w:w="1571"/>
              <w:gridCol w:w="2284"/>
            </w:tblGrid>
            <w:tr w14:paraId="2EC56C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tcBorders>
                    <w:tl2br w:val="nil"/>
                    <w:tr2bl w:val="nil"/>
                  </w:tcBorders>
                  <w:noWrap w:val="0"/>
                  <w:vAlign w:val="center"/>
                </w:tcPr>
                <w:p w14:paraId="50DBFC3B">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排气筒编号</w:t>
                  </w:r>
                </w:p>
              </w:tc>
              <w:tc>
                <w:tcPr>
                  <w:tcW w:w="758" w:type="pct"/>
                  <w:tcBorders>
                    <w:tl2br w:val="nil"/>
                    <w:tr2bl w:val="nil"/>
                  </w:tcBorders>
                  <w:noWrap w:val="0"/>
                  <w:vAlign w:val="center"/>
                </w:tcPr>
                <w:p w14:paraId="458A4A47">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污染物</w:t>
                  </w:r>
                </w:p>
              </w:tc>
              <w:tc>
                <w:tcPr>
                  <w:tcW w:w="804" w:type="pct"/>
                  <w:tcBorders>
                    <w:tl2br w:val="nil"/>
                    <w:tr2bl w:val="nil"/>
                  </w:tcBorders>
                  <w:noWrap w:val="0"/>
                  <w:vAlign w:val="center"/>
                </w:tcPr>
                <w:p w14:paraId="29797910">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最高允许排放浓度（mg/</w:t>
                  </w:r>
                  <w:r>
                    <w:rPr>
                      <w:rFonts w:ascii="Times New Roman" w:hAnsi="Times New Roman" w:eastAsia="Times New Roman"/>
                      <w:color w:val="000000" w:themeColor="text1"/>
                      <w:spacing w:val="0"/>
                      <w:sz w:val="21"/>
                      <w14:textFill>
                        <w14:solidFill>
                          <w14:schemeClr w14:val="tx1"/>
                        </w14:solidFill>
                      </w14:textFill>
                    </w:rPr>
                    <w:t>m</w:t>
                  </w:r>
                  <w:r>
                    <w:rPr>
                      <w:rFonts w:ascii="Times New Roman" w:hAnsi="Times New Roman" w:eastAsia="Times New Roman"/>
                      <w:color w:val="000000" w:themeColor="text1"/>
                      <w:spacing w:val="0"/>
                      <w:position w:val="7"/>
                      <w:sz w:val="13"/>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w:t>
                  </w:r>
                </w:p>
              </w:tc>
              <w:tc>
                <w:tcPr>
                  <w:tcW w:w="583" w:type="pct"/>
                  <w:tcBorders>
                    <w:tl2br w:val="nil"/>
                    <w:tr2bl w:val="nil"/>
                  </w:tcBorders>
                  <w:noWrap w:val="0"/>
                  <w:vAlign w:val="center"/>
                </w:tcPr>
                <w:p w14:paraId="5B5F3F45">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排气筒高度（m）</w:t>
                  </w:r>
                </w:p>
              </w:tc>
              <w:tc>
                <w:tcPr>
                  <w:tcW w:w="952" w:type="pct"/>
                  <w:tcBorders>
                    <w:tl2br w:val="nil"/>
                    <w:tr2bl w:val="nil"/>
                  </w:tcBorders>
                  <w:noWrap w:val="0"/>
                  <w:vAlign w:val="center"/>
                </w:tcPr>
                <w:p w14:paraId="7B8E7748">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最高允许排放速率（kg/h）</w:t>
                  </w:r>
                </w:p>
              </w:tc>
              <w:tc>
                <w:tcPr>
                  <w:tcW w:w="1384" w:type="pct"/>
                  <w:tcBorders>
                    <w:tl2br w:val="nil"/>
                    <w:tr2bl w:val="nil"/>
                  </w:tcBorders>
                  <w:noWrap w:val="0"/>
                  <w:vAlign w:val="center"/>
                </w:tcPr>
                <w:p w14:paraId="43E54059">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lang w:val="en-US"/>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标准</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来源</w:t>
                  </w:r>
                </w:p>
              </w:tc>
            </w:tr>
            <w:tr w14:paraId="52A37D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restart"/>
                  <w:tcBorders>
                    <w:tl2br w:val="nil"/>
                    <w:tr2bl w:val="nil"/>
                  </w:tcBorders>
                  <w:noWrap w:val="0"/>
                  <w:vAlign w:val="center"/>
                </w:tcPr>
                <w:p w14:paraId="444DE304">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DA00</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2</w:t>
                  </w:r>
                </w:p>
              </w:tc>
              <w:tc>
                <w:tcPr>
                  <w:tcW w:w="758" w:type="pct"/>
                  <w:tcBorders>
                    <w:tl2br w:val="nil"/>
                    <w:tr2bl w:val="nil"/>
                  </w:tcBorders>
                  <w:noWrap w:val="0"/>
                  <w:vAlign w:val="center"/>
                </w:tcPr>
                <w:p w14:paraId="1A502601">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非甲烷总烃</w:t>
                  </w:r>
                </w:p>
              </w:tc>
              <w:tc>
                <w:tcPr>
                  <w:tcW w:w="804" w:type="pct"/>
                  <w:tcBorders>
                    <w:tl2br w:val="nil"/>
                    <w:tr2bl w:val="nil"/>
                  </w:tcBorders>
                  <w:noWrap w:val="0"/>
                  <w:vAlign w:val="center"/>
                </w:tcPr>
                <w:p w14:paraId="41BC1115">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60</w:t>
                  </w:r>
                </w:p>
              </w:tc>
              <w:tc>
                <w:tcPr>
                  <w:tcW w:w="583" w:type="pct"/>
                  <w:vMerge w:val="restart"/>
                  <w:tcBorders>
                    <w:tl2br w:val="nil"/>
                    <w:tr2bl w:val="nil"/>
                  </w:tcBorders>
                  <w:noWrap w:val="0"/>
                  <w:vAlign w:val="center"/>
                </w:tcPr>
                <w:p w14:paraId="6D78B349">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spacing w:val="-5"/>
                      <w:sz w:val="21"/>
                      <w:szCs w:val="21"/>
                      <w:lang w:val="en-US" w:eastAsia="zh-CN"/>
                      <w14:textFill>
                        <w14:solidFill>
                          <w14:schemeClr w14:val="tx1"/>
                        </w14:solidFill>
                      </w14:textFill>
                    </w:rPr>
                    <w:t>22</w:t>
                  </w:r>
                </w:p>
              </w:tc>
              <w:tc>
                <w:tcPr>
                  <w:tcW w:w="952" w:type="pct"/>
                  <w:tcBorders>
                    <w:tl2br w:val="nil"/>
                    <w:tr2bl w:val="nil"/>
                  </w:tcBorders>
                  <w:noWrap w:val="0"/>
                  <w:vAlign w:val="center"/>
                </w:tcPr>
                <w:p w14:paraId="54AF6AC3">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7.18（内插法计算）</w:t>
                  </w:r>
                </w:p>
              </w:tc>
              <w:tc>
                <w:tcPr>
                  <w:tcW w:w="1384" w:type="pct"/>
                  <w:tcBorders>
                    <w:tl2br w:val="nil"/>
                    <w:tr2bl w:val="nil"/>
                  </w:tcBorders>
                  <w:noWrap w:val="0"/>
                  <w:vAlign w:val="center"/>
                </w:tcPr>
                <w:p w14:paraId="645E23E1">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《工业涂装工序挥发性有机物排放标准》</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DB35/1783-2018</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表1涉涂装工序的其它行业</w:t>
                  </w:r>
                </w:p>
              </w:tc>
            </w:tr>
            <w:tr w14:paraId="5F2068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03FA0B07">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2F2635F9">
                  <w:pPr>
                    <w:pStyle w:val="132"/>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颗粒物</w:t>
                  </w:r>
                </w:p>
              </w:tc>
              <w:tc>
                <w:tcPr>
                  <w:tcW w:w="804" w:type="pct"/>
                  <w:tcBorders>
                    <w:tl2br w:val="nil"/>
                    <w:tr2bl w:val="nil"/>
                  </w:tcBorders>
                  <w:noWrap w:val="0"/>
                  <w:vAlign w:val="center"/>
                </w:tcPr>
                <w:p w14:paraId="6FE019E1">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0</w:t>
                  </w:r>
                </w:p>
              </w:tc>
              <w:tc>
                <w:tcPr>
                  <w:tcW w:w="583" w:type="pct"/>
                  <w:vMerge w:val="continue"/>
                  <w:tcBorders>
                    <w:tl2br w:val="nil"/>
                    <w:tr2bl w:val="nil"/>
                  </w:tcBorders>
                  <w:noWrap w:val="0"/>
                  <w:vAlign w:val="center"/>
                </w:tcPr>
                <w:p w14:paraId="755A4506">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noWrap w:val="0"/>
                  <w:vAlign w:val="center"/>
                </w:tcPr>
                <w:p w14:paraId="3607C9D8">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vMerge w:val="restart"/>
                  <w:tcBorders>
                    <w:tl2br w:val="nil"/>
                    <w:tr2bl w:val="nil"/>
                  </w:tcBorders>
                  <w:noWrap w:val="0"/>
                  <w:vAlign w:val="center"/>
                </w:tcPr>
                <w:p w14:paraId="22046DDE">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《福建省工业炉窑大气污染综合治理方案》（闽环保大气〔2019〕10号）</w:t>
                  </w:r>
                </w:p>
              </w:tc>
            </w:tr>
            <w:tr w14:paraId="507E84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5CA49BFF">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539475F7">
                  <w:pPr>
                    <w:pStyle w:val="132"/>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二氧化硫</w:t>
                  </w:r>
                </w:p>
              </w:tc>
              <w:tc>
                <w:tcPr>
                  <w:tcW w:w="804" w:type="pct"/>
                  <w:tcBorders>
                    <w:tl2br w:val="nil"/>
                    <w:tr2bl w:val="nil"/>
                  </w:tcBorders>
                  <w:noWrap w:val="0"/>
                  <w:vAlign w:val="center"/>
                </w:tcPr>
                <w:p w14:paraId="778A9F4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pacing w:val="0"/>
                      <w:sz w:val="21"/>
                      <w:szCs w:val="21"/>
                      <w14:textFill>
                        <w14:solidFill>
                          <w14:schemeClr w14:val="tx1"/>
                        </w14:solidFill>
                      </w14:textFill>
                    </w:rPr>
                    <w:t>0</w:t>
                  </w:r>
                </w:p>
              </w:tc>
              <w:tc>
                <w:tcPr>
                  <w:tcW w:w="583" w:type="pct"/>
                  <w:vMerge w:val="continue"/>
                  <w:tcBorders>
                    <w:tl2br w:val="nil"/>
                    <w:tr2bl w:val="nil"/>
                  </w:tcBorders>
                  <w:noWrap w:val="0"/>
                  <w:vAlign w:val="center"/>
                </w:tcPr>
                <w:p w14:paraId="41037795">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noWrap w:val="0"/>
                  <w:vAlign w:val="center"/>
                </w:tcPr>
                <w:p w14:paraId="74366674">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vMerge w:val="continue"/>
                  <w:tcBorders>
                    <w:tl2br w:val="nil"/>
                    <w:tr2bl w:val="nil"/>
                  </w:tcBorders>
                  <w:noWrap w:val="0"/>
                  <w:vAlign w:val="center"/>
                </w:tcPr>
                <w:p w14:paraId="433B4645">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r>
            <w:tr w14:paraId="421F02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68932275">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00E9164F">
                  <w:pPr>
                    <w:pStyle w:val="132"/>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氮氧化物</w:t>
                  </w:r>
                </w:p>
              </w:tc>
              <w:tc>
                <w:tcPr>
                  <w:tcW w:w="804" w:type="pct"/>
                  <w:tcBorders>
                    <w:tl2br w:val="nil"/>
                    <w:tr2bl w:val="nil"/>
                  </w:tcBorders>
                  <w:noWrap w:val="0"/>
                  <w:vAlign w:val="center"/>
                </w:tcPr>
                <w:p w14:paraId="51BCA66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pacing w:val="0"/>
                      <w:sz w:val="21"/>
                      <w:szCs w:val="21"/>
                      <w14:textFill>
                        <w14:solidFill>
                          <w14:schemeClr w14:val="tx1"/>
                        </w14:solidFill>
                      </w14:textFill>
                    </w:rPr>
                    <w:t>0</w:t>
                  </w:r>
                </w:p>
              </w:tc>
              <w:tc>
                <w:tcPr>
                  <w:tcW w:w="583" w:type="pct"/>
                  <w:vMerge w:val="continue"/>
                  <w:tcBorders>
                    <w:tl2br w:val="nil"/>
                    <w:tr2bl w:val="nil"/>
                  </w:tcBorders>
                  <w:noWrap w:val="0"/>
                  <w:vAlign w:val="center"/>
                </w:tcPr>
                <w:p w14:paraId="1FAAB0F6">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noWrap w:val="0"/>
                  <w:vAlign w:val="center"/>
                </w:tcPr>
                <w:p w14:paraId="057CBD24">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vMerge w:val="continue"/>
                  <w:tcBorders>
                    <w:bottom w:val="single" w:color="auto" w:sz="4" w:space="0"/>
                    <w:tl2br w:val="nil"/>
                    <w:tr2bl w:val="nil"/>
                  </w:tcBorders>
                  <w:noWrap w:val="0"/>
                  <w:vAlign w:val="center"/>
                </w:tcPr>
                <w:p w14:paraId="20AC76DC">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r>
            <w:tr w14:paraId="48AF16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7BACA9C1">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03AB4135">
                  <w:pPr>
                    <w:pStyle w:val="132"/>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林格曼黑度</w:t>
                  </w:r>
                </w:p>
              </w:tc>
              <w:tc>
                <w:tcPr>
                  <w:tcW w:w="804" w:type="pct"/>
                  <w:tcBorders>
                    <w:tl2br w:val="nil"/>
                    <w:tr2bl w:val="nil"/>
                  </w:tcBorders>
                  <w:noWrap w:val="0"/>
                  <w:vAlign w:val="center"/>
                </w:tcPr>
                <w:p w14:paraId="12B048D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级</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tc>
              <w:tc>
                <w:tcPr>
                  <w:tcW w:w="583" w:type="pct"/>
                  <w:vMerge w:val="continue"/>
                  <w:tcBorders>
                    <w:tl2br w:val="nil"/>
                    <w:tr2bl w:val="nil"/>
                  </w:tcBorders>
                  <w:noWrap w:val="0"/>
                  <w:vAlign w:val="center"/>
                </w:tcPr>
                <w:p w14:paraId="51A3D47C">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noWrap w:val="0"/>
                  <w:vAlign w:val="center"/>
                </w:tcPr>
                <w:p w14:paraId="49124855">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tcBorders>
                    <w:top w:val="single" w:color="auto" w:sz="4" w:space="0"/>
                    <w:bottom w:val="single" w:color="auto" w:sz="4" w:space="0"/>
                    <w:tl2br w:val="nil"/>
                    <w:tr2bl w:val="nil"/>
                  </w:tcBorders>
                  <w:noWrap w:val="0"/>
                  <w:vAlign w:val="center"/>
                </w:tcPr>
                <w:p w14:paraId="3753C2D7">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《工业炉窑大气污染物排放标准》（GB9078-1996）</w:t>
                  </w:r>
                </w:p>
              </w:tc>
            </w:tr>
            <w:tr w14:paraId="72F4FB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tcBorders>
                    <w:tl2br w:val="nil"/>
                    <w:tr2bl w:val="nil"/>
                  </w:tcBorders>
                  <w:noWrap w:val="0"/>
                  <w:vAlign w:val="center"/>
                </w:tcPr>
                <w:p w14:paraId="240B081D">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DA003</w:t>
                  </w:r>
                </w:p>
              </w:tc>
              <w:tc>
                <w:tcPr>
                  <w:tcW w:w="758" w:type="pct"/>
                  <w:tcBorders>
                    <w:tl2br w:val="nil"/>
                    <w:tr2bl w:val="nil"/>
                  </w:tcBorders>
                  <w:noWrap w:val="0"/>
                  <w:vAlign w:val="center"/>
                </w:tcPr>
                <w:p w14:paraId="3B1671B3">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氮氧化物</w:t>
                  </w:r>
                </w:p>
              </w:tc>
              <w:tc>
                <w:tcPr>
                  <w:tcW w:w="804" w:type="pct"/>
                  <w:tcBorders>
                    <w:tl2br w:val="nil"/>
                    <w:tr2bl w:val="nil"/>
                  </w:tcBorders>
                  <w:noWrap w:val="0"/>
                  <w:vAlign w:val="center"/>
                </w:tcPr>
                <w:p w14:paraId="2C6CCADA">
                  <w:pPr>
                    <w:pStyle w:val="155"/>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240</w:t>
                  </w:r>
                </w:p>
              </w:tc>
              <w:tc>
                <w:tcPr>
                  <w:tcW w:w="583" w:type="pct"/>
                  <w:tcBorders>
                    <w:tl2br w:val="nil"/>
                    <w:tr2bl w:val="nil"/>
                  </w:tcBorders>
                  <w:noWrap w:val="0"/>
                  <w:vAlign w:val="center"/>
                </w:tcPr>
                <w:p w14:paraId="0CE75D48">
                  <w:pPr>
                    <w:pStyle w:val="155"/>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15</w:t>
                  </w:r>
                </w:p>
              </w:tc>
              <w:tc>
                <w:tcPr>
                  <w:tcW w:w="952" w:type="pct"/>
                  <w:tcBorders>
                    <w:tl2br w:val="nil"/>
                    <w:tr2bl w:val="nil"/>
                  </w:tcBorders>
                  <w:noWrap w:val="0"/>
                  <w:vAlign w:val="center"/>
                </w:tcPr>
                <w:p w14:paraId="20172E69">
                  <w:pPr>
                    <w:pStyle w:val="155"/>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0.385（从严50%）</w:t>
                  </w:r>
                </w:p>
              </w:tc>
              <w:tc>
                <w:tcPr>
                  <w:tcW w:w="1384" w:type="pct"/>
                  <w:tcBorders>
                    <w:top w:val="single" w:color="auto" w:sz="4" w:space="0"/>
                    <w:tl2br w:val="nil"/>
                    <w:tr2bl w:val="nil"/>
                  </w:tcBorders>
                  <w:noWrap w:val="0"/>
                  <w:vAlign w:val="center"/>
                </w:tcPr>
                <w:p w14:paraId="23304889">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《大气污染物综合排放标准》（GB16297-1996）表2中二级排放标准</w:t>
                  </w:r>
                </w:p>
              </w:tc>
            </w:tr>
            <w:tr w14:paraId="14F433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restart"/>
                  <w:tcBorders>
                    <w:tl2br w:val="nil"/>
                    <w:tr2bl w:val="nil"/>
                  </w:tcBorders>
                  <w:noWrap w:val="0"/>
                  <w:vAlign w:val="center"/>
                </w:tcPr>
                <w:p w14:paraId="59212596">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DA004</w:t>
                  </w:r>
                </w:p>
              </w:tc>
              <w:tc>
                <w:tcPr>
                  <w:tcW w:w="758" w:type="pct"/>
                  <w:tcBorders>
                    <w:tl2br w:val="nil"/>
                    <w:tr2bl w:val="nil"/>
                  </w:tcBorders>
                  <w:noWrap w:val="0"/>
                  <w:vAlign w:val="center"/>
                </w:tcPr>
                <w:p w14:paraId="288E2C37">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非甲烷总烃</w:t>
                  </w:r>
                </w:p>
              </w:tc>
              <w:tc>
                <w:tcPr>
                  <w:tcW w:w="804" w:type="pct"/>
                  <w:tcBorders>
                    <w:tl2br w:val="nil"/>
                    <w:tr2bl w:val="nil"/>
                  </w:tcBorders>
                  <w:noWrap w:val="0"/>
                  <w:vAlign w:val="center"/>
                </w:tcPr>
                <w:p w14:paraId="2DB7E6DE">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60</w:t>
                  </w:r>
                </w:p>
              </w:tc>
              <w:tc>
                <w:tcPr>
                  <w:tcW w:w="583" w:type="pct"/>
                  <w:vMerge w:val="restart"/>
                  <w:tcBorders>
                    <w:tl2br w:val="nil"/>
                    <w:tr2bl w:val="nil"/>
                  </w:tcBorders>
                  <w:noWrap w:val="0"/>
                  <w:vAlign w:val="center"/>
                </w:tcPr>
                <w:p w14:paraId="2D28497F">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15</w:t>
                  </w:r>
                </w:p>
              </w:tc>
              <w:tc>
                <w:tcPr>
                  <w:tcW w:w="952" w:type="pct"/>
                  <w:tcBorders>
                    <w:tl2br w:val="nil"/>
                    <w:tr2bl w:val="nil"/>
                  </w:tcBorders>
                  <w:noWrap w:val="0"/>
                  <w:vAlign w:val="center"/>
                </w:tcPr>
                <w:p w14:paraId="2CA6CFBE">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2.5</w:t>
                  </w:r>
                </w:p>
              </w:tc>
              <w:tc>
                <w:tcPr>
                  <w:tcW w:w="1384" w:type="pct"/>
                  <w:vMerge w:val="restart"/>
                  <w:tcBorders>
                    <w:top w:val="single" w:color="auto" w:sz="4" w:space="0"/>
                    <w:tl2br w:val="nil"/>
                    <w:tr2bl w:val="nil"/>
                  </w:tcBorders>
                  <w:noWrap w:val="0"/>
                  <w:vAlign w:val="center"/>
                </w:tcPr>
                <w:p w14:paraId="67EA7B20">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《工业涂装工序挥发性有机物排放标准》</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DB35/1783-2018</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表1涉涂装工序的其它行业</w:t>
                  </w:r>
                </w:p>
              </w:tc>
            </w:tr>
            <w:tr w14:paraId="5051E7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44224423">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eastAsia" w:ascii="Times New Roman" w:hAnsi="Times New Roman"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7D384E96">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甲苯</w:t>
                  </w:r>
                </w:p>
              </w:tc>
              <w:tc>
                <w:tcPr>
                  <w:tcW w:w="804" w:type="pct"/>
                  <w:tcBorders>
                    <w:tl2br w:val="nil"/>
                    <w:tr2bl w:val="nil"/>
                  </w:tcBorders>
                  <w:noWrap w:val="0"/>
                  <w:vAlign w:val="center"/>
                </w:tcPr>
                <w:p w14:paraId="50A1FB19">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5</w:t>
                  </w:r>
                </w:p>
              </w:tc>
              <w:tc>
                <w:tcPr>
                  <w:tcW w:w="583" w:type="pct"/>
                  <w:vMerge w:val="continue"/>
                  <w:tcBorders>
                    <w:tl2br w:val="nil"/>
                    <w:tr2bl w:val="nil"/>
                  </w:tcBorders>
                  <w:noWrap w:val="0"/>
                  <w:vAlign w:val="center"/>
                </w:tcPr>
                <w:p w14:paraId="38E7BA08">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5"/>
                      <w:sz w:val="21"/>
                      <w:szCs w:val="21"/>
                      <w14:textFill>
                        <w14:solidFill>
                          <w14:schemeClr w14:val="tx1"/>
                        </w14:solidFill>
                      </w14:textFill>
                    </w:rPr>
                  </w:pPr>
                </w:p>
              </w:tc>
              <w:tc>
                <w:tcPr>
                  <w:tcW w:w="952" w:type="pct"/>
                  <w:tcBorders>
                    <w:tl2br w:val="nil"/>
                    <w:tr2bl w:val="nil"/>
                  </w:tcBorders>
                  <w:noWrap w:val="0"/>
                  <w:vAlign w:val="center"/>
                </w:tcPr>
                <w:p w14:paraId="1C335040">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2"/>
                      <w:sz w:val="21"/>
                      <w:szCs w:val="21"/>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0.6</w:t>
                  </w:r>
                </w:p>
              </w:tc>
              <w:tc>
                <w:tcPr>
                  <w:tcW w:w="1384" w:type="pct"/>
                  <w:vMerge w:val="continue"/>
                  <w:tcBorders>
                    <w:tl2br w:val="nil"/>
                    <w:tr2bl w:val="nil"/>
                  </w:tcBorders>
                  <w:noWrap w:val="0"/>
                  <w:vAlign w:val="center"/>
                </w:tcPr>
                <w:p w14:paraId="008C3F2A">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550DE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0A2DB1F3">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eastAsia" w:ascii="Times New Roman" w:hAnsi="Times New Roman"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6F1ACA8F">
                  <w:pPr>
                    <w:pStyle w:val="132"/>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颗粒物</w:t>
                  </w:r>
                </w:p>
              </w:tc>
              <w:tc>
                <w:tcPr>
                  <w:tcW w:w="804" w:type="pct"/>
                  <w:tcBorders>
                    <w:tl2br w:val="nil"/>
                    <w:tr2bl w:val="nil"/>
                  </w:tcBorders>
                  <w:noWrap w:val="0"/>
                  <w:vAlign w:val="center"/>
                </w:tcPr>
                <w:p w14:paraId="6AB33F56">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0</w:t>
                  </w:r>
                </w:p>
              </w:tc>
              <w:tc>
                <w:tcPr>
                  <w:tcW w:w="583" w:type="pct"/>
                  <w:vMerge w:val="continue"/>
                  <w:tcBorders>
                    <w:tl2br w:val="nil"/>
                    <w:tr2bl w:val="nil"/>
                  </w:tcBorders>
                  <w:noWrap w:val="0"/>
                  <w:vAlign w:val="center"/>
                </w:tcPr>
                <w:p w14:paraId="352C21EB">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noWrap w:val="0"/>
                  <w:vAlign w:val="center"/>
                </w:tcPr>
                <w:p w14:paraId="1296E889">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vMerge w:val="restart"/>
                  <w:tcBorders>
                    <w:top w:val="single" w:color="auto" w:sz="4" w:space="0"/>
                    <w:tl2br w:val="nil"/>
                    <w:tr2bl w:val="nil"/>
                  </w:tcBorders>
                  <w:noWrap w:val="0"/>
                  <w:vAlign w:val="center"/>
                </w:tcPr>
                <w:p w14:paraId="6976CB17">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《福建省工业炉窑大气污染综合治理方案》（闽环保大气〔2019〕10号）</w:t>
                  </w:r>
                </w:p>
              </w:tc>
            </w:tr>
            <w:tr w14:paraId="346B7E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2F58BC33">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eastAsia" w:ascii="Times New Roman" w:hAnsi="Times New Roman"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2656B25A">
                  <w:pPr>
                    <w:pStyle w:val="132"/>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二氧化硫</w:t>
                  </w:r>
                </w:p>
              </w:tc>
              <w:tc>
                <w:tcPr>
                  <w:tcW w:w="804" w:type="pct"/>
                  <w:tcBorders>
                    <w:tl2br w:val="nil"/>
                    <w:tr2bl w:val="nil"/>
                  </w:tcBorders>
                  <w:noWrap w:val="0"/>
                  <w:vAlign w:val="center"/>
                </w:tcPr>
                <w:p w14:paraId="488BFBB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pacing w:val="0"/>
                      <w:sz w:val="21"/>
                      <w:szCs w:val="21"/>
                      <w14:textFill>
                        <w14:solidFill>
                          <w14:schemeClr w14:val="tx1"/>
                        </w14:solidFill>
                      </w14:textFill>
                    </w:rPr>
                    <w:t>0</w:t>
                  </w:r>
                </w:p>
              </w:tc>
              <w:tc>
                <w:tcPr>
                  <w:tcW w:w="583" w:type="pct"/>
                  <w:vMerge w:val="continue"/>
                  <w:tcBorders>
                    <w:tl2br w:val="nil"/>
                    <w:tr2bl w:val="nil"/>
                  </w:tcBorders>
                  <w:noWrap w:val="0"/>
                  <w:vAlign w:val="center"/>
                </w:tcPr>
                <w:p w14:paraId="63708A46">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noWrap w:val="0"/>
                  <w:vAlign w:val="center"/>
                </w:tcPr>
                <w:p w14:paraId="5317149B">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vMerge w:val="continue"/>
                  <w:tcBorders>
                    <w:tl2br w:val="nil"/>
                    <w:tr2bl w:val="nil"/>
                  </w:tcBorders>
                  <w:noWrap w:val="0"/>
                  <w:vAlign w:val="center"/>
                </w:tcPr>
                <w:p w14:paraId="310A9754">
                  <w:pPr>
                    <w:pStyle w:val="95"/>
                    <w:keepNext w:val="0"/>
                    <w:keepLines w:val="0"/>
                    <w:pageBreakBefore w:val="0"/>
                    <w:widowControl w:val="0"/>
                    <w:kinsoku/>
                    <w:wordWrap/>
                    <w:overflowPunct/>
                    <w:topLinePunct w:val="0"/>
                    <w:autoSpaceDE/>
                    <w:autoSpaceDN/>
                    <w:bidi w:val="0"/>
                    <w:adjustRightInd/>
                    <w:snapToGrid/>
                    <w:spacing w:after="0" w:line="260" w:lineRule="exact"/>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he-IL"/>
                      <w14:textFill>
                        <w14:solidFill>
                          <w14:schemeClr w14:val="tx1"/>
                        </w14:solidFill>
                      </w14:textFill>
                    </w:rPr>
                  </w:pPr>
                </w:p>
              </w:tc>
            </w:tr>
            <w:tr w14:paraId="4DD57D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7" w:type="pct"/>
                  <w:vMerge w:val="continue"/>
                  <w:tcBorders>
                    <w:tl2br w:val="nil"/>
                    <w:tr2bl w:val="nil"/>
                  </w:tcBorders>
                  <w:noWrap w:val="0"/>
                  <w:vAlign w:val="center"/>
                </w:tcPr>
                <w:p w14:paraId="18703E37">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eastAsia" w:ascii="Times New Roman" w:hAnsi="Times New Roman"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5B22FAEF">
                  <w:pPr>
                    <w:pStyle w:val="132"/>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氮氧化物</w:t>
                  </w:r>
                </w:p>
              </w:tc>
              <w:tc>
                <w:tcPr>
                  <w:tcW w:w="804" w:type="pct"/>
                  <w:tcBorders>
                    <w:tl2br w:val="nil"/>
                    <w:tr2bl w:val="nil"/>
                  </w:tcBorders>
                  <w:noWrap w:val="0"/>
                  <w:vAlign w:val="center"/>
                </w:tcPr>
                <w:p w14:paraId="52F56BB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pacing w:val="0"/>
                      <w:sz w:val="21"/>
                      <w:szCs w:val="21"/>
                      <w14:textFill>
                        <w14:solidFill>
                          <w14:schemeClr w14:val="tx1"/>
                        </w14:solidFill>
                      </w14:textFill>
                    </w:rPr>
                    <w:t>0</w:t>
                  </w:r>
                </w:p>
              </w:tc>
              <w:tc>
                <w:tcPr>
                  <w:tcW w:w="583" w:type="pct"/>
                  <w:vMerge w:val="continue"/>
                  <w:tcBorders>
                    <w:tl2br w:val="nil"/>
                    <w:tr2bl w:val="nil"/>
                  </w:tcBorders>
                  <w:noWrap w:val="0"/>
                  <w:vAlign w:val="center"/>
                </w:tcPr>
                <w:p w14:paraId="62831BA5">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noWrap w:val="0"/>
                  <w:vAlign w:val="center"/>
                </w:tcPr>
                <w:p w14:paraId="273EC4D9">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vMerge w:val="continue"/>
                  <w:tcBorders>
                    <w:tl2br w:val="nil"/>
                    <w:tr2bl w:val="nil"/>
                  </w:tcBorders>
                  <w:noWrap w:val="0"/>
                  <w:vAlign w:val="center"/>
                </w:tcPr>
                <w:p w14:paraId="4F558679">
                  <w:pPr>
                    <w:pStyle w:val="95"/>
                    <w:keepNext w:val="0"/>
                    <w:keepLines w:val="0"/>
                    <w:pageBreakBefore w:val="0"/>
                    <w:widowControl w:val="0"/>
                    <w:kinsoku/>
                    <w:wordWrap/>
                    <w:overflowPunct/>
                    <w:topLinePunct w:val="0"/>
                    <w:autoSpaceDE/>
                    <w:autoSpaceDN/>
                    <w:bidi w:val="0"/>
                    <w:adjustRightInd/>
                    <w:snapToGrid/>
                    <w:spacing w:after="0" w:line="260" w:lineRule="exact"/>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he-IL"/>
                      <w14:textFill>
                        <w14:solidFill>
                          <w14:schemeClr w14:val="tx1"/>
                        </w14:solidFill>
                      </w14:textFill>
                    </w:rPr>
                  </w:pPr>
                </w:p>
              </w:tc>
            </w:tr>
            <w:tr w14:paraId="4A5C2E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2B7CD60D">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eastAsia" w:ascii="Times New Roman" w:hAnsi="Times New Roman"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6B13F970">
                  <w:pPr>
                    <w:pStyle w:val="132"/>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林格曼黑度</w:t>
                  </w:r>
                </w:p>
              </w:tc>
              <w:tc>
                <w:tcPr>
                  <w:tcW w:w="804" w:type="pct"/>
                  <w:tcBorders>
                    <w:tl2br w:val="nil"/>
                    <w:tr2bl w:val="nil"/>
                  </w:tcBorders>
                  <w:noWrap w:val="0"/>
                  <w:vAlign w:val="center"/>
                </w:tcPr>
                <w:p w14:paraId="50BCAE07">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级</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tc>
              <w:tc>
                <w:tcPr>
                  <w:tcW w:w="583" w:type="pct"/>
                  <w:vMerge w:val="continue"/>
                  <w:tcBorders>
                    <w:tl2br w:val="nil"/>
                    <w:tr2bl w:val="nil"/>
                  </w:tcBorders>
                  <w:noWrap w:val="0"/>
                  <w:vAlign w:val="center"/>
                </w:tcPr>
                <w:p w14:paraId="7B0D76BE">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noWrap w:val="0"/>
                  <w:vAlign w:val="center"/>
                </w:tcPr>
                <w:p w14:paraId="5F7F2F8C">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tcBorders>
                    <w:top w:val="single" w:color="auto" w:sz="4" w:space="0"/>
                    <w:tl2br w:val="nil"/>
                    <w:tr2bl w:val="nil"/>
                  </w:tcBorders>
                  <w:noWrap w:val="0"/>
                  <w:vAlign w:val="center"/>
                </w:tcPr>
                <w:p w14:paraId="242E0E82">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《工业炉窑大气污染物排放标准》（GB9078-1996）</w:t>
                  </w:r>
                </w:p>
              </w:tc>
            </w:tr>
            <w:tr w14:paraId="385221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restart"/>
                  <w:tcBorders>
                    <w:tl2br w:val="nil"/>
                    <w:tr2bl w:val="nil"/>
                  </w:tcBorders>
                  <w:noWrap w:val="0"/>
                  <w:vAlign w:val="center"/>
                </w:tcPr>
                <w:p w14:paraId="2F9E4B79">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lang w:val="en-US"/>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DA00</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5</w:t>
                  </w:r>
                </w:p>
              </w:tc>
              <w:tc>
                <w:tcPr>
                  <w:tcW w:w="758" w:type="pct"/>
                  <w:tcBorders>
                    <w:tl2br w:val="nil"/>
                    <w:tr2bl w:val="nil"/>
                  </w:tcBorders>
                  <w:noWrap w:val="0"/>
                  <w:vAlign w:val="center"/>
                </w:tcPr>
                <w:p w14:paraId="2921EA5A">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非甲烷总烃</w:t>
                  </w:r>
                </w:p>
              </w:tc>
              <w:tc>
                <w:tcPr>
                  <w:tcW w:w="804" w:type="pct"/>
                  <w:tcBorders>
                    <w:tl2br w:val="nil"/>
                    <w:tr2bl w:val="nil"/>
                  </w:tcBorders>
                  <w:noWrap w:val="0"/>
                  <w:vAlign w:val="center"/>
                </w:tcPr>
                <w:p w14:paraId="4B88770B">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60</w:t>
                  </w:r>
                </w:p>
              </w:tc>
              <w:tc>
                <w:tcPr>
                  <w:tcW w:w="583" w:type="pct"/>
                  <w:vMerge w:val="restart"/>
                  <w:tcBorders>
                    <w:tl2br w:val="nil"/>
                    <w:tr2bl w:val="nil"/>
                  </w:tcBorders>
                  <w:noWrap w:val="0"/>
                  <w:vAlign w:val="center"/>
                </w:tcPr>
                <w:p w14:paraId="6BBF60E1">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15</w:t>
                  </w:r>
                </w:p>
              </w:tc>
              <w:tc>
                <w:tcPr>
                  <w:tcW w:w="952" w:type="pct"/>
                  <w:tcBorders>
                    <w:tl2br w:val="nil"/>
                    <w:tr2bl w:val="nil"/>
                  </w:tcBorders>
                  <w:noWrap w:val="0"/>
                  <w:vAlign w:val="center"/>
                </w:tcPr>
                <w:p w14:paraId="09F37F6E">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2.5</w:t>
                  </w:r>
                </w:p>
              </w:tc>
              <w:tc>
                <w:tcPr>
                  <w:tcW w:w="1384" w:type="pct"/>
                  <w:tcBorders>
                    <w:top w:val="single" w:color="auto" w:sz="4" w:space="0"/>
                    <w:bottom w:val="single" w:color="auto" w:sz="4" w:space="0"/>
                    <w:tl2br w:val="nil"/>
                    <w:tr2bl w:val="nil"/>
                  </w:tcBorders>
                  <w:noWrap w:val="0"/>
                  <w:vAlign w:val="center"/>
                </w:tcPr>
                <w:p w14:paraId="51E78186">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《工业涂装工序挥发性有机物排放标准》</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DB35/1783-2018</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表1涉涂装工序的其它行业</w:t>
                  </w:r>
                </w:p>
              </w:tc>
            </w:tr>
            <w:tr w14:paraId="78BD0A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6A5608FB">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2C0FCE92">
                  <w:pPr>
                    <w:pStyle w:val="132"/>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颗粒物</w:t>
                  </w:r>
                </w:p>
              </w:tc>
              <w:tc>
                <w:tcPr>
                  <w:tcW w:w="804" w:type="pct"/>
                  <w:tcBorders>
                    <w:tl2br w:val="nil"/>
                    <w:tr2bl w:val="nil"/>
                  </w:tcBorders>
                  <w:noWrap w:val="0"/>
                  <w:vAlign w:val="center"/>
                </w:tcPr>
                <w:p w14:paraId="255089D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0</w:t>
                  </w:r>
                </w:p>
              </w:tc>
              <w:tc>
                <w:tcPr>
                  <w:tcW w:w="583" w:type="pct"/>
                  <w:vMerge w:val="continue"/>
                  <w:tcBorders>
                    <w:tl2br w:val="nil"/>
                    <w:tr2bl w:val="nil"/>
                  </w:tcBorders>
                  <w:noWrap w:val="0"/>
                  <w:vAlign w:val="center"/>
                </w:tcPr>
                <w:p w14:paraId="059BB2F6">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noWrap w:val="0"/>
                  <w:vAlign w:val="center"/>
                </w:tcPr>
                <w:p w14:paraId="011ECCE2">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vMerge w:val="restart"/>
                  <w:tcBorders>
                    <w:top w:val="single" w:color="auto" w:sz="4" w:space="0"/>
                    <w:tl2br w:val="nil"/>
                    <w:tr2bl w:val="nil"/>
                  </w:tcBorders>
                  <w:noWrap w:val="0"/>
                  <w:vAlign w:val="center"/>
                </w:tcPr>
                <w:p w14:paraId="59FCF1C0">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《福建省工业炉窑大气污染综合治理方案》（闽环保大气〔2019〕10号）</w:t>
                  </w:r>
                </w:p>
              </w:tc>
            </w:tr>
            <w:tr w14:paraId="231C87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23F08544">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1086026F">
                  <w:pPr>
                    <w:pStyle w:val="132"/>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二氧化硫</w:t>
                  </w:r>
                </w:p>
              </w:tc>
              <w:tc>
                <w:tcPr>
                  <w:tcW w:w="804" w:type="pct"/>
                  <w:tcBorders>
                    <w:tl2br w:val="nil"/>
                    <w:tr2bl w:val="nil"/>
                  </w:tcBorders>
                  <w:noWrap w:val="0"/>
                  <w:vAlign w:val="center"/>
                </w:tcPr>
                <w:p w14:paraId="4923C565">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pacing w:val="0"/>
                      <w:sz w:val="21"/>
                      <w:szCs w:val="21"/>
                      <w14:textFill>
                        <w14:solidFill>
                          <w14:schemeClr w14:val="tx1"/>
                        </w14:solidFill>
                      </w14:textFill>
                    </w:rPr>
                    <w:t>0</w:t>
                  </w:r>
                </w:p>
              </w:tc>
              <w:tc>
                <w:tcPr>
                  <w:tcW w:w="583" w:type="pct"/>
                  <w:vMerge w:val="continue"/>
                  <w:tcBorders>
                    <w:tl2br w:val="nil"/>
                    <w:tr2bl w:val="nil"/>
                  </w:tcBorders>
                  <w:noWrap w:val="0"/>
                  <w:vAlign w:val="center"/>
                </w:tcPr>
                <w:p w14:paraId="7380167C">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noWrap w:val="0"/>
                  <w:vAlign w:val="center"/>
                </w:tcPr>
                <w:p w14:paraId="27CD9D95">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vMerge w:val="continue"/>
                  <w:tcBorders>
                    <w:tl2br w:val="nil"/>
                    <w:tr2bl w:val="nil"/>
                  </w:tcBorders>
                  <w:noWrap w:val="0"/>
                  <w:vAlign w:val="center"/>
                </w:tcPr>
                <w:p w14:paraId="1D54063C">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E3382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4D10986B">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06EB0B05">
                  <w:pPr>
                    <w:pStyle w:val="132"/>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氮氧化物</w:t>
                  </w:r>
                </w:p>
              </w:tc>
              <w:tc>
                <w:tcPr>
                  <w:tcW w:w="804" w:type="pct"/>
                  <w:tcBorders>
                    <w:tl2br w:val="nil"/>
                    <w:tr2bl w:val="nil"/>
                  </w:tcBorders>
                  <w:noWrap w:val="0"/>
                  <w:vAlign w:val="center"/>
                </w:tcPr>
                <w:p w14:paraId="5BFAE9E0">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pacing w:val="0"/>
                      <w:sz w:val="21"/>
                      <w:szCs w:val="21"/>
                      <w14:textFill>
                        <w14:solidFill>
                          <w14:schemeClr w14:val="tx1"/>
                        </w14:solidFill>
                      </w14:textFill>
                    </w:rPr>
                    <w:t>0</w:t>
                  </w:r>
                </w:p>
              </w:tc>
              <w:tc>
                <w:tcPr>
                  <w:tcW w:w="583" w:type="pct"/>
                  <w:vMerge w:val="continue"/>
                  <w:tcBorders>
                    <w:tl2br w:val="nil"/>
                    <w:tr2bl w:val="nil"/>
                  </w:tcBorders>
                  <w:noWrap w:val="0"/>
                  <w:vAlign w:val="center"/>
                </w:tcPr>
                <w:p w14:paraId="7B67C5E5">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noWrap w:val="0"/>
                  <w:vAlign w:val="center"/>
                </w:tcPr>
                <w:p w14:paraId="25739E6A">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vMerge w:val="continue"/>
                  <w:tcBorders>
                    <w:bottom w:val="single" w:color="auto" w:sz="4" w:space="0"/>
                    <w:tl2br w:val="nil"/>
                    <w:tr2bl w:val="nil"/>
                  </w:tcBorders>
                  <w:noWrap w:val="0"/>
                  <w:vAlign w:val="center"/>
                </w:tcPr>
                <w:p w14:paraId="57757DB3">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42A4FE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41AF09D2">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783134CC">
                  <w:pPr>
                    <w:pStyle w:val="132"/>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林格曼黑度</w:t>
                  </w:r>
                </w:p>
              </w:tc>
              <w:tc>
                <w:tcPr>
                  <w:tcW w:w="804" w:type="pct"/>
                  <w:tcBorders>
                    <w:tl2br w:val="nil"/>
                    <w:tr2bl w:val="nil"/>
                  </w:tcBorders>
                  <w:noWrap w:val="0"/>
                  <w:vAlign w:val="center"/>
                </w:tcPr>
                <w:p w14:paraId="0A729929">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级</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tc>
              <w:tc>
                <w:tcPr>
                  <w:tcW w:w="583" w:type="pct"/>
                  <w:vMerge w:val="continue"/>
                  <w:tcBorders>
                    <w:tl2br w:val="nil"/>
                    <w:tr2bl w:val="nil"/>
                  </w:tcBorders>
                  <w:noWrap w:val="0"/>
                  <w:vAlign w:val="center"/>
                </w:tcPr>
                <w:p w14:paraId="7D7AE024">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noWrap w:val="0"/>
                  <w:vAlign w:val="center"/>
                </w:tcPr>
                <w:p w14:paraId="482588BC">
                  <w:pPr>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tcBorders>
                    <w:top w:val="single" w:color="auto" w:sz="4" w:space="0"/>
                    <w:bottom w:val="single" w:color="auto" w:sz="4" w:space="0"/>
                    <w:tl2br w:val="nil"/>
                    <w:tr2bl w:val="nil"/>
                  </w:tcBorders>
                  <w:noWrap w:val="0"/>
                  <w:vAlign w:val="center"/>
                </w:tcPr>
                <w:p w14:paraId="315ABC25">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《工业炉窑大气污染物排放标准》（GB9078-1996）</w:t>
                  </w:r>
                </w:p>
              </w:tc>
            </w:tr>
            <w:tr w14:paraId="24C428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restart"/>
                  <w:tcBorders>
                    <w:tl2br w:val="nil"/>
                    <w:tr2bl w:val="nil"/>
                  </w:tcBorders>
                  <w:noWrap w:val="0"/>
                  <w:vAlign w:val="center"/>
                </w:tcPr>
                <w:p w14:paraId="56D59BDD">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DA006</w:t>
                  </w:r>
                </w:p>
              </w:tc>
              <w:tc>
                <w:tcPr>
                  <w:tcW w:w="758" w:type="pct"/>
                  <w:tcBorders>
                    <w:tl2br w:val="nil"/>
                    <w:tr2bl w:val="nil"/>
                  </w:tcBorders>
                  <w:noWrap w:val="0"/>
                  <w:vAlign w:val="center"/>
                </w:tcPr>
                <w:p w14:paraId="2055C661">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颗粒物</w:t>
                  </w:r>
                </w:p>
              </w:tc>
              <w:tc>
                <w:tcPr>
                  <w:tcW w:w="804" w:type="pct"/>
                  <w:tcBorders>
                    <w:tl2br w:val="nil"/>
                    <w:tr2bl w:val="nil"/>
                  </w:tcBorders>
                  <w:noWrap w:val="0"/>
                  <w:vAlign w:val="center"/>
                </w:tcPr>
                <w:p w14:paraId="489B1D13">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20</w:t>
                  </w:r>
                </w:p>
              </w:tc>
              <w:tc>
                <w:tcPr>
                  <w:tcW w:w="583" w:type="pct"/>
                  <w:vMerge w:val="restart"/>
                  <w:tcBorders>
                    <w:tl2br w:val="nil"/>
                    <w:tr2bl w:val="nil"/>
                  </w:tcBorders>
                  <w:noWrap w:val="0"/>
                  <w:vAlign w:val="center"/>
                </w:tcPr>
                <w:p w14:paraId="69C47E08">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15</w:t>
                  </w:r>
                </w:p>
              </w:tc>
              <w:tc>
                <w:tcPr>
                  <w:tcW w:w="952" w:type="pct"/>
                  <w:tcBorders>
                    <w:tl2br w:val="nil"/>
                    <w:tr2bl w:val="nil"/>
                  </w:tcBorders>
                  <w:noWrap w:val="0"/>
                  <w:vAlign w:val="center"/>
                </w:tcPr>
                <w:p w14:paraId="25FA02F0">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vMerge w:val="restart"/>
                  <w:tcBorders>
                    <w:top w:val="single" w:color="auto" w:sz="4" w:space="0"/>
                    <w:tl2br w:val="nil"/>
                    <w:tr2bl w:val="nil"/>
                  </w:tcBorders>
                  <w:noWrap w:val="0"/>
                  <w:vAlign w:val="center"/>
                </w:tcPr>
                <w:p w14:paraId="46CB44D5">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《锅炉大气污染物排放标准》GB13271-2014）表</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w:t>
                  </w:r>
                  <w:r>
                    <w:rPr>
                      <w:rFonts w:hint="default" w:ascii="Times New Roman" w:hAnsi="Times New Roman" w:cs="Times New Roman"/>
                      <w:color w:val="000000" w:themeColor="text1"/>
                      <w:sz w:val="21"/>
                      <w:szCs w:val="21"/>
                      <w:lang w:val="en-US" w:eastAsia="zh-CN"/>
                      <w14:textFill>
                        <w14:solidFill>
                          <w14:schemeClr w14:val="tx1"/>
                        </w14:solidFill>
                      </w14:textFill>
                    </w:rPr>
                    <w:t>特别</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排放限值中“燃气锅炉”标准</w:t>
                  </w:r>
                </w:p>
              </w:tc>
            </w:tr>
            <w:tr w14:paraId="3BB891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0F3A73A3">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eastAsia" w:ascii="Times New Roman" w:hAnsi="Times New Roman"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5504BA78">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eastAsia" w:ascii="Times New Roman" w:hAnsi="Times New Roman"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SO</w:t>
                  </w:r>
                  <w:r>
                    <w:rPr>
                      <w:rFonts w:hint="eastAsia" w:ascii="Times New Roman" w:hAnsi="Times New Roman" w:eastAsia="宋体"/>
                      <w:color w:val="000000" w:themeColor="text1"/>
                      <w:sz w:val="21"/>
                      <w:szCs w:val="21"/>
                      <w:vertAlign w:val="subscript"/>
                      <w:lang w:val="en-US" w:eastAsia="zh-CN"/>
                      <w14:textFill>
                        <w14:solidFill>
                          <w14:schemeClr w14:val="tx1"/>
                        </w14:solidFill>
                      </w14:textFill>
                    </w:rPr>
                    <w:t>2</w:t>
                  </w:r>
                </w:p>
              </w:tc>
              <w:tc>
                <w:tcPr>
                  <w:tcW w:w="804" w:type="pct"/>
                  <w:tcBorders>
                    <w:tl2br w:val="nil"/>
                    <w:tr2bl w:val="nil"/>
                  </w:tcBorders>
                  <w:noWrap w:val="0"/>
                  <w:vAlign w:val="center"/>
                </w:tcPr>
                <w:p w14:paraId="72ED69D5">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50</w:t>
                  </w:r>
                </w:p>
              </w:tc>
              <w:tc>
                <w:tcPr>
                  <w:tcW w:w="583" w:type="pct"/>
                  <w:vMerge w:val="continue"/>
                  <w:tcBorders>
                    <w:tl2br w:val="nil"/>
                    <w:tr2bl w:val="nil"/>
                  </w:tcBorders>
                  <w:noWrap w:val="0"/>
                  <w:vAlign w:val="center"/>
                </w:tcPr>
                <w:p w14:paraId="578B7B06">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noWrap w:val="0"/>
                  <w:vAlign w:val="center"/>
                </w:tcPr>
                <w:p w14:paraId="64F25F2B">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vMerge w:val="continue"/>
                  <w:tcBorders>
                    <w:tl2br w:val="nil"/>
                    <w:tr2bl w:val="nil"/>
                  </w:tcBorders>
                  <w:noWrap w:val="0"/>
                  <w:vAlign w:val="center"/>
                </w:tcPr>
                <w:p w14:paraId="06B18F76">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562963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433F757B">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eastAsia" w:ascii="Times New Roman" w:hAnsi="Times New Roman"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112127FF">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NOx</w:t>
                  </w:r>
                </w:p>
              </w:tc>
              <w:tc>
                <w:tcPr>
                  <w:tcW w:w="804" w:type="pct"/>
                  <w:tcBorders>
                    <w:tl2br w:val="nil"/>
                    <w:tr2bl w:val="nil"/>
                  </w:tcBorders>
                  <w:noWrap w:val="0"/>
                  <w:vAlign w:val="center"/>
                </w:tcPr>
                <w:p w14:paraId="1BA55221">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150</w:t>
                  </w:r>
                </w:p>
              </w:tc>
              <w:tc>
                <w:tcPr>
                  <w:tcW w:w="583" w:type="pct"/>
                  <w:vMerge w:val="continue"/>
                  <w:tcBorders>
                    <w:tl2br w:val="nil"/>
                    <w:tr2bl w:val="nil"/>
                  </w:tcBorders>
                  <w:noWrap w:val="0"/>
                  <w:vAlign w:val="center"/>
                </w:tcPr>
                <w:p w14:paraId="5F93D894">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noWrap w:val="0"/>
                  <w:vAlign w:val="center"/>
                </w:tcPr>
                <w:p w14:paraId="5C76E24D">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vMerge w:val="continue"/>
                  <w:tcBorders>
                    <w:tl2br w:val="nil"/>
                    <w:tr2bl w:val="nil"/>
                  </w:tcBorders>
                  <w:noWrap w:val="0"/>
                  <w:vAlign w:val="center"/>
                </w:tcPr>
                <w:p w14:paraId="7E879C7F">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4A0FDE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64FAA36C">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eastAsia" w:ascii="Times New Roman" w:hAnsi="Times New Roman"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noWrap w:val="0"/>
                  <w:vAlign w:val="center"/>
                </w:tcPr>
                <w:p w14:paraId="6DCD4430">
                  <w:pPr>
                    <w:pStyle w:val="132"/>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eastAsia"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林格曼黑度</w:t>
                  </w:r>
                </w:p>
              </w:tc>
              <w:tc>
                <w:tcPr>
                  <w:tcW w:w="804" w:type="pct"/>
                  <w:tcBorders>
                    <w:tl2br w:val="nil"/>
                    <w:tr2bl w:val="nil"/>
                  </w:tcBorders>
                  <w:noWrap w:val="0"/>
                  <w:vAlign w:val="center"/>
                </w:tcPr>
                <w:p w14:paraId="3E032AFD">
                  <w:pPr>
                    <w:keepNext w:val="0"/>
                    <w:keepLines w:val="0"/>
                    <w:pageBreakBefore w:val="0"/>
                    <w:widowControl w:val="0"/>
                    <w:kinsoku/>
                    <w:wordWrap/>
                    <w:overflowPunct/>
                    <w:topLinePunct w:val="0"/>
                    <w:autoSpaceDE/>
                    <w:autoSpaceDN/>
                    <w:bidi w:val="0"/>
                    <w:adjustRightInd/>
                    <w:snapToGrid/>
                    <w:spacing w:line="260" w:lineRule="exact"/>
                    <w:ind w:left="0" w:leftChars="0"/>
                    <w:jc w:val="center"/>
                    <w:textAlignment w:val="auto"/>
                    <w:rPr>
                      <w:rFonts w:hint="eastAsia"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级</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tc>
              <w:tc>
                <w:tcPr>
                  <w:tcW w:w="583" w:type="pct"/>
                  <w:vMerge w:val="continue"/>
                  <w:tcBorders>
                    <w:tl2br w:val="nil"/>
                    <w:tr2bl w:val="nil"/>
                  </w:tcBorders>
                  <w:noWrap w:val="0"/>
                  <w:vAlign w:val="center"/>
                </w:tcPr>
                <w:p w14:paraId="76120CD0">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noWrap w:val="0"/>
                  <w:vAlign w:val="center"/>
                </w:tcPr>
                <w:p w14:paraId="2F09D6C3">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eastAsia"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384" w:type="pct"/>
                  <w:vMerge w:val="continue"/>
                  <w:tcBorders>
                    <w:tl2br w:val="nil"/>
                    <w:tr2bl w:val="nil"/>
                  </w:tcBorders>
                  <w:noWrap w:val="0"/>
                  <w:vAlign w:val="center"/>
                </w:tcPr>
                <w:p w14:paraId="70EF2E34">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4954BB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tcBorders>
                    <w:tl2br w:val="nil"/>
                    <w:tr2bl w:val="nil"/>
                  </w:tcBorders>
                  <w:noWrap w:val="0"/>
                  <w:vAlign w:val="center"/>
                </w:tcPr>
                <w:p w14:paraId="25B4C430">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eastAsia" w:ascii="Times New Roman" w:hAnsi="Times New Roman"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DA007</w:t>
                  </w:r>
                </w:p>
              </w:tc>
              <w:tc>
                <w:tcPr>
                  <w:tcW w:w="758" w:type="pct"/>
                  <w:tcBorders>
                    <w:tl2br w:val="nil"/>
                    <w:tr2bl w:val="nil"/>
                  </w:tcBorders>
                  <w:noWrap w:val="0"/>
                  <w:vAlign w:val="center"/>
                </w:tcPr>
                <w:p w14:paraId="78EB2CA0">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eastAsia"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颗粒物</w:t>
                  </w:r>
                </w:p>
              </w:tc>
              <w:tc>
                <w:tcPr>
                  <w:tcW w:w="804" w:type="pct"/>
                  <w:tcBorders>
                    <w:tl2br w:val="nil"/>
                    <w:tr2bl w:val="nil"/>
                  </w:tcBorders>
                  <w:noWrap w:val="0"/>
                  <w:vAlign w:val="center"/>
                </w:tcPr>
                <w:p w14:paraId="5CDFF6B9">
                  <w:pPr>
                    <w:pStyle w:val="155"/>
                    <w:keepNext w:val="0"/>
                    <w:keepLines w:val="0"/>
                    <w:pageBreakBefore w:val="0"/>
                    <w:kinsoku/>
                    <w:wordWrap/>
                    <w:overflowPunct/>
                    <w:topLinePunct w:val="0"/>
                    <w:autoSpaceDE/>
                    <w:autoSpaceDN/>
                    <w:bidi w:val="0"/>
                    <w:adjustRightInd/>
                    <w:snapToGrid/>
                    <w:spacing w:line="260" w:lineRule="exact"/>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120</w:t>
                  </w:r>
                </w:p>
              </w:tc>
              <w:tc>
                <w:tcPr>
                  <w:tcW w:w="583" w:type="pct"/>
                  <w:tcBorders>
                    <w:tl2br w:val="nil"/>
                    <w:tr2bl w:val="nil"/>
                  </w:tcBorders>
                  <w:noWrap w:val="0"/>
                  <w:vAlign w:val="center"/>
                </w:tcPr>
                <w:p w14:paraId="7CCF0427">
                  <w:pPr>
                    <w:pStyle w:val="155"/>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eastAsia" w:eastAsia="宋体" w:cs="Times New Roman"/>
                      <w:color w:val="000000" w:themeColor="text1"/>
                      <w:spacing w:val="0"/>
                      <w:kern w:val="0"/>
                      <w:sz w:val="21"/>
                      <w:szCs w:val="21"/>
                      <w:lang w:val="en-US" w:eastAsia="zh-CN" w:bidi="ar"/>
                      <w14:textFill>
                        <w14:solidFill>
                          <w14:schemeClr w14:val="tx1"/>
                        </w14:solidFill>
                      </w14:textFill>
                    </w:rPr>
                    <w:t>15</w:t>
                  </w:r>
                </w:p>
              </w:tc>
              <w:tc>
                <w:tcPr>
                  <w:tcW w:w="952" w:type="pct"/>
                  <w:tcBorders>
                    <w:tl2br w:val="nil"/>
                    <w:tr2bl w:val="nil"/>
                  </w:tcBorders>
                  <w:noWrap w:val="0"/>
                  <w:vAlign w:val="center"/>
                </w:tcPr>
                <w:p w14:paraId="7B2E7A92">
                  <w:pPr>
                    <w:pStyle w:val="155"/>
                    <w:keepNext w:val="0"/>
                    <w:keepLines w:val="0"/>
                    <w:pageBreakBefore w:val="0"/>
                    <w:kinsoku/>
                    <w:wordWrap/>
                    <w:overflowPunct/>
                    <w:topLinePunct w:val="0"/>
                    <w:autoSpaceDE/>
                    <w:autoSpaceDN/>
                    <w:bidi w:val="0"/>
                    <w:adjustRightInd/>
                    <w:snapToGrid/>
                    <w:spacing w:line="260" w:lineRule="exact"/>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1.75</w:t>
                  </w:r>
                  <w:r>
                    <w:rPr>
                      <w:rFonts w:hint="eastAsia" w:ascii="Times New Roman" w:hAnsi="Times New Roman" w:eastAsia="宋体" w:cs="Times New Roman"/>
                      <w:color w:val="000000" w:themeColor="text1"/>
                      <w:lang w:val="en-US" w:eastAsia="zh-CN"/>
                      <w14:textFill>
                        <w14:solidFill>
                          <w14:schemeClr w14:val="tx1"/>
                        </w14:solidFill>
                      </w14:textFill>
                    </w:rPr>
                    <w:t>（从严50%）</w:t>
                  </w:r>
                </w:p>
              </w:tc>
              <w:tc>
                <w:tcPr>
                  <w:tcW w:w="1384" w:type="pct"/>
                  <w:vMerge w:val="restart"/>
                  <w:tcBorders>
                    <w:tl2br w:val="nil"/>
                    <w:tr2bl w:val="nil"/>
                  </w:tcBorders>
                  <w:noWrap w:val="0"/>
                  <w:vAlign w:val="center"/>
                </w:tcPr>
                <w:p w14:paraId="6C2A69C1">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《大气污染物综合排放标准》（GB16297-1996）表2中二级排放标准</w:t>
                  </w:r>
                </w:p>
              </w:tc>
            </w:tr>
            <w:tr w14:paraId="196B09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tcBorders>
                    <w:tl2br w:val="nil"/>
                    <w:tr2bl w:val="nil"/>
                  </w:tcBorders>
                  <w:noWrap w:val="0"/>
                  <w:vAlign w:val="center"/>
                </w:tcPr>
                <w:p w14:paraId="0C6A3799">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eastAsia" w:ascii="Times New Roman" w:hAnsi="Times New Roman"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DA008</w:t>
                  </w:r>
                </w:p>
              </w:tc>
              <w:tc>
                <w:tcPr>
                  <w:tcW w:w="758" w:type="pct"/>
                  <w:tcBorders>
                    <w:tl2br w:val="nil"/>
                    <w:tr2bl w:val="nil"/>
                  </w:tcBorders>
                  <w:noWrap w:val="0"/>
                  <w:vAlign w:val="center"/>
                </w:tcPr>
                <w:p w14:paraId="375D9014">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eastAsia"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颗粒物</w:t>
                  </w:r>
                </w:p>
              </w:tc>
              <w:tc>
                <w:tcPr>
                  <w:tcW w:w="804" w:type="pct"/>
                  <w:tcBorders>
                    <w:tl2br w:val="nil"/>
                    <w:tr2bl w:val="nil"/>
                  </w:tcBorders>
                  <w:noWrap w:val="0"/>
                  <w:vAlign w:val="center"/>
                </w:tcPr>
                <w:p w14:paraId="600ADC3E">
                  <w:pPr>
                    <w:pStyle w:val="155"/>
                    <w:keepNext w:val="0"/>
                    <w:keepLines w:val="0"/>
                    <w:pageBreakBefore w:val="0"/>
                    <w:kinsoku/>
                    <w:wordWrap/>
                    <w:overflowPunct/>
                    <w:topLinePunct w:val="0"/>
                    <w:autoSpaceDE/>
                    <w:autoSpaceDN/>
                    <w:bidi w:val="0"/>
                    <w:adjustRightInd/>
                    <w:snapToGrid/>
                    <w:spacing w:line="260" w:lineRule="exact"/>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120</w:t>
                  </w:r>
                </w:p>
              </w:tc>
              <w:tc>
                <w:tcPr>
                  <w:tcW w:w="583" w:type="pct"/>
                  <w:tcBorders>
                    <w:tl2br w:val="nil"/>
                    <w:tr2bl w:val="nil"/>
                  </w:tcBorders>
                  <w:noWrap w:val="0"/>
                  <w:vAlign w:val="center"/>
                </w:tcPr>
                <w:p w14:paraId="1E6D8FDB">
                  <w:pPr>
                    <w:pStyle w:val="155"/>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eastAsia" w:eastAsia="宋体" w:cs="Times New Roman"/>
                      <w:color w:val="000000" w:themeColor="text1"/>
                      <w:spacing w:val="0"/>
                      <w:kern w:val="0"/>
                      <w:sz w:val="21"/>
                      <w:szCs w:val="21"/>
                      <w:lang w:val="en-US" w:eastAsia="zh-CN" w:bidi="ar"/>
                      <w14:textFill>
                        <w14:solidFill>
                          <w14:schemeClr w14:val="tx1"/>
                        </w14:solidFill>
                      </w14:textFill>
                    </w:rPr>
                    <w:t>15</w:t>
                  </w:r>
                </w:p>
              </w:tc>
              <w:tc>
                <w:tcPr>
                  <w:tcW w:w="952" w:type="pct"/>
                  <w:tcBorders>
                    <w:tl2br w:val="nil"/>
                    <w:tr2bl w:val="nil"/>
                  </w:tcBorders>
                  <w:noWrap w:val="0"/>
                  <w:vAlign w:val="center"/>
                </w:tcPr>
                <w:p w14:paraId="30647A54">
                  <w:pPr>
                    <w:pStyle w:val="155"/>
                    <w:keepNext w:val="0"/>
                    <w:keepLines w:val="0"/>
                    <w:pageBreakBefore w:val="0"/>
                    <w:kinsoku/>
                    <w:wordWrap/>
                    <w:overflowPunct/>
                    <w:topLinePunct w:val="0"/>
                    <w:autoSpaceDE/>
                    <w:autoSpaceDN/>
                    <w:bidi w:val="0"/>
                    <w:adjustRightInd/>
                    <w:snapToGrid/>
                    <w:spacing w:line="260" w:lineRule="exact"/>
                    <w:jc w:val="center"/>
                    <w:rPr>
                      <w:rFonts w:hint="default"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1.75</w:t>
                  </w:r>
                  <w:r>
                    <w:rPr>
                      <w:rFonts w:hint="eastAsia" w:ascii="Times New Roman" w:hAnsi="Times New Roman" w:eastAsia="宋体" w:cs="Times New Roman"/>
                      <w:color w:val="000000" w:themeColor="text1"/>
                      <w:lang w:val="en-US" w:eastAsia="zh-CN"/>
                      <w14:textFill>
                        <w14:solidFill>
                          <w14:schemeClr w14:val="tx1"/>
                        </w14:solidFill>
                      </w14:textFill>
                    </w:rPr>
                    <w:t>（从严50%）</w:t>
                  </w:r>
                </w:p>
              </w:tc>
              <w:tc>
                <w:tcPr>
                  <w:tcW w:w="1384" w:type="pct"/>
                  <w:vMerge w:val="continue"/>
                  <w:tcBorders>
                    <w:tl2br w:val="nil"/>
                    <w:tr2bl w:val="nil"/>
                  </w:tcBorders>
                  <w:noWrap w:val="0"/>
                  <w:vAlign w:val="center"/>
                </w:tcPr>
                <w:p w14:paraId="621E579C">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37941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restart"/>
                  <w:tcBorders>
                    <w:tl2br w:val="nil"/>
                    <w:tr2bl w:val="nil"/>
                  </w:tcBorders>
                  <w:noWrap w:val="0"/>
                  <w:vAlign w:val="center"/>
                </w:tcPr>
                <w:p w14:paraId="25D591D5">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DA009</w:t>
                  </w:r>
                </w:p>
              </w:tc>
              <w:tc>
                <w:tcPr>
                  <w:tcW w:w="758" w:type="pct"/>
                  <w:tcBorders>
                    <w:tl2br w:val="nil"/>
                    <w:tr2bl w:val="nil"/>
                  </w:tcBorders>
                  <w:shd w:val="clear" w:color="auto" w:fill="auto"/>
                  <w:noWrap w:val="0"/>
                  <w:vAlign w:val="center"/>
                </w:tcPr>
                <w:p w14:paraId="78512474">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非甲烷总烃</w:t>
                  </w:r>
                </w:p>
              </w:tc>
              <w:tc>
                <w:tcPr>
                  <w:tcW w:w="804" w:type="pct"/>
                  <w:tcBorders>
                    <w:tl2br w:val="nil"/>
                    <w:tr2bl w:val="nil"/>
                  </w:tcBorders>
                  <w:shd w:val="clear" w:color="auto" w:fill="auto"/>
                  <w:noWrap w:val="0"/>
                  <w:vAlign w:val="center"/>
                </w:tcPr>
                <w:p w14:paraId="430EA0BF">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60</w:t>
                  </w:r>
                </w:p>
              </w:tc>
              <w:tc>
                <w:tcPr>
                  <w:tcW w:w="583" w:type="pct"/>
                  <w:vMerge w:val="restart"/>
                  <w:tcBorders>
                    <w:tl2br w:val="nil"/>
                    <w:tr2bl w:val="nil"/>
                  </w:tcBorders>
                  <w:noWrap w:val="0"/>
                  <w:vAlign w:val="center"/>
                </w:tcPr>
                <w:p w14:paraId="5333351F">
                  <w:pPr>
                    <w:pStyle w:val="155"/>
                    <w:keepNext w:val="0"/>
                    <w:keepLines w:val="0"/>
                    <w:pageBreakBefore w:val="0"/>
                    <w:kinsoku/>
                    <w:wordWrap/>
                    <w:overflowPunct/>
                    <w:topLinePunct w:val="0"/>
                    <w:autoSpaceDE/>
                    <w:autoSpaceDN/>
                    <w:bidi w:val="0"/>
                    <w:adjustRightInd/>
                    <w:snapToGrid/>
                    <w:spacing w:line="260" w:lineRule="exact"/>
                    <w:jc w:val="center"/>
                    <w:rPr>
                      <w:rFonts w:hint="default" w:eastAsia="宋体" w:cs="Times New Roman"/>
                      <w:color w:val="000000" w:themeColor="text1"/>
                      <w:spacing w:val="0"/>
                      <w:kern w:val="0"/>
                      <w:sz w:val="21"/>
                      <w:szCs w:val="21"/>
                      <w:lang w:val="en-US" w:eastAsia="zh-CN" w:bidi="ar"/>
                      <w14:textFill>
                        <w14:solidFill>
                          <w14:schemeClr w14:val="tx1"/>
                        </w14:solidFill>
                      </w14:textFill>
                    </w:rPr>
                  </w:pPr>
                  <w:r>
                    <w:rPr>
                      <w:rFonts w:hint="eastAsia" w:eastAsia="宋体" w:cs="Times New Roman"/>
                      <w:color w:val="000000" w:themeColor="text1"/>
                      <w:spacing w:val="0"/>
                      <w:kern w:val="0"/>
                      <w:sz w:val="21"/>
                      <w:szCs w:val="21"/>
                      <w:lang w:val="en-US" w:eastAsia="zh-CN" w:bidi="ar"/>
                      <w14:textFill>
                        <w14:solidFill>
                          <w14:schemeClr w14:val="tx1"/>
                        </w14:solidFill>
                      </w14:textFill>
                    </w:rPr>
                    <w:t>22</w:t>
                  </w:r>
                </w:p>
              </w:tc>
              <w:tc>
                <w:tcPr>
                  <w:tcW w:w="952" w:type="pct"/>
                  <w:tcBorders>
                    <w:tl2br w:val="nil"/>
                    <w:tr2bl w:val="nil"/>
                  </w:tcBorders>
                  <w:shd w:val="clear" w:color="auto" w:fill="auto"/>
                  <w:noWrap w:val="0"/>
                  <w:vAlign w:val="center"/>
                </w:tcPr>
                <w:p w14:paraId="137BE2A5">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7.18（内插法计算）</w:t>
                  </w:r>
                </w:p>
              </w:tc>
              <w:tc>
                <w:tcPr>
                  <w:tcW w:w="1384" w:type="pct"/>
                  <w:vMerge w:val="restart"/>
                  <w:tcBorders>
                    <w:tl2br w:val="nil"/>
                    <w:tr2bl w:val="nil"/>
                  </w:tcBorders>
                  <w:shd w:val="clear" w:color="auto" w:fill="auto"/>
                  <w:noWrap w:val="0"/>
                  <w:vAlign w:val="center"/>
                </w:tcPr>
                <w:p w14:paraId="21E10856">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《工业涂装工序挥发性有机物排放标准》</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DB35/1783-2018</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表1涉涂装工序的其它行业</w:t>
                  </w:r>
                </w:p>
              </w:tc>
            </w:tr>
            <w:tr w14:paraId="18AA60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17" w:type="pct"/>
                  <w:vMerge w:val="continue"/>
                  <w:tcBorders>
                    <w:tl2br w:val="nil"/>
                    <w:tr2bl w:val="nil"/>
                  </w:tcBorders>
                  <w:noWrap w:val="0"/>
                  <w:vAlign w:val="center"/>
                </w:tcPr>
                <w:p w14:paraId="1B02BE18">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eastAsia" w:ascii="Times New Roman" w:hAnsi="Times New Roman"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shd w:val="clear" w:color="auto" w:fill="auto"/>
                  <w:noWrap w:val="0"/>
                  <w:vAlign w:val="center"/>
                </w:tcPr>
                <w:p w14:paraId="282FFC10">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二甲苯</w:t>
                  </w:r>
                </w:p>
              </w:tc>
              <w:tc>
                <w:tcPr>
                  <w:tcW w:w="804" w:type="pct"/>
                  <w:tcBorders>
                    <w:tl2br w:val="nil"/>
                    <w:tr2bl w:val="nil"/>
                  </w:tcBorders>
                  <w:shd w:val="clear" w:color="auto" w:fill="auto"/>
                  <w:noWrap w:val="0"/>
                  <w:vAlign w:val="center"/>
                </w:tcPr>
                <w:p w14:paraId="1BA70CB4">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2"/>
                      <w:sz w:val="21"/>
                      <w:szCs w:val="21"/>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15</w:t>
                  </w:r>
                </w:p>
              </w:tc>
              <w:tc>
                <w:tcPr>
                  <w:tcW w:w="583" w:type="pct"/>
                  <w:vMerge w:val="continue"/>
                  <w:tcBorders>
                    <w:tl2br w:val="nil"/>
                    <w:tr2bl w:val="nil"/>
                  </w:tcBorders>
                  <w:noWrap w:val="0"/>
                  <w:vAlign w:val="center"/>
                </w:tcPr>
                <w:p w14:paraId="63954360">
                  <w:pPr>
                    <w:pStyle w:val="155"/>
                    <w:keepNext w:val="0"/>
                    <w:keepLines w:val="0"/>
                    <w:pageBreakBefore w:val="0"/>
                    <w:kinsoku/>
                    <w:wordWrap/>
                    <w:overflowPunct/>
                    <w:topLinePunct w:val="0"/>
                    <w:autoSpaceDE/>
                    <w:autoSpaceDN/>
                    <w:bidi w:val="0"/>
                    <w:adjustRightInd/>
                    <w:snapToGrid/>
                    <w:spacing w:line="260" w:lineRule="exact"/>
                    <w:jc w:val="center"/>
                    <w:rPr>
                      <w:rFonts w:hint="eastAsia"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shd w:val="clear" w:color="auto" w:fill="auto"/>
                  <w:noWrap w:val="0"/>
                  <w:vAlign w:val="center"/>
                </w:tcPr>
                <w:p w14:paraId="0997FC8B">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1.6（内插法计算）</w:t>
                  </w:r>
                </w:p>
              </w:tc>
              <w:tc>
                <w:tcPr>
                  <w:tcW w:w="1384" w:type="pct"/>
                  <w:vMerge w:val="continue"/>
                  <w:tcBorders>
                    <w:tl2br w:val="nil"/>
                    <w:tr2bl w:val="nil"/>
                  </w:tcBorders>
                  <w:shd w:val="clear" w:color="auto" w:fill="auto"/>
                  <w:noWrap w:val="0"/>
                  <w:vAlign w:val="center"/>
                </w:tcPr>
                <w:p w14:paraId="7B4B078A">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595766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17" w:type="pct"/>
                  <w:vMerge w:val="continue"/>
                  <w:tcBorders>
                    <w:tl2br w:val="nil"/>
                    <w:tr2bl w:val="nil"/>
                  </w:tcBorders>
                  <w:noWrap w:val="0"/>
                  <w:vAlign w:val="center"/>
                </w:tcPr>
                <w:p w14:paraId="6BE7FE25">
                  <w:pPr>
                    <w:pStyle w:val="87"/>
                    <w:keepNext w:val="0"/>
                    <w:keepLines w:val="0"/>
                    <w:pageBreakBefore w:val="0"/>
                    <w:widowControl/>
                    <w:kinsoku/>
                    <w:wordWrap/>
                    <w:overflowPunct/>
                    <w:topLinePunct w:val="0"/>
                    <w:autoSpaceDE/>
                    <w:autoSpaceDN/>
                    <w:bidi w:val="0"/>
                    <w:adjustRightInd/>
                    <w:snapToGrid/>
                    <w:spacing w:before="0" w:line="260" w:lineRule="exact"/>
                    <w:ind w:left="0" w:right="0"/>
                    <w:jc w:val="center"/>
                    <w:textAlignment w:val="auto"/>
                    <w:rPr>
                      <w:rFonts w:hint="eastAsia" w:ascii="Times New Roman" w:hAnsi="Times New Roman" w:cs="Times New Roman"/>
                      <w:color w:val="000000" w:themeColor="text1"/>
                      <w:spacing w:val="0"/>
                      <w:sz w:val="21"/>
                      <w:szCs w:val="21"/>
                      <w:lang w:val="en-US" w:eastAsia="zh-CN"/>
                      <w14:textFill>
                        <w14:solidFill>
                          <w14:schemeClr w14:val="tx1"/>
                        </w14:solidFill>
                      </w14:textFill>
                    </w:rPr>
                  </w:pPr>
                </w:p>
              </w:tc>
              <w:tc>
                <w:tcPr>
                  <w:tcW w:w="758" w:type="pct"/>
                  <w:tcBorders>
                    <w:tl2br w:val="nil"/>
                    <w:tr2bl w:val="nil"/>
                  </w:tcBorders>
                  <w:shd w:val="clear" w:color="auto" w:fill="auto"/>
                  <w:noWrap w:val="0"/>
                  <w:vAlign w:val="center"/>
                </w:tcPr>
                <w:p w14:paraId="44030EF2">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乙酸丁酯</w:t>
                  </w:r>
                </w:p>
              </w:tc>
              <w:tc>
                <w:tcPr>
                  <w:tcW w:w="804" w:type="pct"/>
                  <w:tcBorders>
                    <w:tl2br w:val="nil"/>
                    <w:tr2bl w:val="nil"/>
                  </w:tcBorders>
                  <w:shd w:val="clear" w:color="auto" w:fill="auto"/>
                  <w:noWrap w:val="0"/>
                  <w:vAlign w:val="center"/>
                </w:tcPr>
                <w:p w14:paraId="1B187798">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pacing w:val="-2"/>
                      <w:sz w:val="21"/>
                      <w:szCs w:val="21"/>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50</w:t>
                  </w:r>
                </w:p>
              </w:tc>
              <w:tc>
                <w:tcPr>
                  <w:tcW w:w="583" w:type="pct"/>
                  <w:vMerge w:val="continue"/>
                  <w:tcBorders>
                    <w:tl2br w:val="nil"/>
                    <w:tr2bl w:val="nil"/>
                  </w:tcBorders>
                  <w:noWrap w:val="0"/>
                  <w:vAlign w:val="center"/>
                </w:tcPr>
                <w:p w14:paraId="0E9BA9AE">
                  <w:pPr>
                    <w:pStyle w:val="155"/>
                    <w:keepNext w:val="0"/>
                    <w:keepLines w:val="0"/>
                    <w:pageBreakBefore w:val="0"/>
                    <w:kinsoku/>
                    <w:wordWrap/>
                    <w:overflowPunct/>
                    <w:topLinePunct w:val="0"/>
                    <w:autoSpaceDE/>
                    <w:autoSpaceDN/>
                    <w:bidi w:val="0"/>
                    <w:adjustRightInd/>
                    <w:snapToGrid/>
                    <w:spacing w:line="260" w:lineRule="exact"/>
                    <w:jc w:val="center"/>
                    <w:rPr>
                      <w:rFonts w:hint="eastAsia" w:eastAsia="宋体" w:cs="Times New Roman"/>
                      <w:color w:val="000000" w:themeColor="text1"/>
                      <w:spacing w:val="0"/>
                      <w:kern w:val="0"/>
                      <w:sz w:val="21"/>
                      <w:szCs w:val="21"/>
                      <w:lang w:val="en-US" w:eastAsia="zh-CN" w:bidi="ar"/>
                      <w14:textFill>
                        <w14:solidFill>
                          <w14:schemeClr w14:val="tx1"/>
                        </w14:solidFill>
                      </w14:textFill>
                    </w:rPr>
                  </w:pPr>
                </w:p>
              </w:tc>
              <w:tc>
                <w:tcPr>
                  <w:tcW w:w="952" w:type="pct"/>
                  <w:tcBorders>
                    <w:tl2br w:val="nil"/>
                    <w:tr2bl w:val="nil"/>
                  </w:tcBorders>
                  <w:shd w:val="clear" w:color="auto" w:fill="auto"/>
                  <w:noWrap w:val="0"/>
                  <w:vAlign w:val="center"/>
                </w:tcPr>
                <w:p w14:paraId="4EDD97F0">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eastAsia" w:ascii="Times New Roman" w:hAnsi="Times New Roman" w:eastAsia="宋体" w:cs="Times New Roman"/>
                      <w:color w:val="000000" w:themeColor="text1"/>
                      <w:spacing w:val="-2"/>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1.2（内插法计算）</w:t>
                  </w:r>
                </w:p>
              </w:tc>
              <w:tc>
                <w:tcPr>
                  <w:tcW w:w="1384" w:type="pct"/>
                  <w:vMerge w:val="continue"/>
                  <w:tcBorders>
                    <w:tl2br w:val="nil"/>
                    <w:tr2bl w:val="nil"/>
                  </w:tcBorders>
                  <w:shd w:val="clear" w:color="auto" w:fill="auto"/>
                  <w:noWrap w:val="0"/>
                  <w:vAlign w:val="center"/>
                </w:tcPr>
                <w:p w14:paraId="1E04BF65">
                  <w:pPr>
                    <w:pStyle w:val="87"/>
                    <w:keepNext w:val="0"/>
                    <w:keepLines w:val="0"/>
                    <w:pageBreakBefore w:val="0"/>
                    <w:widowControl/>
                    <w:kinsoku/>
                    <w:wordWrap/>
                    <w:overflowPunct/>
                    <w:topLinePunct w:val="0"/>
                    <w:autoSpaceDE/>
                    <w:autoSpaceDN/>
                    <w:bidi w:val="0"/>
                    <w:adjustRightInd/>
                    <w:snapToGrid/>
                    <w:spacing w:before="0" w:line="26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14:paraId="37FC4978">
            <w:pPr>
              <w:pStyle w:val="146"/>
              <w:spacing w:line="240" w:lineRule="auto"/>
              <w:ind w:firstLine="0" w:firstLineChars="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表3.</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7-</w:t>
            </w:r>
            <w:r>
              <w:rPr>
                <w:rFonts w:hint="eastAsia" w:cs="Times New Roman"/>
                <w:b/>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 xml:space="preserve">  无组织废气排放标准</w:t>
            </w:r>
          </w:p>
          <w:tbl>
            <w:tblPr>
              <w:tblStyle w:val="3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14"/>
              <w:gridCol w:w="921"/>
              <w:gridCol w:w="1648"/>
              <w:gridCol w:w="1155"/>
              <w:gridCol w:w="3610"/>
            </w:tblGrid>
            <w:tr w14:paraId="6254DF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765075DE">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污染物</w:t>
                  </w:r>
                </w:p>
              </w:tc>
              <w:tc>
                <w:tcPr>
                  <w:tcW w:w="1557" w:type="pct"/>
                  <w:gridSpan w:val="2"/>
                  <w:tcBorders>
                    <w:tl2br w:val="nil"/>
                    <w:tr2bl w:val="nil"/>
                  </w:tcBorders>
                  <w:noWrap w:val="0"/>
                  <w:vAlign w:val="center"/>
                </w:tcPr>
                <w:p w14:paraId="7A391E55">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监控点</w:t>
                  </w:r>
                </w:p>
              </w:tc>
              <w:tc>
                <w:tcPr>
                  <w:tcW w:w="700" w:type="pct"/>
                  <w:tcBorders>
                    <w:tl2br w:val="nil"/>
                    <w:tr2bl w:val="nil"/>
                  </w:tcBorders>
                  <w:noWrap w:val="0"/>
                  <w:vAlign w:val="center"/>
                </w:tcPr>
                <w:p w14:paraId="0180CCFF">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浓度限值（</w:t>
                  </w:r>
                  <w:r>
                    <w:rPr>
                      <w:rFonts w:ascii="Times New Roman" w:hAnsi="Times New Roman" w:eastAsia="Times New Roman"/>
                      <w:color w:val="000000" w:themeColor="text1"/>
                      <w:spacing w:val="0"/>
                      <w:sz w:val="21"/>
                      <w:szCs w:val="21"/>
                      <w14:textFill>
                        <w14:solidFill>
                          <w14:schemeClr w14:val="tx1"/>
                        </w14:solidFill>
                      </w14:textFill>
                    </w:rPr>
                    <w:t>mg/m</w:t>
                  </w:r>
                  <w:r>
                    <w:rPr>
                      <w:rFonts w:ascii="Times New Roman" w:hAnsi="Times New Roman" w:eastAsia="Times New Roman"/>
                      <w:color w:val="000000" w:themeColor="text1"/>
                      <w:spacing w:val="0"/>
                      <w:sz w:val="21"/>
                      <w:szCs w:val="21"/>
                      <w:vertAlign w:val="superscript"/>
                      <w14:textFill>
                        <w14:solidFill>
                          <w14:schemeClr w14:val="tx1"/>
                        </w14:solidFill>
                      </w14:textFill>
                    </w:rPr>
                    <w:t>3</w:t>
                  </w:r>
                  <w:r>
                    <w:rPr>
                      <w:rFonts w:ascii="Times New Roman" w:hAnsi="Times New Roman"/>
                      <w:color w:val="000000" w:themeColor="text1"/>
                      <w:spacing w:val="0"/>
                      <w:sz w:val="21"/>
                      <w:szCs w:val="21"/>
                      <w:vertAlign w:val="baseline"/>
                      <w14:textFill>
                        <w14:solidFill>
                          <w14:schemeClr w14:val="tx1"/>
                        </w14:solidFill>
                      </w14:textFill>
                    </w:rPr>
                    <w:t>）</w:t>
                  </w:r>
                </w:p>
              </w:tc>
              <w:tc>
                <w:tcPr>
                  <w:tcW w:w="2188" w:type="pct"/>
                  <w:tcBorders>
                    <w:tl2br w:val="nil"/>
                    <w:tr2bl w:val="nil"/>
                  </w:tcBorders>
                  <w:noWrap w:val="0"/>
                  <w:vAlign w:val="center"/>
                </w:tcPr>
                <w:p w14:paraId="3999CF94">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标准</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来源</w:t>
                  </w:r>
                </w:p>
              </w:tc>
            </w:tr>
            <w:tr w14:paraId="5D61A3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4C140492">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颗粒物</w:t>
                  </w:r>
                </w:p>
              </w:tc>
              <w:tc>
                <w:tcPr>
                  <w:tcW w:w="1557" w:type="pct"/>
                  <w:gridSpan w:val="2"/>
                  <w:tcBorders>
                    <w:tl2br w:val="nil"/>
                    <w:tr2bl w:val="nil"/>
                  </w:tcBorders>
                  <w:noWrap w:val="0"/>
                  <w:vAlign w:val="center"/>
                </w:tcPr>
                <w:p w14:paraId="5CAF7702">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周界外浓度最高点</w:t>
                  </w:r>
                </w:p>
              </w:tc>
              <w:tc>
                <w:tcPr>
                  <w:tcW w:w="700" w:type="pct"/>
                  <w:tcBorders>
                    <w:tl2br w:val="nil"/>
                    <w:tr2bl w:val="nil"/>
                  </w:tcBorders>
                  <w:noWrap w:val="0"/>
                  <w:vAlign w:val="center"/>
                </w:tcPr>
                <w:p w14:paraId="32FCD322">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1.0</w:t>
                  </w:r>
                </w:p>
              </w:tc>
              <w:tc>
                <w:tcPr>
                  <w:tcW w:w="2188" w:type="pct"/>
                  <w:vMerge w:val="restart"/>
                  <w:tcBorders>
                    <w:tl2br w:val="nil"/>
                    <w:tr2bl w:val="nil"/>
                  </w:tcBorders>
                  <w:noWrap w:val="0"/>
                  <w:vAlign w:val="center"/>
                </w:tcPr>
                <w:p w14:paraId="083078B5">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《大气污染物综合排放标准》</w:t>
                  </w:r>
                  <w:r>
                    <w:rPr>
                      <w:rFonts w:hint="eastAsia" w:ascii="Times New Roman" w:hAnsi="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he-IL"/>
                      <w14:textFill>
                        <w14:solidFill>
                          <w14:schemeClr w14:val="tx1"/>
                        </w14:solidFill>
                      </w14:textFill>
                    </w:rPr>
                    <w:t>GB16297－1996</w:t>
                  </w:r>
                  <w:r>
                    <w:rPr>
                      <w:rFonts w:hint="eastAsia" w:ascii="Times New Roman" w:hAnsi="Times New Roman" w:eastAsia="宋体" w:cs="Times New Roman"/>
                      <w:color w:val="000000" w:themeColor="text1"/>
                      <w:sz w:val="21"/>
                      <w:szCs w:val="21"/>
                      <w:highlight w:val="none"/>
                      <w:lang w:val="en-US" w:eastAsia="zh-CN" w:bidi="he-IL"/>
                      <w14:textFill>
                        <w14:solidFill>
                          <w14:schemeClr w14:val="tx1"/>
                        </w14:solidFill>
                      </w14:textFill>
                    </w:rPr>
                    <w:t>）</w:t>
                  </w:r>
                  <w:r>
                    <w:rPr>
                      <w:rFonts w:ascii="Times New Roman" w:hAnsi="Times New Roman"/>
                      <w:color w:val="000000" w:themeColor="text1"/>
                      <w:spacing w:val="0"/>
                      <w:sz w:val="21"/>
                      <w:szCs w:val="21"/>
                      <w14:textFill>
                        <w14:solidFill>
                          <w14:schemeClr w14:val="tx1"/>
                        </w14:solidFill>
                      </w14:textFill>
                    </w:rPr>
                    <w:t>表</w:t>
                  </w:r>
                  <w:r>
                    <w:rPr>
                      <w:rFonts w:ascii="Times New Roman" w:hAnsi="Times New Roman" w:eastAsia="Times New Roman"/>
                      <w:color w:val="000000" w:themeColor="text1"/>
                      <w:sz w:val="21"/>
                      <w:szCs w:val="21"/>
                      <w14:textFill>
                        <w14:solidFill>
                          <w14:schemeClr w14:val="tx1"/>
                        </w14:solidFill>
                      </w14:textFill>
                    </w:rPr>
                    <w:t>2</w:t>
                  </w:r>
                </w:p>
              </w:tc>
            </w:tr>
            <w:tr w14:paraId="7E24A5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3A3DC1A9">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氮氧化物</w:t>
                  </w:r>
                </w:p>
              </w:tc>
              <w:tc>
                <w:tcPr>
                  <w:tcW w:w="1557" w:type="pct"/>
                  <w:gridSpan w:val="2"/>
                  <w:tcBorders>
                    <w:tl2br w:val="nil"/>
                    <w:tr2bl w:val="nil"/>
                  </w:tcBorders>
                  <w:noWrap w:val="0"/>
                  <w:vAlign w:val="center"/>
                </w:tcPr>
                <w:p w14:paraId="0E4DF90A">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0"/>
                      <w:kern w:val="0"/>
                      <w:sz w:val="21"/>
                      <w:szCs w:val="21"/>
                      <w:lang w:val="en-US" w:eastAsia="zh-CN" w:bidi="ar"/>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周界外浓度最高点</w:t>
                  </w:r>
                </w:p>
              </w:tc>
              <w:tc>
                <w:tcPr>
                  <w:tcW w:w="700" w:type="pct"/>
                  <w:tcBorders>
                    <w:tl2br w:val="nil"/>
                    <w:tr2bl w:val="nil"/>
                  </w:tcBorders>
                  <w:noWrap w:val="0"/>
                  <w:vAlign w:val="center"/>
                </w:tcPr>
                <w:p w14:paraId="2722AB4D">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0.12</w:t>
                  </w:r>
                </w:p>
              </w:tc>
              <w:tc>
                <w:tcPr>
                  <w:tcW w:w="2188" w:type="pct"/>
                  <w:vMerge w:val="continue"/>
                  <w:tcBorders>
                    <w:tl2br w:val="nil"/>
                    <w:tr2bl w:val="nil"/>
                  </w:tcBorders>
                  <w:noWrap w:val="0"/>
                  <w:vAlign w:val="center"/>
                </w:tcPr>
                <w:p w14:paraId="0F42BACC">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p>
              </w:tc>
            </w:tr>
            <w:tr w14:paraId="50C728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2CD03AE8">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二甲苯</w:t>
                  </w:r>
                </w:p>
              </w:tc>
              <w:tc>
                <w:tcPr>
                  <w:tcW w:w="1557" w:type="pct"/>
                  <w:gridSpan w:val="2"/>
                  <w:tcBorders>
                    <w:tl2br w:val="nil"/>
                    <w:tr2bl w:val="nil"/>
                  </w:tcBorders>
                  <w:noWrap w:val="0"/>
                  <w:vAlign w:val="center"/>
                </w:tcPr>
                <w:p w14:paraId="1944F056">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4"/>
                      <w:sz w:val="21"/>
                      <w:szCs w:val="21"/>
                      <w14:textFill>
                        <w14:solidFill>
                          <w14:schemeClr w14:val="tx1"/>
                        </w14:solidFill>
                      </w14:textFill>
                    </w:rPr>
                    <w:t>企业边界监控点</w:t>
                  </w:r>
                </w:p>
              </w:tc>
              <w:tc>
                <w:tcPr>
                  <w:tcW w:w="700" w:type="pct"/>
                  <w:tcBorders>
                    <w:tl2br w:val="nil"/>
                    <w:tr2bl w:val="nil"/>
                  </w:tcBorders>
                  <w:noWrap w:val="0"/>
                  <w:vAlign w:val="center"/>
                </w:tcPr>
                <w:p w14:paraId="7BB91FE3">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0.2</w:t>
                  </w:r>
                </w:p>
              </w:tc>
              <w:tc>
                <w:tcPr>
                  <w:tcW w:w="2188" w:type="pct"/>
                  <w:vMerge w:val="restart"/>
                  <w:tcBorders>
                    <w:tl2br w:val="nil"/>
                    <w:tr2bl w:val="nil"/>
                  </w:tcBorders>
                  <w:noWrap w:val="0"/>
                  <w:vAlign w:val="center"/>
                </w:tcPr>
                <w:p w14:paraId="7481A508">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olor w:val="000000" w:themeColor="text1"/>
                      <w:spacing w:val="0"/>
                      <w:sz w:val="21"/>
                      <w:szCs w:val="21"/>
                      <w:lang w:val="en-US" w:eastAsia="zh-CN"/>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《工业涂装工序挥发性有机物排放标准》（</w:t>
                  </w:r>
                  <w:r>
                    <w:rPr>
                      <w:rFonts w:ascii="Times New Roman" w:hAnsi="Times New Roman" w:eastAsia="Times New Roman"/>
                      <w:color w:val="000000" w:themeColor="text1"/>
                      <w:spacing w:val="0"/>
                      <w:sz w:val="21"/>
                      <w:szCs w:val="21"/>
                      <w14:textFill>
                        <w14:solidFill>
                          <w14:schemeClr w14:val="tx1"/>
                        </w14:solidFill>
                      </w14:textFill>
                    </w:rPr>
                    <w:t>DB35/1783—2018</w:t>
                  </w:r>
                  <w:r>
                    <w:rPr>
                      <w:rFonts w:ascii="Times New Roman" w:hAnsi="Times New Roman"/>
                      <w:color w:val="000000" w:themeColor="text1"/>
                      <w:spacing w:val="0"/>
                      <w:sz w:val="21"/>
                      <w:szCs w:val="21"/>
                      <w14:textFill>
                        <w14:solidFill>
                          <w14:schemeClr w14:val="tx1"/>
                        </w14:solidFill>
                      </w14:textFill>
                    </w:rPr>
                    <w:t>）</w:t>
                  </w:r>
                  <w:r>
                    <w:rPr>
                      <w:rFonts w:hint="eastAsia" w:ascii="Times New Roman" w:hAnsi="Times New Roman"/>
                      <w:color w:val="000000" w:themeColor="text1"/>
                      <w:spacing w:val="0"/>
                      <w:sz w:val="21"/>
                      <w:szCs w:val="21"/>
                      <w:lang w:val="en-US" w:eastAsia="zh-CN"/>
                      <w14:textFill>
                        <w14:solidFill>
                          <w14:schemeClr w14:val="tx1"/>
                        </w14:solidFill>
                      </w14:textFill>
                    </w:rPr>
                    <w:t>表3、表4</w:t>
                  </w:r>
                </w:p>
              </w:tc>
            </w:tr>
            <w:tr w14:paraId="4B5590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62543B1E">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甲苯</w:t>
                  </w:r>
                </w:p>
              </w:tc>
              <w:tc>
                <w:tcPr>
                  <w:tcW w:w="1557" w:type="pct"/>
                  <w:gridSpan w:val="2"/>
                  <w:tcBorders>
                    <w:tl2br w:val="nil"/>
                    <w:tr2bl w:val="nil"/>
                  </w:tcBorders>
                  <w:noWrap w:val="0"/>
                  <w:vAlign w:val="center"/>
                </w:tcPr>
                <w:p w14:paraId="06C98026">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ascii="Times New Roman" w:hAnsi="Times New Roman"/>
                      <w:color w:val="000000" w:themeColor="text1"/>
                      <w:spacing w:val="-4"/>
                      <w:sz w:val="21"/>
                      <w:szCs w:val="21"/>
                      <w14:textFill>
                        <w14:solidFill>
                          <w14:schemeClr w14:val="tx1"/>
                        </w14:solidFill>
                      </w14:textFill>
                    </w:rPr>
                  </w:pPr>
                  <w:r>
                    <w:rPr>
                      <w:rFonts w:ascii="Times New Roman" w:hAnsi="Times New Roman"/>
                      <w:color w:val="000000" w:themeColor="text1"/>
                      <w:spacing w:val="-4"/>
                      <w:sz w:val="21"/>
                      <w:szCs w:val="21"/>
                      <w14:textFill>
                        <w14:solidFill>
                          <w14:schemeClr w14:val="tx1"/>
                        </w14:solidFill>
                      </w14:textFill>
                    </w:rPr>
                    <w:t>企业边界监控点</w:t>
                  </w:r>
                </w:p>
              </w:tc>
              <w:tc>
                <w:tcPr>
                  <w:tcW w:w="700" w:type="pct"/>
                  <w:tcBorders>
                    <w:tl2br w:val="nil"/>
                    <w:tr2bl w:val="nil"/>
                  </w:tcBorders>
                  <w:noWrap w:val="0"/>
                  <w:vAlign w:val="center"/>
                </w:tcPr>
                <w:p w14:paraId="72A87E1E">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0.6</w:t>
                  </w:r>
                </w:p>
              </w:tc>
              <w:tc>
                <w:tcPr>
                  <w:tcW w:w="2188" w:type="pct"/>
                  <w:vMerge w:val="continue"/>
                  <w:tcBorders>
                    <w:tl2br w:val="nil"/>
                    <w:tr2bl w:val="nil"/>
                  </w:tcBorders>
                  <w:noWrap w:val="0"/>
                  <w:vAlign w:val="center"/>
                </w:tcPr>
                <w:p w14:paraId="4266469D">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p>
              </w:tc>
            </w:tr>
            <w:tr w14:paraId="19F6DE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vMerge w:val="restart"/>
                  <w:tcBorders>
                    <w:tl2br w:val="nil"/>
                    <w:tr2bl w:val="nil"/>
                  </w:tcBorders>
                  <w:noWrap w:val="0"/>
                  <w:vAlign w:val="center"/>
                </w:tcPr>
                <w:p w14:paraId="182613C5">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4"/>
                      <w:sz w:val="21"/>
                      <w:szCs w:val="21"/>
                      <w14:textFill>
                        <w14:solidFill>
                          <w14:schemeClr w14:val="tx1"/>
                        </w14:solidFill>
                      </w14:textFill>
                    </w:rPr>
                    <w:t>非甲烷总</w:t>
                  </w:r>
                  <w:r>
                    <w:rPr>
                      <w:rFonts w:ascii="Times New Roman" w:hAnsi="Times New Roman"/>
                      <w:color w:val="000000" w:themeColor="text1"/>
                      <w:spacing w:val="-10"/>
                      <w:sz w:val="21"/>
                      <w:szCs w:val="21"/>
                      <w14:textFill>
                        <w14:solidFill>
                          <w14:schemeClr w14:val="tx1"/>
                        </w14:solidFill>
                      </w14:textFill>
                    </w:rPr>
                    <w:t>烃</w:t>
                  </w:r>
                </w:p>
              </w:tc>
              <w:tc>
                <w:tcPr>
                  <w:tcW w:w="1557" w:type="pct"/>
                  <w:gridSpan w:val="2"/>
                  <w:tcBorders>
                    <w:tl2br w:val="nil"/>
                    <w:tr2bl w:val="nil"/>
                  </w:tcBorders>
                  <w:noWrap w:val="0"/>
                  <w:vAlign w:val="center"/>
                </w:tcPr>
                <w:p w14:paraId="300047D0">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4"/>
                      <w:sz w:val="21"/>
                      <w:szCs w:val="21"/>
                      <w14:textFill>
                        <w14:solidFill>
                          <w14:schemeClr w14:val="tx1"/>
                        </w14:solidFill>
                      </w14:textFill>
                    </w:rPr>
                    <w:t>企业边界监控点</w:t>
                  </w:r>
                </w:p>
              </w:tc>
              <w:tc>
                <w:tcPr>
                  <w:tcW w:w="700" w:type="pct"/>
                  <w:tcBorders>
                    <w:tl2br w:val="nil"/>
                    <w:tr2bl w:val="nil"/>
                  </w:tcBorders>
                  <w:noWrap w:val="0"/>
                  <w:vAlign w:val="center"/>
                </w:tcPr>
                <w:p w14:paraId="7EC9DD9B">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2"/>
                      <w:sz w:val="21"/>
                      <w:szCs w:val="21"/>
                      <w14:textFill>
                        <w14:solidFill>
                          <w14:schemeClr w14:val="tx1"/>
                        </w14:solidFill>
                      </w14:textFill>
                    </w:rPr>
                    <w:t>2.0</w:t>
                  </w:r>
                </w:p>
              </w:tc>
              <w:tc>
                <w:tcPr>
                  <w:tcW w:w="2188" w:type="pct"/>
                  <w:vMerge w:val="continue"/>
                  <w:tcBorders>
                    <w:tl2br w:val="nil"/>
                    <w:tr2bl w:val="nil"/>
                  </w:tcBorders>
                  <w:noWrap w:val="0"/>
                  <w:vAlign w:val="center"/>
                </w:tcPr>
                <w:p w14:paraId="603F9831">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olor w:val="000000" w:themeColor="text1"/>
                      <w:spacing w:val="0"/>
                      <w:sz w:val="21"/>
                      <w:szCs w:val="21"/>
                      <w:lang w:val="en-US" w:eastAsia="zh-CN"/>
                      <w14:textFill>
                        <w14:solidFill>
                          <w14:schemeClr w14:val="tx1"/>
                        </w14:solidFill>
                      </w14:textFill>
                    </w:rPr>
                  </w:pPr>
                </w:p>
              </w:tc>
            </w:tr>
            <w:tr w14:paraId="661806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vMerge w:val="continue"/>
                  <w:tcBorders>
                    <w:tl2br w:val="nil"/>
                    <w:tr2bl w:val="nil"/>
                  </w:tcBorders>
                  <w:noWrap w:val="0"/>
                  <w:vAlign w:val="center"/>
                </w:tcPr>
                <w:p w14:paraId="5DFC1261">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p>
              </w:tc>
              <w:tc>
                <w:tcPr>
                  <w:tcW w:w="558" w:type="pct"/>
                  <w:vMerge w:val="restart"/>
                  <w:tcBorders>
                    <w:tl2br w:val="nil"/>
                    <w:tr2bl w:val="nil"/>
                  </w:tcBorders>
                  <w:noWrap w:val="0"/>
                  <w:vAlign w:val="center"/>
                </w:tcPr>
                <w:p w14:paraId="091D77CF">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宋体" w:cs="宋体"/>
                      <w:color w:val="000000" w:themeColor="text1"/>
                      <w:spacing w:val="-7"/>
                      <w:sz w:val="21"/>
                      <w:szCs w:val="21"/>
                      <w14:textFill>
                        <w14:solidFill>
                          <w14:schemeClr w14:val="tx1"/>
                        </w14:solidFill>
                      </w14:textFill>
                    </w:rPr>
                  </w:pPr>
                  <w:r>
                    <w:rPr>
                      <w:rFonts w:ascii="Times New Roman" w:hAnsi="Times New Roman" w:eastAsia="宋体" w:cs="宋体"/>
                      <w:color w:val="000000" w:themeColor="text1"/>
                      <w:spacing w:val="-7"/>
                      <w:sz w:val="21"/>
                      <w:szCs w:val="21"/>
                      <w14:textFill>
                        <w14:solidFill>
                          <w14:schemeClr w14:val="tx1"/>
                        </w14:solidFill>
                      </w14:textFill>
                    </w:rPr>
                    <w:t>在厂房外设置监控</w:t>
                  </w:r>
                </w:p>
                <w:p w14:paraId="0710745D">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olor w:val="000000" w:themeColor="text1"/>
                      <w:spacing w:val="0"/>
                      <w:sz w:val="21"/>
                      <w:szCs w:val="21"/>
                      <w:lang w:val="en-US" w:eastAsia="zh-CN"/>
                      <w14:textFill>
                        <w14:solidFill>
                          <w14:schemeClr w14:val="tx1"/>
                        </w14:solidFill>
                      </w14:textFill>
                    </w:rPr>
                  </w:pPr>
                  <w:r>
                    <w:rPr>
                      <w:rFonts w:ascii="Times New Roman" w:hAnsi="Times New Roman" w:eastAsia="宋体" w:cs="宋体"/>
                      <w:color w:val="000000" w:themeColor="text1"/>
                      <w:spacing w:val="-7"/>
                      <w:sz w:val="21"/>
                      <w:szCs w:val="21"/>
                      <w14:textFill>
                        <w14:solidFill>
                          <w14:schemeClr w14:val="tx1"/>
                        </w14:solidFill>
                      </w14:textFill>
                    </w:rPr>
                    <w:t>点</w:t>
                  </w:r>
                </w:p>
              </w:tc>
              <w:tc>
                <w:tcPr>
                  <w:tcW w:w="998" w:type="pct"/>
                  <w:tcBorders>
                    <w:tl2br w:val="nil"/>
                    <w:tr2bl w:val="nil"/>
                  </w:tcBorders>
                  <w:noWrap w:val="0"/>
                  <w:vAlign w:val="center"/>
                </w:tcPr>
                <w:p w14:paraId="23C6AEA8">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厂区内监</w:t>
                  </w:r>
                  <w:r>
                    <w:rPr>
                      <w:rFonts w:ascii="Times New Roman" w:hAnsi="Times New Roman"/>
                      <w:color w:val="000000" w:themeColor="text1"/>
                      <w:spacing w:val="-4"/>
                      <w:sz w:val="21"/>
                      <w:szCs w:val="21"/>
                      <w14:textFill>
                        <w14:solidFill>
                          <w14:schemeClr w14:val="tx1"/>
                        </w14:solidFill>
                      </w14:textFill>
                    </w:rPr>
                    <w:t>控</w:t>
                  </w:r>
                  <w:r>
                    <w:rPr>
                      <w:rFonts w:hint="eastAsia" w:ascii="Times New Roman" w:hAnsi="Times New Roman"/>
                      <w:color w:val="000000" w:themeColor="text1"/>
                      <w:spacing w:val="0"/>
                      <w:sz w:val="21"/>
                      <w:szCs w:val="21"/>
                      <w:lang w:val="en-US" w:eastAsia="zh-CN"/>
                      <w14:textFill>
                        <w14:solidFill>
                          <w14:schemeClr w14:val="tx1"/>
                        </w14:solidFill>
                      </w14:textFill>
                    </w:rPr>
                    <w:t>点1h平均浓度</w:t>
                  </w:r>
                </w:p>
              </w:tc>
              <w:tc>
                <w:tcPr>
                  <w:tcW w:w="700" w:type="pct"/>
                  <w:tcBorders>
                    <w:tl2br w:val="nil"/>
                    <w:tr2bl w:val="nil"/>
                  </w:tcBorders>
                  <w:noWrap w:val="0"/>
                  <w:vAlign w:val="center"/>
                </w:tcPr>
                <w:p w14:paraId="4CBFD324">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8.0</w:t>
                  </w:r>
                </w:p>
              </w:tc>
              <w:tc>
                <w:tcPr>
                  <w:tcW w:w="2188" w:type="pct"/>
                  <w:vMerge w:val="continue"/>
                  <w:tcBorders>
                    <w:tl2br w:val="nil"/>
                    <w:tr2bl w:val="nil"/>
                  </w:tcBorders>
                  <w:noWrap w:val="0"/>
                  <w:vAlign w:val="center"/>
                </w:tcPr>
                <w:p w14:paraId="5E2888D0">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p>
              </w:tc>
            </w:tr>
            <w:tr w14:paraId="2CC503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vMerge w:val="continue"/>
                  <w:tcBorders>
                    <w:tl2br w:val="nil"/>
                    <w:tr2bl w:val="nil"/>
                  </w:tcBorders>
                  <w:noWrap w:val="0"/>
                  <w:vAlign w:val="center"/>
                </w:tcPr>
                <w:p w14:paraId="5D7EAE43">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p>
              </w:tc>
              <w:tc>
                <w:tcPr>
                  <w:tcW w:w="558" w:type="pct"/>
                  <w:vMerge w:val="continue"/>
                  <w:tcBorders>
                    <w:tl2br w:val="nil"/>
                    <w:tr2bl w:val="nil"/>
                  </w:tcBorders>
                  <w:noWrap w:val="0"/>
                  <w:vAlign w:val="center"/>
                </w:tcPr>
                <w:p w14:paraId="30A8B597">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宋体" w:cs="宋体"/>
                      <w:color w:val="000000" w:themeColor="text1"/>
                      <w:spacing w:val="-7"/>
                      <w:sz w:val="21"/>
                      <w:szCs w:val="21"/>
                      <w14:textFill>
                        <w14:solidFill>
                          <w14:schemeClr w14:val="tx1"/>
                        </w14:solidFill>
                      </w14:textFill>
                    </w:rPr>
                  </w:pPr>
                </w:p>
              </w:tc>
              <w:tc>
                <w:tcPr>
                  <w:tcW w:w="998" w:type="pct"/>
                  <w:tcBorders>
                    <w:tl2br w:val="nil"/>
                    <w:tr2bl w:val="nil"/>
                  </w:tcBorders>
                  <w:noWrap w:val="0"/>
                  <w:vAlign w:val="center"/>
                </w:tcPr>
                <w:p w14:paraId="5721335B">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ascii="Times New Roman" w:hAnsi="Times New Roman" w:eastAsia="宋体" w:cs="宋体"/>
                      <w:color w:val="000000" w:themeColor="text1"/>
                      <w:spacing w:val="-7"/>
                      <w:sz w:val="21"/>
                      <w:szCs w:val="21"/>
                      <w14:textFill>
                        <w14:solidFill>
                          <w14:schemeClr w14:val="tx1"/>
                        </w14:solidFill>
                      </w14:textFill>
                    </w:rPr>
                  </w:pPr>
                  <w:r>
                    <w:rPr>
                      <w:rFonts w:ascii="Times New Roman" w:hAnsi="Times New Roman" w:eastAsia="宋体" w:cs="宋体"/>
                      <w:color w:val="000000" w:themeColor="text1"/>
                      <w:spacing w:val="-7"/>
                      <w:sz w:val="21"/>
                      <w:szCs w:val="21"/>
                      <w14:textFill>
                        <w14:solidFill>
                          <w14:schemeClr w14:val="tx1"/>
                        </w14:solidFill>
                      </w14:textFill>
                    </w:rPr>
                    <w:t>监控点处任意一次浓度值</w:t>
                  </w:r>
                </w:p>
              </w:tc>
              <w:tc>
                <w:tcPr>
                  <w:tcW w:w="700" w:type="pct"/>
                  <w:tcBorders>
                    <w:tl2br w:val="nil"/>
                    <w:tr2bl w:val="nil"/>
                  </w:tcBorders>
                  <w:noWrap w:val="0"/>
                  <w:vAlign w:val="center"/>
                </w:tcPr>
                <w:p w14:paraId="5F9DEA4B">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30</w:t>
                  </w:r>
                </w:p>
              </w:tc>
              <w:tc>
                <w:tcPr>
                  <w:tcW w:w="2188" w:type="pct"/>
                  <w:tcBorders>
                    <w:tl2br w:val="nil"/>
                    <w:tr2bl w:val="nil"/>
                  </w:tcBorders>
                  <w:noWrap w:val="0"/>
                  <w:vAlign w:val="center"/>
                </w:tcPr>
                <w:p w14:paraId="19CB45F0">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color w:val="000000" w:themeColor="text1"/>
                      <w:spacing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挥发性有机物无组织排放控制标准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GB37822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2019</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附录A表A.1</w:t>
                  </w:r>
                </w:p>
              </w:tc>
            </w:tr>
          </w:tbl>
          <w:p w14:paraId="42CC0B75">
            <w:pPr>
              <w:spacing w:before="120" w:beforeLines="50" w:line="360" w:lineRule="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3.7.3</w:t>
            </w:r>
            <w:r>
              <w:rPr>
                <w:rFonts w:hint="default" w:ascii="Times New Roman" w:hAnsi="Times New Roman" w:cs="Times New Roman"/>
                <w:b/>
                <w:bCs/>
                <w:color w:val="000000" w:themeColor="text1"/>
                <w:sz w:val="24"/>
                <w:highlight w:val="none"/>
                <w14:textFill>
                  <w14:solidFill>
                    <w14:schemeClr w14:val="tx1"/>
                  </w14:solidFill>
                </w14:textFill>
              </w:rPr>
              <w:t>厂界噪声</w:t>
            </w:r>
          </w:p>
          <w:p w14:paraId="0BD95262">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项目运营期厂界噪声执行《工业企业厂界环境噪声排放标准》</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GB12348-2008</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中</w:t>
            </w:r>
            <w:r>
              <w:rPr>
                <w:rFonts w:hint="eastAsia"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lang w:val="en-US" w:eastAsia="zh-CN"/>
                <w14:textFill>
                  <w14:solidFill>
                    <w14:schemeClr w14:val="tx1"/>
                  </w14:solidFill>
                </w14:textFill>
              </w:rPr>
              <w:t>类标准</w:t>
            </w:r>
            <w:r>
              <w:rPr>
                <w:rFonts w:hint="default" w:ascii="Times New Roman" w:hAnsi="Times New Roman" w:cs="Times New Roman"/>
                <w:color w:val="000000" w:themeColor="text1"/>
                <w:sz w:val="24"/>
                <w:szCs w:val="24"/>
                <w:highlight w:val="none"/>
                <w14:textFill>
                  <w14:solidFill>
                    <w14:schemeClr w14:val="tx1"/>
                  </w14:solidFill>
                </w14:textFill>
              </w:rPr>
              <w:t>，具体详见表</w:t>
            </w:r>
            <w:r>
              <w:rPr>
                <w:rFonts w:hint="default" w:ascii="Times New Roman" w:hAnsi="Times New Roman" w:cs="Times New Roman"/>
                <w:color w:val="000000" w:themeColor="text1"/>
                <w:sz w:val="24"/>
                <w:szCs w:val="24"/>
                <w:highlight w:val="none"/>
                <w:lang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7-</w:t>
            </w:r>
            <w:r>
              <w:rPr>
                <w:rFonts w:hint="eastAsia"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szCs w:val="24"/>
                <w:highlight w:val="none"/>
                <w14:textFill>
                  <w14:solidFill>
                    <w14:schemeClr w14:val="tx1"/>
                  </w14:solidFill>
                </w14:textFill>
              </w:rPr>
              <w:t>。</w:t>
            </w:r>
          </w:p>
          <w:p w14:paraId="013F8945">
            <w:pPr>
              <w:pStyle w:val="146"/>
              <w:spacing w:line="240" w:lineRule="auto"/>
              <w:ind w:firstLine="0" w:firstLineChars="0"/>
              <w:jc w:val="both"/>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表3.7-</w:t>
            </w:r>
            <w:r>
              <w:rPr>
                <w:rFonts w:hint="eastAsia" w:cs="Times New Roman"/>
                <w:b/>
                <w:color w:val="000000" w:themeColor="text1"/>
                <w:highlight w:val="none"/>
                <w:lang w:val="en-US" w:eastAsia="zh-CN"/>
                <w14:textFill>
                  <w14:solidFill>
                    <w14:schemeClr w14:val="tx1"/>
                  </w14:solidFill>
                </w14:textFill>
              </w:rPr>
              <w:t>6</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《工业企业厂界环境噪声排放标准》</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GB12348-2008</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表1</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摘录</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485"/>
              <w:gridCol w:w="1300"/>
              <w:gridCol w:w="1185"/>
              <w:gridCol w:w="1278"/>
            </w:tblGrid>
            <w:tr w14:paraId="742D5E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8" w:type="pct"/>
                  <w:tcBorders>
                    <w:tl2br w:val="single" w:color="auto" w:sz="2" w:space="0"/>
                  </w:tcBorders>
                  <w:noWrap w:val="0"/>
                  <w:vAlign w:val="center"/>
                </w:tcPr>
                <w:p w14:paraId="6CB95DF7">
                  <w:pPr>
                    <w:keepNext w:val="0"/>
                    <w:keepLines w:val="0"/>
                    <w:pageBreakBefore w:val="0"/>
                    <w:widowControl w:val="0"/>
                    <w:kinsoku/>
                    <w:wordWrap/>
                    <w:overflowPunct/>
                    <w:topLinePunct w:val="0"/>
                    <w:autoSpaceDE/>
                    <w:autoSpaceDN/>
                    <w:bidi w:val="0"/>
                    <w:adjustRightInd/>
                    <w:snapToGrid w:val="0"/>
                    <w:spacing w:line="240" w:lineRule="auto"/>
                    <w:jc w:val="right"/>
                    <w:textAlignment w:val="auto"/>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时段</w:t>
                  </w:r>
                </w:p>
                <w:p w14:paraId="57E03F7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厂界外声环境功能区类别</w:t>
                  </w:r>
                </w:p>
              </w:tc>
              <w:tc>
                <w:tcPr>
                  <w:tcW w:w="788" w:type="pct"/>
                  <w:tcBorders>
                    <w:right w:val="single" w:color="auto" w:sz="4" w:space="0"/>
                  </w:tcBorders>
                  <w:noWrap w:val="0"/>
                  <w:vAlign w:val="center"/>
                </w:tcPr>
                <w:p w14:paraId="4F8D4BD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昼间</w:t>
                  </w:r>
                </w:p>
              </w:tc>
              <w:tc>
                <w:tcPr>
                  <w:tcW w:w="718" w:type="pct"/>
                  <w:tcBorders>
                    <w:left w:val="single" w:color="auto" w:sz="4" w:space="0"/>
                  </w:tcBorders>
                  <w:noWrap w:val="0"/>
                  <w:vAlign w:val="center"/>
                </w:tcPr>
                <w:p w14:paraId="0F284B5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t>夜间</w:t>
                  </w:r>
                </w:p>
              </w:tc>
              <w:tc>
                <w:tcPr>
                  <w:tcW w:w="774" w:type="pct"/>
                  <w:noWrap w:val="0"/>
                  <w:vAlign w:val="center"/>
                </w:tcPr>
                <w:p w14:paraId="17889EC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单位</w:t>
                  </w:r>
                </w:p>
              </w:tc>
            </w:tr>
            <w:tr w14:paraId="59BFEA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8" w:type="pct"/>
                  <w:noWrap w:val="0"/>
                  <w:vAlign w:val="center"/>
                </w:tcPr>
                <w:p w14:paraId="5A7B324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eastAsia" w:ascii="Times New Roman" w:hAnsi="Times New Roman" w:cs="Times New Roman"/>
                      <w:snapToGrid w:val="0"/>
                      <w:color w:val="000000" w:themeColor="text1"/>
                      <w:kern w:val="18"/>
                      <w:szCs w:val="21"/>
                      <w:highlight w:val="none"/>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类</w:t>
                  </w:r>
                </w:p>
              </w:tc>
              <w:tc>
                <w:tcPr>
                  <w:tcW w:w="788" w:type="pct"/>
                  <w:tcBorders>
                    <w:right w:val="single" w:color="auto" w:sz="4" w:space="0"/>
                  </w:tcBorders>
                  <w:noWrap w:val="0"/>
                  <w:vAlign w:val="center"/>
                </w:tcPr>
                <w:p w14:paraId="4CC7D19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w:t>
                  </w:r>
                  <w:r>
                    <w:rPr>
                      <w:rFonts w:hint="default" w:ascii="Times New Roman" w:hAnsi="Times New Roman" w:cs="Times New Roman"/>
                      <w:snapToGrid w:val="0"/>
                      <w:color w:val="000000" w:themeColor="text1"/>
                      <w:kern w:val="18"/>
                      <w:szCs w:val="21"/>
                      <w:highlight w:val="none"/>
                      <w:lang w:val="en-US" w:eastAsia="zh-CN"/>
                      <w14:textFill>
                        <w14:solidFill>
                          <w14:schemeClr w14:val="tx1"/>
                        </w14:solidFill>
                      </w14:textFill>
                    </w:rPr>
                    <w:t>6</w:t>
                  </w:r>
                  <w:r>
                    <w:rPr>
                      <w:rFonts w:hint="eastAsia" w:ascii="Times New Roman" w:hAnsi="Times New Roman" w:cs="Times New Roman"/>
                      <w:snapToGrid w:val="0"/>
                      <w:color w:val="000000" w:themeColor="text1"/>
                      <w:kern w:val="18"/>
                      <w:szCs w:val="21"/>
                      <w:highlight w:val="none"/>
                      <w:lang w:val="en-US" w:eastAsia="zh-CN"/>
                      <w14:textFill>
                        <w14:solidFill>
                          <w14:schemeClr w14:val="tx1"/>
                        </w14:solidFill>
                      </w14:textFill>
                    </w:rPr>
                    <w:t>5</w:t>
                  </w:r>
                </w:p>
              </w:tc>
              <w:tc>
                <w:tcPr>
                  <w:tcW w:w="718" w:type="pct"/>
                  <w:tcBorders>
                    <w:left w:val="single" w:color="auto" w:sz="4" w:space="0"/>
                  </w:tcBorders>
                  <w:noWrap w:val="0"/>
                  <w:vAlign w:val="center"/>
                </w:tcPr>
                <w:p w14:paraId="596066B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napToGrid w:val="0"/>
                      <w:color w:val="000000" w:themeColor="text1"/>
                      <w:kern w:val="18"/>
                      <w:szCs w:val="21"/>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w:t>
                  </w:r>
                  <w:r>
                    <w:rPr>
                      <w:rFonts w:hint="default" w:ascii="Times New Roman" w:hAnsi="Times New Roman" w:cs="Times New Roman"/>
                      <w:snapToGrid w:val="0"/>
                      <w:color w:val="000000" w:themeColor="text1"/>
                      <w:kern w:val="18"/>
                      <w:szCs w:val="21"/>
                      <w:highlight w:val="none"/>
                      <w:lang w:val="en-US" w:eastAsia="zh-CN"/>
                      <w14:textFill>
                        <w14:solidFill>
                          <w14:schemeClr w14:val="tx1"/>
                        </w14:solidFill>
                      </w14:textFill>
                    </w:rPr>
                    <w:t>5</w:t>
                  </w:r>
                  <w:r>
                    <w:rPr>
                      <w:rFonts w:hint="eastAsia" w:ascii="Times New Roman" w:hAnsi="Times New Roman" w:cs="Times New Roman"/>
                      <w:snapToGrid w:val="0"/>
                      <w:color w:val="000000" w:themeColor="text1"/>
                      <w:kern w:val="18"/>
                      <w:szCs w:val="21"/>
                      <w:highlight w:val="none"/>
                      <w:lang w:val="en-US" w:eastAsia="zh-CN"/>
                      <w14:textFill>
                        <w14:solidFill>
                          <w14:schemeClr w14:val="tx1"/>
                        </w14:solidFill>
                      </w14:textFill>
                    </w:rPr>
                    <w:t>5</w:t>
                  </w:r>
                </w:p>
              </w:tc>
              <w:tc>
                <w:tcPr>
                  <w:tcW w:w="774" w:type="pct"/>
                  <w:noWrap w:val="0"/>
                  <w:vAlign w:val="center"/>
                </w:tcPr>
                <w:p w14:paraId="265126B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dB(A)</w:t>
                  </w:r>
                </w:p>
              </w:tc>
            </w:tr>
          </w:tbl>
          <w:p w14:paraId="17F10BDC">
            <w:pPr>
              <w:keepNext w:val="0"/>
              <w:keepLines w:val="0"/>
              <w:pageBreakBefore w:val="0"/>
              <w:widowControl w:val="0"/>
              <w:kinsoku/>
              <w:wordWrap/>
              <w:overflowPunct/>
              <w:topLinePunct w:val="0"/>
              <w:autoSpaceDE/>
              <w:autoSpaceDN/>
              <w:bidi w:val="0"/>
              <w:adjustRightInd w:val="0"/>
              <w:snapToGrid w:val="0"/>
              <w:spacing w:before="120" w:beforeLines="50" w:line="360" w:lineRule="auto"/>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3.7.4</w:t>
            </w:r>
            <w:r>
              <w:rPr>
                <w:rFonts w:hint="default" w:ascii="Times New Roman" w:hAnsi="Times New Roman" w:cs="Times New Roman"/>
                <w:b/>
                <w:bCs/>
                <w:color w:val="000000" w:themeColor="text1"/>
                <w:sz w:val="24"/>
                <w:highlight w:val="none"/>
                <w14:textFill>
                  <w14:solidFill>
                    <w14:schemeClr w14:val="tx1"/>
                  </w14:solidFill>
                </w14:textFill>
              </w:rPr>
              <w:t>固体废物</w:t>
            </w:r>
          </w:p>
          <w:p w14:paraId="03F2CC48">
            <w:pPr>
              <w:pStyle w:val="93"/>
              <w:ind w:firstLine="480" w:firstLineChars="20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运营期项目产生的</w:t>
            </w:r>
            <w:r>
              <w:rPr>
                <w:rFonts w:hint="default" w:ascii="Times New Roman" w:hAnsi="Times New Roman" w:cs="Times New Roman"/>
                <w:color w:val="000000" w:themeColor="text1"/>
                <w:sz w:val="24"/>
                <w:highlight w:val="none"/>
                <w:lang w:eastAsia="zh-CN"/>
                <w14:textFill>
                  <w14:solidFill>
                    <w14:schemeClr w14:val="tx1"/>
                  </w14:solidFill>
                </w14:textFill>
              </w:rPr>
              <w:t>一般工业固废应</w:t>
            </w:r>
            <w:r>
              <w:rPr>
                <w:rFonts w:hint="default" w:ascii="Times New Roman" w:hAnsi="Times New Roman" w:cs="Times New Roman"/>
                <w:color w:val="000000" w:themeColor="text1"/>
                <w:sz w:val="24"/>
                <w:highlight w:val="none"/>
                <w14:textFill>
                  <w14:solidFill>
                    <w14:schemeClr w14:val="tx1"/>
                  </w14:solidFill>
                </w14:textFill>
              </w:rPr>
              <w:t>按照</w:t>
            </w:r>
            <w:r>
              <w:rPr>
                <w:rFonts w:hint="default" w:ascii="Times New Roman" w:hAnsi="Times New Roman" w:cs="Times New Roman"/>
                <w:color w:val="000000" w:themeColor="text1"/>
                <w:sz w:val="24"/>
                <w:szCs w:val="24"/>
                <w:highlight w:val="none"/>
                <w:lang w:eastAsia="zh-CN"/>
                <w14:textFill>
                  <w14:solidFill>
                    <w14:schemeClr w14:val="tx1"/>
                  </w14:solidFill>
                </w14:textFill>
              </w:rPr>
              <w:t>《一般工业固体废物贮存和填埋污染控制标准》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GB 18599-2020</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的要求</w:t>
            </w:r>
            <w:r>
              <w:rPr>
                <w:rFonts w:hint="default" w:ascii="Times New Roman" w:hAnsi="Times New Roman" w:cs="Times New Roman"/>
                <w:color w:val="000000" w:themeColor="text1"/>
                <w:sz w:val="24"/>
                <w:highlight w:val="none"/>
                <w14:textFill>
                  <w14:solidFill>
                    <w14:schemeClr w14:val="tx1"/>
                  </w14:solidFill>
                </w14:textFill>
              </w:rPr>
              <w:t>进行</w:t>
            </w:r>
            <w:r>
              <w:rPr>
                <w:rFonts w:hint="default" w:ascii="Times New Roman" w:hAnsi="Times New Roman" w:cs="Times New Roman"/>
                <w:color w:val="000000" w:themeColor="text1"/>
                <w:sz w:val="24"/>
                <w:highlight w:val="none"/>
                <w:lang w:eastAsia="zh-CN"/>
                <w14:textFill>
                  <w14:solidFill>
                    <w14:schemeClr w14:val="tx1"/>
                  </w14:solidFill>
                </w14:textFill>
              </w:rPr>
              <w:t>处理</w:t>
            </w:r>
            <w:r>
              <w:rPr>
                <w:rFonts w:hint="default" w:ascii="Times New Roman" w:hAnsi="Times New Roman" w:cs="Times New Roman"/>
                <w:color w:val="000000" w:themeColor="text1"/>
                <w:sz w:val="24"/>
                <w:highlight w:val="none"/>
                <w14:textFill>
                  <w14:solidFill>
                    <w14:schemeClr w14:val="tx1"/>
                  </w14:solidFill>
                </w14:textFill>
              </w:rPr>
              <w:t>处置。项目内产生的危险废物应按照</w:t>
            </w:r>
            <w:r>
              <w:rPr>
                <w:rFonts w:hint="eastAsia" w:ascii="Times New Roman" w:hAnsi="Times New Roman" w:cs="Times New Roman"/>
                <w:color w:val="000000" w:themeColor="text1"/>
                <w:sz w:val="24"/>
                <w:szCs w:val="24"/>
                <w:highlight w:val="none"/>
                <w:lang w:eastAsia="zh-CN"/>
                <w14:textFill>
                  <w14:solidFill>
                    <w14:schemeClr w14:val="tx1"/>
                  </w14:solidFill>
                </w14:textFill>
              </w:rPr>
              <w:t>《危险废物贮存污染控制标准》（GB18597-2023）</w:t>
            </w:r>
            <w:r>
              <w:rPr>
                <w:rFonts w:hint="default" w:ascii="Times New Roman" w:hAnsi="Times New Roman" w:cs="Times New Roman"/>
                <w:color w:val="000000" w:themeColor="text1"/>
                <w:sz w:val="24"/>
                <w:szCs w:val="24"/>
                <w:highlight w:val="none"/>
                <w14:textFill>
                  <w14:solidFill>
                    <w14:schemeClr w14:val="tx1"/>
                  </w14:solidFill>
                </w14:textFill>
              </w:rPr>
              <w:t>中的要求</w:t>
            </w:r>
            <w:r>
              <w:rPr>
                <w:rFonts w:hint="default" w:ascii="Times New Roman" w:hAnsi="Times New Roman" w:cs="Times New Roman"/>
                <w:color w:val="000000" w:themeColor="text1"/>
                <w:sz w:val="24"/>
                <w:highlight w:val="none"/>
                <w14:textFill>
                  <w14:solidFill>
                    <w14:schemeClr w14:val="tx1"/>
                  </w14:solidFill>
                </w14:textFill>
              </w:rPr>
              <w:t>进行</w:t>
            </w:r>
            <w:r>
              <w:rPr>
                <w:rFonts w:hint="default" w:ascii="Times New Roman" w:hAnsi="Times New Roman" w:cs="Times New Roman"/>
                <w:color w:val="000000" w:themeColor="text1"/>
                <w:sz w:val="24"/>
                <w:highlight w:val="none"/>
                <w:lang w:eastAsia="zh-CN"/>
                <w14:textFill>
                  <w14:solidFill>
                    <w14:schemeClr w14:val="tx1"/>
                  </w14:solidFill>
                </w14:textFill>
              </w:rPr>
              <w:t>处理</w:t>
            </w:r>
            <w:r>
              <w:rPr>
                <w:rFonts w:hint="default" w:ascii="Times New Roman" w:hAnsi="Times New Roman" w:cs="Times New Roman"/>
                <w:color w:val="000000" w:themeColor="text1"/>
                <w:sz w:val="24"/>
                <w:highlight w:val="none"/>
                <w14:textFill>
                  <w14:solidFill>
                    <w14:schemeClr w14:val="tx1"/>
                  </w14:solidFill>
                </w14:textFill>
              </w:rPr>
              <w:t>处置。</w:t>
            </w:r>
            <w:r>
              <w:rPr>
                <w:rFonts w:hint="eastAsia" w:ascii="Times New Roman" w:hAnsi="Times New Roman" w:cs="Times New Roman"/>
                <w:color w:val="000000" w:themeColor="text1"/>
                <w:sz w:val="24"/>
                <w:highlight w:val="none"/>
                <w:lang w:val="en-US" w:eastAsia="zh-CN"/>
                <w14:textFill>
                  <w14:solidFill>
                    <w14:schemeClr w14:val="tx1"/>
                  </w14:solidFill>
                </w14:textFill>
              </w:rPr>
              <w:t>危废废物标识按照</w:t>
            </w:r>
            <w:r>
              <w:rPr>
                <w:rFonts w:hint="eastAsia" w:ascii="Times New Roman" w:hAnsi="Times New Roman" w:cs="Times New Roman"/>
                <w:color w:val="000000" w:themeColor="text1"/>
                <w:kern w:val="0"/>
                <w:sz w:val="24"/>
                <w:lang w:val="en-US" w:eastAsia="zh-CN"/>
                <w14:textFill>
                  <w14:solidFill>
                    <w14:schemeClr w14:val="tx1"/>
                  </w14:solidFill>
                </w14:textFill>
              </w:rPr>
              <w:t>《危险废物识别标志设置技术规范》（HJ 1276-2022）要求进行；</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生活垃圾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参照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城市环境卫生设施规划标准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（GB/T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50337-2018）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中的要求进行综合利用和处置</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tc>
      </w:tr>
      <w:tr w14:paraId="2B853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800" w:type="dxa"/>
            <w:noWrap w:val="0"/>
            <w:tcMar>
              <w:left w:w="28" w:type="dxa"/>
              <w:right w:w="28" w:type="dxa"/>
            </w:tcMar>
            <w:vAlign w:val="center"/>
          </w:tcPr>
          <w:p w14:paraId="7DB4AA66">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总量</w:t>
            </w:r>
          </w:p>
          <w:p w14:paraId="10FAECE8">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控制</w:t>
            </w:r>
          </w:p>
          <w:p w14:paraId="3F14A155">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指标</w:t>
            </w:r>
          </w:p>
        </w:tc>
        <w:tc>
          <w:tcPr>
            <w:tcW w:w="8166" w:type="dxa"/>
            <w:noWrap w:val="0"/>
            <w:vAlign w:val="center"/>
          </w:tcPr>
          <w:p w14:paraId="3FF8960B">
            <w:pPr>
              <w:keepNext w:val="0"/>
              <w:keepLines w:val="0"/>
              <w:pageBreakBefore w:val="0"/>
              <w:widowControl w:val="0"/>
              <w:kinsoku/>
              <w:wordWrap/>
              <w:overflowPunct/>
              <w:topLinePunct w:val="0"/>
              <w:autoSpaceDE/>
              <w:autoSpaceDN/>
              <w:bidi w:val="0"/>
              <w:adjustRightInd w:val="0"/>
              <w:snapToGrid w:val="0"/>
              <w:spacing w:before="313" w:beforeLines="100" w:after="157" w:afterLines="50" w:line="240" w:lineRule="auto"/>
              <w:textAlignment w:val="auto"/>
              <w:rPr>
                <w:rFonts w:hint="default" w:ascii="Times New Roman" w:hAnsi="Times New Roman" w:eastAsia="宋体" w:cs="Times New Roman"/>
                <w:b/>
                <w:bCs w:val="0"/>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8"/>
                <w:szCs w:val="28"/>
                <w:highlight w:val="none"/>
                <w:lang w:val="en-US" w:eastAsia="zh-CN"/>
                <w14:textFill>
                  <w14:solidFill>
                    <w14:schemeClr w14:val="tx1"/>
                  </w14:solidFill>
                </w14:textFill>
              </w:rPr>
              <w:t>3.8总量控制指标</w:t>
            </w:r>
          </w:p>
          <w:p w14:paraId="27A0DB04">
            <w:pPr>
              <w:keepNext w:val="0"/>
              <w:keepLines w:val="0"/>
              <w:pageBreakBefore w:val="0"/>
              <w:widowControl w:val="0"/>
              <w:kinsoku/>
              <w:wordWrap/>
              <w:overflowPunct/>
              <w:topLinePunct w:val="0"/>
              <w:autoSpaceDE/>
              <w:autoSpaceDN/>
              <w:bidi w:val="0"/>
              <w:adjustRightInd w:val="0"/>
              <w:snapToGrid w:val="0"/>
              <w:spacing w:before="120" w:beforeLines="50" w:line="360" w:lineRule="auto"/>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3.8.1总量控制指标</w:t>
            </w:r>
          </w:p>
          <w:p w14:paraId="7D74947E">
            <w:pPr>
              <w:pStyle w:val="95"/>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根据《福建省“十四五”生态环境保护专项规划》</w:t>
            </w:r>
            <w:r>
              <w:rPr>
                <w:rFonts w:hint="default" w:ascii="Times New Roman" w:hAnsi="Times New Roman" w:cs="Times New Roman"/>
                <w:color w:val="000000" w:themeColor="text1"/>
                <w:kern w:val="0"/>
                <w:sz w:val="24"/>
                <w:highlight w:val="none"/>
                <w:lang w:eastAsia="zh-CN"/>
                <w14:textFill>
                  <w14:solidFill>
                    <w14:schemeClr w14:val="tx1"/>
                  </w14:solidFill>
                </w14:textFill>
              </w:rPr>
              <w:t>、《福建省大气污染防治条例》</w:t>
            </w:r>
            <w:r>
              <w:rPr>
                <w:rFonts w:hint="default" w:ascii="Times New Roman" w:hAnsi="Times New Roman" w:cs="Times New Roman"/>
                <w:color w:val="000000" w:themeColor="text1"/>
                <w:kern w:val="0"/>
                <w:sz w:val="24"/>
                <w:highlight w:val="none"/>
                <w14:textFill>
                  <w14:solidFill>
                    <w14:schemeClr w14:val="tx1"/>
                  </w14:solidFill>
                </w14:textFill>
              </w:rPr>
              <w:t>和《福建省建设项目主要污染物排放总量指标管理办法（试行）》（闽环发</w:t>
            </w:r>
            <w:r>
              <w:rPr>
                <w:rFonts w:hint="eastAsia" w:ascii="Times New Roman" w:hAnsi="Times New Roman" w:cs="Times New Roman"/>
                <w:color w:val="000000" w:themeColor="text1"/>
                <w:kern w:val="0"/>
                <w:sz w:val="24"/>
                <w:highlight w:val="none"/>
                <w:lang w:eastAsia="zh-CN"/>
                <w14:textFill>
                  <w14:solidFill>
                    <w14:schemeClr w14:val="tx1"/>
                  </w14:solidFill>
                </w14:textFill>
              </w:rPr>
              <w:t>〔2014〕13号</w:t>
            </w:r>
            <w:r>
              <w:rPr>
                <w:rFonts w:hint="default" w:ascii="Times New Roman" w:hAnsi="Times New Roman" w:cs="Times New Roman"/>
                <w:color w:val="000000" w:themeColor="text1"/>
                <w:kern w:val="0"/>
                <w:sz w:val="24"/>
                <w:highlight w:val="none"/>
                <w14:textFill>
                  <w14:solidFill>
                    <w14:schemeClr w14:val="tx1"/>
                  </w14:solidFill>
                </w14:textFill>
              </w:rPr>
              <w:t>），“十</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四</w:t>
            </w:r>
            <w:r>
              <w:rPr>
                <w:rFonts w:hint="default" w:ascii="Times New Roman" w:hAnsi="Times New Roman" w:cs="Times New Roman"/>
                <w:color w:val="000000" w:themeColor="text1"/>
                <w:kern w:val="0"/>
                <w:sz w:val="24"/>
                <w:highlight w:val="none"/>
                <w14:textFill>
                  <w14:solidFill>
                    <w14:schemeClr w14:val="tx1"/>
                  </w14:solidFill>
                </w14:textFill>
              </w:rPr>
              <w:t>五”期间国家对二氧化硫（SO</w:t>
            </w:r>
            <w:r>
              <w:rPr>
                <w:rFonts w:hint="default" w:ascii="Times New Roman" w:hAnsi="Times New Roman" w:cs="Times New Roman"/>
                <w:color w:val="000000" w:themeColor="text1"/>
                <w:kern w:val="0"/>
                <w:sz w:val="24"/>
                <w:highlight w:val="none"/>
                <w:vertAlign w:val="subscript"/>
                <w14:textFill>
                  <w14:solidFill>
                    <w14:schemeClr w14:val="tx1"/>
                  </w14:solidFill>
                </w14:textFill>
              </w:rPr>
              <w:t>2</w:t>
            </w:r>
            <w:r>
              <w:rPr>
                <w:rFonts w:hint="default" w:ascii="Times New Roman" w:hAnsi="Times New Roman" w:cs="Times New Roman"/>
                <w:color w:val="000000" w:themeColor="text1"/>
                <w:kern w:val="0"/>
                <w:sz w:val="24"/>
                <w:highlight w:val="none"/>
                <w14:textFill>
                  <w14:solidFill>
                    <w14:schemeClr w14:val="tx1"/>
                  </w14:solidFill>
                </w14:textFill>
              </w:rPr>
              <w:t>）、氮氧化物（NO</w:t>
            </w:r>
            <w:r>
              <w:rPr>
                <w:rFonts w:hint="default" w:ascii="Times New Roman" w:hAnsi="Times New Roman" w:cs="Times New Roman"/>
                <w:color w:val="000000" w:themeColor="text1"/>
                <w:kern w:val="0"/>
                <w:sz w:val="24"/>
                <w:highlight w:val="none"/>
                <w:vertAlign w:val="subscript"/>
                <w14:textFill>
                  <w14:solidFill>
                    <w14:schemeClr w14:val="tx1"/>
                  </w14:solidFill>
                </w14:textFill>
              </w:rPr>
              <w:t>X</w:t>
            </w:r>
            <w:r>
              <w:rPr>
                <w:rFonts w:hint="default" w:ascii="Times New Roman" w:hAnsi="Times New Roman" w:cs="Times New Roman"/>
                <w:color w:val="000000" w:themeColor="text1"/>
                <w:kern w:val="0"/>
                <w:sz w:val="24"/>
                <w:highlight w:val="none"/>
                <w14:textFill>
                  <w14:solidFill>
                    <w14:schemeClr w14:val="tx1"/>
                  </w14:solidFill>
                </w14:textFill>
              </w:rPr>
              <w:t>）、化学需氧量（COD）和氨氮（NH</w:t>
            </w:r>
            <w:r>
              <w:rPr>
                <w:rFonts w:hint="default" w:ascii="Times New Roman" w:hAnsi="Times New Roman" w:cs="Times New Roman"/>
                <w:color w:val="000000" w:themeColor="text1"/>
                <w:kern w:val="0"/>
                <w:sz w:val="24"/>
                <w:highlight w:val="none"/>
                <w:vertAlign w:val="subscript"/>
                <w14:textFill>
                  <w14:solidFill>
                    <w14:schemeClr w14:val="tx1"/>
                  </w14:solidFill>
                </w14:textFill>
              </w:rPr>
              <w:t>3</w:t>
            </w:r>
            <w:r>
              <w:rPr>
                <w:rFonts w:hint="default" w:ascii="Times New Roman" w:hAnsi="Times New Roman" w:cs="Times New Roman"/>
                <w:color w:val="000000" w:themeColor="text1"/>
                <w:kern w:val="0"/>
                <w:sz w:val="24"/>
                <w:highlight w:val="none"/>
                <w14:textFill>
                  <w14:solidFill>
                    <w14:schemeClr w14:val="tx1"/>
                  </w14:solidFill>
                </w14:textFill>
              </w:rPr>
              <w:t>-N）4种主要污染物实行排放总量控制计划管理。</w:t>
            </w:r>
            <w:r>
              <w:rPr>
                <w:rFonts w:hint="eastAsia" w:ascii="Times New Roman" w:hAnsi="Times New Roman" w:eastAsia="宋体" w:cs="Times New Roman"/>
                <w:color w:val="000000" w:themeColor="text1"/>
                <w:lang w:val="en-US" w:eastAsia="zh-CN"/>
                <w14:textFill>
                  <w14:solidFill>
                    <w14:schemeClr w14:val="tx1"/>
                  </w14:solidFill>
                </w14:textFill>
              </w:rPr>
              <w:t>同时根据《福建省大气污染防治条例》，结合《福州市环境保护局关于印发福州市大气污染联防联控联治工作方案的通知》（榕环保综</w:t>
            </w:r>
            <w:r>
              <w:rPr>
                <w:rFonts w:hint="eastAsia" w:ascii="Times New Roman" w:hAnsi="Times New Roman" w:cs="Times New Roman"/>
                <w:color w:val="000000" w:themeColor="text1"/>
                <w:lang w:val="en-US" w:eastAsia="zh-CN"/>
                <w14:textFill>
                  <w14:solidFill>
                    <w14:schemeClr w14:val="tx1"/>
                  </w14:solidFill>
                </w14:textFill>
              </w:rPr>
              <w:t>〔2018〕386号</w:t>
            </w:r>
            <w:r>
              <w:rPr>
                <w:rFonts w:hint="eastAsia" w:ascii="Times New Roman" w:hAnsi="Times New Roman" w:eastAsia="宋体" w:cs="Times New Roman"/>
                <w:color w:val="000000" w:themeColor="text1"/>
                <w:lang w:val="en-US" w:eastAsia="zh-CN"/>
                <w14:textFill>
                  <w14:solidFill>
                    <w14:schemeClr w14:val="tx1"/>
                  </w14:solidFill>
                </w14:textFill>
              </w:rPr>
              <w:t>）等文件要求，VOCs指标也列入总量控制行列。</w:t>
            </w:r>
          </w:p>
          <w:p w14:paraId="20DA29D6">
            <w:pPr>
              <w:pStyle w:val="95"/>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3.8.</w:t>
            </w:r>
            <w:r>
              <w:rPr>
                <w:rFonts w:hint="eastAsia"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lang w:val="en-US" w:eastAsia="zh-CN"/>
                <w14:textFill>
                  <w14:solidFill>
                    <w14:schemeClr w14:val="tx1"/>
                  </w14:solidFill>
                </w14:textFill>
              </w:rPr>
              <w:t>废水总量</w:t>
            </w:r>
          </w:p>
          <w:p w14:paraId="4E87E5A3">
            <w:pPr>
              <w:pStyle w:val="95"/>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本项目生产废水依托现有工程废水处理设施处理达标后排入市政污水管网，送往福建青口海峡环保有限公司（青口新区污水处理厂）进行，</w:t>
            </w:r>
            <w:r>
              <w:rPr>
                <w:rFonts w:hint="eastAsia" w:ascii="Times New Roman" w:hAnsi="Times New Roman" w:cs="Times New Roman"/>
                <w:color w:val="000000" w:themeColor="text1"/>
                <w:sz w:val="24"/>
                <w:highlight w:val="none"/>
                <w:lang w:val="en-US" w:eastAsia="zh-CN"/>
                <w14:textFill>
                  <w14:solidFill>
                    <w14:schemeClr w14:val="tx1"/>
                  </w14:solidFill>
                </w14:textFill>
              </w:rPr>
              <w:t>尾水排入陶江</w:t>
            </w:r>
            <w:r>
              <w:rPr>
                <w:rFonts w:hint="eastAsia" w:ascii="Times New Roman" w:hAnsi="Times New Roman" w:eastAsia="宋体" w:cs="Times New Roman"/>
                <w:color w:val="000000" w:themeColor="text1"/>
                <w:lang w:val="en-US" w:eastAsia="zh-CN"/>
                <w14:textFill>
                  <w14:solidFill>
                    <w14:schemeClr w14:val="tx1"/>
                  </w14:solidFill>
                </w14:textFill>
              </w:rPr>
              <w:t>。生活污水经化粪池处理后接入市政污水管网；最终统一送往福建青口海峡环保有限公司（青口新区污水处理厂）集中处理，根据《福建省环保厅关于进一步明确排污权工作有关问题的通知》（闽环保财〔2017〕22号），现有工业排污单位的水污染物的初始排污权只核定工业废水部分，本项目外排的生活污水允许排放量由福建青口海峡环保有限公司（青口新区污水处理厂）统计在内，项目生活污水排放暂不需要购买相应的排污权指标，由福建青口海峡环保有限公司（青口新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污水处理厂）统一削减控制。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本项目生产废水排放量</w:t>
            </w:r>
            <w:r>
              <w:rPr>
                <w:rFonts w:hint="eastAsia" w:cs="Times New Roman"/>
                <w:color w:val="000000" w:themeColor="text1"/>
                <w:sz w:val="24"/>
                <w:szCs w:val="24"/>
                <w:highlight w:val="none"/>
                <w:lang w:val="en-US" w:eastAsia="zh-CN"/>
                <w14:textFill>
                  <w14:solidFill>
                    <w14:schemeClr w14:val="tx1"/>
                  </w14:solidFill>
                </w14:textFill>
              </w:rPr>
              <w:t>10402</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lang w:val="en-US" w:eastAsia="zh-CN"/>
                <w14:textFill>
                  <w14:solidFill>
                    <w14:schemeClr w14:val="tx1"/>
                  </w14:solidFill>
                </w14:textFill>
              </w:rPr>
              <w:t>，需申请总量指标计算如下</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7583C98B">
            <w:pPr>
              <w:pStyle w:val="146"/>
              <w:spacing w:line="240" w:lineRule="auto"/>
              <w:ind w:firstLine="480"/>
              <w:jc w:val="center"/>
              <w:rPr>
                <w:rFonts w:hint="eastAsia"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表3.8-</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 xml:space="preserve">1 </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项目</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外排生产</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废水主要污染物排放总量</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情况表</w:t>
            </w:r>
          </w:p>
          <w:tbl>
            <w:tblPr>
              <w:tblStyle w:val="3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76"/>
              <w:gridCol w:w="1394"/>
              <w:gridCol w:w="1486"/>
              <w:gridCol w:w="1112"/>
              <w:gridCol w:w="1303"/>
              <w:gridCol w:w="1028"/>
              <w:gridCol w:w="1049"/>
            </w:tblGrid>
            <w:tr w14:paraId="4A0094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376" w:type="pct"/>
                  <w:gridSpan w:val="2"/>
                  <w:vMerge w:val="restart"/>
                  <w:tcBorders>
                    <w:tl2br w:val="nil"/>
                    <w:tr2bl w:val="nil"/>
                  </w:tcBorders>
                  <w:noWrap w:val="0"/>
                  <w:vAlign w:val="center"/>
                </w:tcPr>
                <w:p w14:paraId="0B624D8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w:t>
                  </w:r>
                </w:p>
              </w:tc>
              <w:tc>
                <w:tcPr>
                  <w:tcW w:w="901" w:type="pct"/>
                  <w:vMerge w:val="restart"/>
                  <w:tcBorders>
                    <w:tl2br w:val="nil"/>
                    <w:tr2bl w:val="nil"/>
                  </w:tcBorders>
                  <w:noWrap w:val="0"/>
                  <w:vAlign w:val="center"/>
                </w:tcPr>
                <w:p w14:paraId="271A48D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现有工程许可排放量</w:t>
                  </w:r>
                </w:p>
              </w:tc>
              <w:tc>
                <w:tcPr>
                  <w:tcW w:w="1464" w:type="pct"/>
                  <w:gridSpan w:val="2"/>
                  <w:tcBorders>
                    <w:tl2br w:val="nil"/>
                    <w:tr2bl w:val="nil"/>
                  </w:tcBorders>
                  <w:noWrap w:val="0"/>
                  <w:vAlign w:val="center"/>
                </w:tcPr>
                <w:p w14:paraId="67C2216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项目排入环境总量</w:t>
                  </w:r>
                </w:p>
              </w:tc>
              <w:tc>
                <w:tcPr>
                  <w:tcW w:w="623" w:type="pct"/>
                  <w:vMerge w:val="restart"/>
                  <w:tcBorders>
                    <w:tl2br w:val="nil"/>
                    <w:tr2bl w:val="nil"/>
                  </w:tcBorders>
                  <w:noWrap w:val="0"/>
                  <w:vAlign w:val="center"/>
                </w:tcPr>
                <w:p w14:paraId="5CF30B7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已购排放总量</w:t>
                  </w:r>
                </w:p>
              </w:tc>
              <w:tc>
                <w:tcPr>
                  <w:tcW w:w="634" w:type="pct"/>
                  <w:vMerge w:val="restart"/>
                  <w:tcBorders>
                    <w:tl2br w:val="nil"/>
                    <w:tr2bl w:val="nil"/>
                  </w:tcBorders>
                  <w:noWrap w:val="0"/>
                  <w:vAlign w:val="center"/>
                </w:tcPr>
                <w:p w14:paraId="7A479C1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新增排放总量</w:t>
                  </w:r>
                </w:p>
              </w:tc>
            </w:tr>
            <w:tr w14:paraId="0158EF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376" w:type="pct"/>
                  <w:gridSpan w:val="2"/>
                  <w:vMerge w:val="continue"/>
                  <w:tcBorders>
                    <w:tl2br w:val="nil"/>
                    <w:tr2bl w:val="nil"/>
                  </w:tcBorders>
                  <w:noWrap w:val="0"/>
                  <w:vAlign w:val="center"/>
                </w:tcPr>
                <w:p w14:paraId="375E5EC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901" w:type="pct"/>
                  <w:vMerge w:val="continue"/>
                  <w:tcBorders>
                    <w:tl2br w:val="nil"/>
                    <w:tr2bl w:val="nil"/>
                  </w:tcBorders>
                  <w:noWrap w:val="0"/>
                  <w:vAlign w:val="center"/>
                </w:tcPr>
                <w:p w14:paraId="603439D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674" w:type="pct"/>
                  <w:tcBorders>
                    <w:tl2br w:val="nil"/>
                    <w:tr2bl w:val="nil"/>
                  </w:tcBorders>
                  <w:noWrap w:val="0"/>
                  <w:vAlign w:val="center"/>
                </w:tcPr>
                <w:p w14:paraId="2C737D8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污水厂</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控制浓度</w:t>
                  </w:r>
                </w:p>
              </w:tc>
              <w:tc>
                <w:tcPr>
                  <w:tcW w:w="789" w:type="pct"/>
                  <w:tcBorders>
                    <w:tl2br w:val="nil"/>
                    <w:tr2bl w:val="nil"/>
                  </w:tcBorders>
                  <w:noWrap w:val="0"/>
                  <w:vAlign w:val="center"/>
                </w:tcPr>
                <w:p w14:paraId="2145067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改扩建后全厂</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排放量</w:t>
                  </w:r>
                </w:p>
              </w:tc>
              <w:tc>
                <w:tcPr>
                  <w:tcW w:w="623" w:type="pct"/>
                  <w:vMerge w:val="continue"/>
                  <w:tcBorders>
                    <w:tl2br w:val="nil"/>
                    <w:tr2bl w:val="nil"/>
                  </w:tcBorders>
                  <w:noWrap w:val="0"/>
                  <w:vAlign w:val="center"/>
                </w:tcPr>
                <w:p w14:paraId="2999F69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634" w:type="pct"/>
                  <w:vMerge w:val="continue"/>
                  <w:tcBorders>
                    <w:tl2br w:val="nil"/>
                    <w:tr2bl w:val="nil"/>
                  </w:tcBorders>
                  <w:noWrap w:val="0"/>
                  <w:vAlign w:val="center"/>
                </w:tcPr>
                <w:p w14:paraId="662A3BC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r>
            <w:tr w14:paraId="22F007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31" w:type="pct"/>
                  <w:vMerge w:val="restart"/>
                  <w:tcBorders>
                    <w:tl2br w:val="nil"/>
                    <w:tr2bl w:val="nil"/>
                  </w:tcBorders>
                  <w:noWrap w:val="0"/>
                  <w:vAlign w:val="center"/>
                </w:tcPr>
                <w:p w14:paraId="455D17A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生产废水</w:t>
                  </w:r>
                </w:p>
              </w:tc>
              <w:tc>
                <w:tcPr>
                  <w:tcW w:w="845" w:type="pct"/>
                  <w:tcBorders>
                    <w:tl2br w:val="nil"/>
                    <w:tr2bl w:val="nil"/>
                  </w:tcBorders>
                  <w:noWrap w:val="0"/>
                  <w:vAlign w:val="center"/>
                </w:tcPr>
                <w:p w14:paraId="44039D8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废水量</w:t>
                  </w:r>
                </w:p>
              </w:tc>
              <w:tc>
                <w:tcPr>
                  <w:tcW w:w="901" w:type="pct"/>
                  <w:tcBorders>
                    <w:tl2br w:val="nil"/>
                    <w:tr2bl w:val="nil"/>
                  </w:tcBorders>
                  <w:noWrap w:val="0"/>
                  <w:vAlign w:val="center"/>
                </w:tcPr>
                <w:p w14:paraId="0B37839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1042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c>
                <w:tcPr>
                  <w:tcW w:w="674" w:type="pct"/>
                  <w:tcBorders>
                    <w:tl2br w:val="nil"/>
                    <w:tr2bl w:val="nil"/>
                  </w:tcBorders>
                  <w:noWrap w:val="0"/>
                  <w:vAlign w:val="center"/>
                </w:tcPr>
                <w:p w14:paraId="234FF13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89" w:type="pct"/>
                  <w:tcBorders>
                    <w:tl2br w:val="nil"/>
                    <w:tr2bl w:val="nil"/>
                  </w:tcBorders>
                  <w:noWrap w:val="0"/>
                  <w:vAlign w:val="center"/>
                </w:tcPr>
                <w:p w14:paraId="3299363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10402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c>
                <w:tcPr>
                  <w:tcW w:w="623" w:type="pct"/>
                  <w:tcBorders>
                    <w:tl2br w:val="nil"/>
                    <w:tr2bl w:val="nil"/>
                  </w:tcBorders>
                  <w:noWrap w:val="0"/>
                  <w:vAlign w:val="center"/>
                </w:tcPr>
                <w:p w14:paraId="27ABF80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634" w:type="pct"/>
                  <w:tcBorders>
                    <w:tl2br w:val="nil"/>
                    <w:tr2bl w:val="nil"/>
                  </w:tcBorders>
                  <w:noWrap w:val="0"/>
                  <w:vAlign w:val="center"/>
                </w:tcPr>
                <w:p w14:paraId="252CC8D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3F8366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31" w:type="pct"/>
                  <w:vMerge w:val="continue"/>
                  <w:tcBorders>
                    <w:tl2br w:val="nil"/>
                    <w:tr2bl w:val="nil"/>
                  </w:tcBorders>
                  <w:noWrap w:val="0"/>
                  <w:vAlign w:val="center"/>
                </w:tcPr>
                <w:p w14:paraId="7E98C95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45" w:type="pct"/>
                  <w:tcBorders>
                    <w:tl2br w:val="nil"/>
                    <w:tr2bl w:val="nil"/>
                  </w:tcBorders>
                  <w:noWrap w:val="0"/>
                  <w:vAlign w:val="center"/>
                </w:tcPr>
                <w:p w14:paraId="27E0F24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p>
              </w:tc>
              <w:tc>
                <w:tcPr>
                  <w:tcW w:w="901" w:type="pct"/>
                  <w:tcBorders>
                    <w:tl2br w:val="nil"/>
                    <w:tr2bl w:val="nil"/>
                  </w:tcBorders>
                  <w:noWrap w:val="0"/>
                  <w:vAlign w:val="center"/>
                </w:tcPr>
                <w:p w14:paraId="68C5AFC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053t/a</w:t>
                  </w:r>
                </w:p>
              </w:tc>
              <w:tc>
                <w:tcPr>
                  <w:tcW w:w="674" w:type="pct"/>
                  <w:tcBorders>
                    <w:tl2br w:val="nil"/>
                    <w:tr2bl w:val="nil"/>
                  </w:tcBorders>
                  <w:noWrap w:val="0"/>
                  <w:vAlign w:val="center"/>
                </w:tcPr>
                <w:p w14:paraId="55DABCD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789" w:type="pct"/>
                  <w:tcBorders>
                    <w:tl2br w:val="nil"/>
                    <w:tr2bl w:val="nil"/>
                  </w:tcBorders>
                  <w:noWrap w:val="0"/>
                  <w:vAlign w:val="center"/>
                </w:tcPr>
                <w:p w14:paraId="5D39C89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0.520</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623" w:type="pct"/>
                  <w:tcBorders>
                    <w:tl2br w:val="nil"/>
                    <w:tr2bl w:val="nil"/>
                  </w:tcBorders>
                  <w:noWrap w:val="0"/>
                  <w:vAlign w:val="center"/>
                </w:tcPr>
                <w:p w14:paraId="55B537F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62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634" w:type="pct"/>
                  <w:tcBorders>
                    <w:tl2br w:val="nil"/>
                    <w:tr2bl w:val="nil"/>
                  </w:tcBorders>
                  <w:noWrap w:val="0"/>
                  <w:vAlign w:val="center"/>
                </w:tcPr>
                <w:p w14:paraId="7310EA5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fldChar w:fldCharType="begin"/>
                  </w:r>
                  <w:r>
                    <w:rPr>
                      <w:rFonts w:hint="eastAsia" w:cs="Times New Roman"/>
                      <w:color w:val="000000" w:themeColor="text1"/>
                      <w:sz w:val="21"/>
                      <w:szCs w:val="21"/>
                      <w:highlight w:val="none"/>
                      <w:lang w:val="en-US" w:eastAsia="zh-CN"/>
                      <w14:textFill>
                        <w14:solidFill>
                          <w14:schemeClr w14:val="tx1"/>
                        </w14:solidFill>
                      </w14:textFill>
                    </w:rPr>
                    <w:instrText xml:space="preserve"> =0.52-0.0625 \* MERGEFORMAT </w:instrText>
                  </w:r>
                  <w:r>
                    <w:rPr>
                      <w:rFonts w:hint="eastAsia" w:cs="Times New Roman"/>
                      <w:color w:val="000000" w:themeColor="text1"/>
                      <w:sz w:val="21"/>
                      <w:szCs w:val="21"/>
                      <w:highlight w:val="none"/>
                      <w:lang w:val="en-US" w:eastAsia="zh-CN"/>
                      <w14:textFill>
                        <w14:solidFill>
                          <w14:schemeClr w14:val="tx1"/>
                        </w14:solidFill>
                      </w14:textFill>
                    </w:rPr>
                    <w:fldChar w:fldCharType="separate"/>
                  </w:r>
                  <w:r>
                    <w:rPr>
                      <w:rFonts w:hint="eastAsia" w:cs="Times New Roman"/>
                      <w:color w:val="000000" w:themeColor="text1"/>
                      <w:sz w:val="21"/>
                      <w:szCs w:val="21"/>
                      <w:highlight w:val="none"/>
                      <w:lang w:val="en-US" w:eastAsia="zh-CN"/>
                      <w14:textFill>
                        <w14:solidFill>
                          <w14:schemeClr w14:val="tx1"/>
                        </w14:solidFill>
                      </w14:textFill>
                    </w:rPr>
                    <w:t>0.4575</w:t>
                  </w:r>
                  <w:r>
                    <w:rPr>
                      <w:rFonts w:hint="eastAsia" w:cs="Times New Roman"/>
                      <w:color w:val="000000" w:themeColor="text1"/>
                      <w:sz w:val="21"/>
                      <w:szCs w:val="21"/>
                      <w:highlight w:val="none"/>
                      <w:lang w:val="en-US" w:eastAsia="zh-CN"/>
                      <w14:textFill>
                        <w14:solidFill>
                          <w14:schemeClr w14:val="tx1"/>
                        </w14:solidFill>
                      </w14:textFill>
                    </w:rPr>
                    <w:fldChar w:fldCharType="end"/>
                  </w:r>
                  <w:r>
                    <w:rPr>
                      <w:rFonts w:hint="eastAsia" w:cs="Times New Roman"/>
                      <w:color w:val="000000" w:themeColor="text1"/>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highlight w:val="none"/>
                      <w14:textFill>
                        <w14:solidFill>
                          <w14:schemeClr w14:val="tx1"/>
                        </w14:solidFill>
                      </w14:textFill>
                    </w:rPr>
                    <w:t>/a</w:t>
                  </w:r>
                </w:p>
              </w:tc>
            </w:tr>
            <w:tr w14:paraId="2C0F87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31" w:type="pct"/>
                  <w:vMerge w:val="continue"/>
                  <w:tcBorders>
                    <w:tl2br w:val="nil"/>
                    <w:tr2bl w:val="nil"/>
                  </w:tcBorders>
                  <w:noWrap w:val="0"/>
                  <w:vAlign w:val="center"/>
                </w:tcPr>
                <w:p w14:paraId="0DA0571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45" w:type="pct"/>
                  <w:tcBorders>
                    <w:tl2br w:val="nil"/>
                    <w:tr2bl w:val="nil"/>
                  </w:tcBorders>
                  <w:noWrap w:val="0"/>
                  <w:vAlign w:val="center"/>
                </w:tcPr>
                <w:p w14:paraId="756AAAE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NH</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w:t>
                  </w:r>
                </w:p>
              </w:tc>
              <w:tc>
                <w:tcPr>
                  <w:tcW w:w="901" w:type="pct"/>
                  <w:tcBorders>
                    <w:tl2br w:val="nil"/>
                    <w:tr2bl w:val="nil"/>
                  </w:tcBorders>
                  <w:noWrap w:val="0"/>
                  <w:vAlign w:val="center"/>
                </w:tcPr>
                <w:p w14:paraId="46C01B9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0.005</w:t>
                  </w:r>
                  <w:r>
                    <w:rPr>
                      <w:rFonts w:hint="eastAsia" w:cs="Times New Roman"/>
                      <w:color w:val="000000" w:themeColor="text1"/>
                      <w:sz w:val="21"/>
                      <w:szCs w:val="21"/>
                      <w:highlight w:val="none"/>
                      <w:lang w:val="en-US" w:eastAsia="zh-CN"/>
                      <w14:textFill>
                        <w14:solidFill>
                          <w14:schemeClr w14:val="tx1"/>
                        </w14:solidFill>
                      </w14:textFill>
                    </w:rPr>
                    <w:t>t/a</w:t>
                  </w:r>
                </w:p>
              </w:tc>
              <w:tc>
                <w:tcPr>
                  <w:tcW w:w="674" w:type="pct"/>
                  <w:tcBorders>
                    <w:tl2br w:val="nil"/>
                    <w:tr2bl w:val="nil"/>
                  </w:tcBorders>
                  <w:noWrap w:val="0"/>
                  <w:vAlign w:val="center"/>
                </w:tcPr>
                <w:p w14:paraId="69079C3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789" w:type="pct"/>
                  <w:tcBorders>
                    <w:tl2br w:val="nil"/>
                    <w:tr2bl w:val="nil"/>
                  </w:tcBorders>
                  <w:noWrap w:val="0"/>
                  <w:vAlign w:val="center"/>
                </w:tcPr>
                <w:p w14:paraId="138F4F6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0.052</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623" w:type="pct"/>
                  <w:tcBorders>
                    <w:tl2br w:val="nil"/>
                    <w:tr2bl w:val="nil"/>
                  </w:tcBorders>
                  <w:noWrap w:val="0"/>
                  <w:vAlign w:val="center"/>
                </w:tcPr>
                <w:p w14:paraId="65AA924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34" w:type="pct"/>
                  <w:tcBorders>
                    <w:tl2br w:val="nil"/>
                    <w:tr2bl w:val="nil"/>
                  </w:tcBorders>
                  <w:noWrap w:val="0"/>
                  <w:vAlign w:val="center"/>
                </w:tcPr>
                <w:p w14:paraId="460EE7E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0.052</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r>
            <w:tr w14:paraId="56C1F4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7"/>
                  <w:tcBorders>
                    <w:tl2br w:val="nil"/>
                    <w:tr2bl w:val="nil"/>
                  </w:tcBorders>
                  <w:noWrap w:val="0"/>
                  <w:vAlign w:val="center"/>
                </w:tcPr>
                <w:p w14:paraId="5A4D4573">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备注：项目COD、NH</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属于</w:t>
                  </w:r>
                  <w:r>
                    <w:rPr>
                      <w:rFonts w:hint="default" w:ascii="Times New Roman" w:hAnsi="Times New Roman" w:eastAsia="宋体" w:cs="Times New Roman"/>
                      <w:color w:val="000000" w:themeColor="text1"/>
                      <w:sz w:val="21"/>
                      <w:szCs w:val="21"/>
                      <w:highlight w:val="none"/>
                      <w14:textFill>
                        <w14:solidFill>
                          <w14:schemeClr w14:val="tx1"/>
                        </w14:solidFill>
                      </w14:textFill>
                    </w:rPr>
                    <w:t>国家和地方有偿使用和交易的排污权总量指标</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为确保项目废水总量达标排放，</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因此，本评价核算其排污权</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总量控制</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指标时，按</w:t>
                  </w:r>
                  <w:r>
                    <w:rPr>
                      <w:rFonts w:hint="eastAsia" w:ascii="Times New Roman" w:hAnsi="Times New Roman" w:cs="Times New Roman"/>
                      <w:color w:val="000000" w:themeColor="text1"/>
                      <w:sz w:val="21"/>
                      <w:szCs w:val="21"/>
                      <w:lang w:eastAsia="zh-CN"/>
                      <w14:textFill>
                        <w14:solidFill>
                          <w14:schemeClr w14:val="tx1"/>
                        </w14:solidFill>
                      </w14:textFill>
                    </w:rPr>
                    <w:t>福建青口海峡环保有限公司（青口新区污水处理厂）</w:t>
                  </w:r>
                  <w:r>
                    <w:rPr>
                      <w:rFonts w:hint="default" w:ascii="Times New Roman" w:hAnsi="Times New Roman" w:eastAsia="宋体" w:cs="Times New Roman"/>
                      <w:color w:val="000000" w:themeColor="text1"/>
                      <w:sz w:val="21"/>
                      <w:szCs w:val="21"/>
                      <w:highlight w:val="none"/>
                      <w14:textFill>
                        <w14:solidFill>
                          <w14:schemeClr w14:val="tx1"/>
                        </w14:solidFill>
                      </w14:textFill>
                    </w:rPr>
                    <w:t>排入环境</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限值标准《城镇污水处理厂污染物排放标准》（GB18918-2002）一级A标准进行</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核算</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bl>
          <w:p w14:paraId="3DC32DDD">
            <w:pPr>
              <w:pStyle w:val="95"/>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right="0" w:rightChars="0" w:firstLine="0" w:firstLineChars="0"/>
              <w:jc w:val="both"/>
              <w:textAlignment w:val="auto"/>
              <w:outlineLvl w:val="9"/>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3.8.</w:t>
            </w:r>
            <w:r>
              <w:rPr>
                <w:rFonts w:hint="eastAsia"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highlight w:val="none"/>
                <w:lang w:val="en-US" w:eastAsia="zh-CN"/>
                <w14:textFill>
                  <w14:solidFill>
                    <w14:schemeClr w14:val="tx1"/>
                  </w14:solidFill>
                </w14:textFill>
              </w:rPr>
              <w:t>废气总量</w:t>
            </w:r>
          </w:p>
          <w:p w14:paraId="162029D7">
            <w:pPr>
              <w:pStyle w:val="95"/>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项目废气总量控制指标为SO</w:t>
            </w:r>
            <w:r>
              <w:rPr>
                <w:rFonts w:hint="eastAsia" w:ascii="Times New Roman" w:hAnsi="Times New Roman" w:cs="Times New Roman"/>
                <w:color w:val="000000" w:themeColor="text1"/>
                <w:vertAlign w:val="subscript"/>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、NOx、VOCs，废气污染物排放总量见下表3</w:t>
            </w:r>
            <w:r>
              <w:rPr>
                <w:rFonts w:hint="default" w:ascii="Times New Roman" w:hAnsi="Times New Roman" w:cs="Times New Roman"/>
                <w:color w:val="000000" w:themeColor="text1"/>
                <w:lang w:val="en-US" w:eastAsia="zh-CN"/>
                <w14:textFill>
                  <w14:solidFill>
                    <w14:schemeClr w14:val="tx1"/>
                  </w14:solidFill>
                </w14:textFill>
              </w:rPr>
              <w:t>.8-</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p>
          <w:p w14:paraId="7CFEF2BE">
            <w:pPr>
              <w:pStyle w:val="146"/>
              <w:spacing w:line="240" w:lineRule="auto"/>
              <w:ind w:firstLine="48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highlight w:val="none"/>
                <w:lang w:val="en-US" w:eastAsia="zh-CN"/>
                <w14:textFill>
                  <w14:solidFill>
                    <w14:schemeClr w14:val="tx1"/>
                  </w14:solidFill>
                </w14:textFill>
              </w:rPr>
              <w:t>表3.8-</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2  项目</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废气污染物排放总量指标一览表</w:t>
            </w:r>
          </w:p>
          <w:tbl>
            <w:tblPr>
              <w:tblStyle w:val="30"/>
              <w:tblW w:w="8251" w:type="dxa"/>
              <w:tblInd w:w="-9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23"/>
              <w:gridCol w:w="822"/>
              <w:gridCol w:w="1007"/>
              <w:gridCol w:w="1044"/>
              <w:gridCol w:w="1044"/>
              <w:gridCol w:w="1192"/>
              <w:gridCol w:w="855"/>
              <w:gridCol w:w="1564"/>
            </w:tblGrid>
            <w:tr w14:paraId="03F4D2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8" w:type="pct"/>
                  <w:tcBorders>
                    <w:tl2br w:val="nil"/>
                    <w:tr2bl w:val="nil"/>
                  </w:tcBorders>
                  <w:noWrap w:val="0"/>
                  <w:vAlign w:val="center"/>
                </w:tcPr>
                <w:p w14:paraId="61D8ABCE">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color w:val="000000" w:themeColor="text1"/>
                      <w:spacing w:val="0"/>
                      <w:sz w:val="21"/>
                      <w14:textFill>
                        <w14:solidFill>
                          <w14:schemeClr w14:val="tx1"/>
                        </w14:solidFill>
                      </w14:textFill>
                    </w:rPr>
                  </w:pPr>
                  <w:r>
                    <w:rPr>
                      <w:rFonts w:ascii="Times New Roman" w:hAnsi="Times New Roman"/>
                      <w:color w:val="000000" w:themeColor="text1"/>
                      <w:spacing w:val="0"/>
                      <w:sz w:val="21"/>
                      <w14:textFill>
                        <w14:solidFill>
                          <w14:schemeClr w14:val="tx1"/>
                        </w14:solidFill>
                      </w14:textFill>
                    </w:rPr>
                    <w:t>污染物</w:t>
                  </w:r>
                </w:p>
                <w:p w14:paraId="0C1C20CB">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color w:val="000000" w:themeColor="text1"/>
                      <w:spacing w:val="0"/>
                      <w:sz w:val="21"/>
                      <w14:textFill>
                        <w14:solidFill>
                          <w14:schemeClr w14:val="tx1"/>
                        </w14:solidFill>
                      </w14:textFill>
                    </w:rPr>
                  </w:pPr>
                  <w:r>
                    <w:rPr>
                      <w:rFonts w:ascii="Times New Roman" w:hAnsi="Times New Roman"/>
                      <w:color w:val="000000" w:themeColor="text1"/>
                      <w:spacing w:val="0"/>
                      <w:sz w:val="21"/>
                      <w14:textFill>
                        <w14:solidFill>
                          <w14:schemeClr w14:val="tx1"/>
                        </w14:solidFill>
                      </w14:textFill>
                    </w:rPr>
                    <w:t>类别</w:t>
                  </w:r>
                </w:p>
              </w:tc>
              <w:tc>
                <w:tcPr>
                  <w:tcW w:w="498" w:type="pct"/>
                  <w:tcBorders>
                    <w:tl2br w:val="nil"/>
                    <w:tr2bl w:val="nil"/>
                  </w:tcBorders>
                  <w:noWrap w:val="0"/>
                  <w:vAlign w:val="center"/>
                </w:tcPr>
                <w:p w14:paraId="28F5FD95">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color w:val="000000" w:themeColor="text1"/>
                      <w:spacing w:val="0"/>
                      <w:sz w:val="21"/>
                      <w14:textFill>
                        <w14:solidFill>
                          <w14:schemeClr w14:val="tx1"/>
                        </w14:solidFill>
                      </w14:textFill>
                    </w:rPr>
                  </w:pPr>
                  <w:r>
                    <w:rPr>
                      <w:rFonts w:ascii="Times New Roman" w:hAnsi="Times New Roman"/>
                      <w:color w:val="000000" w:themeColor="text1"/>
                      <w:spacing w:val="0"/>
                      <w:sz w:val="21"/>
                      <w14:textFill>
                        <w14:solidFill>
                          <w14:schemeClr w14:val="tx1"/>
                        </w14:solidFill>
                      </w14:textFill>
                    </w:rPr>
                    <w:t>指标类别</w:t>
                  </w:r>
                </w:p>
              </w:tc>
              <w:tc>
                <w:tcPr>
                  <w:tcW w:w="610" w:type="pct"/>
                  <w:tcBorders>
                    <w:tl2br w:val="nil"/>
                    <w:tr2bl w:val="nil"/>
                  </w:tcBorders>
                  <w:noWrap w:val="0"/>
                  <w:vAlign w:val="center"/>
                </w:tcPr>
                <w:p w14:paraId="6E83F5D8">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color w:val="000000" w:themeColor="text1"/>
                      <w:spacing w:val="0"/>
                      <w:sz w:val="21"/>
                      <w14:textFill>
                        <w14:solidFill>
                          <w14:schemeClr w14:val="tx1"/>
                        </w14:solidFill>
                      </w14:textFill>
                    </w:rPr>
                  </w:pPr>
                  <w:r>
                    <w:rPr>
                      <w:rFonts w:ascii="Times New Roman" w:hAnsi="Times New Roman"/>
                      <w:color w:val="000000" w:themeColor="text1"/>
                      <w:spacing w:val="0"/>
                      <w:sz w:val="21"/>
                      <w14:textFill>
                        <w14:solidFill>
                          <w14:schemeClr w14:val="tx1"/>
                        </w14:solidFill>
                      </w14:textFill>
                    </w:rPr>
                    <w:t>总量控制项目</w:t>
                  </w:r>
                </w:p>
              </w:tc>
              <w:tc>
                <w:tcPr>
                  <w:tcW w:w="632" w:type="pct"/>
                  <w:tcBorders>
                    <w:tl2br w:val="nil"/>
                    <w:tr2bl w:val="nil"/>
                  </w:tcBorders>
                  <w:noWrap w:val="0"/>
                  <w:vAlign w:val="center"/>
                </w:tcPr>
                <w:p w14:paraId="622CB7F2">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cs="宋体"/>
                      <w:color w:val="000000" w:themeColor="text1"/>
                      <w:spacing w:val="0"/>
                      <w:sz w:val="21"/>
                      <w:lang w:val="en-US" w:eastAsia="zh-CN"/>
                      <w14:textFill>
                        <w14:solidFill>
                          <w14:schemeClr w14:val="tx1"/>
                        </w14:solidFill>
                      </w14:textFill>
                    </w:rPr>
                    <w:t>现有工工程许可排放量（t/a）</w:t>
                  </w:r>
                </w:p>
              </w:tc>
              <w:tc>
                <w:tcPr>
                  <w:tcW w:w="632" w:type="pct"/>
                  <w:tcBorders>
                    <w:tl2br w:val="nil"/>
                    <w:tr2bl w:val="nil"/>
                  </w:tcBorders>
                  <w:noWrap w:val="0"/>
                  <w:vAlign w:val="center"/>
                </w:tcPr>
                <w:p w14:paraId="31F3C7E0">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已申请/购买排放总量</w:t>
                  </w:r>
                  <w:r>
                    <w:rPr>
                      <w:rFonts w:hint="eastAsia" w:ascii="Times New Roman" w:hAnsi="Times New Roman" w:eastAsia="宋体" w:cs="宋体"/>
                      <w:color w:val="000000" w:themeColor="text1"/>
                      <w:spacing w:val="0"/>
                      <w:sz w:val="21"/>
                      <w:lang w:eastAsia="zh-CN"/>
                      <w14:textFill>
                        <w14:solidFill>
                          <w14:schemeClr w14:val="tx1"/>
                        </w14:solidFill>
                      </w14:textFill>
                    </w:rPr>
                    <w:t>（</w:t>
                  </w:r>
                  <w:r>
                    <w:rPr>
                      <w:rFonts w:ascii="Times New Roman" w:hAnsi="Times New Roman" w:eastAsia="宋体" w:cs="宋体"/>
                      <w:color w:val="000000" w:themeColor="text1"/>
                      <w:spacing w:val="0"/>
                      <w:sz w:val="21"/>
                      <w14:textFill>
                        <w14:solidFill>
                          <w14:schemeClr w14:val="tx1"/>
                        </w14:solidFill>
                      </w14:textFill>
                    </w:rPr>
                    <w:t>t/a</w:t>
                  </w:r>
                  <w:r>
                    <w:rPr>
                      <w:rFonts w:hint="eastAsia" w:ascii="Times New Roman" w:hAnsi="Times New Roman" w:eastAsia="宋体" w:cs="宋体"/>
                      <w:color w:val="000000" w:themeColor="text1"/>
                      <w:spacing w:val="0"/>
                      <w:sz w:val="21"/>
                      <w:lang w:eastAsia="zh-CN"/>
                      <w14:textFill>
                        <w14:solidFill>
                          <w14:schemeClr w14:val="tx1"/>
                        </w14:solidFill>
                      </w14:textFill>
                    </w:rPr>
                    <w:t>）</w:t>
                  </w:r>
                </w:p>
              </w:tc>
              <w:tc>
                <w:tcPr>
                  <w:tcW w:w="722" w:type="pct"/>
                  <w:tcBorders>
                    <w:tl2br w:val="nil"/>
                    <w:tr2bl w:val="nil"/>
                  </w:tcBorders>
                  <w:noWrap w:val="0"/>
                  <w:vAlign w:val="center"/>
                </w:tcPr>
                <w:p w14:paraId="0BAC8818">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eastAsia="宋体" w:cs="宋体"/>
                      <w:color w:val="000000" w:themeColor="text1"/>
                      <w:spacing w:val="0"/>
                      <w:sz w:val="21"/>
                      <w14:textFill>
                        <w14:solidFill>
                          <w14:schemeClr w14:val="tx1"/>
                        </w14:solidFill>
                      </w14:textFill>
                    </w:rPr>
                  </w:pPr>
                  <w:r>
                    <w:rPr>
                      <w:rFonts w:ascii="Times New Roman" w:hAnsi="Times New Roman" w:eastAsia="宋体" w:cs="宋体"/>
                      <w:color w:val="000000" w:themeColor="text1"/>
                      <w:spacing w:val="0"/>
                      <w:sz w:val="21"/>
                      <w14:textFill>
                        <w14:solidFill>
                          <w14:schemeClr w14:val="tx1"/>
                        </w14:solidFill>
                      </w14:textFill>
                    </w:rPr>
                    <w:t>预测排放量总量</w:t>
                  </w:r>
                  <w:r>
                    <w:rPr>
                      <w:rFonts w:hint="eastAsia" w:ascii="Times New Roman" w:hAnsi="Times New Roman" w:eastAsia="宋体" w:cs="宋体"/>
                      <w:color w:val="000000" w:themeColor="text1"/>
                      <w:spacing w:val="0"/>
                      <w:sz w:val="21"/>
                      <w:lang w:eastAsia="zh-CN"/>
                      <w14:textFill>
                        <w14:solidFill>
                          <w14:schemeClr w14:val="tx1"/>
                        </w14:solidFill>
                      </w14:textFill>
                    </w:rPr>
                    <w:t>（</w:t>
                  </w:r>
                  <w:r>
                    <w:rPr>
                      <w:rFonts w:ascii="Times New Roman" w:hAnsi="Times New Roman" w:eastAsia="宋体" w:cs="宋体"/>
                      <w:color w:val="000000" w:themeColor="text1"/>
                      <w:spacing w:val="0"/>
                      <w:sz w:val="21"/>
                      <w14:textFill>
                        <w14:solidFill>
                          <w14:schemeClr w14:val="tx1"/>
                        </w14:solidFill>
                      </w14:textFill>
                    </w:rPr>
                    <w:t>t/a</w:t>
                  </w:r>
                  <w:r>
                    <w:rPr>
                      <w:rFonts w:hint="eastAsia" w:ascii="Times New Roman" w:hAnsi="Times New Roman" w:eastAsia="宋体" w:cs="宋体"/>
                      <w:color w:val="000000" w:themeColor="text1"/>
                      <w:spacing w:val="0"/>
                      <w:sz w:val="21"/>
                      <w:lang w:eastAsia="zh-CN"/>
                      <w14:textFill>
                        <w14:solidFill>
                          <w14:schemeClr w14:val="tx1"/>
                        </w14:solidFill>
                      </w14:textFill>
                    </w:rPr>
                    <w:t>）</w:t>
                  </w:r>
                </w:p>
              </w:tc>
              <w:tc>
                <w:tcPr>
                  <w:tcW w:w="518" w:type="pct"/>
                  <w:tcBorders>
                    <w:tl2br w:val="nil"/>
                    <w:tr2bl w:val="nil"/>
                  </w:tcBorders>
                  <w:noWrap w:val="0"/>
                  <w:vAlign w:val="center"/>
                </w:tcPr>
                <w:p w14:paraId="07B6A77E">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eastAsia="宋体" w:cs="宋体"/>
                      <w:color w:val="000000" w:themeColor="text1"/>
                      <w:spacing w:val="0"/>
                      <w:sz w:val="21"/>
                      <w14:textFill>
                        <w14:solidFill>
                          <w14:schemeClr w14:val="tx1"/>
                        </w14:solidFill>
                      </w14:textFill>
                    </w:rPr>
                  </w:pPr>
                  <w:r>
                    <w:rPr>
                      <w:rFonts w:hint="eastAsia" w:ascii="Times New Roman" w:hAnsi="Times New Roman" w:cs="宋体"/>
                      <w:color w:val="000000" w:themeColor="text1"/>
                      <w:spacing w:val="0"/>
                      <w:sz w:val="21"/>
                      <w:lang w:val="en-US" w:eastAsia="zh-CN"/>
                      <w14:textFill>
                        <w14:solidFill>
                          <w14:schemeClr w14:val="tx1"/>
                        </w14:solidFill>
                      </w14:textFill>
                    </w:rPr>
                    <w:t>新增</w:t>
                  </w:r>
                  <w:r>
                    <w:rPr>
                      <w:rFonts w:ascii="Times New Roman" w:hAnsi="Times New Roman" w:eastAsia="宋体" w:cs="宋体"/>
                      <w:color w:val="000000" w:themeColor="text1"/>
                      <w:spacing w:val="0"/>
                      <w:sz w:val="21"/>
                      <w14:textFill>
                        <w14:solidFill>
                          <w14:schemeClr w14:val="tx1"/>
                        </w14:solidFill>
                      </w14:textFill>
                    </w:rPr>
                    <w:t>总量</w:t>
                  </w:r>
                  <w:r>
                    <w:rPr>
                      <w:rFonts w:hint="eastAsia" w:ascii="Times New Roman" w:hAnsi="Times New Roman" w:eastAsia="宋体" w:cs="宋体"/>
                      <w:color w:val="000000" w:themeColor="text1"/>
                      <w:spacing w:val="0"/>
                      <w:sz w:val="21"/>
                      <w:lang w:eastAsia="zh-CN"/>
                      <w14:textFill>
                        <w14:solidFill>
                          <w14:schemeClr w14:val="tx1"/>
                        </w14:solidFill>
                      </w14:textFill>
                    </w:rPr>
                    <w:t>（</w:t>
                  </w:r>
                  <w:r>
                    <w:rPr>
                      <w:rFonts w:ascii="Times New Roman" w:hAnsi="Times New Roman" w:eastAsia="宋体" w:cs="宋体"/>
                      <w:color w:val="000000" w:themeColor="text1"/>
                      <w:spacing w:val="0"/>
                      <w:sz w:val="21"/>
                      <w14:textFill>
                        <w14:solidFill>
                          <w14:schemeClr w14:val="tx1"/>
                        </w14:solidFill>
                      </w14:textFill>
                    </w:rPr>
                    <w:t>t/a</w:t>
                  </w:r>
                  <w:r>
                    <w:rPr>
                      <w:rFonts w:hint="eastAsia" w:ascii="Times New Roman" w:hAnsi="Times New Roman" w:eastAsia="宋体" w:cs="宋体"/>
                      <w:color w:val="000000" w:themeColor="text1"/>
                      <w:spacing w:val="0"/>
                      <w:sz w:val="21"/>
                      <w:lang w:eastAsia="zh-CN"/>
                      <w14:textFill>
                        <w14:solidFill>
                          <w14:schemeClr w14:val="tx1"/>
                        </w14:solidFill>
                      </w14:textFill>
                    </w:rPr>
                    <w:t>）</w:t>
                  </w:r>
                </w:p>
              </w:tc>
              <w:tc>
                <w:tcPr>
                  <w:tcW w:w="947" w:type="pct"/>
                  <w:tcBorders>
                    <w:tl2br w:val="nil"/>
                    <w:tr2bl w:val="nil"/>
                  </w:tcBorders>
                  <w:noWrap w:val="0"/>
                  <w:vAlign w:val="center"/>
                </w:tcPr>
                <w:p w14:paraId="1A631E59">
                  <w:pPr>
                    <w:pStyle w:val="87"/>
                    <w:keepNext w:val="0"/>
                    <w:keepLines w:val="0"/>
                    <w:pageBreakBefore w:val="0"/>
                    <w:kinsoku/>
                    <w:wordWrap/>
                    <w:overflowPunct/>
                    <w:topLinePunct w:val="0"/>
                    <w:autoSpaceDE/>
                    <w:autoSpaceDN/>
                    <w:bidi w:val="0"/>
                    <w:adjustRightInd/>
                    <w:snapToGrid/>
                    <w:spacing w:before="0" w:line="240" w:lineRule="auto"/>
                    <w:ind w:left="0" w:right="0" w:firstLine="0"/>
                    <w:jc w:val="left"/>
                    <w:textAlignment w:val="auto"/>
                    <w:rPr>
                      <w:rFonts w:ascii="Times New Roman" w:hAnsi="Times New Roman"/>
                      <w:color w:val="000000" w:themeColor="text1"/>
                      <w:spacing w:val="0"/>
                      <w:sz w:val="21"/>
                      <w14:textFill>
                        <w14:solidFill>
                          <w14:schemeClr w14:val="tx1"/>
                        </w14:solidFill>
                      </w14:textFill>
                    </w:rPr>
                  </w:pPr>
                </w:p>
                <w:p w14:paraId="173294F8">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color w:val="000000" w:themeColor="text1"/>
                      <w:spacing w:val="0"/>
                      <w:sz w:val="21"/>
                      <w14:textFill>
                        <w14:solidFill>
                          <w14:schemeClr w14:val="tx1"/>
                        </w14:solidFill>
                      </w14:textFill>
                    </w:rPr>
                  </w:pPr>
                  <w:r>
                    <w:rPr>
                      <w:rFonts w:ascii="Times New Roman" w:hAnsi="Times New Roman"/>
                      <w:color w:val="000000" w:themeColor="text1"/>
                      <w:spacing w:val="0"/>
                      <w:sz w:val="21"/>
                      <w14:textFill>
                        <w14:solidFill>
                          <w14:schemeClr w14:val="tx1"/>
                        </w14:solidFill>
                      </w14:textFill>
                    </w:rPr>
                    <w:t>备注</w:t>
                  </w:r>
                </w:p>
              </w:tc>
            </w:tr>
            <w:tr w14:paraId="48ACFA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8" w:type="pct"/>
                  <w:vMerge w:val="restart"/>
                  <w:tcBorders>
                    <w:tl2br w:val="nil"/>
                    <w:tr2bl w:val="nil"/>
                  </w:tcBorders>
                  <w:noWrap w:val="0"/>
                  <w:vAlign w:val="center"/>
                </w:tcPr>
                <w:p w14:paraId="36109F62">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color w:val="000000" w:themeColor="text1"/>
                      <w:spacing w:val="0"/>
                      <w:sz w:val="21"/>
                      <w14:textFill>
                        <w14:solidFill>
                          <w14:schemeClr w14:val="tx1"/>
                        </w14:solidFill>
                      </w14:textFill>
                    </w:rPr>
                  </w:pPr>
                  <w:r>
                    <w:rPr>
                      <w:rFonts w:ascii="Times New Roman" w:hAnsi="Times New Roman"/>
                      <w:color w:val="000000" w:themeColor="text1"/>
                      <w:spacing w:val="0"/>
                      <w:sz w:val="21"/>
                      <w14:textFill>
                        <w14:solidFill>
                          <w14:schemeClr w14:val="tx1"/>
                        </w14:solidFill>
                      </w14:textFill>
                    </w:rPr>
                    <w:t>废气</w:t>
                  </w:r>
                </w:p>
              </w:tc>
              <w:tc>
                <w:tcPr>
                  <w:tcW w:w="498" w:type="pct"/>
                  <w:vMerge w:val="restart"/>
                  <w:tcBorders>
                    <w:tl2br w:val="nil"/>
                    <w:tr2bl w:val="nil"/>
                  </w:tcBorders>
                  <w:noWrap w:val="0"/>
                  <w:vAlign w:val="center"/>
                </w:tcPr>
                <w:p w14:paraId="20BAE7FA">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color w:val="000000" w:themeColor="text1"/>
                      <w:spacing w:val="0"/>
                      <w:sz w:val="21"/>
                      <w14:textFill>
                        <w14:solidFill>
                          <w14:schemeClr w14:val="tx1"/>
                        </w14:solidFill>
                      </w14:textFill>
                    </w:rPr>
                  </w:pPr>
                  <w:r>
                    <w:rPr>
                      <w:rFonts w:ascii="Times New Roman" w:hAnsi="Times New Roman"/>
                      <w:color w:val="000000" w:themeColor="text1"/>
                      <w:spacing w:val="0"/>
                      <w:sz w:val="21"/>
                      <w14:textFill>
                        <w14:solidFill>
                          <w14:schemeClr w14:val="tx1"/>
                        </w14:solidFill>
                      </w14:textFill>
                    </w:rPr>
                    <w:t>非约束性指标</w:t>
                  </w:r>
                </w:p>
              </w:tc>
              <w:tc>
                <w:tcPr>
                  <w:tcW w:w="610" w:type="pct"/>
                  <w:vMerge w:val="restart"/>
                  <w:tcBorders>
                    <w:tl2br w:val="nil"/>
                    <w:tr2bl w:val="nil"/>
                  </w:tcBorders>
                  <w:noWrap w:val="0"/>
                  <w:vAlign w:val="center"/>
                </w:tcPr>
                <w:p w14:paraId="20FEFB4F">
                  <w:pPr>
                    <w:pStyle w:val="87"/>
                    <w:keepNext w:val="0"/>
                    <w:keepLines w:val="0"/>
                    <w:pageBreakBefore w:val="0"/>
                    <w:kinsoku/>
                    <w:wordWrap/>
                    <w:overflowPunct/>
                    <w:topLinePunct w:val="0"/>
                    <w:autoSpaceDE/>
                    <w:autoSpaceDN/>
                    <w:bidi w:val="0"/>
                    <w:adjustRightInd/>
                    <w:snapToGrid/>
                    <w:spacing w:before="0" w:line="240" w:lineRule="auto"/>
                    <w:ind w:left="0" w:right="0" w:firstLine="0"/>
                    <w:jc w:val="both"/>
                    <w:textAlignment w:val="auto"/>
                    <w:rPr>
                      <w:rFonts w:ascii="Times New Roman" w:hAnsi="Times New Roman"/>
                      <w:color w:val="000000" w:themeColor="text1"/>
                      <w:spacing w:val="0"/>
                      <w:sz w:val="21"/>
                      <w14:textFill>
                        <w14:solidFill>
                          <w14:schemeClr w14:val="tx1"/>
                        </w14:solidFill>
                      </w14:textFill>
                    </w:rPr>
                  </w:pPr>
                  <w:r>
                    <w:rPr>
                      <w:rFonts w:ascii="Times New Roman" w:hAnsi="Times New Roman"/>
                      <w:color w:val="000000" w:themeColor="text1"/>
                      <w:spacing w:val="0"/>
                      <w:sz w:val="21"/>
                      <w14:textFill>
                        <w14:solidFill>
                          <w14:schemeClr w14:val="tx1"/>
                        </w14:solidFill>
                      </w14:textFill>
                    </w:rPr>
                    <w:t>VOCs（以非甲烷总烃计）</w:t>
                  </w:r>
                </w:p>
              </w:tc>
              <w:tc>
                <w:tcPr>
                  <w:tcW w:w="632" w:type="pct"/>
                  <w:tcBorders>
                    <w:tl2br w:val="nil"/>
                    <w:tr2bl w:val="nil"/>
                  </w:tcBorders>
                  <w:noWrap w:val="0"/>
                  <w:vAlign w:val="center"/>
                </w:tcPr>
                <w:p w14:paraId="451C61D0">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color w:val="000000" w:themeColor="text1"/>
                      <w:spacing w:val="0"/>
                      <w:sz w:val="21"/>
                      <w:lang w:val="en-US" w:eastAsia="zh-CN"/>
                      <w14:textFill>
                        <w14:solidFill>
                          <w14:schemeClr w14:val="tx1"/>
                        </w14:solidFill>
                      </w14:textFill>
                    </w:rPr>
                  </w:pPr>
                  <w:r>
                    <w:rPr>
                      <w:rFonts w:hint="eastAsia" w:ascii="Times New Roman" w:hAnsi="Times New Roman"/>
                      <w:color w:val="000000" w:themeColor="text1"/>
                      <w:spacing w:val="0"/>
                      <w:sz w:val="21"/>
                      <w:lang w:val="en-US" w:eastAsia="zh-CN"/>
                      <w14:textFill>
                        <w14:solidFill>
                          <w14:schemeClr w14:val="tx1"/>
                        </w14:solidFill>
                      </w14:textFill>
                    </w:rPr>
                    <w:t>1.409</w:t>
                  </w:r>
                </w:p>
              </w:tc>
              <w:tc>
                <w:tcPr>
                  <w:tcW w:w="632" w:type="pct"/>
                  <w:tcBorders>
                    <w:tl2br w:val="nil"/>
                    <w:tr2bl w:val="nil"/>
                  </w:tcBorders>
                  <w:noWrap w:val="0"/>
                  <w:vAlign w:val="center"/>
                </w:tcPr>
                <w:p w14:paraId="54C066AD">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color w:val="000000" w:themeColor="text1"/>
                      <w:spacing w:val="0"/>
                      <w:sz w:val="21"/>
                      <w:lang w:val="en-US" w:eastAsia="zh-CN"/>
                      <w14:textFill>
                        <w14:solidFill>
                          <w14:schemeClr w14:val="tx1"/>
                        </w14:solidFill>
                      </w14:textFill>
                    </w:rPr>
                  </w:pPr>
                  <w:r>
                    <w:rPr>
                      <w:rFonts w:hint="eastAsia" w:ascii="Times New Roman" w:hAnsi="Times New Roman"/>
                      <w:color w:val="000000" w:themeColor="text1"/>
                      <w:spacing w:val="0"/>
                      <w:sz w:val="21"/>
                      <w:lang w:val="en-US" w:eastAsia="zh-CN"/>
                      <w14:textFill>
                        <w14:solidFill>
                          <w14:schemeClr w14:val="tx1"/>
                        </w14:solidFill>
                      </w14:textFill>
                    </w:rPr>
                    <w:t>/</w:t>
                  </w:r>
                </w:p>
              </w:tc>
              <w:tc>
                <w:tcPr>
                  <w:tcW w:w="722" w:type="pct"/>
                  <w:tcBorders>
                    <w:tl2br w:val="nil"/>
                    <w:tr2bl w:val="nil"/>
                  </w:tcBorders>
                  <w:noWrap w:val="0"/>
                  <w:vAlign w:val="center"/>
                </w:tcPr>
                <w:p w14:paraId="1847FD6E">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olor w:val="000000" w:themeColor="text1"/>
                      <w:spacing w:val="0"/>
                      <w:sz w:val="21"/>
                      <w:lang w:val="en-US" w:eastAsia="zh-CN"/>
                      <w14:textFill>
                        <w14:solidFill>
                          <w14:schemeClr w14:val="tx1"/>
                        </w14:solidFill>
                      </w14:textFill>
                    </w:rPr>
                  </w:pPr>
                  <w:r>
                    <w:rPr>
                      <w:rFonts w:hint="eastAsia" w:ascii="Times New Roman" w:hAnsi="Times New Roman"/>
                      <w:color w:val="000000" w:themeColor="text1"/>
                      <w:spacing w:val="0"/>
                      <w:sz w:val="21"/>
                      <w:lang w:val="en-US" w:eastAsia="zh-CN"/>
                      <w14:textFill>
                        <w14:solidFill>
                          <w14:schemeClr w14:val="tx1"/>
                        </w14:solidFill>
                      </w14:textFill>
                    </w:rPr>
                    <w:t>有组织：2.332</w:t>
                  </w:r>
                </w:p>
              </w:tc>
              <w:tc>
                <w:tcPr>
                  <w:tcW w:w="518" w:type="pct"/>
                  <w:vMerge w:val="restart"/>
                  <w:tcBorders>
                    <w:tl2br w:val="nil"/>
                    <w:tr2bl w:val="nil"/>
                  </w:tcBorders>
                  <w:noWrap w:val="0"/>
                  <w:vAlign w:val="center"/>
                </w:tcPr>
                <w:p w14:paraId="5DF63174">
                  <w:pPr>
                    <w:keepNext w:val="0"/>
                    <w:keepLines w:val="0"/>
                    <w:widowControl/>
                    <w:suppressLineNumbers w:val="0"/>
                    <w:jc w:val="center"/>
                    <w:textAlignment w:val="center"/>
                    <w:rPr>
                      <w:rFonts w:hint="default" w:ascii="Times New Roman" w:hAnsi="Times New Roman" w:eastAsia="宋体"/>
                      <w:color w:val="000000" w:themeColor="text1"/>
                      <w:spacing w:val="0"/>
                      <w:sz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eastAsia="zh-CN" w:bidi="ar"/>
                      <w14:textFill>
                        <w14:solidFill>
                          <w14:schemeClr w14:val="tx1"/>
                        </w14:solidFill>
                      </w14:textFill>
                    </w:rPr>
                    <w:fldChar w:fldCharType="begin"/>
                  </w:r>
                  <w:r>
                    <w:rPr>
                      <w:rFonts w:hint="default" w:ascii="Times New Roman" w:hAnsi="Times New Roman" w:eastAsia="宋体" w:cs="Times New Roman"/>
                      <w:i w:val="0"/>
                      <w:iCs w:val="0"/>
                      <w:color w:val="000000" w:themeColor="text1"/>
                      <w:kern w:val="0"/>
                      <w:sz w:val="21"/>
                      <w:szCs w:val="21"/>
                      <w:u w:val="none"/>
                      <w:lang w:eastAsia="zh-CN" w:bidi="ar"/>
                      <w14:textFill>
                        <w14:solidFill>
                          <w14:schemeClr w14:val="tx1"/>
                        </w14:solidFill>
                      </w14:textFill>
                    </w:rPr>
                    <w:instrText xml:space="preserve"> =2.332+1.295-1.409-1.236 \* MERGEFORMAT </w:instrText>
                  </w:r>
                  <w:r>
                    <w:rPr>
                      <w:rFonts w:hint="default" w:ascii="Times New Roman" w:hAnsi="Times New Roman" w:eastAsia="宋体" w:cs="Times New Roman"/>
                      <w:i w:val="0"/>
                      <w:iCs w:val="0"/>
                      <w:color w:val="000000" w:themeColor="text1"/>
                      <w:kern w:val="0"/>
                      <w:sz w:val="21"/>
                      <w:szCs w:val="21"/>
                      <w:u w:val="none"/>
                      <w:lang w:eastAsia="zh-CN" w:bidi="ar"/>
                      <w14:textFill>
                        <w14:solidFill>
                          <w14:schemeClr w14:val="tx1"/>
                        </w14:solidFill>
                      </w14:textFill>
                    </w:rPr>
                    <w:fldChar w:fldCharType="separate"/>
                  </w:r>
                  <w:r>
                    <w:rPr>
                      <w:rFonts w:hint="default" w:ascii="Times New Roman" w:hAnsi="Times New Roman" w:eastAsia="宋体" w:cs="Times New Roman"/>
                      <w:i w:val="0"/>
                      <w:iCs w:val="0"/>
                      <w:color w:val="000000" w:themeColor="text1"/>
                      <w:kern w:val="0"/>
                      <w:sz w:val="21"/>
                      <w:szCs w:val="21"/>
                      <w:u w:val="none"/>
                      <w:lang w:eastAsia="zh-CN" w:bidi="ar"/>
                      <w14:textFill>
                        <w14:solidFill>
                          <w14:schemeClr w14:val="tx1"/>
                        </w14:solidFill>
                      </w14:textFill>
                    </w:rPr>
                    <w:t>0.982</w:t>
                  </w:r>
                  <w:r>
                    <w:rPr>
                      <w:rFonts w:hint="default" w:ascii="Times New Roman" w:hAnsi="Times New Roman" w:eastAsia="宋体" w:cs="Times New Roman"/>
                      <w:i w:val="0"/>
                      <w:iCs w:val="0"/>
                      <w:color w:val="000000" w:themeColor="text1"/>
                      <w:kern w:val="0"/>
                      <w:sz w:val="21"/>
                      <w:szCs w:val="21"/>
                      <w:u w:val="none"/>
                      <w:lang w:eastAsia="zh-CN" w:bidi="ar"/>
                      <w14:textFill>
                        <w14:solidFill>
                          <w14:schemeClr w14:val="tx1"/>
                        </w14:solidFill>
                      </w14:textFill>
                    </w:rPr>
                    <w:fldChar w:fldCharType="end"/>
                  </w:r>
                </w:p>
              </w:tc>
              <w:tc>
                <w:tcPr>
                  <w:tcW w:w="947" w:type="pct"/>
                  <w:vMerge w:val="restart"/>
                  <w:tcBorders>
                    <w:tl2br w:val="nil"/>
                    <w:tr2bl w:val="nil"/>
                  </w:tcBorders>
                  <w:noWrap w:val="0"/>
                  <w:vAlign w:val="center"/>
                </w:tcPr>
                <w:p w14:paraId="2A28DCF8">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color w:val="000000" w:themeColor="text1"/>
                      <w:spacing w:val="0"/>
                      <w:sz w:val="21"/>
                      <w14:textFill>
                        <w14:solidFill>
                          <w14:schemeClr w14:val="tx1"/>
                        </w14:solidFill>
                      </w14:textFill>
                    </w:rPr>
                  </w:pPr>
                  <w:r>
                    <w:rPr>
                      <w:rFonts w:ascii="Times New Roman" w:hAnsi="Times New Roman"/>
                      <w:color w:val="000000" w:themeColor="text1"/>
                      <w:spacing w:val="0"/>
                      <w:sz w:val="21"/>
                      <w14:textFill>
                        <w14:solidFill>
                          <w14:schemeClr w14:val="tx1"/>
                        </w14:solidFill>
                      </w14:textFill>
                    </w:rPr>
                    <w:t>通过福州市闽侯生态环境</w:t>
                  </w:r>
                  <w:r>
                    <w:rPr>
                      <w:rFonts w:hint="eastAsia" w:ascii="Times New Roman" w:hAnsi="Times New Roman"/>
                      <w:color w:val="000000" w:themeColor="text1"/>
                      <w:spacing w:val="0"/>
                      <w:sz w:val="21"/>
                      <w:lang w:eastAsia="zh-CN"/>
                      <w14:textFill>
                        <w14:solidFill>
                          <w14:schemeClr w14:val="tx1"/>
                        </w14:solidFill>
                      </w14:textFill>
                    </w:rPr>
                    <w:t>局进</w:t>
                  </w:r>
                  <w:r>
                    <w:rPr>
                      <w:rFonts w:ascii="Times New Roman" w:hAnsi="Times New Roman"/>
                      <w:color w:val="000000" w:themeColor="text1"/>
                      <w:spacing w:val="0"/>
                      <w:sz w:val="21"/>
                      <w14:textFill>
                        <w14:solidFill>
                          <w14:schemeClr w14:val="tx1"/>
                        </w14:solidFill>
                      </w14:textFill>
                    </w:rPr>
                    <w:t>行申请调剂</w:t>
                  </w:r>
                </w:p>
              </w:tc>
            </w:tr>
            <w:tr w14:paraId="7EEEC9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438" w:type="pct"/>
                  <w:vMerge w:val="continue"/>
                  <w:tcBorders>
                    <w:tl2br w:val="nil"/>
                    <w:tr2bl w:val="nil"/>
                  </w:tcBorders>
                  <w:noWrap w:val="0"/>
                  <w:vAlign w:val="center"/>
                </w:tcPr>
                <w:p w14:paraId="4F0E99F3">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color w:val="000000" w:themeColor="text1"/>
                      <w:spacing w:val="0"/>
                      <w:sz w:val="21"/>
                      <w14:textFill>
                        <w14:solidFill>
                          <w14:schemeClr w14:val="tx1"/>
                        </w14:solidFill>
                      </w14:textFill>
                    </w:rPr>
                  </w:pPr>
                </w:p>
              </w:tc>
              <w:tc>
                <w:tcPr>
                  <w:tcW w:w="498" w:type="pct"/>
                  <w:vMerge w:val="continue"/>
                  <w:tcBorders>
                    <w:tl2br w:val="nil"/>
                    <w:tr2bl w:val="nil"/>
                  </w:tcBorders>
                  <w:noWrap w:val="0"/>
                  <w:vAlign w:val="center"/>
                </w:tcPr>
                <w:p w14:paraId="08838B82">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color w:val="000000" w:themeColor="text1"/>
                      <w:spacing w:val="0"/>
                      <w:sz w:val="21"/>
                      <w14:textFill>
                        <w14:solidFill>
                          <w14:schemeClr w14:val="tx1"/>
                        </w14:solidFill>
                      </w14:textFill>
                    </w:rPr>
                  </w:pPr>
                </w:p>
              </w:tc>
              <w:tc>
                <w:tcPr>
                  <w:tcW w:w="610" w:type="pct"/>
                  <w:vMerge w:val="continue"/>
                  <w:tcBorders>
                    <w:tl2br w:val="nil"/>
                    <w:tr2bl w:val="nil"/>
                  </w:tcBorders>
                  <w:noWrap w:val="0"/>
                  <w:vAlign w:val="center"/>
                </w:tcPr>
                <w:p w14:paraId="38D484BF">
                  <w:pPr>
                    <w:pStyle w:val="87"/>
                    <w:keepNext w:val="0"/>
                    <w:keepLines w:val="0"/>
                    <w:pageBreakBefore w:val="0"/>
                    <w:kinsoku/>
                    <w:wordWrap/>
                    <w:overflowPunct/>
                    <w:topLinePunct w:val="0"/>
                    <w:autoSpaceDE/>
                    <w:autoSpaceDN/>
                    <w:bidi w:val="0"/>
                    <w:adjustRightInd/>
                    <w:snapToGrid/>
                    <w:spacing w:before="0" w:line="240" w:lineRule="auto"/>
                    <w:ind w:left="0" w:right="0" w:firstLine="0"/>
                    <w:jc w:val="both"/>
                    <w:textAlignment w:val="auto"/>
                    <w:rPr>
                      <w:rFonts w:ascii="Times New Roman" w:hAnsi="Times New Roman"/>
                      <w:color w:val="000000" w:themeColor="text1"/>
                      <w:spacing w:val="0"/>
                      <w:sz w:val="21"/>
                      <w14:textFill>
                        <w14:solidFill>
                          <w14:schemeClr w14:val="tx1"/>
                        </w14:solidFill>
                      </w14:textFill>
                    </w:rPr>
                  </w:pPr>
                </w:p>
              </w:tc>
              <w:tc>
                <w:tcPr>
                  <w:tcW w:w="632" w:type="pct"/>
                  <w:tcBorders>
                    <w:tl2br w:val="nil"/>
                    <w:tr2bl w:val="nil"/>
                  </w:tcBorders>
                  <w:noWrap w:val="0"/>
                  <w:vAlign w:val="center"/>
                </w:tcPr>
                <w:p w14:paraId="5778F302">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color w:val="000000" w:themeColor="text1"/>
                      <w:spacing w:val="0"/>
                      <w:sz w:val="21"/>
                      <w:lang w:val="en-US" w:eastAsia="zh-CN"/>
                      <w14:textFill>
                        <w14:solidFill>
                          <w14:schemeClr w14:val="tx1"/>
                        </w14:solidFill>
                      </w14:textFill>
                    </w:rPr>
                  </w:pPr>
                  <w:r>
                    <w:rPr>
                      <w:rFonts w:hint="eastAsia" w:ascii="Times New Roman" w:hAnsi="Times New Roman"/>
                      <w:color w:val="000000" w:themeColor="text1"/>
                      <w:spacing w:val="0"/>
                      <w:sz w:val="21"/>
                      <w:lang w:val="en-US" w:eastAsia="zh-CN"/>
                      <w14:textFill>
                        <w14:solidFill>
                          <w14:schemeClr w14:val="tx1"/>
                        </w14:solidFill>
                      </w14:textFill>
                    </w:rPr>
                    <w:t>1.236</w:t>
                  </w:r>
                </w:p>
              </w:tc>
              <w:tc>
                <w:tcPr>
                  <w:tcW w:w="632" w:type="pct"/>
                  <w:tcBorders>
                    <w:tl2br w:val="nil"/>
                    <w:tr2bl w:val="nil"/>
                  </w:tcBorders>
                  <w:noWrap w:val="0"/>
                  <w:vAlign w:val="center"/>
                </w:tcPr>
                <w:p w14:paraId="14A02EC3">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color w:val="000000" w:themeColor="text1"/>
                      <w:spacing w:val="0"/>
                      <w:sz w:val="21"/>
                      <w:lang w:val="en-US" w:eastAsia="zh-CN"/>
                      <w14:textFill>
                        <w14:solidFill>
                          <w14:schemeClr w14:val="tx1"/>
                        </w14:solidFill>
                      </w14:textFill>
                    </w:rPr>
                  </w:pPr>
                  <w:r>
                    <w:rPr>
                      <w:rFonts w:hint="eastAsia" w:ascii="Times New Roman" w:hAnsi="Times New Roman"/>
                      <w:color w:val="000000" w:themeColor="text1"/>
                      <w:spacing w:val="0"/>
                      <w:sz w:val="21"/>
                      <w:lang w:val="en-US" w:eastAsia="zh-CN"/>
                      <w14:textFill>
                        <w14:solidFill>
                          <w14:schemeClr w14:val="tx1"/>
                        </w14:solidFill>
                      </w14:textFill>
                    </w:rPr>
                    <w:t>/</w:t>
                  </w:r>
                </w:p>
              </w:tc>
              <w:tc>
                <w:tcPr>
                  <w:tcW w:w="722" w:type="pct"/>
                  <w:tcBorders>
                    <w:tl2br w:val="nil"/>
                    <w:tr2bl w:val="nil"/>
                  </w:tcBorders>
                  <w:noWrap w:val="0"/>
                  <w:vAlign w:val="center"/>
                </w:tcPr>
                <w:p w14:paraId="4FA6158D">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color w:val="000000" w:themeColor="text1"/>
                      <w:spacing w:val="0"/>
                      <w:sz w:val="21"/>
                      <w:lang w:val="en-US" w:eastAsia="zh-CN"/>
                      <w14:textFill>
                        <w14:solidFill>
                          <w14:schemeClr w14:val="tx1"/>
                        </w14:solidFill>
                      </w14:textFill>
                    </w:rPr>
                  </w:pPr>
                  <w:r>
                    <w:rPr>
                      <w:rFonts w:hint="eastAsia" w:ascii="Times New Roman" w:hAnsi="Times New Roman"/>
                      <w:color w:val="000000" w:themeColor="text1"/>
                      <w:spacing w:val="0"/>
                      <w:sz w:val="21"/>
                      <w:lang w:val="en-US" w:eastAsia="zh-CN"/>
                      <w14:textFill>
                        <w14:solidFill>
                          <w14:schemeClr w14:val="tx1"/>
                        </w14:solidFill>
                      </w14:textFill>
                    </w:rPr>
                    <w:t>无组织：1.295</w:t>
                  </w:r>
                </w:p>
              </w:tc>
              <w:tc>
                <w:tcPr>
                  <w:tcW w:w="518" w:type="pct"/>
                  <w:vMerge w:val="continue"/>
                  <w:tcBorders>
                    <w:tl2br w:val="nil"/>
                    <w:tr2bl w:val="nil"/>
                  </w:tcBorders>
                  <w:noWrap w:val="0"/>
                  <w:vAlign w:val="center"/>
                </w:tcPr>
                <w:p w14:paraId="4C1ECA88">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color w:val="000000" w:themeColor="text1"/>
                      <w:spacing w:val="0"/>
                      <w:sz w:val="21"/>
                      <w:lang w:val="en-US" w:eastAsia="zh-CN"/>
                      <w14:textFill>
                        <w14:solidFill>
                          <w14:schemeClr w14:val="tx1"/>
                        </w14:solidFill>
                      </w14:textFill>
                    </w:rPr>
                  </w:pPr>
                </w:p>
              </w:tc>
              <w:tc>
                <w:tcPr>
                  <w:tcW w:w="947" w:type="pct"/>
                  <w:vMerge w:val="continue"/>
                  <w:tcBorders>
                    <w:tl2br w:val="nil"/>
                    <w:tr2bl w:val="nil"/>
                  </w:tcBorders>
                  <w:noWrap w:val="0"/>
                  <w:vAlign w:val="center"/>
                </w:tcPr>
                <w:p w14:paraId="720B3D7A">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color w:val="000000" w:themeColor="text1"/>
                      <w:spacing w:val="0"/>
                      <w:sz w:val="21"/>
                      <w14:textFill>
                        <w14:solidFill>
                          <w14:schemeClr w14:val="tx1"/>
                        </w14:solidFill>
                      </w14:textFill>
                    </w:rPr>
                  </w:pPr>
                </w:p>
              </w:tc>
            </w:tr>
            <w:tr w14:paraId="343B21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8" w:type="pct"/>
                  <w:vMerge w:val="continue"/>
                  <w:tcBorders>
                    <w:tl2br w:val="nil"/>
                    <w:tr2bl w:val="nil"/>
                  </w:tcBorders>
                  <w:noWrap w:val="0"/>
                  <w:vAlign w:val="center"/>
                </w:tcPr>
                <w:p w14:paraId="5433D997">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color w:val="000000" w:themeColor="text1"/>
                      <w:spacing w:val="0"/>
                      <w:sz w:val="21"/>
                      <w14:textFill>
                        <w14:solidFill>
                          <w14:schemeClr w14:val="tx1"/>
                        </w14:solidFill>
                      </w14:textFill>
                    </w:rPr>
                  </w:pPr>
                </w:p>
              </w:tc>
              <w:tc>
                <w:tcPr>
                  <w:tcW w:w="498" w:type="pct"/>
                  <w:vMerge w:val="restart"/>
                  <w:tcBorders>
                    <w:tl2br w:val="nil"/>
                    <w:tr2bl w:val="nil"/>
                  </w:tcBorders>
                  <w:noWrap w:val="0"/>
                  <w:vAlign w:val="center"/>
                </w:tcPr>
                <w:p w14:paraId="5A7BFE2E">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eastAsia="宋体" w:cs="宋体"/>
                      <w:color w:val="000000" w:themeColor="text1"/>
                      <w:spacing w:val="0"/>
                      <w:sz w:val="21"/>
                      <w14:textFill>
                        <w14:solidFill>
                          <w14:schemeClr w14:val="tx1"/>
                        </w14:solidFill>
                      </w14:textFill>
                    </w:rPr>
                  </w:pPr>
                  <w:r>
                    <w:rPr>
                      <w:rFonts w:ascii="Times New Roman" w:hAnsi="Times New Roman" w:eastAsia="宋体" w:cs="宋体"/>
                      <w:color w:val="000000" w:themeColor="text1"/>
                      <w:spacing w:val="0"/>
                      <w:sz w:val="21"/>
                      <w14:textFill>
                        <w14:solidFill>
                          <w14:schemeClr w14:val="tx1"/>
                        </w14:solidFill>
                      </w14:textFill>
                    </w:rPr>
                    <w:t>约束性指标</w:t>
                  </w:r>
                </w:p>
              </w:tc>
              <w:tc>
                <w:tcPr>
                  <w:tcW w:w="610" w:type="pct"/>
                  <w:tcBorders>
                    <w:tl2br w:val="nil"/>
                    <w:tr2bl w:val="nil"/>
                  </w:tcBorders>
                  <w:noWrap w:val="0"/>
                  <w:vAlign w:val="center"/>
                </w:tcPr>
                <w:p w14:paraId="1FBF94E6">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eastAsia="宋体" w:cs="宋体"/>
                      <w:color w:val="000000" w:themeColor="text1"/>
                      <w:spacing w:val="0"/>
                      <w:sz w:val="21"/>
                      <w14:textFill>
                        <w14:solidFill>
                          <w14:schemeClr w14:val="tx1"/>
                        </w14:solidFill>
                      </w14:textFill>
                    </w:rPr>
                  </w:pPr>
                  <w:r>
                    <w:rPr>
                      <w:rFonts w:ascii="Times New Roman" w:hAnsi="Times New Roman" w:eastAsia="宋体" w:cs="宋体"/>
                      <w:color w:val="000000" w:themeColor="text1"/>
                      <w:spacing w:val="0"/>
                      <w:sz w:val="21"/>
                      <w14:textFill>
                        <w14:solidFill>
                          <w14:schemeClr w14:val="tx1"/>
                        </w14:solidFill>
                      </w14:textFill>
                    </w:rPr>
                    <w:t>NOx</w:t>
                  </w:r>
                </w:p>
              </w:tc>
              <w:tc>
                <w:tcPr>
                  <w:tcW w:w="632" w:type="pct"/>
                  <w:tcBorders>
                    <w:tl2br w:val="nil"/>
                    <w:tr2bl w:val="nil"/>
                  </w:tcBorders>
                  <w:noWrap w:val="0"/>
                  <w:vAlign w:val="center"/>
                </w:tcPr>
                <w:p w14:paraId="75E3217E">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0.0605</w:t>
                  </w:r>
                </w:p>
              </w:tc>
              <w:tc>
                <w:tcPr>
                  <w:tcW w:w="632" w:type="pct"/>
                  <w:tcBorders>
                    <w:tl2br w:val="nil"/>
                    <w:tr2bl w:val="nil"/>
                  </w:tcBorders>
                  <w:noWrap w:val="0"/>
                  <w:vAlign w:val="center"/>
                </w:tcPr>
                <w:p w14:paraId="57694C1B">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0.</w:t>
                  </w:r>
                  <w:r>
                    <w:rPr>
                      <w:rFonts w:hint="eastAsia" w:ascii="Times New Roman" w:hAnsi="Times New Roman" w:cs="宋体"/>
                      <w:color w:val="000000" w:themeColor="text1"/>
                      <w:spacing w:val="0"/>
                      <w:sz w:val="21"/>
                      <w:lang w:val="en-US" w:eastAsia="zh-CN"/>
                      <w14:textFill>
                        <w14:solidFill>
                          <w14:schemeClr w14:val="tx1"/>
                        </w14:solidFill>
                      </w14:textFill>
                    </w:rPr>
                    <w:t>0605</w:t>
                  </w:r>
                </w:p>
              </w:tc>
              <w:tc>
                <w:tcPr>
                  <w:tcW w:w="722" w:type="pct"/>
                  <w:tcBorders>
                    <w:tl2br w:val="nil"/>
                    <w:tr2bl w:val="nil"/>
                  </w:tcBorders>
                  <w:noWrap w:val="0"/>
                  <w:vAlign w:val="center"/>
                </w:tcPr>
                <w:p w14:paraId="5F6E5F72">
                  <w:pPr>
                    <w:adjustRightInd w:val="0"/>
                    <w:snapToGrid w:val="0"/>
                    <w:spacing w:line="240" w:lineRule="auto"/>
                    <w:ind w:firstLine="0" w:firstLineChars="0"/>
                    <w:jc w:val="center"/>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0.887</w:t>
                  </w:r>
                </w:p>
              </w:tc>
              <w:tc>
                <w:tcPr>
                  <w:tcW w:w="518" w:type="pct"/>
                  <w:tcBorders>
                    <w:tl2br w:val="nil"/>
                    <w:tr2bl w:val="nil"/>
                  </w:tcBorders>
                  <w:noWrap w:val="0"/>
                  <w:vAlign w:val="center"/>
                </w:tcPr>
                <w:p w14:paraId="70A04F21">
                  <w:pPr>
                    <w:keepNext w:val="0"/>
                    <w:keepLines w:val="0"/>
                    <w:widowControl/>
                    <w:suppressLineNumbers w:val="0"/>
                    <w:jc w:val="center"/>
                    <w:textAlignment w:val="center"/>
                    <w:rPr>
                      <w:rFonts w:hint="eastAsia"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fldChar w:fldCharType="begin"/>
                  </w:r>
                  <w:r>
                    <w:rPr>
                      <w:rFonts w:hint="eastAsia" w:ascii="Times New Roman" w:hAnsi="Times New Roman" w:eastAsia="宋体" w:cs="宋体"/>
                      <w:color w:val="000000" w:themeColor="text1"/>
                      <w:spacing w:val="0"/>
                      <w:sz w:val="21"/>
                      <w:lang w:val="en-US" w:eastAsia="zh-CN"/>
                      <w14:textFill>
                        <w14:solidFill>
                          <w14:schemeClr w14:val="tx1"/>
                        </w14:solidFill>
                      </w14:textFill>
                    </w:rPr>
                    <w:instrText xml:space="preserve"> =0.887-0.0605 \* MERGEFORMAT </w:instrText>
                  </w:r>
                  <w:r>
                    <w:rPr>
                      <w:rFonts w:hint="eastAsia" w:ascii="Times New Roman" w:hAnsi="Times New Roman" w:eastAsia="宋体" w:cs="宋体"/>
                      <w:color w:val="000000" w:themeColor="text1"/>
                      <w:spacing w:val="0"/>
                      <w:sz w:val="21"/>
                      <w:lang w:val="en-US" w:eastAsia="zh-CN"/>
                      <w14:textFill>
                        <w14:solidFill>
                          <w14:schemeClr w14:val="tx1"/>
                        </w14:solidFill>
                      </w14:textFill>
                    </w:rPr>
                    <w:fldChar w:fldCharType="separate"/>
                  </w:r>
                  <w:r>
                    <w:rPr>
                      <w:rFonts w:hint="eastAsia" w:ascii="Times New Roman" w:hAnsi="Times New Roman" w:eastAsia="宋体" w:cs="宋体"/>
                      <w:color w:val="000000" w:themeColor="text1"/>
                      <w:spacing w:val="0"/>
                      <w:sz w:val="21"/>
                      <w:lang w:val="en-US" w:eastAsia="zh-CN"/>
                      <w14:textFill>
                        <w14:solidFill>
                          <w14:schemeClr w14:val="tx1"/>
                        </w14:solidFill>
                      </w14:textFill>
                    </w:rPr>
                    <w:t>0.8265</w:t>
                  </w:r>
                  <w:r>
                    <w:rPr>
                      <w:rFonts w:hint="eastAsia" w:ascii="Times New Roman" w:hAnsi="Times New Roman" w:eastAsia="宋体" w:cs="宋体"/>
                      <w:color w:val="000000" w:themeColor="text1"/>
                      <w:spacing w:val="0"/>
                      <w:sz w:val="21"/>
                      <w:lang w:val="en-US" w:eastAsia="zh-CN"/>
                      <w14:textFill>
                        <w14:solidFill>
                          <w14:schemeClr w14:val="tx1"/>
                        </w14:solidFill>
                      </w14:textFill>
                    </w:rPr>
                    <w:fldChar w:fldCharType="end"/>
                  </w:r>
                </w:p>
              </w:tc>
              <w:tc>
                <w:tcPr>
                  <w:tcW w:w="947" w:type="pct"/>
                  <w:vMerge w:val="restart"/>
                  <w:tcBorders>
                    <w:tl2br w:val="nil"/>
                    <w:tr2bl w:val="nil"/>
                  </w:tcBorders>
                  <w:noWrap w:val="0"/>
                  <w:vAlign w:val="center"/>
                </w:tcPr>
                <w:p w14:paraId="14F303A5">
                  <w:pPr>
                    <w:pStyle w:val="87"/>
                    <w:keepNext w:val="0"/>
                    <w:keepLines w:val="0"/>
                    <w:pageBreakBefore w:val="0"/>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ascii="Times New Roman" w:hAnsi="Times New Roman"/>
                      <w:color w:val="000000" w:themeColor="text1"/>
                      <w:spacing w:val="0"/>
                      <w:sz w:val="21"/>
                      <w14:textFill>
                        <w14:solidFill>
                          <w14:schemeClr w14:val="tx1"/>
                        </w14:solidFill>
                      </w14:textFill>
                    </w:rPr>
                  </w:pPr>
                  <w:r>
                    <w:rPr>
                      <w:rFonts w:ascii="Times New Roman" w:hAnsi="Times New Roman"/>
                      <w:color w:val="000000" w:themeColor="text1"/>
                      <w:spacing w:val="0"/>
                      <w:sz w:val="21"/>
                      <w14:textFill>
                        <w14:solidFill>
                          <w14:schemeClr w14:val="tx1"/>
                        </w14:solidFill>
                      </w14:textFill>
                    </w:rPr>
                    <w:t>通过海峡排污权交易中心购买</w:t>
                  </w:r>
                </w:p>
              </w:tc>
            </w:tr>
            <w:tr w14:paraId="77850D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8" w:type="pct"/>
                  <w:vMerge w:val="continue"/>
                  <w:tcBorders>
                    <w:tl2br w:val="nil"/>
                    <w:tr2bl w:val="nil"/>
                  </w:tcBorders>
                  <w:noWrap w:val="0"/>
                  <w:vAlign w:val="center"/>
                </w:tcPr>
                <w:p w14:paraId="30CA1263">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color w:val="000000" w:themeColor="text1"/>
                      <w:spacing w:val="0"/>
                      <w:sz w:val="21"/>
                      <w14:textFill>
                        <w14:solidFill>
                          <w14:schemeClr w14:val="tx1"/>
                        </w14:solidFill>
                      </w14:textFill>
                    </w:rPr>
                  </w:pPr>
                </w:p>
              </w:tc>
              <w:tc>
                <w:tcPr>
                  <w:tcW w:w="498" w:type="pct"/>
                  <w:vMerge w:val="continue"/>
                  <w:tcBorders>
                    <w:tl2br w:val="nil"/>
                    <w:tr2bl w:val="nil"/>
                  </w:tcBorders>
                  <w:noWrap w:val="0"/>
                  <w:vAlign w:val="center"/>
                </w:tcPr>
                <w:p w14:paraId="069B70EF">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eastAsia="宋体" w:cs="宋体"/>
                      <w:color w:val="000000" w:themeColor="text1"/>
                      <w:spacing w:val="0"/>
                      <w:sz w:val="21"/>
                      <w14:textFill>
                        <w14:solidFill>
                          <w14:schemeClr w14:val="tx1"/>
                        </w14:solidFill>
                      </w14:textFill>
                    </w:rPr>
                  </w:pPr>
                </w:p>
              </w:tc>
              <w:tc>
                <w:tcPr>
                  <w:tcW w:w="610" w:type="pct"/>
                  <w:tcBorders>
                    <w:tl2br w:val="nil"/>
                    <w:tr2bl w:val="nil"/>
                  </w:tcBorders>
                  <w:noWrap w:val="0"/>
                  <w:vAlign w:val="center"/>
                </w:tcPr>
                <w:p w14:paraId="315C4A7A">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ascii="Times New Roman" w:hAnsi="Times New Roman" w:eastAsia="宋体" w:cs="宋体"/>
                      <w:color w:val="000000" w:themeColor="text1"/>
                      <w:spacing w:val="0"/>
                      <w:sz w:val="21"/>
                      <w14:textFill>
                        <w14:solidFill>
                          <w14:schemeClr w14:val="tx1"/>
                        </w14:solidFill>
                      </w14:textFill>
                    </w:rPr>
                  </w:pPr>
                  <w:r>
                    <w:rPr>
                      <w:rFonts w:ascii="Times New Roman" w:hAnsi="Times New Roman" w:eastAsia="宋体" w:cs="宋体"/>
                      <w:color w:val="000000" w:themeColor="text1"/>
                      <w:spacing w:val="0"/>
                      <w:sz w:val="21"/>
                      <w14:textFill>
                        <w14:solidFill>
                          <w14:schemeClr w14:val="tx1"/>
                        </w14:solidFill>
                      </w14:textFill>
                    </w:rPr>
                    <w:t>SO</w:t>
                  </w:r>
                  <w:r>
                    <w:rPr>
                      <w:rFonts w:ascii="Times New Roman" w:hAnsi="Times New Roman" w:eastAsia="宋体" w:cs="宋体"/>
                      <w:color w:val="000000" w:themeColor="text1"/>
                      <w:spacing w:val="0"/>
                      <w:sz w:val="21"/>
                      <w:vertAlign w:val="subscript"/>
                      <w14:textFill>
                        <w14:solidFill>
                          <w14:schemeClr w14:val="tx1"/>
                        </w14:solidFill>
                      </w14:textFill>
                    </w:rPr>
                    <w:t>2</w:t>
                  </w:r>
                </w:p>
              </w:tc>
              <w:tc>
                <w:tcPr>
                  <w:tcW w:w="632" w:type="pct"/>
                  <w:tcBorders>
                    <w:tl2br w:val="nil"/>
                    <w:tr2bl w:val="nil"/>
                  </w:tcBorders>
                  <w:noWrap w:val="0"/>
                  <w:vAlign w:val="center"/>
                </w:tcPr>
                <w:p w14:paraId="4C260812">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eastAsia"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0.0036</w:t>
                  </w:r>
                </w:p>
              </w:tc>
              <w:tc>
                <w:tcPr>
                  <w:tcW w:w="632" w:type="pct"/>
                  <w:tcBorders>
                    <w:tl2br w:val="nil"/>
                    <w:tr2bl w:val="nil"/>
                  </w:tcBorders>
                  <w:noWrap w:val="0"/>
                  <w:vAlign w:val="center"/>
                </w:tcPr>
                <w:p w14:paraId="4075AD9D">
                  <w:pPr>
                    <w:pStyle w:val="87"/>
                    <w:keepNext w:val="0"/>
                    <w:keepLines w:val="0"/>
                    <w:pageBreakBefore w:val="0"/>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t>0.00</w:t>
                  </w:r>
                  <w:r>
                    <w:rPr>
                      <w:rFonts w:hint="eastAsia" w:ascii="Times New Roman" w:hAnsi="Times New Roman" w:cs="宋体"/>
                      <w:color w:val="000000" w:themeColor="text1"/>
                      <w:spacing w:val="0"/>
                      <w:sz w:val="21"/>
                      <w:lang w:val="en-US" w:eastAsia="zh-CN"/>
                      <w14:textFill>
                        <w14:solidFill>
                          <w14:schemeClr w14:val="tx1"/>
                        </w14:solidFill>
                      </w14:textFill>
                    </w:rPr>
                    <w:t>36</w:t>
                  </w:r>
                </w:p>
              </w:tc>
              <w:tc>
                <w:tcPr>
                  <w:tcW w:w="722" w:type="pct"/>
                  <w:tcBorders>
                    <w:tl2br w:val="nil"/>
                    <w:tr2bl w:val="nil"/>
                  </w:tcBorders>
                  <w:noWrap w:val="0"/>
                  <w:vAlign w:val="center"/>
                </w:tcPr>
                <w:p w14:paraId="2FF5781D">
                  <w:pPr>
                    <w:adjustRightInd w:val="0"/>
                    <w:snapToGrid w:val="0"/>
                    <w:spacing w:line="240" w:lineRule="auto"/>
                    <w:ind w:firstLine="0" w:firstLineChars="0"/>
                    <w:jc w:val="center"/>
                    <w:rPr>
                      <w:rFonts w:hint="default" w:ascii="Times New Roman" w:hAnsi="Times New Roman" w:eastAsia="宋体" w:cs="宋体"/>
                      <w:color w:val="000000" w:themeColor="text1"/>
                      <w:spacing w:val="0"/>
                      <w:sz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0.096</w:t>
                  </w:r>
                </w:p>
              </w:tc>
              <w:tc>
                <w:tcPr>
                  <w:tcW w:w="518" w:type="pct"/>
                  <w:tcBorders>
                    <w:tl2br w:val="nil"/>
                    <w:tr2bl w:val="nil"/>
                  </w:tcBorders>
                  <w:noWrap w:val="0"/>
                  <w:vAlign w:val="center"/>
                </w:tcPr>
                <w:p w14:paraId="6F413203">
                  <w:pPr>
                    <w:keepNext w:val="0"/>
                    <w:keepLines w:val="0"/>
                    <w:widowControl/>
                    <w:suppressLineNumbers w:val="0"/>
                    <w:jc w:val="center"/>
                    <w:textAlignment w:val="center"/>
                    <w:rPr>
                      <w:rFonts w:hint="eastAsia" w:ascii="Times New Roman" w:hAnsi="Times New Roman" w:eastAsia="宋体" w:cs="宋体"/>
                      <w:color w:val="000000" w:themeColor="text1"/>
                      <w:spacing w:val="0"/>
                      <w:sz w:val="21"/>
                      <w:lang w:val="en-US" w:eastAsia="zh-CN"/>
                      <w14:textFill>
                        <w14:solidFill>
                          <w14:schemeClr w14:val="tx1"/>
                        </w14:solidFill>
                      </w14:textFill>
                    </w:rPr>
                  </w:pPr>
                  <w:r>
                    <w:rPr>
                      <w:rFonts w:hint="eastAsia" w:ascii="Times New Roman" w:hAnsi="Times New Roman" w:eastAsia="宋体" w:cs="宋体"/>
                      <w:color w:val="000000" w:themeColor="text1"/>
                      <w:spacing w:val="0"/>
                      <w:sz w:val="21"/>
                      <w:lang w:val="en-US" w:eastAsia="zh-CN"/>
                      <w14:textFill>
                        <w14:solidFill>
                          <w14:schemeClr w14:val="tx1"/>
                        </w14:solidFill>
                      </w14:textFill>
                    </w:rPr>
                    <w:fldChar w:fldCharType="begin"/>
                  </w:r>
                  <w:r>
                    <w:rPr>
                      <w:rFonts w:hint="eastAsia" w:ascii="Times New Roman" w:hAnsi="Times New Roman" w:eastAsia="宋体" w:cs="宋体"/>
                      <w:color w:val="000000" w:themeColor="text1"/>
                      <w:spacing w:val="0"/>
                      <w:sz w:val="21"/>
                      <w:lang w:val="en-US" w:eastAsia="zh-CN"/>
                      <w14:textFill>
                        <w14:solidFill>
                          <w14:schemeClr w14:val="tx1"/>
                        </w14:solidFill>
                      </w14:textFill>
                    </w:rPr>
                    <w:instrText xml:space="preserve"> =0.096-0.0036 \* MERGEFORMAT </w:instrText>
                  </w:r>
                  <w:r>
                    <w:rPr>
                      <w:rFonts w:hint="eastAsia" w:ascii="Times New Roman" w:hAnsi="Times New Roman" w:eastAsia="宋体" w:cs="宋体"/>
                      <w:color w:val="000000" w:themeColor="text1"/>
                      <w:spacing w:val="0"/>
                      <w:sz w:val="21"/>
                      <w:lang w:val="en-US" w:eastAsia="zh-CN"/>
                      <w14:textFill>
                        <w14:solidFill>
                          <w14:schemeClr w14:val="tx1"/>
                        </w14:solidFill>
                      </w14:textFill>
                    </w:rPr>
                    <w:fldChar w:fldCharType="separate"/>
                  </w:r>
                  <w:r>
                    <w:rPr>
                      <w:rFonts w:hint="eastAsia" w:ascii="Times New Roman" w:hAnsi="Times New Roman" w:eastAsia="宋体" w:cs="宋体"/>
                      <w:color w:val="000000" w:themeColor="text1"/>
                      <w:spacing w:val="0"/>
                      <w:sz w:val="21"/>
                      <w:lang w:val="en-US" w:eastAsia="zh-CN"/>
                      <w14:textFill>
                        <w14:solidFill>
                          <w14:schemeClr w14:val="tx1"/>
                        </w14:solidFill>
                      </w14:textFill>
                    </w:rPr>
                    <w:t>0.0924</w:t>
                  </w:r>
                  <w:r>
                    <w:rPr>
                      <w:rFonts w:hint="eastAsia" w:ascii="Times New Roman" w:hAnsi="Times New Roman" w:eastAsia="宋体" w:cs="宋体"/>
                      <w:color w:val="000000" w:themeColor="text1"/>
                      <w:spacing w:val="0"/>
                      <w:sz w:val="21"/>
                      <w:lang w:val="en-US" w:eastAsia="zh-CN"/>
                      <w14:textFill>
                        <w14:solidFill>
                          <w14:schemeClr w14:val="tx1"/>
                        </w14:solidFill>
                      </w14:textFill>
                    </w:rPr>
                    <w:fldChar w:fldCharType="end"/>
                  </w:r>
                </w:p>
              </w:tc>
              <w:tc>
                <w:tcPr>
                  <w:tcW w:w="947" w:type="pct"/>
                  <w:vMerge w:val="continue"/>
                  <w:tcBorders>
                    <w:tl2br w:val="nil"/>
                    <w:tr2bl w:val="nil"/>
                  </w:tcBorders>
                  <w:noWrap w:val="0"/>
                  <w:vAlign w:val="center"/>
                </w:tcPr>
                <w:p w14:paraId="4459907B">
                  <w:pPr>
                    <w:keepNext w:val="0"/>
                    <w:keepLines w:val="0"/>
                    <w:pageBreakBefore w:val="0"/>
                    <w:kinsoku/>
                    <w:wordWrap/>
                    <w:overflowPunct/>
                    <w:topLinePunct w:val="0"/>
                    <w:autoSpaceDE/>
                    <w:autoSpaceDN/>
                    <w:bidi w:val="0"/>
                    <w:adjustRightInd/>
                    <w:snapToGrid/>
                    <w:spacing w:line="240" w:lineRule="auto"/>
                    <w:ind w:left="0" w:right="0" w:firstLine="0"/>
                    <w:textAlignment w:val="auto"/>
                    <w:rPr>
                      <w:rFonts w:ascii="Times New Roman" w:hAnsi="Times New Roman"/>
                      <w:color w:val="000000" w:themeColor="text1"/>
                      <w:spacing w:val="0"/>
                      <w:sz w:val="21"/>
                      <w14:textFill>
                        <w14:solidFill>
                          <w14:schemeClr w14:val="tx1"/>
                        </w14:solidFill>
                      </w14:textFill>
                    </w:rPr>
                  </w:pPr>
                </w:p>
              </w:tc>
            </w:tr>
          </w:tbl>
          <w:p w14:paraId="2B268DF5">
            <w:pPr>
              <w:pStyle w:val="95"/>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right="0" w:rightChars="0" w:firstLine="0" w:firstLineChars="0"/>
              <w:jc w:val="both"/>
              <w:textAlignment w:val="auto"/>
              <w:outlineLvl w:val="9"/>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3.8.4 主要污染物总量指标来源</w:t>
            </w:r>
          </w:p>
          <w:p w14:paraId="7E76F3C4">
            <w:pPr>
              <w:pStyle w:val="95"/>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w:t>
            </w:r>
            <w:r>
              <w:rPr>
                <w:rFonts w:hint="eastAsia" w:cs="Times New Roman"/>
                <w:color w:val="000000" w:themeColor="text1"/>
                <w:sz w:val="24"/>
                <w:highlight w:val="none"/>
                <w:lang w:val="en-US" w:eastAsia="zh-CN"/>
                <w14:textFill>
                  <w14:solidFill>
                    <w14:schemeClr w14:val="tx1"/>
                  </w14:solidFill>
                </w14:textFill>
              </w:rPr>
              <w:t>全厂</w:t>
            </w:r>
            <w:r>
              <w:rPr>
                <w:rFonts w:hint="default" w:ascii="Times New Roman" w:hAnsi="Times New Roman" w:cs="Times New Roman"/>
                <w:color w:val="000000" w:themeColor="text1"/>
                <w:kern w:val="0"/>
                <w:sz w:val="24"/>
                <w:highlight w:val="none"/>
                <w14:textFill>
                  <w14:solidFill>
                    <w14:schemeClr w14:val="tx1"/>
                  </w14:solidFill>
                </w14:textFill>
              </w:rPr>
              <w:t>SO</w:t>
            </w:r>
            <w:r>
              <w:rPr>
                <w:rFonts w:hint="default" w:ascii="Times New Roman" w:hAnsi="Times New Roman" w:cs="Times New Roman"/>
                <w:color w:val="000000" w:themeColor="text1"/>
                <w:kern w:val="0"/>
                <w:sz w:val="24"/>
                <w:highlight w:val="none"/>
                <w:vertAlign w:val="subscript"/>
                <w14:textFill>
                  <w14:solidFill>
                    <w14:schemeClr w14:val="tx1"/>
                  </w14:solidFill>
                </w14:textFill>
              </w:rPr>
              <w:t>2</w:t>
            </w:r>
            <w:r>
              <w:rPr>
                <w:rFonts w:hint="default" w:ascii="Times New Roman" w:hAnsi="Times New Roman" w:cs="Times New Roman"/>
                <w:color w:val="000000" w:themeColor="text1"/>
                <w:kern w:val="0"/>
                <w:sz w:val="24"/>
                <w:highlight w:val="none"/>
                <w14:textFill>
                  <w14:solidFill>
                    <w14:schemeClr w14:val="tx1"/>
                  </w14:solidFill>
                </w14:textFill>
              </w:rPr>
              <w:t>、NO</w:t>
            </w:r>
            <w:r>
              <w:rPr>
                <w:rFonts w:hint="default" w:ascii="Times New Roman" w:hAnsi="Times New Roman" w:cs="Times New Roman"/>
                <w:color w:val="000000" w:themeColor="text1"/>
                <w:kern w:val="0"/>
                <w:sz w:val="24"/>
                <w:highlight w:val="none"/>
                <w:vertAlign w:val="subscript"/>
                <w14:textFill>
                  <w14:solidFill>
                    <w14:schemeClr w14:val="tx1"/>
                  </w14:solidFill>
                </w14:textFill>
              </w:rPr>
              <w:t>X</w:t>
            </w:r>
            <w:r>
              <w:rPr>
                <w:rFonts w:hint="default" w:ascii="Times New Roman" w:hAnsi="Times New Roman" w:cs="Times New Roman"/>
                <w:color w:val="000000" w:themeColor="text1"/>
                <w:kern w:val="0"/>
                <w:sz w:val="24"/>
                <w:highlight w:val="none"/>
                <w14:textFill>
                  <w14:solidFill>
                    <w14:schemeClr w14:val="tx1"/>
                  </w14:solidFill>
                </w14:textFill>
              </w:rPr>
              <w:t>、COD和NH</w:t>
            </w:r>
            <w:r>
              <w:rPr>
                <w:rFonts w:hint="default" w:ascii="Times New Roman" w:hAnsi="Times New Roman" w:cs="Times New Roman"/>
                <w:color w:val="000000" w:themeColor="text1"/>
                <w:kern w:val="0"/>
                <w:sz w:val="24"/>
                <w:highlight w:val="none"/>
                <w:vertAlign w:val="subscript"/>
                <w14:textFill>
                  <w14:solidFill>
                    <w14:schemeClr w14:val="tx1"/>
                  </w14:solidFill>
                </w14:textFill>
              </w:rPr>
              <w:t>3</w:t>
            </w:r>
            <w:r>
              <w:rPr>
                <w:rFonts w:hint="default" w:ascii="Times New Roman" w:hAnsi="Times New Roman" w:cs="Times New Roman"/>
                <w:color w:val="000000" w:themeColor="text1"/>
                <w:kern w:val="0"/>
                <w:sz w:val="24"/>
                <w:highlight w:val="none"/>
                <w14:textFill>
                  <w14:solidFill>
                    <w14:schemeClr w14:val="tx1"/>
                  </w14:solidFill>
                </w14:textFill>
              </w:rPr>
              <w:t>-N</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排放总量分别为0.</w:t>
            </w:r>
            <w:r>
              <w:rPr>
                <w:rFonts w:hint="eastAsia" w:cs="Times New Roman"/>
                <w:color w:val="000000" w:themeColor="text1"/>
                <w:sz w:val="24"/>
                <w:highlight w:val="none"/>
                <w:lang w:val="en-US" w:eastAsia="zh-CN"/>
                <w14:textFill>
                  <w14:solidFill>
                    <w14:schemeClr w14:val="tx1"/>
                  </w14:solidFill>
                </w14:textFill>
              </w:rPr>
              <w:t>096</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t/a、0.</w:t>
            </w:r>
            <w:r>
              <w:rPr>
                <w:rFonts w:hint="eastAsia" w:cs="Times New Roman"/>
                <w:color w:val="000000" w:themeColor="text1"/>
                <w:sz w:val="24"/>
                <w:highlight w:val="none"/>
                <w:lang w:val="en-US" w:eastAsia="zh-CN"/>
                <w14:textFill>
                  <w14:solidFill>
                    <w14:schemeClr w14:val="tx1"/>
                  </w14:solidFill>
                </w14:textFill>
              </w:rPr>
              <w:t>887</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t/a、0.</w:t>
            </w:r>
            <w:r>
              <w:rPr>
                <w:rFonts w:hint="eastAsia" w:cs="Times New Roman"/>
                <w:color w:val="000000" w:themeColor="text1"/>
                <w:sz w:val="24"/>
                <w:highlight w:val="none"/>
                <w:lang w:val="en-US" w:eastAsia="zh-CN"/>
                <w14:textFill>
                  <w14:solidFill>
                    <w14:schemeClr w14:val="tx1"/>
                  </w14:solidFill>
                </w14:textFill>
              </w:rPr>
              <w:t>520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t/a、0.0</w:t>
            </w:r>
            <w:r>
              <w:rPr>
                <w:rFonts w:hint="eastAsia" w:cs="Times New Roman"/>
                <w:color w:val="000000" w:themeColor="text1"/>
                <w:sz w:val="24"/>
                <w:highlight w:val="none"/>
                <w:lang w:val="en-US" w:eastAsia="zh-CN"/>
                <w14:textFill>
                  <w14:solidFill>
                    <w14:schemeClr w14:val="tx1"/>
                  </w14:solidFill>
                </w14:textFill>
              </w:rPr>
              <w:t>52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eastAsia" w:cs="Times New Roman"/>
                <w:color w:val="000000" w:themeColor="text1"/>
                <w:sz w:val="24"/>
                <w:highlight w:val="none"/>
                <w:lang w:val="en-US" w:eastAsia="zh-CN"/>
                <w14:textFill>
                  <w14:solidFill>
                    <w14:schemeClr w14:val="tx1"/>
                  </w14:solidFill>
                </w14:textFill>
              </w:rPr>
              <w:t>，其中增加</w:t>
            </w:r>
            <w:r>
              <w:rPr>
                <w:rFonts w:hint="default" w:ascii="Times New Roman" w:hAnsi="Times New Roman" w:cs="Times New Roman"/>
                <w:color w:val="000000" w:themeColor="text1"/>
                <w:kern w:val="0"/>
                <w:sz w:val="24"/>
                <w:highlight w:val="none"/>
                <w14:textFill>
                  <w14:solidFill>
                    <w14:schemeClr w14:val="tx1"/>
                  </w14:solidFill>
                </w14:textFill>
              </w:rPr>
              <w:t>SO</w:t>
            </w:r>
            <w:r>
              <w:rPr>
                <w:rFonts w:hint="default" w:ascii="Times New Roman" w:hAnsi="Times New Roman" w:cs="Times New Roman"/>
                <w:color w:val="000000" w:themeColor="text1"/>
                <w:kern w:val="0"/>
                <w:sz w:val="24"/>
                <w:highlight w:val="none"/>
                <w:vertAlign w:val="subscript"/>
                <w14:textFill>
                  <w14:solidFill>
                    <w14:schemeClr w14:val="tx1"/>
                  </w14:solidFill>
                </w14:textFill>
              </w:rPr>
              <w:t>2</w:t>
            </w:r>
            <w:r>
              <w:rPr>
                <w:rFonts w:hint="default" w:ascii="Times New Roman" w:hAnsi="Times New Roman" w:cs="Times New Roman"/>
                <w:color w:val="000000" w:themeColor="text1"/>
                <w:kern w:val="0"/>
                <w:sz w:val="24"/>
                <w:highlight w:val="none"/>
                <w14:textFill>
                  <w14:solidFill>
                    <w14:schemeClr w14:val="tx1"/>
                  </w14:solidFill>
                </w14:textFill>
              </w:rPr>
              <w:t>、NO</w:t>
            </w:r>
            <w:r>
              <w:rPr>
                <w:rFonts w:hint="default" w:ascii="Times New Roman" w:hAnsi="Times New Roman" w:cs="Times New Roman"/>
                <w:color w:val="000000" w:themeColor="text1"/>
                <w:kern w:val="0"/>
                <w:sz w:val="24"/>
                <w:highlight w:val="none"/>
                <w:vertAlign w:val="subscript"/>
                <w14:textFill>
                  <w14:solidFill>
                    <w14:schemeClr w14:val="tx1"/>
                  </w14:solidFill>
                </w14:textFill>
              </w:rPr>
              <w:t>X</w:t>
            </w:r>
            <w:r>
              <w:rPr>
                <w:rFonts w:hint="default" w:ascii="Times New Roman" w:hAnsi="Times New Roman" w:cs="Times New Roman"/>
                <w:color w:val="000000" w:themeColor="text1"/>
                <w:kern w:val="0"/>
                <w:sz w:val="24"/>
                <w:highlight w:val="none"/>
                <w14:textFill>
                  <w14:solidFill>
                    <w14:schemeClr w14:val="tx1"/>
                  </w14:solidFill>
                </w14:textFill>
              </w:rPr>
              <w:t>、COD和NH</w:t>
            </w:r>
            <w:r>
              <w:rPr>
                <w:rFonts w:hint="default" w:ascii="Times New Roman" w:hAnsi="Times New Roman" w:cs="Times New Roman"/>
                <w:color w:val="000000" w:themeColor="text1"/>
                <w:kern w:val="0"/>
                <w:sz w:val="24"/>
                <w:highlight w:val="none"/>
                <w:vertAlign w:val="subscript"/>
                <w14:textFill>
                  <w14:solidFill>
                    <w14:schemeClr w14:val="tx1"/>
                  </w14:solidFill>
                </w14:textFill>
              </w:rPr>
              <w:t>3</w:t>
            </w:r>
            <w:r>
              <w:rPr>
                <w:rFonts w:hint="default" w:ascii="Times New Roman" w:hAnsi="Times New Roman" w:cs="Times New Roman"/>
                <w:color w:val="000000" w:themeColor="text1"/>
                <w:kern w:val="0"/>
                <w:sz w:val="24"/>
                <w:highlight w:val="none"/>
                <w14:textFill>
                  <w14:solidFill>
                    <w14:schemeClr w14:val="tx1"/>
                  </w14:solidFill>
                </w14:textFill>
              </w:rPr>
              <w:t>-N</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排放总量分别为0.0924t/a、0.</w:t>
            </w:r>
            <w:r>
              <w:rPr>
                <w:rFonts w:hint="eastAsia" w:cs="Times New Roman"/>
                <w:color w:val="000000" w:themeColor="text1"/>
                <w:sz w:val="24"/>
                <w:highlight w:val="none"/>
                <w:lang w:val="en-US" w:eastAsia="zh-CN"/>
                <w14:textFill>
                  <w14:solidFill>
                    <w14:schemeClr w14:val="tx1"/>
                  </w14:solidFill>
                </w14:textFill>
              </w:rPr>
              <w:t>8265</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eastAsia" w:cs="Times New Roman"/>
                <w:color w:val="000000" w:themeColor="text1"/>
                <w:sz w:val="24"/>
                <w:highlight w:val="none"/>
                <w:lang w:val="en-US" w:eastAsia="zh-CN"/>
                <w14:textFill>
                  <w14:solidFill>
                    <w14:schemeClr w14:val="tx1"/>
                  </w14:solidFill>
                </w14:textFill>
              </w:rPr>
              <w:t>0.4575</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t/a、0.0</w:t>
            </w:r>
            <w:r>
              <w:rPr>
                <w:rFonts w:hint="eastAsia" w:cs="Times New Roman"/>
                <w:color w:val="000000" w:themeColor="text1"/>
                <w:sz w:val="24"/>
                <w:highlight w:val="none"/>
                <w:lang w:val="en-US" w:eastAsia="zh-CN"/>
                <w14:textFill>
                  <w14:solidFill>
                    <w14:schemeClr w14:val="tx1"/>
                  </w14:solidFill>
                </w14:textFill>
              </w:rPr>
              <w:t>52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eastAsia" w:cs="Times New Roman"/>
                <w:color w:val="000000" w:themeColor="text1"/>
                <w:sz w:val="24"/>
                <w:highlight w:val="none"/>
                <w:lang w:val="en-US" w:eastAsia="zh-CN"/>
                <w14:textFill>
                  <w14:solidFill>
                    <w14:schemeClr w14:val="tx1"/>
                  </w14:solidFill>
                </w14:textFill>
              </w:rPr>
              <w:t>新增总量</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指标应</w:t>
            </w:r>
            <w:r>
              <w:rPr>
                <w:rFonts w:hint="eastAsia" w:ascii="宋体" w:hAnsi="宋体" w:eastAsia="宋体" w:cs="宋体"/>
                <w:color w:val="000000" w:themeColor="text1"/>
                <w:kern w:val="0"/>
                <w:sz w:val="24"/>
                <w:szCs w:val="24"/>
                <w:lang w:val="en-US" w:eastAsia="zh-CN" w:bidi="ar"/>
                <w14:textFill>
                  <w14:solidFill>
                    <w14:schemeClr w14:val="tx1"/>
                  </w14:solidFill>
                </w14:textFill>
              </w:rPr>
              <w:t>通过排污权交易获得</w:t>
            </w:r>
            <w:r>
              <w:rPr>
                <w:rFonts w:hint="eastAsia" w:ascii="宋体" w:hAnsi="宋体" w:cs="宋体"/>
                <w:color w:val="000000" w:themeColor="text1"/>
                <w:kern w:val="0"/>
                <w:sz w:val="24"/>
                <w:szCs w:val="24"/>
                <w:lang w:val="en-US" w:eastAsia="zh-CN" w:bidi="ar"/>
                <w14:textFill>
                  <w14:solidFill>
                    <w14:schemeClr w14:val="tx1"/>
                  </w14:solidFill>
                </w14:textFill>
              </w:rPr>
              <w:t>。</w:t>
            </w:r>
          </w:p>
          <w:p w14:paraId="3F3F69BD">
            <w:pPr>
              <w:pStyle w:val="95"/>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w:t>
            </w:r>
            <w:r>
              <w:rPr>
                <w:rFonts w:hint="eastAsia" w:cs="Times New Roman"/>
                <w:color w:val="000000" w:themeColor="text1"/>
                <w:sz w:val="24"/>
                <w:highlight w:val="none"/>
                <w:lang w:val="en-US" w:eastAsia="zh-CN"/>
                <w14:textFill>
                  <w14:solidFill>
                    <w14:schemeClr w14:val="tx1"/>
                  </w14:solidFill>
                </w14:textFill>
              </w:rPr>
              <w:t>全厂</w:t>
            </w:r>
            <w:r>
              <w:rPr>
                <w:rFonts w:hint="eastAsia" w:ascii="Times New Roman" w:hAnsi="Times New Roman" w:eastAsia="宋体" w:cs="Times New Roman"/>
                <w:color w:val="000000" w:themeColor="text1"/>
                <w:sz w:val="24"/>
                <w:highlight w:val="none"/>
                <w14:textFill>
                  <w14:solidFill>
                    <w14:schemeClr w14:val="tx1"/>
                  </w14:solidFill>
                </w14:textFill>
              </w:rPr>
              <w:t>VOCs</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以非甲烷总烃计</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排放总量为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instrText xml:space="preserve"> =2.332+1.295 \* MERGEFORMAT </w:instrTex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3.627</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较现有工程环评增加0.982t/a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新增</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VOCs总量</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由建设单位向</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福州市闽侯生态环境局</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申请区域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倍量</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替代</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p w14:paraId="584D3C2C">
            <w:pPr>
              <w:pStyle w:val="95"/>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建设单位承诺在项目投产前取得</w:t>
            </w:r>
            <w:r>
              <w:rPr>
                <w:rFonts w:hint="default" w:ascii="Times New Roman" w:hAnsi="Times New Roman" w:eastAsia="宋体" w:cs="Times New Roman"/>
                <w:color w:val="000000" w:themeColor="text1"/>
                <w:sz w:val="24"/>
                <w:highlight w:val="none"/>
                <w14:textFill>
                  <w14:solidFill>
                    <w14:schemeClr w14:val="tx1"/>
                  </w14:solidFill>
                </w14:textFill>
              </w:rPr>
              <w:t>VOCs</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以</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非甲烷总烃</w:t>
            </w:r>
            <w:r>
              <w:rPr>
                <w:rFonts w:hint="default" w:ascii="Times New Roman" w:hAnsi="Times New Roman" w:eastAsia="宋体" w:cs="Times New Roman"/>
                <w:color w:val="000000" w:themeColor="text1"/>
                <w:sz w:val="24"/>
                <w:highlight w:val="none"/>
                <w14:textFill>
                  <w14:solidFill>
                    <w14:schemeClr w14:val="tx1"/>
                  </w14:solidFill>
                </w14:textFill>
              </w:rPr>
              <w:t>计</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总量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倍量</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替代</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向排污权交易机构购买</w:t>
            </w:r>
            <w:r>
              <w:rPr>
                <w:rFonts w:hint="default" w:ascii="Times New Roman" w:hAnsi="Times New Roman" w:cs="Times New Roman"/>
                <w:color w:val="000000" w:themeColor="text1"/>
                <w:kern w:val="0"/>
                <w:sz w:val="24"/>
                <w:highlight w:val="none"/>
                <w14:textFill>
                  <w14:solidFill>
                    <w14:schemeClr w14:val="tx1"/>
                  </w14:solidFill>
                </w14:textFill>
              </w:rPr>
              <w:t>SO</w:t>
            </w:r>
            <w:r>
              <w:rPr>
                <w:rFonts w:hint="default" w:ascii="Times New Roman" w:hAnsi="Times New Roman" w:cs="Times New Roman"/>
                <w:color w:val="000000" w:themeColor="text1"/>
                <w:kern w:val="0"/>
                <w:sz w:val="24"/>
                <w:highlight w:val="none"/>
                <w:vertAlign w:val="subscript"/>
                <w14:textFill>
                  <w14:solidFill>
                    <w14:schemeClr w14:val="tx1"/>
                  </w14:solidFill>
                </w14:textFill>
              </w:rPr>
              <w:t>2</w:t>
            </w:r>
            <w:r>
              <w:rPr>
                <w:rFonts w:hint="default" w:ascii="Times New Roman" w:hAnsi="Times New Roman" w:cs="Times New Roman"/>
                <w:color w:val="000000" w:themeColor="text1"/>
                <w:kern w:val="0"/>
                <w:sz w:val="24"/>
                <w:highlight w:val="none"/>
                <w14:textFill>
                  <w14:solidFill>
                    <w14:schemeClr w14:val="tx1"/>
                  </w14:solidFill>
                </w14:textFill>
              </w:rPr>
              <w:t>、NO</w:t>
            </w:r>
            <w:r>
              <w:rPr>
                <w:rFonts w:hint="default" w:ascii="Times New Roman" w:hAnsi="Times New Roman" w:cs="Times New Roman"/>
                <w:color w:val="000000" w:themeColor="text1"/>
                <w:kern w:val="0"/>
                <w:sz w:val="24"/>
                <w:highlight w:val="none"/>
                <w:vertAlign w:val="subscript"/>
                <w14:textFill>
                  <w14:solidFill>
                    <w14:schemeClr w14:val="tx1"/>
                  </w14:solidFill>
                </w14:textFill>
              </w:rPr>
              <w:t>X</w:t>
            </w:r>
            <w:r>
              <w:rPr>
                <w:rFonts w:hint="default" w:ascii="Times New Roman" w:hAnsi="Times New Roman" w:cs="Times New Roman"/>
                <w:color w:val="000000" w:themeColor="text1"/>
                <w:kern w:val="0"/>
                <w:sz w:val="24"/>
                <w:highlight w:val="none"/>
                <w14:textFill>
                  <w14:solidFill>
                    <w14:schemeClr w14:val="tx1"/>
                  </w14:solidFill>
                </w14:textFill>
              </w:rPr>
              <w:t>、COD和NH</w:t>
            </w:r>
            <w:r>
              <w:rPr>
                <w:rFonts w:hint="default" w:ascii="Times New Roman" w:hAnsi="Times New Roman" w:cs="Times New Roman"/>
                <w:color w:val="000000" w:themeColor="text1"/>
                <w:kern w:val="0"/>
                <w:sz w:val="24"/>
                <w:highlight w:val="none"/>
                <w:vertAlign w:val="subscript"/>
                <w14:textFill>
                  <w14:solidFill>
                    <w14:schemeClr w14:val="tx1"/>
                  </w14:solidFill>
                </w14:textFill>
              </w:rPr>
              <w:t>3</w:t>
            </w:r>
            <w:r>
              <w:rPr>
                <w:rFonts w:hint="default" w:ascii="Times New Roman" w:hAnsi="Times New Roman" w:cs="Times New Roman"/>
                <w:color w:val="000000" w:themeColor="text1"/>
                <w:kern w:val="0"/>
                <w:sz w:val="24"/>
                <w:highlight w:val="none"/>
                <w14:textFill>
                  <w14:solidFill>
                    <w14:schemeClr w14:val="tx1"/>
                  </w14:solidFill>
                </w14:textFill>
              </w:rPr>
              <w:t>-N</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总量指标，</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并依法</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办理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排污许可</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手续（承诺书</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详见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附件十七）。</w:t>
            </w:r>
          </w:p>
        </w:tc>
      </w:tr>
    </w:tbl>
    <w:p w14:paraId="51FE620B">
      <w:pPr>
        <w:pStyle w:val="25"/>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footerReference r:id="rId6" w:type="default"/>
          <w:pgSz w:w="11907" w:h="16840"/>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03ECD685">
      <w:pPr>
        <w:pStyle w:val="25"/>
        <w:jc w:val="center"/>
        <w:outlineLvl w:val="0"/>
        <w:rPr>
          <w:rFonts w:hint="eastAsia" w:ascii="Times New Roman" w:hAnsi="Times New Roman" w:eastAsia="黑体" w:cs="Times New Roman"/>
          <w:snapToGrid w:val="0"/>
          <w:color w:val="000000" w:themeColor="text1"/>
          <w:sz w:val="30"/>
          <w:szCs w:val="30"/>
          <w:lang w:val="en-US" w:eastAsia="zh-CN"/>
          <w14:textFill>
            <w14:solidFill>
              <w14:schemeClr w14:val="tx1"/>
            </w14:solidFill>
          </w14:textFill>
        </w:rPr>
      </w:pPr>
      <w:bookmarkStart w:id="16" w:name="_Toc733"/>
      <w:r>
        <w:rPr>
          <w:rFonts w:hint="default" w:ascii="Times New Roman" w:hAnsi="Times New Roman" w:eastAsia="黑体" w:cs="Times New Roman"/>
          <w:snapToGrid w:val="0"/>
          <w:color w:val="000000" w:themeColor="text1"/>
          <w:sz w:val="30"/>
          <w:szCs w:val="30"/>
          <w14:textFill>
            <w14:solidFill>
              <w14:schemeClr w14:val="tx1"/>
            </w14:solidFill>
          </w14:textFill>
        </w:rPr>
        <w:t>四、主要环境影响和保护措施</w:t>
      </w:r>
      <w:bookmarkEnd w:id="11"/>
      <w:bookmarkEnd w:id="16"/>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07"/>
        <w:gridCol w:w="8674"/>
      </w:tblGrid>
      <w:tr w14:paraId="735EEC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6" w:hRule="atLeast"/>
          <w:jc w:val="center"/>
        </w:trPr>
        <w:tc>
          <w:tcPr>
            <w:tcW w:w="459" w:type="dxa"/>
            <w:noWrap w:val="0"/>
            <w:tcMar>
              <w:left w:w="28" w:type="dxa"/>
              <w:right w:w="28" w:type="dxa"/>
            </w:tcMar>
            <w:vAlign w:val="center"/>
          </w:tcPr>
          <w:p w14:paraId="7E6F3423">
            <w:pPr>
              <w:pStyle w:val="25"/>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施工</w:t>
            </w:r>
          </w:p>
          <w:p w14:paraId="3835E3BA">
            <w:pPr>
              <w:pStyle w:val="25"/>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期环</w:t>
            </w:r>
          </w:p>
          <w:p w14:paraId="29C1E749">
            <w:pPr>
              <w:pStyle w:val="25"/>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境保</w:t>
            </w:r>
          </w:p>
          <w:p w14:paraId="3F0088A3">
            <w:pPr>
              <w:pStyle w:val="25"/>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护措</w:t>
            </w:r>
          </w:p>
          <w:p w14:paraId="7D3DFC44">
            <w:pPr>
              <w:pStyle w:val="25"/>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施</w:t>
            </w:r>
          </w:p>
        </w:tc>
        <w:tc>
          <w:tcPr>
            <w:tcW w:w="8522" w:type="dxa"/>
            <w:noWrap w:val="0"/>
            <w:vAlign w:val="center"/>
          </w:tcPr>
          <w:p w14:paraId="21AD47C4">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pPr>
            <w:bookmarkStart w:id="17" w:name="_Toc4697"/>
            <w:bookmarkStart w:id="18" w:name="_Toc22024"/>
            <w:r>
              <w:rPr>
                <w:rFonts w:hint="default" w:ascii="Times New Roman" w:hAnsi="Times New Roman" w:eastAsia="宋体" w:cs="Times New Roman"/>
                <w:b/>
                <w:bCs w:val="0"/>
                <w:color w:val="000000" w:themeColor="text1"/>
                <w:sz w:val="28"/>
                <w:szCs w:val="28"/>
                <w14:textFill>
                  <w14:solidFill>
                    <w14:schemeClr w14:val="tx1"/>
                  </w14:solidFill>
                </w14:textFill>
              </w:rPr>
              <w:t>4.</w:t>
            </w:r>
            <w:r>
              <w:rPr>
                <w:rFonts w:hint="eastAsia" w:ascii="Times New Roman" w:hAnsi="Times New Roman" w:eastAsia="宋体" w:cs="Times New Roman"/>
                <w:b/>
                <w:bCs w:val="0"/>
                <w:color w:val="000000" w:themeColor="text1"/>
                <w:sz w:val="28"/>
                <w:szCs w:val="28"/>
                <w:lang w:val="en-US" w:eastAsia="zh-CN"/>
                <w14:textFill>
                  <w14:solidFill>
                    <w14:schemeClr w14:val="tx1"/>
                  </w14:solidFill>
                </w14:textFill>
              </w:rPr>
              <w:t>1施工期环境保护措施</w:t>
            </w:r>
            <w:bookmarkEnd w:id="17"/>
            <w:bookmarkEnd w:id="18"/>
          </w:p>
          <w:p w14:paraId="14AD7B0B">
            <w:pPr>
              <w:pStyle w:val="114"/>
              <w:rPr>
                <w:rFonts w:hint="default" w:ascii="Times New Roman" w:hAnsi="Times New Roman" w:eastAsia="宋体" w:cs="Times New Roman"/>
                <w:color w:val="000000" w:themeColor="text1"/>
                <w:sz w:val="24"/>
                <w:szCs w:val="24"/>
                <w:lang w:val="en-US" w:eastAsia="zh-CN"/>
                <w14:textFill>
                  <w14:solidFill>
                    <w14:schemeClr w14:val="tx1"/>
                  </w14:solidFill>
                </w14:textFill>
              </w:rPr>
            </w:pPr>
            <w:bookmarkStart w:id="19" w:name="_Toc28048"/>
            <w:bookmarkStart w:id="20" w:name="_Toc11037"/>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本项目选址于闽侯县祥谦镇洋下村洋辅路5号2#已建厂房、3#已建厂房3-4F进行扩建，不涉及室外土建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施工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。施工期建设内容主要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室内生产设备的安装和调试，时间较短，项目施工期对环境影响较小。</w:t>
            </w:r>
          </w:p>
          <w:p w14:paraId="244E0000">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default" w:ascii="Times New Roman" w:hAnsi="Times New Roman" w:eastAsia="宋体" w:cs="Times New Roman"/>
                <w:b/>
                <w:bCs w:val="0"/>
                <w:color w:val="000000" w:themeColor="text1"/>
                <w:kern w:val="0"/>
                <w:sz w:val="24"/>
                <w14:textFill>
                  <w14:solidFill>
                    <w14:schemeClr w14:val="tx1"/>
                  </w14:solidFill>
                </w14:textFill>
              </w:rPr>
            </w:pPr>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4.1</w:t>
            </w:r>
            <w:r>
              <w:rPr>
                <w:rFonts w:hint="default" w:ascii="Times New Roman" w:hAnsi="Times New Roman" w:eastAsia="宋体" w:cs="Times New Roman"/>
                <w:b/>
                <w:bCs w:val="0"/>
                <w:color w:val="000000" w:themeColor="text1"/>
                <w:kern w:val="0"/>
                <w:sz w:val="24"/>
                <w14:textFill>
                  <w14:solidFill>
                    <w14:schemeClr w14:val="tx1"/>
                  </w14:solidFill>
                </w14:textFill>
              </w:rPr>
              <w:t>.1</w:t>
            </w:r>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施工期</w:t>
            </w:r>
            <w:r>
              <w:rPr>
                <w:rFonts w:hint="default" w:ascii="Times New Roman" w:hAnsi="Times New Roman" w:eastAsia="宋体" w:cs="Times New Roman"/>
                <w:b/>
                <w:bCs w:val="0"/>
                <w:color w:val="000000" w:themeColor="text1"/>
                <w:kern w:val="0"/>
                <w:sz w:val="24"/>
                <w14:textFill>
                  <w14:solidFill>
                    <w14:schemeClr w14:val="tx1"/>
                  </w14:solidFill>
                </w14:textFill>
              </w:rPr>
              <w:t>水环境的影响分析</w:t>
            </w:r>
            <w:bookmarkEnd w:id="19"/>
            <w:bookmarkEnd w:id="20"/>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及保护措施</w:t>
            </w:r>
          </w:p>
          <w:p w14:paraId="56545120">
            <w:pPr>
              <w:pStyle w:val="67"/>
              <w:rPr>
                <w:rFonts w:hint="eastAsia" w:ascii="Times New Roman" w:hAnsi="Times New Roman" w:eastAsia="宋体" w:cs="宋体"/>
                <w:color w:val="000000" w:themeColor="text1"/>
                <w:sz w:val="24"/>
                <w:szCs w:val="24"/>
                <w:lang w:val="en-US" w:eastAsia="zh-CN"/>
                <w14:textFill>
                  <w14:solidFill>
                    <w14:schemeClr w14:val="tx1"/>
                  </w14:solidFill>
                </w14:textFill>
              </w:rPr>
            </w:pPr>
            <w:bookmarkStart w:id="21" w:name="_Toc10508"/>
            <w:bookmarkStart w:id="22" w:name="_Toc18014"/>
            <w:r>
              <w:rPr>
                <w:rFonts w:hint="default" w:ascii="Times New Roman" w:hAnsi="Times New Roman" w:eastAsia="宋体" w:cs="宋体"/>
                <w:color w:val="000000" w:themeColor="text1"/>
                <w:sz w:val="24"/>
                <w:szCs w:val="24"/>
                <w:lang w:val="en-US" w:eastAsia="zh-CN"/>
                <w14:textFill>
                  <w14:solidFill>
                    <w14:schemeClr w14:val="tx1"/>
                  </w14:solidFill>
                </w14:textFill>
              </w:rPr>
              <w:t>本项目</w:t>
            </w:r>
            <w:r>
              <w:rPr>
                <w:rFonts w:hint="eastAsia" w:ascii="Times New Roman" w:hAnsi="Times New Roman" w:eastAsia="宋体" w:cs="宋体"/>
                <w:color w:val="000000" w:themeColor="text1"/>
                <w:sz w:val="24"/>
                <w:szCs w:val="24"/>
                <w:lang w:val="en-US" w:eastAsia="zh-CN"/>
                <w14:textFill>
                  <w14:solidFill>
                    <w14:schemeClr w14:val="tx1"/>
                  </w14:solidFill>
                </w14:textFill>
              </w:rPr>
              <w:t>车间装修、</w:t>
            </w:r>
            <w:r>
              <w:rPr>
                <w:rFonts w:hint="default" w:ascii="Times New Roman" w:hAnsi="Times New Roman" w:eastAsia="宋体" w:cs="宋体"/>
                <w:color w:val="000000" w:themeColor="text1"/>
                <w:sz w:val="24"/>
                <w:szCs w:val="24"/>
                <w:lang w:val="en-US" w:eastAsia="zh-CN"/>
                <w14:textFill>
                  <w14:solidFill>
                    <w14:schemeClr w14:val="tx1"/>
                  </w14:solidFill>
                </w14:textFill>
              </w:rPr>
              <w:t>设备安装、调试</w:t>
            </w:r>
            <w:r>
              <w:rPr>
                <w:rFonts w:hint="eastAsia" w:ascii="Times New Roman" w:hAnsi="Times New Roman" w:eastAsia="宋体" w:cs="宋体"/>
                <w:color w:val="000000" w:themeColor="text1"/>
                <w:sz w:val="24"/>
                <w:szCs w:val="24"/>
                <w:lang w:val="en-US" w:eastAsia="zh-CN"/>
                <w14:textFill>
                  <w14:solidFill>
                    <w14:schemeClr w14:val="tx1"/>
                  </w14:solidFill>
                </w14:textFill>
              </w:rPr>
              <w:t>等施工作业人员产生的少量生活污水可直接</w:t>
            </w:r>
            <w:r>
              <w:rPr>
                <w:rFonts w:hint="default" w:ascii="Times New Roman" w:hAnsi="Times New Roman" w:eastAsia="宋体" w:cs="宋体"/>
                <w:color w:val="000000" w:themeColor="text1"/>
                <w:sz w:val="24"/>
                <w:szCs w:val="24"/>
                <w:lang w:val="en-US" w:eastAsia="zh-CN"/>
                <w14:textFill>
                  <w14:solidFill>
                    <w14:schemeClr w14:val="tx1"/>
                  </w14:solidFill>
                </w14:textFill>
              </w:rPr>
              <w:t>依托</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厂内现有的化粪池预处理后</w:t>
            </w:r>
            <w:r>
              <w:rPr>
                <w:rFonts w:hint="eastAsia" w:ascii="Times New Roman" w:hAnsi="Times New Roman" w:cs="Times New Roman"/>
                <w:color w:val="000000" w:themeColor="text1"/>
                <w:sz w:val="24"/>
                <w:szCs w:val="24"/>
                <w:lang w:eastAsia="zh-CN"/>
                <w14:textFill>
                  <w14:solidFill>
                    <w14:schemeClr w14:val="tx1"/>
                  </w14:solidFill>
                </w14:textFill>
              </w:rPr>
              <w:t>依托</w:t>
            </w:r>
            <w:r>
              <w:rPr>
                <w:rFonts w:hint="eastAsia" w:ascii="Times New Roman" w:hAnsi="Times New Roman" w:eastAsia="宋体" w:cs="Times New Roman"/>
                <w:color w:val="000000" w:themeColor="text1"/>
                <w:lang w:val="en-US" w:eastAsia="zh-CN"/>
                <w14:textFill>
                  <w14:solidFill>
                    <w14:schemeClr w14:val="tx1"/>
                  </w14:solidFill>
                </w14:textFill>
              </w:rPr>
              <w:t>福建青口海峡环保有限公司（青口新区污水处理厂）进行处理</w:t>
            </w:r>
            <w:r>
              <w:rPr>
                <w:rFonts w:hint="eastAsia" w:ascii="Times New Roman" w:hAnsi="Times New Roman" w:cs="Times New Roman"/>
                <w:color w:val="000000" w:themeColor="text1"/>
                <w:sz w:val="24"/>
                <w:highlight w:val="none"/>
                <w:lang w:val="en-US" w:eastAsia="zh-CN"/>
                <w14:textFill>
                  <w14:solidFill>
                    <w14:schemeClr w14:val="tx1"/>
                  </w14:solidFill>
                </w14:textFill>
              </w:rPr>
              <w:t>后尾水排入陶江，</w:t>
            </w:r>
            <w:r>
              <w:rPr>
                <w:rFonts w:hint="eastAsia" w:ascii="Times New Roman" w:hAnsi="Times New Roman" w:eastAsia="宋体" w:cs="宋体"/>
                <w:color w:val="000000" w:themeColor="text1"/>
                <w:sz w:val="24"/>
                <w:szCs w:val="24"/>
                <w:lang w:val="en-US" w:eastAsia="zh-CN"/>
                <w14:textFill>
                  <w14:solidFill>
                    <w14:schemeClr w14:val="tx1"/>
                  </w14:solidFill>
                </w14:textFill>
              </w:rPr>
              <w:t>不会对周边地表水环境产生大的影响。</w:t>
            </w:r>
          </w:p>
          <w:p w14:paraId="0A84C9E9">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eastAsia" w:ascii="Times New Roman" w:hAnsi="Times New Roman" w:eastAsia="宋体" w:cs="Times New Roman"/>
                <w:b/>
                <w:bCs w:val="0"/>
                <w:color w:val="000000" w:themeColor="text1"/>
                <w:kern w:val="0"/>
                <w:sz w:val="24"/>
                <w14:textFill>
                  <w14:solidFill>
                    <w14:schemeClr w14:val="tx1"/>
                  </w14:solidFill>
                </w14:textFill>
              </w:rPr>
            </w:pPr>
            <w:r>
              <w:rPr>
                <w:rFonts w:hint="default" w:ascii="Times New Roman" w:hAnsi="Times New Roman" w:eastAsia="宋体" w:cs="Times New Roman"/>
                <w:b/>
                <w:bCs w:val="0"/>
                <w:color w:val="000000" w:themeColor="text1"/>
                <w:kern w:val="0"/>
                <w:sz w:val="24"/>
                <w14:textFill>
                  <w14:solidFill>
                    <w14:schemeClr w14:val="tx1"/>
                  </w14:solidFill>
                </w14:textFill>
              </w:rPr>
              <w:t>4.</w:t>
            </w:r>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b/>
                <w:bCs w:val="0"/>
                <w:color w:val="000000" w:themeColor="text1"/>
                <w:kern w:val="0"/>
                <w:sz w:val="24"/>
                <w14:textFill>
                  <w14:solidFill>
                    <w14:schemeClr w14:val="tx1"/>
                  </w14:solidFill>
                </w14:textFill>
              </w:rPr>
              <w:t>.</w:t>
            </w:r>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2施工期废气环境</w:t>
            </w:r>
            <w:r>
              <w:rPr>
                <w:rFonts w:hint="default" w:ascii="Times New Roman" w:hAnsi="Times New Roman" w:eastAsia="宋体" w:cs="Times New Roman"/>
                <w:b/>
                <w:bCs w:val="0"/>
                <w:color w:val="000000" w:themeColor="text1"/>
                <w:kern w:val="0"/>
                <w:sz w:val="24"/>
                <w14:textFill>
                  <w14:solidFill>
                    <w14:schemeClr w14:val="tx1"/>
                  </w14:solidFill>
                </w14:textFill>
              </w:rPr>
              <w:t>影响分析</w:t>
            </w:r>
            <w:bookmarkEnd w:id="21"/>
            <w:bookmarkEnd w:id="22"/>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及保护措施</w:t>
            </w:r>
          </w:p>
          <w:p w14:paraId="0C1BE552">
            <w:pPr>
              <w:spacing w:line="360" w:lineRule="auto"/>
              <w:ind w:firstLine="480" w:firstLineChars="200"/>
              <w:rPr>
                <w:rFonts w:hint="eastAsia" w:ascii="Times New Roman" w:hAnsi="Times New Roman" w:eastAsia="宋体" w:cs="宋体"/>
                <w:color w:val="000000" w:themeColor="text1"/>
                <w:sz w:val="24"/>
                <w:szCs w:val="24"/>
                <w:lang w:val="en-US" w:eastAsia="zh-CN"/>
                <w14:textFill>
                  <w14:solidFill>
                    <w14:schemeClr w14:val="tx1"/>
                  </w14:solidFill>
                </w14:textFill>
              </w:rPr>
            </w:pPr>
            <w:bookmarkStart w:id="23" w:name="_Toc14716"/>
            <w:bookmarkStart w:id="24" w:name="_Toc19444"/>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本项目施工废气主要为车间装修、设备安装产生的少量焊接烟尘，装修下料粉尘及装修涂料有机废气等，要求建设单位合理安排施工时间、施工工序，降低施工周期，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装修</w:t>
            </w:r>
            <w:r>
              <w:rPr>
                <w:rFonts w:hint="default" w:ascii="Times New Roman" w:hAnsi="Times New Roman" w:cs="Times New Roman"/>
                <w:color w:val="000000" w:themeColor="text1"/>
                <w:sz w:val="24"/>
                <w14:textFill>
                  <w14:solidFill>
                    <w14:schemeClr w14:val="tx1"/>
                  </w14:solidFill>
                </w14:textFill>
              </w:rPr>
              <w:t>过程中应选用符合《</w:t>
            </w:r>
            <w:r>
              <w:rPr>
                <w:rFonts w:hint="eastAsia" w:ascii="Times New Roman" w:hAnsi="Times New Roman" w:cs="Times New Roman"/>
                <w:color w:val="000000" w:themeColor="text1"/>
                <w:sz w:val="24"/>
                <w:lang w:eastAsia="zh-CN"/>
                <w14:textFill>
                  <w14:solidFill>
                    <w14:schemeClr w14:val="tx1"/>
                  </w14:solidFill>
                </w14:textFill>
              </w:rPr>
              <w:t>民用建筑工程室内环境污染控制标准</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GB50325-20</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标准规定的建筑材料和装饰材料，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并通过加强车间排气通风</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项目施工不连续，且施工期较短，产生的少量焊接烟尘、装修下料粉尘及装修涂料有机废气在大气很快稀释扩</w:t>
            </w:r>
            <w:r>
              <w:rPr>
                <w:rFonts w:hint="eastAsia" w:ascii="Times New Roman" w:hAnsi="Times New Roman" w:eastAsia="宋体" w:cs="宋体"/>
                <w:color w:val="000000" w:themeColor="text1"/>
                <w:sz w:val="24"/>
                <w:szCs w:val="24"/>
                <w:lang w:val="en-US" w:eastAsia="zh-CN"/>
                <w14:textFill>
                  <w14:solidFill>
                    <w14:schemeClr w14:val="tx1"/>
                  </w14:solidFill>
                </w14:textFill>
              </w:rPr>
              <w:t>散，对周边造成的环境影响是短暂的，且不会对周边显著的环境影响。</w:t>
            </w:r>
          </w:p>
          <w:p w14:paraId="4EA18206">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default" w:ascii="Times New Roman" w:hAnsi="Times New Roman" w:eastAsia="宋体" w:cs="Times New Roman"/>
                <w:b/>
                <w:bCs w:val="0"/>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4.1.3施工期噪声环境影响分析</w:t>
            </w:r>
            <w:bookmarkEnd w:id="23"/>
            <w:bookmarkEnd w:id="24"/>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及保护措施</w:t>
            </w:r>
          </w:p>
          <w:p w14:paraId="500718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themeColor="text1"/>
                <w:sz w:val="24"/>
                <w:szCs w:val="24"/>
                <w14:textFill>
                  <w14:solidFill>
                    <w14:schemeClr w14:val="tx1"/>
                  </w14:solidFill>
                </w14:textFill>
              </w:rPr>
            </w:pPr>
            <w:bookmarkStart w:id="25" w:name="_Toc166"/>
            <w:bookmarkStart w:id="26" w:name="_Toc165"/>
            <w:r>
              <w:rPr>
                <w:rFonts w:hint="default" w:ascii="Times New Roman" w:hAnsi="Times New Roman" w:eastAsia="宋体" w:cs="Times New Roman"/>
                <w:color w:val="000000" w:themeColor="text1"/>
                <w:sz w:val="24"/>
                <w:szCs w:val="24"/>
                <w14:textFill>
                  <w14:solidFill>
                    <w14:schemeClr w14:val="tx1"/>
                  </w14:solidFill>
                </w14:textFill>
              </w:rPr>
              <w:t>项目噪声主要来源施工现场的各类机械设备噪声。</w:t>
            </w:r>
            <w:r>
              <w:rPr>
                <w:rFonts w:ascii="Times New Roman" w:hAnsi="Times New Roman" w:eastAsia="宋体"/>
                <w:color w:val="000000" w:themeColor="text1"/>
                <w:sz w:val="24"/>
                <w:szCs w:val="24"/>
                <w14:textFill>
                  <w14:solidFill>
                    <w14:schemeClr w14:val="tx1"/>
                  </w14:solidFill>
                </w14:textFill>
              </w:rPr>
              <w:t>为了减轻施工噪声对周围环境的影响，建议采取以下措施：</w:t>
            </w:r>
          </w:p>
          <w:p w14:paraId="41B42C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（1）</w:t>
            </w:r>
            <w:r>
              <w:rPr>
                <w:rFonts w:ascii="Times New Roman" w:hAnsi="Times New Roman" w:eastAsia="宋体"/>
                <w:color w:val="000000" w:themeColor="text1"/>
                <w:sz w:val="24"/>
                <w:szCs w:val="24"/>
                <w14:textFill>
                  <w14:solidFill>
                    <w14:schemeClr w14:val="tx1"/>
                  </w14:solidFill>
                </w14:textFill>
              </w:rPr>
              <w:t>加强施工管理，合理安排施工作业时间，尽量减少夜间施工频率，严格按照施工噪声管理的有关规定执行，严禁夜间进行高噪声施工作业；</w:t>
            </w:r>
          </w:p>
          <w:p w14:paraId="626726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（2）</w:t>
            </w:r>
            <w:r>
              <w:rPr>
                <w:rFonts w:ascii="Times New Roman" w:hAnsi="Times New Roman" w:eastAsia="宋体"/>
                <w:color w:val="000000" w:themeColor="text1"/>
                <w:sz w:val="24"/>
                <w:szCs w:val="24"/>
                <w14:textFill>
                  <w14:solidFill>
                    <w14:schemeClr w14:val="tx1"/>
                  </w14:solidFill>
                </w14:textFill>
              </w:rPr>
              <w:t>尽量采用低噪声的施工工具，同时尽可能采用低噪声施工方法；</w:t>
            </w:r>
          </w:p>
          <w:p w14:paraId="7A92BB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（3）</w:t>
            </w:r>
            <w:r>
              <w:rPr>
                <w:rFonts w:hint="eastAsia" w:ascii="Times New Roman" w:hAnsi="Times New Roman" w:eastAsia="宋体"/>
                <w:color w:val="000000" w:themeColor="text1"/>
                <w:sz w:val="24"/>
                <w:szCs w:val="24"/>
                <w:lang w:val="en-US" w:eastAsia="zh-CN"/>
                <w14:textFill>
                  <w14:solidFill>
                    <w14:schemeClr w14:val="tx1"/>
                  </w14:solidFill>
                </w14:textFill>
              </w:rPr>
              <w:t>施工机械设备布置在车间中间区域。</w:t>
            </w:r>
          </w:p>
          <w:p w14:paraId="60CBB794">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default" w:ascii="Times New Roman" w:hAnsi="Times New Roman" w:eastAsia="宋体" w:cs="Times New Roman"/>
                <w:b/>
                <w:bCs w:val="0"/>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4.1.4施工期固废环境影响分析</w:t>
            </w:r>
            <w:bookmarkEnd w:id="25"/>
            <w:bookmarkEnd w:id="26"/>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及保护措施</w:t>
            </w:r>
          </w:p>
          <w:p w14:paraId="2A4F23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施工</w:t>
            </w:r>
            <w:r>
              <w:rPr>
                <w:rFonts w:hint="eastAsia" w:ascii="Times New Roman" w:hAnsi="Times New Roman" w:eastAsia="宋体"/>
                <w:color w:val="000000" w:themeColor="text1"/>
                <w:sz w:val="24"/>
                <w:szCs w:val="24"/>
                <w:lang w:val="en-US" w:eastAsia="zh-CN"/>
                <w14:textFill>
                  <w14:solidFill>
                    <w14:schemeClr w14:val="tx1"/>
                  </w14:solidFill>
                </w14:textFill>
              </w:rPr>
              <w:t>固废主要</w:t>
            </w:r>
            <w:r>
              <w:rPr>
                <w:rFonts w:ascii="Times New Roman" w:hAnsi="Times New Roman" w:eastAsia="宋体"/>
                <w:color w:val="000000" w:themeColor="text1"/>
                <w:sz w:val="24"/>
                <w:szCs w:val="24"/>
                <w14:textFill>
                  <w14:solidFill>
                    <w14:schemeClr w14:val="tx1"/>
                  </w14:solidFill>
                </w14:textFill>
              </w:rPr>
              <w:t>来自施工所产生的建筑垃圾和施工队伍生活产生的生活垃圾。建议采取以下的污染防治措施：</w:t>
            </w:r>
          </w:p>
          <w:p w14:paraId="0BC69D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施工人员产生的生活垃圾，应分选袋装，委托环卫部门处理</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14:paraId="69054F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施工建筑垃圾应分类收集，尽可能回收再利用。建筑垃圾中石子、混凝土块、砖头、石块、废木料等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回收再利用；</w:t>
            </w:r>
          </w:p>
          <w:p w14:paraId="5E495F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bCs/>
                <w:color w:val="000000" w:themeColor="text1"/>
                <w:spacing w:val="-10"/>
                <w:szCs w:val="21"/>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）装修阶段产生的油漆废渣、废油漆桶应分类单独收集贮存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危险废物贮存间</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委托有资质单位统一处置</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tc>
      </w:tr>
      <w:tr w14:paraId="5A1E4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50" w:hRule="atLeast"/>
          <w:jc w:val="center"/>
        </w:trPr>
        <w:tc>
          <w:tcPr>
            <w:tcW w:w="459" w:type="dxa"/>
            <w:noWrap w:val="0"/>
            <w:tcMar>
              <w:left w:w="28" w:type="dxa"/>
              <w:right w:w="28" w:type="dxa"/>
            </w:tcMar>
            <w:vAlign w:val="center"/>
          </w:tcPr>
          <w:p w14:paraId="6CB83264">
            <w:pPr>
              <w:pStyle w:val="25"/>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运营</w:t>
            </w:r>
          </w:p>
          <w:p w14:paraId="5245CEE2">
            <w:pPr>
              <w:pStyle w:val="25"/>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期环</w:t>
            </w:r>
          </w:p>
          <w:p w14:paraId="1C613ED9">
            <w:pPr>
              <w:pStyle w:val="25"/>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境影</w:t>
            </w:r>
          </w:p>
          <w:p w14:paraId="5FC4667B">
            <w:pPr>
              <w:pStyle w:val="25"/>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响和</w:t>
            </w:r>
          </w:p>
          <w:p w14:paraId="28F9E4FD">
            <w:pPr>
              <w:pStyle w:val="25"/>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保护</w:t>
            </w:r>
          </w:p>
          <w:p w14:paraId="28CD50D1">
            <w:pPr>
              <w:pStyle w:val="25"/>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措施</w:t>
            </w:r>
          </w:p>
        </w:tc>
        <w:tc>
          <w:tcPr>
            <w:tcW w:w="8522" w:type="dxa"/>
            <w:noWrap w:val="0"/>
            <w:vAlign w:val="center"/>
          </w:tcPr>
          <w:p w14:paraId="1ABB81E8">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4.</w:t>
            </w:r>
            <w:r>
              <w:rPr>
                <w:rFonts w:hint="eastAsia" w:ascii="Times New Roman" w:hAnsi="Times New Roman" w:eastAsia="宋体" w:cs="Times New Roman"/>
                <w:b/>
                <w:bCs w:val="0"/>
                <w:color w:val="000000" w:themeColor="text1"/>
                <w:sz w:val="28"/>
                <w:szCs w:val="28"/>
                <w:lang w:val="en-US" w:eastAsia="zh-CN"/>
                <w14:textFill>
                  <w14:solidFill>
                    <w14:schemeClr w14:val="tx1"/>
                  </w14:solidFill>
                </w14:textFill>
              </w:rPr>
              <w:t>2</w:t>
            </w:r>
            <w:r>
              <w:rPr>
                <w:rFonts w:hint="default" w:ascii="Times New Roman" w:hAnsi="Times New Roman" w:eastAsia="宋体" w:cs="Times New Roman"/>
                <w:b/>
                <w:bCs w:val="0"/>
                <w:color w:val="000000" w:themeColor="text1"/>
                <w:sz w:val="28"/>
                <w:szCs w:val="28"/>
                <w14:textFill>
                  <w14:solidFill>
                    <w14:schemeClr w14:val="tx1"/>
                  </w14:solidFill>
                </w14:textFill>
              </w:rPr>
              <w:t>运营期大气环境影响分析和污染防治措施</w:t>
            </w:r>
          </w:p>
          <w:p w14:paraId="545E4462">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default" w:ascii="Times New Roman" w:hAnsi="Times New Roman" w:eastAsia="宋体" w:cs="Times New Roman"/>
                <w:b/>
                <w:bCs w:val="0"/>
                <w:color w:val="000000" w:themeColor="text1"/>
                <w:kern w:val="0"/>
                <w:sz w:val="24"/>
                <w14:textFill>
                  <w14:solidFill>
                    <w14:schemeClr w14:val="tx1"/>
                  </w14:solidFill>
                </w14:textFill>
              </w:rPr>
            </w:pPr>
            <w:r>
              <w:rPr>
                <w:rFonts w:hint="default" w:ascii="Times New Roman" w:hAnsi="Times New Roman" w:eastAsia="宋体" w:cs="Times New Roman"/>
                <w:b/>
                <w:bCs w:val="0"/>
                <w:color w:val="000000" w:themeColor="text1"/>
                <w:kern w:val="0"/>
                <w:sz w:val="24"/>
                <w:lang w:val="en-US" w:eastAsia="zh-CN"/>
                <w14:textFill>
                  <w14:solidFill>
                    <w14:schemeClr w14:val="tx1"/>
                  </w14:solidFill>
                </w14:textFill>
              </w:rPr>
              <w:t>4.</w:t>
            </w:r>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b/>
                <w:bCs w:val="0"/>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b/>
                <w:bCs w:val="0"/>
                <w:color w:val="000000" w:themeColor="text1"/>
                <w:kern w:val="0"/>
                <w:sz w:val="24"/>
                <w14:textFill>
                  <w14:solidFill>
                    <w14:schemeClr w14:val="tx1"/>
                  </w14:solidFill>
                </w14:textFill>
              </w:rPr>
              <w:t>运营期废气源强核算</w:t>
            </w:r>
          </w:p>
          <w:p w14:paraId="08137F4A">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本项目废气主要为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磷化酸性气体、酸洗钝化酸性气体、电泳废气、电泳烘干</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固化</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天然气</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燃气废气、喷粉粉尘和喷粉烘干</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固化</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、喷胶/喷漆废气及喷胶烘干固化废气、脱漆废气</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4A319DF">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磷化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酸性气体</w:t>
            </w:r>
          </w:p>
          <w:p w14:paraId="2F5AFE18">
            <w:pPr>
              <w:pStyle w:val="93"/>
              <w:ind w:firstLine="480"/>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项目采用锌系磷化剂，其主要成分包括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磷酸二氢锌、磷酸、硝酸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氟硅酸等，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磷酸</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等酸性物质具有一定的挥发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性，会挥发少量酸性气体（磷酸雾等），但因挥发性不强，酸性废气产生量较小，本评价不进行定量分析，</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3#厂房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酸性气体经收集后采用“</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碱液喷淋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处理后</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由1根</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22</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m高排气筒</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DA00</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排放</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；2#厂房酸性气体经收集后采用“碱液喷淋”处理后，由1根15m高排气筒（DA003）排放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C49E3D8">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酸洗、钝化酸性气体</w:t>
            </w:r>
          </w:p>
          <w:p w14:paraId="7B7D6190">
            <w:pPr>
              <w:pStyle w:val="153"/>
              <w:bidi w:val="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根据工艺流程，</w:t>
            </w:r>
            <w:r>
              <w:rPr>
                <w:rFonts w:hint="eastAsia" w:cs="Times New Roman"/>
                <w:b w:val="0"/>
                <w:bCs w:val="0"/>
                <w:color w:val="000000" w:themeColor="text1"/>
                <w:sz w:val="24"/>
                <w:szCs w:val="24"/>
                <w:highlight w:val="none"/>
                <w:lang w:val="en-US" w:eastAsia="zh-CN"/>
                <w14:textFill>
                  <w14:solidFill>
                    <w14:schemeClr w14:val="tx1"/>
                  </w14:solidFill>
                </w14:textFill>
              </w:rPr>
              <w:t>铝件酸洗、钝化</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过程</w:t>
            </w:r>
            <w:r>
              <w:rPr>
                <w:rFonts w:hint="eastAsia" w:cs="Times New Roman"/>
                <w:b w:val="0"/>
                <w:bCs w:val="0"/>
                <w:color w:val="000000" w:themeColor="text1"/>
                <w:sz w:val="24"/>
                <w:szCs w:val="24"/>
                <w:highlight w:val="none"/>
                <w:lang w:val="en-US" w:eastAsia="zh-CN"/>
                <w14:textFill>
                  <w14:solidFill>
                    <w14:schemeClr w14:val="tx1"/>
                  </w14:solidFill>
                </w14:textFill>
              </w:rPr>
              <w:t>（该过程仅布置在2#厂房）</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中</w:t>
            </w:r>
            <w:r>
              <w:rPr>
                <w:rFonts w:hint="eastAsia" w:cs="Times New Roman"/>
                <w:b w:val="0"/>
                <w:bCs w:val="0"/>
                <w:color w:val="000000" w:themeColor="text1"/>
                <w:sz w:val="24"/>
                <w:szCs w:val="24"/>
                <w:highlight w:val="none"/>
                <w:lang w:val="en-US" w:eastAsia="zh-CN"/>
                <w14:textFill>
                  <w14:solidFill>
                    <w14:schemeClr w14:val="tx1"/>
                  </w14:solidFill>
                </w14:textFill>
              </w:rPr>
              <w:t>使用硝酸</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会产生硝酸雾（以氮氧化物表征）</w:t>
            </w:r>
            <w:r>
              <w:rPr>
                <w:rFonts w:hint="eastAsia" w:cs="Times New Roman"/>
                <w:b w:val="0"/>
                <w:bCs w:val="0"/>
                <w:color w:val="000000" w:themeColor="text1"/>
                <w:sz w:val="24"/>
                <w:szCs w:val="24"/>
                <w:highlight w:val="none"/>
                <w:lang w:val="en-US" w:eastAsia="zh-CN"/>
                <w14:textFill>
                  <w14:solidFill>
                    <w14:schemeClr w14:val="tx1"/>
                  </w14:solidFill>
                </w14:textFill>
              </w:rPr>
              <w:t>，使用钝化剂会产生含氟废气</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氟锆酸</w:t>
            </w:r>
            <w:r>
              <w:rPr>
                <w:rFonts w:hint="eastAsia" w:cs="Times New Roman"/>
                <w:color w:val="000000" w:themeColor="text1"/>
                <w:sz w:val="24"/>
                <w:szCs w:val="24"/>
                <w:lang w:val="en-US" w:eastAsia="zh-CN"/>
                <w14:textFill>
                  <w14:solidFill>
                    <w14:schemeClr w14:val="tx1"/>
                  </w14:solidFill>
                </w14:textFill>
              </w:rPr>
              <w:t>和氢氟酸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雾</w:t>
            </w:r>
            <w:r>
              <w:rPr>
                <w:rFonts w:hint="eastAsia" w:cs="Times New Roman"/>
                <w:color w:val="000000" w:themeColor="text1"/>
                <w:sz w:val="24"/>
                <w:szCs w:val="24"/>
                <w:highlight w:val="none"/>
                <w:lang w:val="en-US" w:eastAsia="zh-CN"/>
                <w14:textFill>
                  <w14:solidFill>
                    <w14:schemeClr w14:val="tx1"/>
                  </w14:solidFill>
                </w14:textFill>
              </w:rPr>
              <w:t>，以氟化物计</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钝化剂与水2:8配置，钝化剂中</w:t>
            </w:r>
            <w:r>
              <w:rPr>
                <w:rFonts w:hint="eastAsia" w:cs="Times New Roman"/>
                <w:color w:val="000000" w:themeColor="text1"/>
                <w:sz w:val="24"/>
                <w:szCs w:val="24"/>
                <w:lang w:val="en-US" w:eastAsia="zh-CN"/>
                <w14:textFill>
                  <w14:solidFill>
                    <w14:schemeClr w14:val="tx1"/>
                  </w14:solidFill>
                </w14:textFill>
              </w:rPr>
              <w:t>氟锆酸含量仅0.1-1%，氢氟酸含量＜0.1%</w:t>
            </w:r>
            <w:r>
              <w:rPr>
                <w:rFonts w:hint="eastAsia" w:cs="Times New Roman"/>
                <w:color w:val="000000" w:themeColor="text1"/>
                <w:sz w:val="24"/>
                <w:szCs w:val="24"/>
                <w:highlight w:val="none"/>
                <w:lang w:val="en-US" w:eastAsia="zh-CN"/>
                <w14:textFill>
                  <w14:solidFill>
                    <w14:schemeClr w14:val="tx1"/>
                  </w14:solidFill>
                </w14:textFill>
              </w:rPr>
              <w:t>，调配后钝化池中</w:t>
            </w:r>
            <w:r>
              <w:rPr>
                <w:rFonts w:hint="eastAsia" w:cs="Times New Roman"/>
                <w:color w:val="000000" w:themeColor="text1"/>
                <w:sz w:val="24"/>
                <w:szCs w:val="24"/>
                <w:lang w:val="en-US" w:eastAsia="zh-CN"/>
                <w14:textFill>
                  <w14:solidFill>
                    <w14:schemeClr w14:val="tx1"/>
                  </w14:solidFill>
                </w14:textFill>
              </w:rPr>
              <w:t>氟锆酸含量＜</w:t>
            </w:r>
            <w:r>
              <w:rPr>
                <w:rFonts w:hint="default" w:cs="Times New Roman"/>
                <w:color w:val="000000" w:themeColor="text1"/>
                <w:sz w:val="24"/>
                <w:szCs w:val="24"/>
                <w:lang w:eastAsia="zh-CN"/>
                <w14:textFill>
                  <w14:solidFill>
                    <w14:schemeClr w14:val="tx1"/>
                  </w14:solidFill>
                </w14:textFill>
              </w:rPr>
              <w:fldChar w:fldCharType="begin"/>
            </w:r>
            <w:r>
              <w:rPr>
                <w:rFonts w:hint="default" w:cs="Times New Roman"/>
                <w:color w:val="000000" w:themeColor="text1"/>
                <w:sz w:val="24"/>
                <w:szCs w:val="24"/>
                <w:lang w:eastAsia="zh-CN"/>
                <w14:textFill>
                  <w14:solidFill>
                    <w14:schemeClr w14:val="tx1"/>
                  </w14:solidFill>
                </w14:textFill>
              </w:rPr>
              <w:instrText xml:space="preserve"> =1*2/10 \* MERGEFORMAT </w:instrText>
            </w:r>
            <w:r>
              <w:rPr>
                <w:rFonts w:hint="default" w:cs="Times New Roman"/>
                <w:color w:val="000000" w:themeColor="text1"/>
                <w:sz w:val="24"/>
                <w:szCs w:val="24"/>
                <w:lang w:eastAsia="zh-CN"/>
                <w14:textFill>
                  <w14:solidFill>
                    <w14:schemeClr w14:val="tx1"/>
                  </w14:solidFill>
                </w14:textFill>
              </w:rPr>
              <w:fldChar w:fldCharType="separate"/>
            </w:r>
            <w:r>
              <w:rPr>
                <w:rFonts w:hint="default" w:cs="Times New Roman"/>
                <w:color w:val="000000" w:themeColor="text1"/>
                <w:sz w:val="24"/>
                <w:szCs w:val="24"/>
                <w:lang w:eastAsia="zh-CN"/>
                <w14:textFill>
                  <w14:solidFill>
                    <w14:schemeClr w14:val="tx1"/>
                  </w14:solidFill>
                </w14:textFill>
              </w:rPr>
              <w:t>0.2</w:t>
            </w:r>
            <w:r>
              <w:rPr>
                <w:rFonts w:hint="default" w:cs="Times New Roman"/>
                <w:color w:val="000000" w:themeColor="text1"/>
                <w:sz w:val="24"/>
                <w:szCs w:val="24"/>
                <w:lang w:eastAsia="zh-CN"/>
                <w14:textFill>
                  <w14:solidFill>
                    <w14:schemeClr w14:val="tx1"/>
                  </w14:solidFill>
                </w14:textFill>
              </w:rPr>
              <w:fldChar w:fldCharType="end"/>
            </w:r>
            <w:r>
              <w:rPr>
                <w:rFonts w:hint="eastAsia" w:cs="Times New Roman"/>
                <w:color w:val="000000" w:themeColor="text1"/>
                <w:sz w:val="24"/>
                <w:szCs w:val="24"/>
                <w:lang w:val="en-US" w:eastAsia="zh-CN"/>
                <w14:textFill>
                  <w14:solidFill>
                    <w14:schemeClr w14:val="tx1"/>
                  </w14:solidFill>
                </w14:textFill>
              </w:rPr>
              <w:t>%，氢氟酸含量＜</w:t>
            </w:r>
            <w:r>
              <w:rPr>
                <w:rFonts w:hint="eastAsia" w:cs="Times New Roman"/>
                <w:color w:val="000000" w:themeColor="text1"/>
                <w:sz w:val="24"/>
                <w:szCs w:val="24"/>
                <w:lang w:val="en-US" w:eastAsia="zh-CN"/>
                <w14:textFill>
                  <w14:solidFill>
                    <w14:schemeClr w14:val="tx1"/>
                  </w14:solidFill>
                </w14:textFill>
              </w:rPr>
              <w:fldChar w:fldCharType="begin"/>
            </w:r>
            <w:r>
              <w:rPr>
                <w:rFonts w:hint="eastAsia" w:cs="Times New Roman"/>
                <w:color w:val="000000" w:themeColor="text1"/>
                <w:sz w:val="24"/>
                <w:szCs w:val="24"/>
                <w:lang w:val="en-US" w:eastAsia="zh-CN"/>
                <w14:textFill>
                  <w14:solidFill>
                    <w14:schemeClr w14:val="tx1"/>
                  </w14:solidFill>
                </w14:textFill>
              </w:rPr>
              <w:instrText xml:space="preserve"> =0.1*2/10 \* MERGEFORMAT </w:instrText>
            </w:r>
            <w:r>
              <w:rPr>
                <w:rFonts w:hint="eastAsia" w:cs="Times New Roman"/>
                <w:color w:val="000000" w:themeColor="text1"/>
                <w:sz w:val="24"/>
                <w:szCs w:val="24"/>
                <w:lang w:val="en-US" w:eastAsia="zh-CN"/>
                <w14:textFill>
                  <w14:solidFill>
                    <w14:schemeClr w14:val="tx1"/>
                  </w14:solidFill>
                </w14:textFill>
              </w:rPr>
              <w:fldChar w:fldCharType="separate"/>
            </w:r>
            <w:r>
              <w:rPr>
                <w:rFonts w:hint="eastAsia" w:cs="Times New Roman"/>
                <w:color w:val="000000" w:themeColor="text1"/>
                <w:sz w:val="24"/>
                <w:szCs w:val="24"/>
                <w:lang w:val="en-US" w:eastAsia="zh-CN"/>
                <w14:textFill>
                  <w14:solidFill>
                    <w14:schemeClr w14:val="tx1"/>
                  </w14:solidFill>
                </w14:textFill>
              </w:rPr>
              <w:t>0.02</w:t>
            </w:r>
            <w:r>
              <w:rPr>
                <w:rFonts w:hint="eastAsia" w:cs="Times New Roman"/>
                <w:color w:val="000000" w:themeColor="text1"/>
                <w:sz w:val="24"/>
                <w:szCs w:val="24"/>
                <w:lang w:val="en-US" w:eastAsia="zh-CN"/>
                <w14:textFill>
                  <w14:solidFill>
                    <w14:schemeClr w14:val="tx1"/>
                  </w14:solidFill>
                </w14:textFill>
              </w:rPr>
              <w:fldChar w:fldCharType="end"/>
            </w:r>
            <w:r>
              <w:rPr>
                <w:rFonts w:hint="eastAsia"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《污染源源强核算技术指南  电镀》（HJ984-2018）锌铝等合金件低浓度活化处理槽液</w:t>
            </w:r>
            <w:r>
              <w:rPr>
                <w:rFonts w:hint="eastAsia" w:cs="Times New Roman"/>
                <w:b w:val="0"/>
                <w:bCs w:val="0"/>
                <w:color w:val="000000" w:themeColor="text1"/>
                <w:highlight w:val="none"/>
                <w:lang w:val="en-US" w:eastAsia="zh-CN"/>
                <w14:textFill>
                  <w14:solidFill>
                    <w14:schemeClr w14:val="tx1"/>
                  </w14:solidFill>
                </w14:textFill>
              </w:rPr>
              <w:t>中氟化物产生量</w:t>
            </w:r>
            <w:r>
              <w:rPr>
                <w:rFonts w:hint="eastAsia" w:cs="Times New Roman"/>
                <w:color w:val="000000" w:themeColor="text1"/>
                <w:sz w:val="24"/>
                <w:szCs w:val="24"/>
                <w:highlight w:val="none"/>
                <w:lang w:val="en-US" w:eastAsia="zh-CN"/>
                <w14:textFill>
                  <w14:solidFill>
                    <w14:schemeClr w14:val="tx1"/>
                  </w14:solidFill>
                </w14:textFill>
              </w:rPr>
              <w:t>可忽略，因此</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本评价</w:t>
            </w:r>
            <w:r>
              <w:rPr>
                <w:rFonts w:hint="eastAsia" w:cs="Times New Roman"/>
                <w:color w:val="000000" w:themeColor="text1"/>
                <w:sz w:val="24"/>
                <w:szCs w:val="24"/>
                <w:highlight w:val="none"/>
                <w:lang w:val="en-US" w:eastAsia="zh-CN"/>
                <w14:textFill>
                  <w14:solidFill>
                    <w14:schemeClr w14:val="tx1"/>
                  </w14:solidFill>
                </w14:textFill>
              </w:rPr>
              <w:t>不再对氟化物进行定量分析</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46306883">
            <w:pPr>
              <w:pStyle w:val="153"/>
              <w:bidi w:val="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生产工序中</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硝酸雾</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产生量参照《污染源源强核算技术指南  电镀》（HJ984-2018）中产污系数法，其计算公式为：</w:t>
            </w:r>
          </w:p>
          <w:p w14:paraId="2D4373B6">
            <w:pPr>
              <w:pStyle w:val="153"/>
              <w:bidi w:val="0"/>
              <w:jc w:val="center"/>
              <w:rPr>
                <w:rFonts w:hint="default" w:ascii="Times New Roman" w:hAnsi="Times New Roman" w:eastAsia="宋体" w:cs="Times New Roman"/>
                <w:b w:val="0"/>
                <w:bCs w:val="0"/>
                <w:color w:val="000000" w:themeColor="text1"/>
                <w:highlight w:val="none"/>
                <w:vertAlign w:val="superscript"/>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D=Gs×A×t×10</w:t>
            </w:r>
            <w:r>
              <w:rPr>
                <w:rFonts w:hint="default" w:ascii="Times New Roman" w:hAnsi="Times New Roman" w:eastAsia="宋体" w:cs="Times New Roman"/>
                <w:b w:val="0"/>
                <w:bCs w:val="0"/>
                <w:color w:val="000000" w:themeColor="text1"/>
                <w:highlight w:val="none"/>
                <w:vertAlign w:val="superscript"/>
                <w:lang w:val="en-US" w:eastAsia="zh-CN"/>
                <w14:textFill>
                  <w14:solidFill>
                    <w14:schemeClr w14:val="tx1"/>
                  </w14:solidFill>
                </w14:textFill>
              </w:rPr>
              <w:t>-6</w:t>
            </w:r>
          </w:p>
          <w:p w14:paraId="623D4C27">
            <w:pPr>
              <w:pStyle w:val="15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式中，D——核算时段内污染物产生量，t；</w:t>
            </w:r>
          </w:p>
          <w:p w14:paraId="1A81E426">
            <w:pPr>
              <w:pStyle w:val="15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Gs——单位镀池液面面积单位时间大气污染物产生量，g/（m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*h）；</w:t>
            </w:r>
          </w:p>
          <w:p w14:paraId="3AF308F2">
            <w:pPr>
              <w:pStyle w:val="15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A——镀池液面面积，m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w:t>
            </w:r>
          </w:p>
          <w:p w14:paraId="75A6A707">
            <w:pPr>
              <w:pStyle w:val="153"/>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t——核算时段内污染物产生时间，h。</w:t>
            </w:r>
          </w:p>
          <w:p w14:paraId="074D9652">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①单位池液面面积单位时间大气污染物产生量取值参照《污染源源强核算技术指南  电镀》（HJ984-2018）中附录B，详见下表。</w:t>
            </w:r>
          </w:p>
          <w:p w14:paraId="43E80633">
            <w:pPr>
              <w:pStyle w:val="83"/>
              <w:numPr>
                <w:ilvl w:val="0"/>
                <w:numId w:val="0"/>
              </w:numPr>
              <w:autoSpaceDE/>
              <w:autoSpaceDN/>
              <w:spacing w:after="0" w:line="240" w:lineRule="auto"/>
              <w:ind w:left="0" w:leftChars="0" w:firstLine="200" w:firstLineChars="0"/>
              <w:outlineLvl w:val="9"/>
              <w:rPr>
                <w:rFonts w:hint="default" w:ascii="Times New Roman" w:hAnsi="Times New Roman" w:eastAsia="宋体" w:cs="宋体"/>
                <w:bCs/>
                <w:color w:val="000000" w:themeColor="text1"/>
                <w:szCs w:val="21"/>
                <w:lang w:val="en-US" w:eastAsia="zh-CN"/>
                <w14:textFill>
                  <w14:solidFill>
                    <w14:schemeClr w14:val="tx1"/>
                  </w14:solidFill>
                </w14:textFill>
              </w:rPr>
            </w:pPr>
            <w:r>
              <w:rPr>
                <w:rFonts w:hint="default" w:ascii="Times New Roman" w:hAnsi="Times New Roman" w:eastAsia="宋体" w:cs="宋体"/>
                <w:bCs/>
                <w:color w:val="000000" w:themeColor="text1"/>
                <w:szCs w:val="21"/>
                <w:lang w:val="en-US" w:eastAsia="zh-CN"/>
                <w14:textFill>
                  <w14:solidFill>
                    <w14:schemeClr w14:val="tx1"/>
                  </w14:solidFill>
                </w14:textFill>
              </w:rPr>
              <w:t>表4.2-</w:t>
            </w:r>
            <w:r>
              <w:rPr>
                <w:rFonts w:hint="eastAsia" w:ascii="Times New Roman" w:hAnsi="Times New Roman" w:eastAsia="宋体" w:cs="宋体"/>
                <w:bCs/>
                <w:color w:val="000000" w:themeColor="text1"/>
                <w:szCs w:val="21"/>
                <w:lang w:val="en-US" w:eastAsia="zh-CN"/>
                <w14:textFill>
                  <w14:solidFill>
                    <w14:schemeClr w14:val="tx1"/>
                  </w14:solidFill>
                </w14:textFill>
              </w:rPr>
              <w:t>1</w:t>
            </w:r>
            <w:r>
              <w:rPr>
                <w:rFonts w:hint="default" w:ascii="Times New Roman" w:hAnsi="Times New Roman" w:eastAsia="宋体" w:cs="宋体"/>
                <w:bCs/>
                <w:color w:val="000000" w:themeColor="text1"/>
                <w:szCs w:val="21"/>
                <w:lang w:val="en-US" w:eastAsia="zh-CN"/>
                <w14:textFill>
                  <w14:solidFill>
                    <w14:schemeClr w14:val="tx1"/>
                  </w14:solidFill>
                </w14:textFill>
              </w:rPr>
              <w:t xml:space="preserve"> 单位池液面面积单位时间废气污染物产生系数取值表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1769"/>
              <w:gridCol w:w="1806"/>
              <w:gridCol w:w="3466"/>
            </w:tblGrid>
            <w:tr w14:paraId="685C3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6" w:type="pct"/>
                  <w:tcBorders>
                    <w:tl2br w:val="nil"/>
                    <w:tr2bl w:val="nil"/>
                  </w:tcBorders>
                  <w:noWrap w:val="0"/>
                  <w:vAlign w:val="center"/>
                </w:tcPr>
                <w:p w14:paraId="5E0DE27B">
                  <w:pPr>
                    <w:pStyle w:val="155"/>
                    <w:bidi w:val="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污染物名称</w:t>
                  </w:r>
                </w:p>
              </w:tc>
              <w:tc>
                <w:tcPr>
                  <w:tcW w:w="1046" w:type="pct"/>
                  <w:tcBorders>
                    <w:tl2br w:val="nil"/>
                    <w:tr2bl w:val="nil"/>
                  </w:tcBorders>
                  <w:noWrap w:val="0"/>
                  <w:vAlign w:val="center"/>
                </w:tcPr>
                <w:p w14:paraId="16D4D7FA">
                  <w:pPr>
                    <w:pStyle w:val="155"/>
                    <w:bidi w:val="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产生工序</w:t>
                  </w:r>
                </w:p>
              </w:tc>
              <w:tc>
                <w:tcPr>
                  <w:tcW w:w="1068" w:type="pct"/>
                  <w:tcBorders>
                    <w:tl2br w:val="nil"/>
                    <w:tr2bl w:val="nil"/>
                  </w:tcBorders>
                  <w:noWrap w:val="0"/>
                  <w:vAlign w:val="center"/>
                </w:tcPr>
                <w:p w14:paraId="13F7B8A9">
                  <w:pPr>
                    <w:pStyle w:val="155"/>
                    <w:bidi w:val="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产生量g/（m</w:t>
                  </w:r>
                  <w:r>
                    <w:rPr>
                      <w:rFonts w:hint="default" w:ascii="Times New Roman" w:hAnsi="Times New Roman" w:eastAsia="宋体" w:cs="Times New Roman"/>
                      <w:b w:val="0"/>
                      <w:bCs w:val="0"/>
                      <w:color w:val="000000" w:themeColor="text1"/>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*h）</w:t>
                  </w:r>
                </w:p>
              </w:tc>
              <w:tc>
                <w:tcPr>
                  <w:tcW w:w="2049" w:type="pct"/>
                  <w:tcBorders>
                    <w:tl2br w:val="nil"/>
                    <w:tr2bl w:val="nil"/>
                  </w:tcBorders>
                  <w:noWrap w:val="0"/>
                  <w:vAlign w:val="center"/>
                </w:tcPr>
                <w:p w14:paraId="0FBE4C44">
                  <w:pPr>
                    <w:pStyle w:val="155"/>
                    <w:bidi w:val="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适用范围</w:t>
                  </w:r>
                </w:p>
              </w:tc>
            </w:tr>
            <w:tr w14:paraId="75022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6" w:type="pct"/>
                  <w:tcBorders>
                    <w:tl2br w:val="nil"/>
                    <w:tr2bl w:val="nil"/>
                  </w:tcBorders>
                  <w:noWrap w:val="0"/>
                  <w:vAlign w:val="center"/>
                </w:tcPr>
                <w:p w14:paraId="2F649660">
                  <w:pPr>
                    <w:pStyle w:val="155"/>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硝酸雾（以氮氧化物表征）</w:t>
                  </w:r>
                </w:p>
              </w:tc>
              <w:tc>
                <w:tcPr>
                  <w:tcW w:w="1046" w:type="pct"/>
                  <w:tcBorders>
                    <w:tl2br w:val="nil"/>
                    <w:tr2bl w:val="nil"/>
                  </w:tcBorders>
                  <w:noWrap w:val="0"/>
                  <w:vAlign w:val="center"/>
                </w:tcPr>
                <w:p w14:paraId="0DBC5CA1">
                  <w:pPr>
                    <w:pStyle w:val="155"/>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eastAsia="宋体" w:cs="Times New Roman"/>
                      <w:color w:val="000000" w:themeColor="text1"/>
                      <w:highlight w:val="none"/>
                      <w:lang w:val="en-US" w:eastAsia="zh-CN"/>
                      <w14:textFill>
                        <w14:solidFill>
                          <w14:schemeClr w14:val="tx1"/>
                        </w14:solidFill>
                      </w14:textFill>
                    </w:rPr>
                    <w:t>酸洗</w:t>
                  </w:r>
                </w:p>
              </w:tc>
              <w:tc>
                <w:tcPr>
                  <w:tcW w:w="1068" w:type="pct"/>
                  <w:tcBorders>
                    <w:tl2br w:val="nil"/>
                    <w:tr2bl w:val="nil"/>
                  </w:tcBorders>
                  <w:noWrap w:val="0"/>
                  <w:vAlign w:val="center"/>
                </w:tcPr>
                <w:p w14:paraId="6E871474">
                  <w:pPr>
                    <w:pStyle w:val="155"/>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10.8</w:t>
                  </w:r>
                </w:p>
              </w:tc>
              <w:tc>
                <w:tcPr>
                  <w:tcW w:w="2049" w:type="pct"/>
                  <w:tcBorders>
                    <w:tl2br w:val="nil"/>
                    <w:tr2bl w:val="nil"/>
                  </w:tcBorders>
                  <w:noWrap w:val="0"/>
                  <w:vAlign w:val="center"/>
                </w:tcPr>
                <w:p w14:paraId="1B97ABC2">
                  <w:pPr>
                    <w:pStyle w:val="155"/>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在质量百分浓度10%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15%的硝酸溶液中清洗铝、酸洗铜及合金等。</w:t>
                  </w:r>
                </w:p>
              </w:tc>
            </w:tr>
          </w:tbl>
          <w:p w14:paraId="6333F56D">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②池体液面面积取值</w:t>
            </w:r>
          </w:p>
          <w:p w14:paraId="61EE06B4">
            <w:pPr>
              <w:pStyle w:val="83"/>
              <w:numPr>
                <w:ilvl w:val="0"/>
                <w:numId w:val="0"/>
              </w:numPr>
              <w:autoSpaceDE/>
              <w:autoSpaceDN/>
              <w:spacing w:after="0" w:line="240" w:lineRule="auto"/>
              <w:ind w:left="0" w:leftChars="0" w:firstLine="200" w:firstLineChars="0"/>
              <w:outlineLvl w:val="9"/>
              <w:rPr>
                <w:rFonts w:hint="default" w:ascii="Times New Roman" w:hAnsi="Times New Roman" w:eastAsia="宋体" w:cs="宋体"/>
                <w:bCs/>
                <w:color w:val="000000" w:themeColor="text1"/>
                <w:szCs w:val="21"/>
                <w:lang w:val="en-US" w:eastAsia="zh-CN"/>
                <w14:textFill>
                  <w14:solidFill>
                    <w14:schemeClr w14:val="tx1"/>
                  </w14:solidFill>
                </w14:textFill>
              </w:rPr>
            </w:pPr>
            <w:r>
              <w:rPr>
                <w:rFonts w:hint="default" w:ascii="Times New Roman" w:hAnsi="Times New Roman" w:eastAsia="宋体" w:cs="宋体"/>
                <w:bCs/>
                <w:color w:val="000000" w:themeColor="text1"/>
                <w:szCs w:val="21"/>
                <w:lang w:val="en-US" w:eastAsia="zh-CN"/>
                <w14:textFill>
                  <w14:solidFill>
                    <w14:schemeClr w14:val="tx1"/>
                  </w14:solidFill>
                </w14:textFill>
              </w:rPr>
              <w:t>表4.2-</w:t>
            </w:r>
            <w:r>
              <w:rPr>
                <w:rFonts w:hint="eastAsia" w:ascii="Times New Roman" w:hAnsi="Times New Roman" w:eastAsia="宋体" w:cs="宋体"/>
                <w:bCs/>
                <w:color w:val="000000" w:themeColor="text1"/>
                <w:szCs w:val="21"/>
                <w:lang w:val="en-US" w:eastAsia="zh-CN"/>
                <w14:textFill>
                  <w14:solidFill>
                    <w14:schemeClr w14:val="tx1"/>
                  </w14:solidFill>
                </w14:textFill>
              </w:rPr>
              <w:t>2</w:t>
            </w:r>
            <w:r>
              <w:rPr>
                <w:rFonts w:hint="default" w:ascii="Times New Roman" w:hAnsi="Times New Roman" w:eastAsia="宋体" w:cs="宋体"/>
                <w:bCs/>
                <w:color w:val="000000" w:themeColor="text1"/>
                <w:szCs w:val="21"/>
                <w:lang w:val="en-US" w:eastAsia="zh-CN"/>
                <w14:textFill>
                  <w14:solidFill>
                    <w14:schemeClr w14:val="tx1"/>
                  </w14:solidFill>
                </w14:textFill>
              </w:rPr>
              <w:t xml:space="preserve"> 池体液面面积统计表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2052"/>
              <w:gridCol w:w="1081"/>
              <w:gridCol w:w="2204"/>
              <w:gridCol w:w="1892"/>
            </w:tblGrid>
            <w:tr w14:paraId="72312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25" w:type="pct"/>
                  <w:tcBorders>
                    <w:tl2br w:val="nil"/>
                    <w:tr2bl w:val="nil"/>
                  </w:tcBorders>
                  <w:noWrap w:val="0"/>
                  <w:vAlign w:val="center"/>
                </w:tcPr>
                <w:p w14:paraId="0A269BF8">
                  <w:pPr>
                    <w:pStyle w:val="155"/>
                    <w:bidi w:val="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池体名称</w:t>
                  </w:r>
                </w:p>
              </w:tc>
              <w:tc>
                <w:tcPr>
                  <w:tcW w:w="1213" w:type="pct"/>
                  <w:tcBorders>
                    <w:tl2br w:val="nil"/>
                    <w:tr2bl w:val="nil"/>
                  </w:tcBorders>
                  <w:noWrap w:val="0"/>
                  <w:vAlign w:val="center"/>
                </w:tcPr>
                <w:p w14:paraId="70367238">
                  <w:pPr>
                    <w:pStyle w:val="155"/>
                    <w:bidi w:val="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池体液面面积（m</w:t>
                  </w:r>
                  <w:r>
                    <w:rPr>
                      <w:rFonts w:hint="default" w:ascii="Times New Roman" w:hAnsi="Times New Roman" w:eastAsia="宋体" w:cs="Times New Roman"/>
                      <w:b w:val="0"/>
                      <w:bCs w:val="0"/>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tc>
              <w:tc>
                <w:tcPr>
                  <w:tcW w:w="639" w:type="pct"/>
                  <w:tcBorders>
                    <w:tl2br w:val="nil"/>
                    <w:tr2bl w:val="nil"/>
                  </w:tcBorders>
                  <w:noWrap w:val="0"/>
                  <w:vAlign w:val="center"/>
                </w:tcPr>
                <w:p w14:paraId="64F8AAC7">
                  <w:pPr>
                    <w:pStyle w:val="155"/>
                    <w:bidi w:val="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池子数量</w:t>
                  </w:r>
                </w:p>
              </w:tc>
              <w:tc>
                <w:tcPr>
                  <w:tcW w:w="1303" w:type="pct"/>
                  <w:tcBorders>
                    <w:tl2br w:val="nil"/>
                    <w:tr2bl w:val="nil"/>
                  </w:tcBorders>
                  <w:noWrap w:val="0"/>
                  <w:vAlign w:val="center"/>
                </w:tcPr>
                <w:p w14:paraId="52B2B219">
                  <w:pPr>
                    <w:pStyle w:val="155"/>
                    <w:bidi w:val="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池体液面总面积（m</w:t>
                  </w:r>
                  <w:r>
                    <w:rPr>
                      <w:rFonts w:hint="default" w:ascii="Times New Roman" w:hAnsi="Times New Roman" w:eastAsia="宋体" w:cs="Times New Roman"/>
                      <w:b w:val="0"/>
                      <w:bCs w:val="0"/>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tc>
              <w:tc>
                <w:tcPr>
                  <w:tcW w:w="1118" w:type="pct"/>
                  <w:tcBorders>
                    <w:tl2br w:val="nil"/>
                    <w:tr2bl w:val="nil"/>
                  </w:tcBorders>
                  <w:noWrap w:val="0"/>
                  <w:vAlign w:val="center"/>
                </w:tcPr>
                <w:p w14:paraId="072E2F25">
                  <w:pPr>
                    <w:pStyle w:val="155"/>
                    <w:bidi w:val="0"/>
                    <w:jc w:val="center"/>
                    <w:rPr>
                      <w:rFonts w:hint="default" w:ascii="Times New Roman" w:hAnsi="Times New Roman" w:eastAsia="宋体" w:cs="Times New Roman"/>
                      <w:b w:val="0"/>
                      <w:bCs w:val="0"/>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槽液成分</w:t>
                  </w:r>
                </w:p>
              </w:tc>
            </w:tr>
            <w:tr w14:paraId="63629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25" w:type="pct"/>
                  <w:tcBorders>
                    <w:tl2br w:val="nil"/>
                    <w:tr2bl w:val="nil"/>
                  </w:tcBorders>
                  <w:noWrap w:val="0"/>
                  <w:vAlign w:val="center"/>
                </w:tcPr>
                <w:p w14:paraId="0894C148">
                  <w:pPr>
                    <w:pStyle w:val="155"/>
                    <w:bidi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酸洗池</w:t>
                  </w:r>
                </w:p>
              </w:tc>
              <w:tc>
                <w:tcPr>
                  <w:tcW w:w="1213" w:type="pct"/>
                  <w:tcBorders>
                    <w:tl2br w:val="nil"/>
                    <w:tr2bl w:val="nil"/>
                  </w:tcBorders>
                  <w:noWrap w:val="0"/>
                  <w:vAlign w:val="center"/>
                </w:tcPr>
                <w:p w14:paraId="34FE1156">
                  <w:pPr>
                    <w:pStyle w:val="155"/>
                    <w:bidi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bidi="ar-SA"/>
                      <w14:textFill>
                        <w14:solidFill>
                          <w14:schemeClr w14:val="tx1"/>
                        </w14:solidFill>
                      </w14:textFill>
                    </w:rPr>
                    <w:t>3.6</w:t>
                  </w:r>
                </w:p>
              </w:tc>
              <w:tc>
                <w:tcPr>
                  <w:tcW w:w="639" w:type="pct"/>
                  <w:tcBorders>
                    <w:tl2br w:val="nil"/>
                    <w:tr2bl w:val="nil"/>
                  </w:tcBorders>
                  <w:noWrap w:val="0"/>
                  <w:vAlign w:val="center"/>
                </w:tcPr>
                <w:p w14:paraId="5CB01F30">
                  <w:pPr>
                    <w:pStyle w:val="155"/>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eastAsia="宋体" w:cs="Times New Roman"/>
                      <w:color w:val="000000" w:themeColor="text1"/>
                      <w:lang w:val="en-US" w:eastAsia="zh-CN"/>
                      <w14:textFill>
                        <w14:solidFill>
                          <w14:schemeClr w14:val="tx1"/>
                        </w14:solidFill>
                      </w14:textFill>
                    </w:rPr>
                    <w:t>1</w:t>
                  </w:r>
                </w:p>
              </w:tc>
              <w:tc>
                <w:tcPr>
                  <w:tcW w:w="1303" w:type="pct"/>
                  <w:tcBorders>
                    <w:tl2br w:val="nil"/>
                    <w:tr2bl w:val="nil"/>
                  </w:tcBorders>
                  <w:noWrap w:val="0"/>
                  <w:vAlign w:val="center"/>
                </w:tcPr>
                <w:p w14:paraId="23FF2839">
                  <w:pPr>
                    <w:pStyle w:val="155"/>
                    <w:bidi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bidi="ar-SA"/>
                      <w14:textFill>
                        <w14:solidFill>
                          <w14:schemeClr w14:val="tx1"/>
                        </w14:solidFill>
                      </w14:textFill>
                    </w:rPr>
                    <w:t>3.6</w:t>
                  </w:r>
                </w:p>
              </w:tc>
              <w:tc>
                <w:tcPr>
                  <w:tcW w:w="1118" w:type="pct"/>
                  <w:tcBorders>
                    <w:tl2br w:val="nil"/>
                    <w:tr2bl w:val="nil"/>
                  </w:tcBorders>
                  <w:noWrap w:val="0"/>
                  <w:vAlign w:val="center"/>
                </w:tcPr>
                <w:p w14:paraId="7790BD0B">
                  <w:pPr>
                    <w:pStyle w:val="155"/>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硝酸：</w:t>
                  </w:r>
                  <w:r>
                    <w:rPr>
                      <w:rFonts w:hint="eastAsia"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w:t>
                  </w:r>
                </w:p>
                <w:p w14:paraId="37E66D14">
                  <w:pPr>
                    <w:pStyle w:val="155"/>
                    <w:bidi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清水：</w:t>
                  </w:r>
                  <w:r>
                    <w:rPr>
                      <w:rFonts w:hint="eastAsia" w:eastAsia="宋体" w:cs="Times New Roman"/>
                      <w:color w:val="000000" w:themeColor="text1"/>
                      <w:lang w:val="en-US" w:eastAsia="zh-CN"/>
                      <w14:textFill>
                        <w14:solidFill>
                          <w14:schemeClr w14:val="tx1"/>
                        </w14:solidFill>
                      </w14:textFill>
                    </w:rPr>
                    <w:t>92</w:t>
                  </w:r>
                  <w:r>
                    <w:rPr>
                      <w:rFonts w:hint="default" w:ascii="Times New Roman" w:hAnsi="Times New Roman" w:eastAsia="宋体" w:cs="Times New Roman"/>
                      <w:color w:val="000000" w:themeColor="text1"/>
                      <w:lang w:val="en-US" w:eastAsia="zh-CN"/>
                      <w14:textFill>
                        <w14:solidFill>
                          <w14:schemeClr w14:val="tx1"/>
                        </w14:solidFill>
                      </w14:textFill>
                    </w:rPr>
                    <w:t>%</w:t>
                  </w:r>
                </w:p>
              </w:tc>
            </w:tr>
          </w:tbl>
          <w:p w14:paraId="03AA2FEC">
            <w:pPr>
              <w:pStyle w:val="93"/>
              <w:keepNext w:val="0"/>
              <w:keepLines w:val="0"/>
              <w:pageBreakBefore w:val="0"/>
              <w:widowControl/>
              <w:kinsoku/>
              <w:wordWrap/>
              <w:overflowPunct/>
              <w:topLinePunct w:val="0"/>
              <w:autoSpaceDE/>
              <w:autoSpaceDN/>
              <w:bidi w:val="0"/>
              <w:adjustRightInd/>
              <w:snapToGrid/>
              <w:spacing w:before="157" w:beforeLines="50"/>
              <w:ind w:firstLine="48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③核算时段内污染物产生时间取值</w:t>
            </w:r>
          </w:p>
          <w:p w14:paraId="2143AF0B">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根据建设项目劳动制度，生产时间为日工作16小时，年工作300天，则产污时间按照t=4800h计。</w:t>
            </w:r>
          </w:p>
          <w:p w14:paraId="413A7B19">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④计算结果</w:t>
            </w:r>
          </w:p>
          <w:p w14:paraId="20B9693E">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为了减少酸雾的产生，酸洗工序添加酸雾抑制剂，项目酸雾的产生情况如下表所示。</w:t>
            </w:r>
          </w:p>
          <w:p w14:paraId="12A782A6">
            <w:pPr>
              <w:pStyle w:val="83"/>
              <w:numPr>
                <w:ilvl w:val="0"/>
                <w:numId w:val="0"/>
              </w:numPr>
              <w:autoSpaceDE/>
              <w:autoSpaceDN/>
              <w:spacing w:after="0" w:line="240" w:lineRule="auto"/>
              <w:ind w:left="0" w:leftChars="0" w:firstLine="200" w:firstLineChars="0"/>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4.2-</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 xml:space="preserve"> 酸洗废气产污情况表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1051"/>
              <w:gridCol w:w="1169"/>
              <w:gridCol w:w="1310"/>
              <w:gridCol w:w="1337"/>
              <w:gridCol w:w="977"/>
              <w:gridCol w:w="1124"/>
            </w:tblGrid>
            <w:tr w14:paraId="71731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9" w:type="pct"/>
                  <w:tcBorders>
                    <w:tl2br w:val="nil"/>
                    <w:tr2bl w:val="nil"/>
                  </w:tcBorders>
                  <w:noWrap w:val="0"/>
                  <w:vAlign w:val="center"/>
                </w:tcPr>
                <w:p w14:paraId="37443840">
                  <w:pPr>
                    <w:pStyle w:val="155"/>
                    <w:bidi w:val="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污染物</w:t>
                  </w:r>
                </w:p>
              </w:tc>
              <w:tc>
                <w:tcPr>
                  <w:tcW w:w="621" w:type="pct"/>
                  <w:tcBorders>
                    <w:tl2br w:val="nil"/>
                    <w:tr2bl w:val="nil"/>
                  </w:tcBorders>
                  <w:noWrap w:val="0"/>
                  <w:vAlign w:val="center"/>
                </w:tcPr>
                <w:p w14:paraId="35B2AA72">
                  <w:pPr>
                    <w:pStyle w:val="155"/>
                    <w:bidi w:val="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工序</w:t>
                  </w:r>
                </w:p>
              </w:tc>
              <w:tc>
                <w:tcPr>
                  <w:tcW w:w="691" w:type="pct"/>
                  <w:tcBorders>
                    <w:tl2br w:val="nil"/>
                    <w:tr2bl w:val="nil"/>
                  </w:tcBorders>
                  <w:noWrap w:val="0"/>
                  <w:vAlign w:val="center"/>
                </w:tcPr>
                <w:p w14:paraId="585F163F">
                  <w:pPr>
                    <w:pStyle w:val="155"/>
                    <w:bidi w:val="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池表面积（m</w:t>
                  </w:r>
                  <w:r>
                    <w:rPr>
                      <w:rFonts w:hint="default" w:ascii="Times New Roman" w:hAnsi="Times New Roman" w:eastAsia="宋体" w:cs="Times New Roman"/>
                      <w:b w:val="0"/>
                      <w:bCs w:val="0"/>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tc>
              <w:tc>
                <w:tcPr>
                  <w:tcW w:w="774" w:type="pct"/>
                  <w:tcBorders>
                    <w:tl2br w:val="nil"/>
                    <w:tr2bl w:val="nil"/>
                  </w:tcBorders>
                  <w:noWrap w:val="0"/>
                  <w:vAlign w:val="center"/>
                </w:tcPr>
                <w:p w14:paraId="7D632390">
                  <w:pPr>
                    <w:pStyle w:val="155"/>
                    <w:bidi w:val="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产污系数（g/m</w:t>
                  </w:r>
                  <w:r>
                    <w:rPr>
                      <w:rFonts w:hint="default" w:ascii="Times New Roman" w:hAnsi="Times New Roman" w:eastAsia="宋体" w:cs="Times New Roman"/>
                      <w:b w:val="0"/>
                      <w:bCs w:val="0"/>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lang w:val="en-US" w:eastAsia="zh-CN"/>
                      <w14:textFill>
                        <w14:solidFill>
                          <w14:schemeClr w14:val="tx1"/>
                        </w14:solidFill>
                      </w14:textFill>
                    </w:rPr>
                    <w:t>*h）</w:t>
                  </w:r>
                </w:p>
              </w:tc>
              <w:tc>
                <w:tcPr>
                  <w:tcW w:w="790" w:type="pct"/>
                  <w:tcBorders>
                    <w:tl2br w:val="nil"/>
                    <w:tr2bl w:val="nil"/>
                  </w:tcBorders>
                  <w:noWrap w:val="0"/>
                  <w:vAlign w:val="center"/>
                </w:tcPr>
                <w:p w14:paraId="689B494C">
                  <w:pPr>
                    <w:pStyle w:val="155"/>
                    <w:bidi w:val="0"/>
                    <w:jc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产污速率（kg/h）</w:t>
                  </w:r>
                </w:p>
              </w:tc>
              <w:tc>
                <w:tcPr>
                  <w:tcW w:w="577" w:type="pct"/>
                  <w:tcBorders>
                    <w:tl2br w:val="nil"/>
                    <w:tr2bl w:val="nil"/>
                  </w:tcBorders>
                  <w:noWrap w:val="0"/>
                  <w:vAlign w:val="center"/>
                </w:tcPr>
                <w:p w14:paraId="743605E5">
                  <w:pPr>
                    <w:pStyle w:val="155"/>
                    <w:bidi w:val="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产污时间（h）</w:t>
                  </w:r>
                </w:p>
              </w:tc>
              <w:tc>
                <w:tcPr>
                  <w:tcW w:w="664" w:type="pct"/>
                  <w:tcBorders>
                    <w:tl2br w:val="nil"/>
                    <w:tr2bl w:val="nil"/>
                  </w:tcBorders>
                  <w:noWrap w:val="0"/>
                  <w:vAlign w:val="center"/>
                </w:tcPr>
                <w:p w14:paraId="26AAB2E5">
                  <w:pPr>
                    <w:pStyle w:val="155"/>
                    <w:bidi w:val="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产生量（t/a）</w:t>
                  </w:r>
                </w:p>
              </w:tc>
            </w:tr>
            <w:tr w14:paraId="6A8F5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879" w:type="pct"/>
                  <w:tcBorders>
                    <w:tl2br w:val="nil"/>
                    <w:tr2bl w:val="nil"/>
                  </w:tcBorders>
                  <w:noWrap w:val="0"/>
                  <w:vAlign w:val="center"/>
                </w:tcPr>
                <w:p w14:paraId="7B69C83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硝酸雾（以氮氧化物表征）</w:t>
                  </w:r>
                </w:p>
              </w:tc>
              <w:tc>
                <w:tcPr>
                  <w:tcW w:w="621" w:type="pct"/>
                  <w:tcBorders>
                    <w:tl2br w:val="nil"/>
                    <w:tr2bl w:val="nil"/>
                  </w:tcBorders>
                  <w:noWrap w:val="0"/>
                  <w:vAlign w:val="center"/>
                </w:tcPr>
                <w:p w14:paraId="50E49DE9">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酸洗</w:t>
                  </w:r>
                </w:p>
              </w:tc>
              <w:tc>
                <w:tcPr>
                  <w:tcW w:w="691" w:type="pct"/>
                  <w:tcBorders>
                    <w:tl2br w:val="nil"/>
                    <w:tr2bl w:val="nil"/>
                  </w:tcBorders>
                  <w:noWrap w:val="0"/>
                  <w:vAlign w:val="center"/>
                </w:tcPr>
                <w:p w14:paraId="24F969F4">
                  <w:pPr>
                    <w:keepNext w:val="0"/>
                    <w:keepLines w:val="0"/>
                    <w:widowControl/>
                    <w:suppressLineNumbers w:val="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w:t>
                  </w:r>
                </w:p>
              </w:tc>
              <w:tc>
                <w:tcPr>
                  <w:tcW w:w="774" w:type="pct"/>
                  <w:tcBorders>
                    <w:tl2br w:val="nil"/>
                    <w:tr2bl w:val="nil"/>
                  </w:tcBorders>
                  <w:noWrap w:val="0"/>
                  <w:vAlign w:val="center"/>
                </w:tcPr>
                <w:p w14:paraId="61C8FF63">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10.8</w:t>
                  </w: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790" w:type="pct"/>
                  <w:tcBorders>
                    <w:tl2br w:val="nil"/>
                    <w:tr2bl w:val="nil"/>
                  </w:tcBorders>
                  <w:noWrap w:val="0"/>
                  <w:vAlign w:val="center"/>
                </w:tcPr>
                <w:p w14:paraId="5D200853">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0.078</w:t>
                  </w:r>
                </w:p>
              </w:tc>
              <w:tc>
                <w:tcPr>
                  <w:tcW w:w="577" w:type="pct"/>
                  <w:tcBorders>
                    <w:tl2br w:val="nil"/>
                    <w:tr2bl w:val="nil"/>
                  </w:tcBorders>
                  <w:noWrap w:val="0"/>
                  <w:vAlign w:val="center"/>
                </w:tcPr>
                <w:p w14:paraId="2A74BA6A">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p>
              </w:tc>
              <w:tc>
                <w:tcPr>
                  <w:tcW w:w="664" w:type="pct"/>
                  <w:tcBorders>
                    <w:tl2br w:val="nil"/>
                    <w:tr2bl w:val="nil"/>
                  </w:tcBorders>
                  <w:noWrap w:val="0"/>
                  <w:vAlign w:val="center"/>
                </w:tcPr>
                <w:p w14:paraId="2A77677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0.186</w:t>
                  </w:r>
                </w:p>
              </w:tc>
            </w:tr>
          </w:tbl>
          <w:p w14:paraId="0FE89D2C">
            <w:pPr>
              <w:pStyle w:val="93"/>
              <w:keepNext w:val="0"/>
              <w:keepLines w:val="0"/>
              <w:pageBreakBefore w:val="0"/>
              <w:widowControl/>
              <w:kinsoku/>
              <w:wordWrap/>
              <w:overflowPunct/>
              <w:topLinePunct w:val="0"/>
              <w:autoSpaceDE/>
              <w:autoSpaceDN/>
              <w:bidi w:val="0"/>
              <w:adjustRightInd/>
              <w:snapToGrid/>
              <w:spacing w:before="157" w:beforeLines="50"/>
              <w:ind w:firstLine="48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根据建设单位提供的资料，项目</w:t>
            </w:r>
            <w:r>
              <w:rPr>
                <w:rFonts w:hint="eastAsia" w:ascii="Times New Roman" w:hAnsi="Times New Roman" w:cs="Times New Roman"/>
                <w:color w:val="000000" w:themeColor="text1"/>
                <w:sz w:val="24"/>
                <w:szCs w:val="24"/>
                <w:lang w:val="en-US" w:eastAsia="zh-CN"/>
                <w14:textFill>
                  <w14:solidFill>
                    <w14:schemeClr w14:val="tx1"/>
                  </w14:solidFill>
                </w14:textFill>
              </w:rPr>
              <w:t>拟在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酸洗槽槽边设置侧吸集气罩收集废气，配酸在槽边配酸，产生的少量废气经槽边设置的吸风装置收集后一并处理后排放。废气经槽边集气罩吸风收集后进入碱液喷淋装置处理后由15m 高排气筒DA00</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w:t>
            </w:r>
          </w:p>
          <w:p w14:paraId="77DE8942">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（3）电泳废气、电泳烘干有机废气</w:t>
            </w:r>
          </w:p>
          <w:p w14:paraId="5C86D05C">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①3#厂房</w:t>
            </w:r>
          </w:p>
          <w:p w14:paraId="26AC1381">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3#厂房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电泳涂料每年用量</w:t>
            </w:r>
            <w:r>
              <w:rPr>
                <w:rFonts w:hint="eastAsia" w:ascii="Times New Roman" w:hAnsi="Times New Roman" w:cs="Times New Roman"/>
                <w:bCs/>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（其中</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F-1</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色</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浆</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F-2乳液</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21</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），根据建设单位提供的MSDS，企业使用的电泳涂料中不含三苯及乙酸乙酯、乙酸丁酯等成分，主要为酮类和醇类，以非甲烷总烃进行评价。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根据建设单位提供的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电泳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涂料的挥发性有机化合物检测结果</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F-1</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色</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VOC检测结果为64g/L，</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F-2乳液</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VOC检测结果为55g/L，另外根据厂商提供的涂料特性，</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F-1</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色</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密度约1.3g/cm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F-2乳液</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密度约1.</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0</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5g/cm</w:t>
            </w:r>
            <w:r>
              <w:rPr>
                <w:rFonts w:hint="eastAsia"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，以涂</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料中VOCs全部挥发计，则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电泳、电泳烘干工序产生</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VOC（以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非甲烷总烃计</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1.462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/a，经集气罩收集后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采用“水</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喷淋+</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干式过滤+</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活性炭吸附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处理后，由1根22m高排气筒（DA002）排放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，未能捕集到的VOC</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S</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在车间无组织排放。</w:t>
            </w:r>
          </w:p>
          <w:p w14:paraId="55E9A504">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②2#厂房</w:t>
            </w:r>
          </w:p>
          <w:p w14:paraId="5AB42303">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2#厂房电泳涂料每年用量</w:t>
            </w:r>
            <w:r>
              <w:rPr>
                <w:rFonts w:hint="default" w:ascii="Times New Roman" w:hAnsi="Times New Roman" w:cs="Times New Roman"/>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4t/a（其中</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F-1色浆</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5.5</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、F-2乳液</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38.5</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电泳、电泳烘干工序产生</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VOC（以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非甲烷总烃计</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2.681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/a，经集气罩收集后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采用“水</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喷淋+</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干式过滤+</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活性炭吸附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处理后，由1根15m高排气筒（DA004）排放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，未能捕集到的VOC</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S</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在车间无组织排放。</w:t>
            </w:r>
          </w:p>
          <w:p w14:paraId="65EDB3E9">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（4）喷粉粉尘</w:t>
            </w:r>
          </w:p>
          <w:p w14:paraId="0233A644">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①3#厂房</w:t>
            </w:r>
          </w:p>
          <w:p w14:paraId="2268294F">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3#厂房设静电喷粉线</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条，设手动喷粉枪</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套、自动喷粉枪</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套，年用粉末涂料约</w:t>
            </w:r>
            <w:r>
              <w:rPr>
                <w:rFonts w:hint="eastAsia" w:ascii="Times New Roman" w:hAnsi="Times New Roman" w:cs="Times New Roman"/>
                <w:color w:val="000000" w:themeColor="text1"/>
                <w:sz w:val="24"/>
                <w:szCs w:val="24"/>
                <w:lang w:val="en-US" w:eastAsia="zh-CN"/>
                <w14:textFill>
                  <w14:solidFill>
                    <w14:schemeClr w14:val="tx1"/>
                  </w14:solidFill>
                </w14:textFill>
              </w:rPr>
              <w:t>60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t/a。根据《排放源统计调查产排污核算方法和系数手册》中“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金属制品业、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通用设备制造业、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专用设备制造业、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汽车制造业、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铁路、船舶、航空航天和其他运输设备制造业、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431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金属制品修理、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432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通用设备修理、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433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专用设备修理、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434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铁路、船舶、航空航天等运输设备修理（不包括电镀工艺）行业系数手册”中的“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涂装”可知，喷塑颗粒物产生系数为300千克/吨-原料，则喷粉线粉尘产生量约</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eastAsia="zh-CN"/>
                <w14:textFill>
                  <w14:solidFill>
                    <w14:schemeClr w14:val="tx1"/>
                  </w14:solidFill>
                </w14:textFill>
              </w:rPr>
              <w:instrText xml:space="preserve"> = 60*0.3 \* MERGEFORMAT </w:instrTex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18</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通过配套脉冲式袋式除尘器处理后在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喷粉房内</w:t>
            </w:r>
            <w:r>
              <w:rPr>
                <w:rFonts w:hint="eastAsia" w:ascii="Times New Roman" w:hAnsi="Times New Roman" w:cs="Times New Roman"/>
                <w:color w:val="000000" w:themeColor="text1"/>
                <w:sz w:val="24"/>
                <w:szCs w:val="24"/>
                <w:lang w:val="en-US" w:eastAsia="zh-CN"/>
                <w14:textFill>
                  <w14:solidFill>
                    <w14:schemeClr w14:val="tx1"/>
                  </w14:solidFill>
                </w14:textFill>
              </w:rPr>
              <w:t>无组织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w:t>
            </w:r>
          </w:p>
          <w:p w14:paraId="6E75C3F9">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②2#厂房</w:t>
            </w:r>
          </w:p>
          <w:p w14:paraId="3453F7A4">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#厂房设静电喷粉线2条，</w:t>
            </w:r>
            <w:r>
              <w:rPr>
                <w:rFonts w:hint="eastAsia" w:ascii="Times New Roman" w:hAnsi="Times New Roman" w:cs="Times New Roman"/>
                <w:color w:val="000000" w:themeColor="text1"/>
                <w:sz w:val="24"/>
                <w:szCs w:val="24"/>
                <w:lang w:val="en-US" w:eastAsia="zh-CN"/>
                <w14:textFill>
                  <w14:solidFill>
                    <w14:schemeClr w14:val="tx1"/>
                  </w14:solidFill>
                </w14:textFill>
              </w:rPr>
              <w:t>每条线</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设手动喷粉枪4套、自动喷粉枪10套，年用粉末涂料约</w:t>
            </w:r>
            <w:r>
              <w:rPr>
                <w:rFonts w:hint="eastAsia" w:ascii="Times New Roman" w:hAnsi="Times New Roman" w:cs="Times New Roman"/>
                <w:color w:val="000000" w:themeColor="text1"/>
                <w:sz w:val="24"/>
                <w:szCs w:val="24"/>
                <w:lang w:val="en-US" w:eastAsia="zh-CN"/>
                <w14:textFill>
                  <w14:solidFill>
                    <w14:schemeClr w14:val="tx1"/>
                  </w14:solidFill>
                </w14:textFill>
              </w:rPr>
              <w:t>116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t/a，则喷粉线粉尘产生量约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instrText xml:space="preserve"> = 116*0.3 \* MERGEFORMAT </w:instrTex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34.8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w:t>
            </w:r>
            <w:r>
              <w:rPr>
                <w:rFonts w:hint="eastAsia" w:ascii="Times New Roman" w:hAnsi="Times New Roman" w:cs="Times New Roman"/>
                <w:color w:val="000000" w:themeColor="text1"/>
                <w:sz w:val="24"/>
                <w:szCs w:val="24"/>
                <w:lang w:val="en-US" w:eastAsia="zh-CN"/>
                <w14:textFill>
                  <w14:solidFill>
                    <w14:schemeClr w14:val="tx1"/>
                  </w14:solidFill>
                </w14:textFill>
              </w:rPr>
              <w:t>配套脉冲式袋式除尘器处理后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w:t>
            </w:r>
            <w:r>
              <w:rPr>
                <w:rFonts w:hint="eastAsia" w:ascii="Times New Roman" w:hAnsi="Times New Roman" w:cs="Times New Roman"/>
                <w:color w:val="000000" w:themeColor="text1"/>
                <w:sz w:val="24"/>
                <w:szCs w:val="24"/>
                <w:lang w:val="en-US" w:eastAsia="zh-CN"/>
                <w14:textFill>
                  <w14:solidFill>
                    <w14:schemeClr w14:val="tx1"/>
                  </w14:solidFill>
                </w14:textFill>
              </w:rPr>
              <w:t>15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m高排气筒（DA00</w:t>
            </w: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DA00</w:t>
            </w: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w:t>
            </w:r>
          </w:p>
          <w:p w14:paraId="2B591C52">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未被收集的喷粉粉尘，受喷粉房拦截，</w:t>
            </w:r>
            <w:r>
              <w:rPr>
                <w:rFonts w:hint="eastAsia" w:ascii="Times New Roman" w:hAnsi="Times New Roman" w:cs="Times New Roman"/>
                <w:color w:val="000000" w:themeColor="text1"/>
                <w:sz w:val="24"/>
                <w:szCs w:val="24"/>
                <w:lang w:val="en-US" w:eastAsia="zh-CN"/>
                <w14:textFill>
                  <w14:solidFill>
                    <w14:schemeClr w14:val="tx1"/>
                  </w14:solidFill>
                </w14:textFill>
              </w:rPr>
              <w:t>基本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在室内沉降，参考《未纳入排污许可管理行业适用的排污系数、物料衡算方法（试行）》中锯材加工业产排污系数表重力沉降法数据计算，木工粉尘重力沉降率约为85%，喷粉粉尘较轻，评价按70%沉降计。</w:t>
            </w:r>
          </w:p>
          <w:p w14:paraId="0BBCA332">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（5）喷粉固化废气</w:t>
            </w:r>
          </w:p>
          <w:p w14:paraId="690147A2">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①3#厂房</w:t>
            </w:r>
          </w:p>
          <w:p w14:paraId="63114454">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项目工件喷粉后进行烘干固化，固化过程中会产生有机废气。粉末涂料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中主要成分为聚酯树脂，</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不含三苯及乙酸乙酯、乙酸丁酯等成分，以非甲烷总烃进行评价。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根据建设单位提供的粉末涂料的挥发性有机化合物检测结果为0.1%（检测报告见附件</w:t>
            </w:r>
            <w:r>
              <w:rPr>
                <w:rFonts w:hint="eastAsia" w:ascii="Times New Roman" w:hAnsi="Times New Roman" w:cs="Times New Roman"/>
                <w:color w:val="000000" w:themeColor="text1"/>
                <w:sz w:val="24"/>
                <w:szCs w:val="24"/>
                <w:lang w:val="en-US" w:eastAsia="zh-CN"/>
                <w14:textFill>
                  <w14:solidFill>
                    <w14:schemeClr w14:val="tx1"/>
                  </w14:solidFill>
                </w14:textFill>
              </w:rPr>
              <w:t>十三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），设计粉末涂料年用量为</w:t>
            </w:r>
            <w:r>
              <w:rPr>
                <w:rFonts w:hint="eastAsia" w:ascii="Times New Roman" w:hAnsi="Times New Roman" w:cs="Times New Roman"/>
                <w:color w:val="000000" w:themeColor="text1"/>
                <w:sz w:val="24"/>
                <w:szCs w:val="24"/>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以涂料中VOC全部挥发计，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VOC（</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非甲烷总烃计</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=150*1/1000 \# "0.000"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eastAsia" w:ascii="Times New Roman" w:hAnsi="Times New Roman" w:cs="Times New Roman"/>
                <w:color w:val="000000" w:themeColor="text1"/>
                <w:sz w:val="24"/>
                <w:szCs w:val="24"/>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t/a。喷粉固化废气经集气罩收集后与电泳废气一同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“水</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喷淋+</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干式过滤+</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活性炭吸附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处理后，由1根</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22</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m高排气筒</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DA00</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，未能捕集到的VOC</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S</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在车间无组织排放。</w:t>
            </w:r>
          </w:p>
          <w:p w14:paraId="2A188840">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②2#厂房</w:t>
            </w:r>
          </w:p>
          <w:p w14:paraId="51CF136D">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设计粉末涂料年用量为</w:t>
            </w:r>
            <w:r>
              <w:rPr>
                <w:rFonts w:hint="eastAsia" w:ascii="Times New Roman" w:hAnsi="Times New Roman" w:cs="Times New Roman"/>
                <w:color w:val="000000" w:themeColor="text1"/>
                <w:sz w:val="24"/>
                <w:szCs w:val="24"/>
                <w:lang w:val="en-US" w:eastAsia="zh-CN"/>
                <w14:textFill>
                  <w14:solidFill>
                    <w14:schemeClr w14:val="tx1"/>
                  </w14:solidFill>
                </w14:textFill>
              </w:rPr>
              <w:t>116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以涂料中VOC全部挥发计，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VOC（</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非甲烷总烃计</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产生量为</w:t>
            </w:r>
            <w:r>
              <w:rPr>
                <w:rFonts w:hint="eastAsia" w:ascii="Times New Roman" w:hAnsi="Times New Roman" w:cs="Times New Roman"/>
                <w:color w:val="000000" w:themeColor="text1"/>
                <w:sz w:val="24"/>
                <w:szCs w:val="24"/>
                <w:lang w:val="en-US" w:eastAsia="zh-CN"/>
                <w14:textFill>
                  <w14:solidFill>
                    <w14:schemeClr w14:val="tx1"/>
                  </w14:solidFill>
                </w14:textFill>
              </w:rPr>
              <w:t>0.116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t/a。经集气罩收集后与</w:t>
            </w:r>
            <w:r>
              <w:rPr>
                <w:rFonts w:hint="eastAsia" w:ascii="Times New Roman" w:hAnsi="Times New Roman" w:cs="Times New Roman"/>
                <w:color w:val="000000" w:themeColor="text1"/>
                <w:sz w:val="24"/>
                <w:szCs w:val="24"/>
                <w:lang w:val="en-US" w:eastAsia="zh-CN"/>
                <w14:textFill>
                  <w14:solidFill>
                    <w14:schemeClr w14:val="tx1"/>
                  </w14:solidFill>
                </w14:textFill>
              </w:rPr>
              <w:t>电泳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废气一同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“水</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喷淋+</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干式过滤+</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活性炭吸附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处理后，由1根15m高排气筒</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DA00</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，未能捕集到的VOC</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S</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在车间无组织排放。</w:t>
            </w:r>
          </w:p>
          <w:p w14:paraId="7AF58D76">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（6）喷胶</w:t>
            </w:r>
            <w:r>
              <w:rPr>
                <w:rFonts w:hint="eastAsia" w:ascii="Times New Roman" w:hAnsi="Times New Roman" w:cs="Times New Roman"/>
                <w:color w:val="000000" w:themeColor="text1"/>
                <w:sz w:val="24"/>
                <w:szCs w:val="24"/>
                <w:lang w:val="en-US" w:eastAsia="zh-CN"/>
                <w14:textFill>
                  <w14:solidFill>
                    <w14:schemeClr w14:val="tx1"/>
                  </w14:solidFill>
                </w14:textFill>
              </w:rPr>
              <w:t>及烘干</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废气</w:t>
            </w:r>
          </w:p>
          <w:p w14:paraId="2B959DD3">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①3#厂房</w:t>
            </w:r>
          </w:p>
          <w:p w14:paraId="7EF2620E">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3#厂房设</w:t>
            </w:r>
            <w:r>
              <w:rPr>
                <w:rFonts w:hint="eastAsia"/>
                <w:color w:val="000000" w:themeColor="text1"/>
                <w:sz w:val="24"/>
                <w:szCs w:val="24"/>
                <w:lang w:val="en-US" w:eastAsia="zh-CN"/>
                <w14:textFill>
                  <w14:solidFill>
                    <w14:schemeClr w14:val="tx1"/>
                  </w14:solidFill>
                </w14:textFill>
              </w:rPr>
              <w:t>4个喷胶房</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，设手动喷胶枪</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套，</w:t>
            </w:r>
            <w:r>
              <w:rPr>
                <w:rFonts w:hint="eastAsia" w:ascii="Times New Roman" w:hAnsi="Times New Roman" w:cs="Times New Roman"/>
                <w:color w:val="000000" w:themeColor="text1"/>
                <w:sz w:val="24"/>
                <w:szCs w:val="24"/>
                <w:lang w:val="en-US" w:eastAsia="zh-CN"/>
                <w14:textFill>
                  <w14:solidFill>
                    <w14:schemeClr w14:val="tx1"/>
                  </w14:solidFill>
                </w14:textFill>
              </w:rPr>
              <w:t>2用2备，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年用抗石击涂料（胶）约</w:t>
            </w:r>
            <w:r>
              <w:rPr>
                <w:rFonts w:hint="eastAsia" w:ascii="Times New Roman" w:hAnsi="Times New Roman" w:cs="Times New Roman"/>
                <w:color w:val="000000" w:themeColor="text1"/>
                <w:sz w:val="24"/>
                <w:szCs w:val="24"/>
                <w:lang w:val="en-US" w:eastAsia="zh-CN"/>
                <w14:textFill>
                  <w14:solidFill>
                    <w14:schemeClr w14:val="tx1"/>
                  </w14:solidFill>
                </w14:textFill>
              </w:rPr>
              <w:t>38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建设单位提供的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喷胶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涂料的挥发性有机化合物检测结果为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40g/kg</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（检测报告见附件</w:t>
            </w:r>
            <w:r>
              <w:rPr>
                <w:rFonts w:hint="eastAsia" w:ascii="Times New Roman" w:hAnsi="Times New Roman" w:cs="Times New Roman"/>
                <w:color w:val="000000" w:themeColor="text1"/>
                <w:sz w:val="24"/>
                <w:szCs w:val="24"/>
                <w:lang w:val="en-US" w:eastAsia="zh-CN"/>
                <w14:textFill>
                  <w14:solidFill>
                    <w14:schemeClr w14:val="tx1"/>
                  </w14:solidFill>
                </w14:textFill>
              </w:rPr>
              <w:t>十三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则喷胶线非甲烷总烃产生量约</w:t>
            </w:r>
            <w:r>
              <w:rPr>
                <w:rFonts w:hint="default" w:ascii="Times New Roman" w:hAnsi="Times New Roman"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cs="Times New Roman"/>
                <w:color w:val="000000" w:themeColor="text1"/>
                <w:sz w:val="24"/>
                <w:szCs w:val="24"/>
                <w:lang w:eastAsia="zh-CN"/>
                <w14:textFill>
                  <w14:solidFill>
                    <w14:schemeClr w14:val="tx1"/>
                  </w14:solidFill>
                </w14:textFill>
              </w:rPr>
              <w:instrText xml:space="preserve"> =38*40/1000 \* MERGEFORMAT </w:instrText>
            </w:r>
            <w:r>
              <w:rPr>
                <w:rFonts w:hint="default" w:ascii="Times New Roman" w:hAnsi="Times New Roman"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cs="Times New Roman"/>
                <w:color w:val="000000" w:themeColor="text1"/>
                <w:sz w:val="24"/>
                <w:szCs w:val="24"/>
                <w:lang w:eastAsia="zh-CN"/>
                <w14:textFill>
                  <w14:solidFill>
                    <w14:schemeClr w14:val="tx1"/>
                  </w14:solidFill>
                </w14:textFill>
              </w:rPr>
              <w:t>1.52</w:t>
            </w:r>
            <w:r>
              <w:rPr>
                <w:rFonts w:hint="default" w:ascii="Times New Roman" w:hAnsi="Times New Roman"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，经集气罩收集后“水喷淋+</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干式过滤+</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活性炭吸附”处理后，由1根22m高排气筒（DA00</w:t>
            </w: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w:t>
            </w:r>
          </w:p>
          <w:p w14:paraId="0C10D474">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喷涂过程中部分涂料未附着至工件上，上漆率以</w:t>
            </w:r>
            <w:r>
              <w:rPr>
                <w:rFonts w:hint="eastAsia" w:ascii="Times New Roman" w:hAnsi="Times New Roman"/>
                <w:color w:val="000000" w:themeColor="text1"/>
                <w:sz w:val="24"/>
                <w:szCs w:val="24"/>
                <w:lang w:val="en-US" w:eastAsia="zh-CN"/>
                <w14:textFill>
                  <w14:solidFill>
                    <w14:schemeClr w14:val="tx1"/>
                  </w14:solidFill>
                </w14:textFill>
              </w:rPr>
              <w:t>95</w:t>
            </w:r>
            <w:r>
              <w:rPr>
                <w:rFonts w:hint="eastAsia" w:ascii="Times New Roman" w:hAnsi="Times New Roman"/>
                <w:color w:val="000000" w:themeColor="text1"/>
                <w:sz w:val="24"/>
                <w:szCs w:val="24"/>
                <w14:textFill>
                  <w14:solidFill>
                    <w14:schemeClr w14:val="tx1"/>
                  </w14:solidFill>
                </w14:textFill>
              </w:rPr>
              <w:t>%计，未附着涂料约为</w:t>
            </w:r>
            <w:r>
              <w:rPr>
                <w:rFonts w:hint="eastAsia" w:ascii="Times New Roman" w:hAnsi="Times New Roman"/>
                <w:color w:val="000000" w:themeColor="text1"/>
                <w:sz w:val="24"/>
                <w:szCs w:val="24"/>
                <w14:textFill>
                  <w14:solidFill>
                    <w14:schemeClr w14:val="tx1"/>
                  </w14:solidFill>
                </w14:textFill>
              </w:rPr>
              <w:fldChar w:fldCharType="begin"/>
            </w:r>
            <w:r>
              <w:rPr>
                <w:rFonts w:hint="eastAsia" w:ascii="Times New Roman" w:hAnsi="Times New Roman"/>
                <w:color w:val="000000" w:themeColor="text1"/>
                <w:sz w:val="24"/>
                <w:szCs w:val="24"/>
                <w14:textFill>
                  <w14:solidFill>
                    <w14:schemeClr w14:val="tx1"/>
                  </w14:solidFill>
                </w14:textFill>
              </w:rPr>
              <w:instrText xml:space="preserve"> = 38*0.05 \* MERGEFORMAT </w:instrText>
            </w:r>
            <w:r>
              <w:rPr>
                <w:rFonts w:hint="eastAsia" w:ascii="Times New Roman" w:hAnsi="Times New Roman"/>
                <w:color w:val="000000" w:themeColor="text1"/>
                <w:sz w:val="24"/>
                <w:szCs w:val="24"/>
                <w14:textFill>
                  <w14:solidFill>
                    <w14:schemeClr w14:val="tx1"/>
                  </w14:solidFill>
                </w14:textFill>
              </w:rPr>
              <w:fldChar w:fldCharType="separate"/>
            </w:r>
            <w:r>
              <w:rPr>
                <w:rFonts w:hint="eastAsia" w:ascii="Times New Roman" w:hAnsi="Times New Roman"/>
                <w:color w:val="000000" w:themeColor="text1"/>
                <w:sz w:val="24"/>
                <w:szCs w:val="24"/>
                <w14:textFill>
                  <w14:solidFill>
                    <w14:schemeClr w14:val="tx1"/>
                  </w14:solidFill>
                </w14:textFill>
              </w:rPr>
              <w:t>1.9</w:t>
            </w:r>
            <w:r>
              <w:rPr>
                <w:rFonts w:hint="eastAsia" w:ascii="Times New Roman" w:hAnsi="Times New Roman"/>
                <w:color w:val="000000" w:themeColor="text1"/>
                <w:sz w:val="24"/>
                <w:szCs w:val="24"/>
                <w14:textFill>
                  <w14:solidFill>
                    <w14:schemeClr w14:val="tx1"/>
                  </w14:solidFill>
                </w14:textFill>
              </w:rPr>
              <w:fldChar w:fldCharType="end"/>
            </w:r>
            <w:r>
              <w:rPr>
                <w:rFonts w:hint="eastAsia" w:ascii="Times New Roman" w:hAnsi="Times New Roman"/>
                <w:color w:val="000000" w:themeColor="text1"/>
                <w:sz w:val="24"/>
                <w:szCs w:val="24"/>
                <w14:textFill>
                  <w14:solidFill>
                    <w14:schemeClr w14:val="tx1"/>
                  </w14:solidFill>
                </w14:textFill>
              </w:rPr>
              <w:t>t/a，</w:t>
            </w:r>
            <w:r>
              <w:rPr>
                <w:rFonts w:ascii="Times New Roman" w:hAnsi="Times New Roman"/>
                <w:color w:val="000000" w:themeColor="text1"/>
                <w:sz w:val="24"/>
                <w:szCs w:val="24"/>
                <w14:textFill>
                  <w14:solidFill>
                    <w14:schemeClr w14:val="tx1"/>
                  </w14:solidFill>
                </w14:textFill>
              </w:rPr>
              <w:t>PVC</w:t>
            </w:r>
            <w:r>
              <w:rPr>
                <w:rFonts w:hint="eastAsia" w:ascii="Times New Roman" w:hAnsi="Times New Roman"/>
                <w:color w:val="000000" w:themeColor="text1"/>
                <w:sz w:val="24"/>
                <w:szCs w:val="24"/>
                <w:lang w:val="en-US" w:eastAsia="zh-CN"/>
                <w14:textFill>
                  <w14:solidFill>
                    <w14:schemeClr w14:val="tx1"/>
                  </w14:solidFill>
                </w14:textFill>
              </w:rPr>
              <w:t>具有胶黏性，未附着在工件上的涂料基本粘附在喷胶房四壁，不会形成颗粒物，粘附在喷胶房四壁的胶料定期铲除，</w:t>
            </w:r>
            <w:r>
              <w:rPr>
                <w:rFonts w:hint="eastAsia" w:ascii="Times New Roman" w:hAnsi="Times New Roman"/>
                <w:color w:val="000000" w:themeColor="text1"/>
                <w:sz w:val="24"/>
                <w:szCs w:val="24"/>
                <w14:textFill>
                  <w14:solidFill>
                    <w14:schemeClr w14:val="tx1"/>
                  </w14:solidFill>
                </w14:textFill>
              </w:rPr>
              <w:t>涂料渣产生量为</w:t>
            </w:r>
            <w:r>
              <w:rPr>
                <w:rFonts w:hint="eastAsia" w:ascii="Times New Roman" w:hAnsi="Times New Roman"/>
                <w:color w:val="000000" w:themeColor="text1"/>
                <w:sz w:val="24"/>
                <w:szCs w:val="24"/>
                <w:lang w:val="en-US" w:eastAsia="zh-CN"/>
                <w14:textFill>
                  <w14:solidFill>
                    <w14:schemeClr w14:val="tx1"/>
                  </w14:solidFill>
                </w14:textFill>
              </w:rPr>
              <w:t>1.9</w:t>
            </w:r>
            <w:r>
              <w:rPr>
                <w:rFonts w:hint="eastAsia" w:ascii="Times New Roman" w:hAnsi="Times New Roman"/>
                <w:color w:val="000000" w:themeColor="text1"/>
                <w:sz w:val="24"/>
                <w:szCs w:val="24"/>
                <w14:textFill>
                  <w14:solidFill>
                    <w14:schemeClr w14:val="tx1"/>
                  </w14:solidFill>
                </w14:textFill>
              </w:rPr>
              <w:t>t/a。</w:t>
            </w:r>
          </w:p>
          <w:p w14:paraId="634012D7">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②2#厂房</w:t>
            </w:r>
          </w:p>
          <w:p w14:paraId="36223CC7">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2#厂房设静电喷胶线1条，设手动喷胶枪4套、自动喷胶枪10套，年用抗石击涂料（胶）约</w:t>
            </w:r>
            <w:r>
              <w:rPr>
                <w:rFonts w:hint="eastAsia" w:ascii="Times New Roman" w:hAnsi="Times New Roman" w:cs="Times New Roman"/>
                <w:color w:val="000000" w:themeColor="text1"/>
                <w:sz w:val="24"/>
                <w:szCs w:val="24"/>
                <w:lang w:val="en-US" w:eastAsia="zh-CN"/>
                <w14:textFill>
                  <w14:solidFill>
                    <w14:schemeClr w14:val="tx1"/>
                  </w14:solidFill>
                </w14:textFill>
              </w:rPr>
              <w:t>114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喷胶线非甲烷总烃产生量约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instrText xml:space="preserve"> = 114*0.04 \* MERGEFORMAT </w:instrTex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4.56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，经集气罩收集后“水喷淋+</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干式过滤+</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活性炭吸附”处理后，由1根15m高排气筒（DA00</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w:t>
            </w:r>
          </w:p>
          <w:p w14:paraId="6DFA96B1">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喷涂过程中未附着涂料约为</w:t>
            </w:r>
            <w:r>
              <w:rPr>
                <w:rFonts w:hint="eastAsia" w:ascii="Times New Roman" w:hAnsi="Times New Roman"/>
                <w:color w:val="000000" w:themeColor="text1"/>
                <w:sz w:val="24"/>
                <w:szCs w:val="24"/>
                <w14:textFill>
                  <w14:solidFill>
                    <w14:schemeClr w14:val="tx1"/>
                  </w14:solidFill>
                </w14:textFill>
              </w:rPr>
              <w:fldChar w:fldCharType="begin"/>
            </w:r>
            <w:r>
              <w:rPr>
                <w:rFonts w:hint="eastAsia" w:ascii="Times New Roman" w:hAnsi="Times New Roman"/>
                <w:color w:val="000000" w:themeColor="text1"/>
                <w:sz w:val="24"/>
                <w:szCs w:val="24"/>
                <w14:textFill>
                  <w14:solidFill>
                    <w14:schemeClr w14:val="tx1"/>
                  </w14:solidFill>
                </w14:textFill>
              </w:rPr>
              <w:instrText xml:space="preserve"> = 114*0.05 \* MERGEFORMAT </w:instrText>
            </w:r>
            <w:r>
              <w:rPr>
                <w:rFonts w:hint="eastAsia" w:ascii="Times New Roman" w:hAnsi="Times New Roman"/>
                <w:color w:val="000000" w:themeColor="text1"/>
                <w:sz w:val="24"/>
                <w:szCs w:val="24"/>
                <w14:textFill>
                  <w14:solidFill>
                    <w14:schemeClr w14:val="tx1"/>
                  </w14:solidFill>
                </w14:textFill>
              </w:rPr>
              <w:fldChar w:fldCharType="separate"/>
            </w:r>
            <w:r>
              <w:rPr>
                <w:rFonts w:hint="eastAsia" w:ascii="Times New Roman" w:hAnsi="Times New Roman"/>
                <w:color w:val="000000" w:themeColor="text1"/>
                <w:sz w:val="24"/>
                <w:szCs w:val="24"/>
                <w14:textFill>
                  <w14:solidFill>
                    <w14:schemeClr w14:val="tx1"/>
                  </w14:solidFill>
                </w14:textFill>
              </w:rPr>
              <w:t>5.7</w:t>
            </w:r>
            <w:r>
              <w:rPr>
                <w:rFonts w:hint="eastAsia" w:ascii="Times New Roman" w:hAnsi="Times New Roman"/>
                <w:color w:val="000000" w:themeColor="text1"/>
                <w:sz w:val="24"/>
                <w:szCs w:val="24"/>
                <w14:textFill>
                  <w14:solidFill>
                    <w14:schemeClr w14:val="tx1"/>
                  </w14:solidFill>
                </w14:textFill>
              </w:rPr>
              <w:fldChar w:fldCharType="end"/>
            </w:r>
            <w:r>
              <w:rPr>
                <w:rFonts w:hint="eastAsia" w:ascii="Times New Roman" w:hAnsi="Times New Roman"/>
                <w:color w:val="000000" w:themeColor="text1"/>
                <w:sz w:val="24"/>
                <w:szCs w:val="24"/>
                <w14:textFill>
                  <w14:solidFill>
                    <w14:schemeClr w14:val="tx1"/>
                  </w14:solidFill>
                </w14:textFill>
              </w:rPr>
              <w:t>t/a</w:t>
            </w:r>
            <w:r>
              <w:rPr>
                <w:rFonts w:hint="eastAsia" w:ascii="Times New Roman" w:hAnsi="Times New Roman"/>
                <w:color w:val="000000" w:themeColor="text1"/>
                <w:sz w:val="24"/>
                <w:szCs w:val="24"/>
                <w:lang w:val="en-US" w:eastAsia="zh-CN"/>
                <w14:textFill>
                  <w14:solidFill>
                    <w14:schemeClr w14:val="tx1"/>
                  </w14:solidFill>
                </w14:textFill>
              </w:rPr>
              <w:t>，计入</w:t>
            </w:r>
            <w:r>
              <w:rPr>
                <w:rFonts w:hint="eastAsia" w:ascii="Times New Roman" w:hAnsi="Times New Roman"/>
                <w:color w:val="000000" w:themeColor="text1"/>
                <w:sz w:val="24"/>
                <w:szCs w:val="24"/>
                <w14:textFill>
                  <w14:solidFill>
                    <w14:schemeClr w14:val="tx1"/>
                  </w14:solidFill>
                </w14:textFill>
              </w:rPr>
              <w:t>涂料渣。</w:t>
            </w:r>
          </w:p>
          <w:p w14:paraId="74339AE1">
            <w:pPr>
              <w:pStyle w:val="93"/>
              <w:ind w:firstLine="480"/>
              <w:jc w:val="both"/>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shd w:val="clear" w:color="auto" w:fill="auto"/>
                <w:lang w:val="en-US" w:eastAsia="zh-CN"/>
                <w14:textFill>
                  <w14:solidFill>
                    <w14:schemeClr w14:val="tx1"/>
                  </w14:solidFill>
                </w14:textFill>
              </w:rPr>
              <w:t>喷漆废气</w:t>
            </w:r>
          </w:p>
          <w:p w14:paraId="5D6130CE">
            <w:pPr>
              <w:pStyle w:val="93"/>
              <w:ind w:firstLine="480"/>
              <w:jc w:val="both"/>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正常情况下，本项目不使用喷烤漆，主要在客户有特殊要求时少量使用，年用漆量0.5t/a，稀释剂0.5t/a，根据建设单位提供的成分报告，以挥发性成分100%挥发考虑，则烤漆挥发率约20%，其中</w:t>
            </w:r>
            <w:r>
              <w:rPr>
                <w:rFonts w:hint="default" w:ascii="Times New Roman" w:hAnsi="Times New Roman" w:cs="Times New Roman"/>
                <w:color w:val="000000" w:themeColor="text1"/>
                <w:sz w:val="24"/>
                <w:szCs w:val="24"/>
                <w:lang w:val="en-US" w:eastAsia="zh-CN"/>
                <w14:textFill>
                  <w14:solidFill>
                    <w14:schemeClr w14:val="tx1"/>
                  </w14:solidFill>
                </w14:textFill>
              </w:rPr>
              <w:t>醋酸</w:t>
            </w:r>
            <w:r>
              <w:rPr>
                <w:rFonts w:hint="eastAsia" w:ascii="Times New Roman" w:hAnsi="Times New Roman" w:cs="Times New Roman"/>
                <w:color w:val="000000" w:themeColor="text1"/>
                <w:sz w:val="24"/>
                <w:szCs w:val="24"/>
                <w:lang w:val="en-US" w:eastAsia="zh-CN"/>
                <w14:textFill>
                  <w14:solidFill>
                    <w14:schemeClr w14:val="tx1"/>
                  </w14:solidFill>
                </w14:textFill>
              </w:rPr>
              <w:t>丁酯</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bCs/>
                <w:color w:val="000000" w:themeColor="text1"/>
                <w:sz w:val="24"/>
                <w:szCs w:val="24"/>
                <w:lang w:val="en-US" w:eastAsia="zh-CN"/>
                <w14:textFill>
                  <w14:solidFill>
                    <w14:schemeClr w14:val="tx1"/>
                  </w14:solidFill>
                </w14:textFill>
              </w:rPr>
              <w:t>稀释剂100%挥发，其中</w:t>
            </w:r>
            <w:r>
              <w:rPr>
                <w:rFonts w:hint="default" w:ascii="Times New Roman" w:hAnsi="Times New Roman" w:cs="Times New Roman"/>
                <w:color w:val="000000" w:themeColor="text1"/>
                <w:sz w:val="24"/>
                <w:szCs w:val="24"/>
                <w:lang w:val="en-US" w:eastAsia="zh-CN"/>
                <w14:textFill>
                  <w14:solidFill>
                    <w14:schemeClr w14:val="tx1"/>
                  </w14:solidFill>
                </w14:textFill>
              </w:rPr>
              <w:t>二甲苯50%、</w:t>
            </w:r>
            <w:r>
              <w:rPr>
                <w:rFonts w:hint="eastAsia" w:ascii="Times New Roman" w:hAnsi="Times New Roman" w:cs="Times New Roman"/>
                <w:color w:val="000000" w:themeColor="text1"/>
                <w:sz w:val="24"/>
                <w:szCs w:val="24"/>
                <w:lang w:val="en-US" w:eastAsia="zh-CN"/>
                <w14:textFill>
                  <w14:solidFill>
                    <w14:schemeClr w14:val="tx1"/>
                  </w14:solidFill>
                </w14:textFill>
              </w:rPr>
              <w:t>醋酸丁酯</w:t>
            </w:r>
            <w:r>
              <w:rPr>
                <w:rFonts w:hint="default" w:ascii="Times New Roman" w:hAnsi="Times New Roman" w:cs="Times New Roman"/>
                <w:color w:val="000000" w:themeColor="text1"/>
                <w:sz w:val="24"/>
                <w:szCs w:val="24"/>
                <w:lang w:val="en-US" w:eastAsia="zh-CN"/>
                <w14:textFill>
                  <w14:solidFill>
                    <w14:schemeClr w14:val="tx1"/>
                  </w14:solidFill>
                </w14:textFill>
              </w:rPr>
              <w:t>15%，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喷漆过程非甲烷总烃产生量约</w:t>
            </w:r>
            <w:r>
              <w:rPr>
                <w:rFonts w:hint="default" w:ascii="Times New Roman" w:hAnsi="Times New Roman"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cs="Times New Roman"/>
                <w:color w:val="000000" w:themeColor="text1"/>
                <w:sz w:val="24"/>
                <w:szCs w:val="24"/>
                <w:lang w:eastAsia="zh-CN"/>
                <w14:textFill>
                  <w14:solidFill>
                    <w14:schemeClr w14:val="tx1"/>
                  </w14:solidFill>
                </w14:textFill>
              </w:rPr>
              <w:instrText xml:space="preserve"> = 0.5*0.2+0.5 \* MERGEFORMAT </w:instrText>
            </w:r>
            <w:r>
              <w:rPr>
                <w:rFonts w:hint="default" w:ascii="Times New Roman" w:hAnsi="Times New Roman"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cs="Times New Roman"/>
                <w:color w:val="000000" w:themeColor="text1"/>
                <w:sz w:val="24"/>
                <w:szCs w:val="24"/>
                <w:lang w:eastAsia="zh-CN"/>
                <w14:textFill>
                  <w14:solidFill>
                    <w14:schemeClr w14:val="tx1"/>
                  </w14:solidFill>
                </w14:textFill>
              </w:rPr>
              <w:t>0.6</w:t>
            </w:r>
            <w:r>
              <w:rPr>
                <w:rFonts w:hint="default" w:ascii="Times New Roman" w:hAnsi="Times New Roman"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二甲苯</w:t>
            </w:r>
            <w:r>
              <w:rPr>
                <w:rFonts w:hint="default" w:ascii="Times New Roman" w:hAnsi="Times New Roman"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color w:val="000000" w:themeColor="text1"/>
                <w:sz w:val="24"/>
                <w:szCs w:val="24"/>
                <w:lang w:val="en-US" w:eastAsia="zh-CN"/>
                <w14:textFill>
                  <w14:solidFill>
                    <w14:schemeClr w14:val="tx1"/>
                  </w14:solidFill>
                </w14:textFill>
              </w:rPr>
              <w:instrText xml:space="preserve"> =0.5*0.5 \* MERGEFORMAT </w:instrText>
            </w:r>
            <w:r>
              <w:rPr>
                <w:rFonts w:hint="default" w:ascii="Times New Roman" w:hAnsi="Times New Roman"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lang w:val="en-US" w:eastAsia="zh-CN"/>
                <w14:textFill>
                  <w14:solidFill>
                    <w14:schemeClr w14:val="tx1"/>
                  </w14:solidFill>
                </w14:textFill>
              </w:rPr>
              <w:t>0.25</w:t>
            </w:r>
            <w:r>
              <w:rPr>
                <w:rFonts w:hint="default" w:ascii="Times New Roman" w:hAnsi="Times New Roman"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醋酸</w:t>
            </w:r>
            <w:r>
              <w:rPr>
                <w:rFonts w:hint="eastAsia" w:ascii="Times New Roman" w:hAnsi="Times New Roman" w:cs="Times New Roman"/>
                <w:color w:val="000000" w:themeColor="text1"/>
                <w:sz w:val="24"/>
                <w:szCs w:val="24"/>
                <w:lang w:val="en-US" w:eastAsia="zh-CN"/>
                <w14:textFill>
                  <w14:solidFill>
                    <w14:schemeClr w14:val="tx1"/>
                  </w14:solidFill>
                </w14:textFill>
              </w:rPr>
              <w:t>丁酯</w:t>
            </w:r>
            <w:r>
              <w:rPr>
                <w:rFonts w:hint="default" w:ascii="Times New Roman" w:hAnsi="Times New Roman"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cs="Times New Roman"/>
                <w:color w:val="000000" w:themeColor="text1"/>
                <w:sz w:val="24"/>
                <w:szCs w:val="24"/>
                <w:lang w:val="en-US" w:eastAsia="zh-CN"/>
                <w14:textFill>
                  <w14:solidFill>
                    <w14:schemeClr w14:val="tx1"/>
                  </w14:solidFill>
                </w14:textFill>
              </w:rPr>
              <w:instrText xml:space="preserve"> = 0.5*0.2*0.05+0.5*0.15 \* MERGEFORMAT </w:instrText>
            </w:r>
            <w:r>
              <w:rPr>
                <w:rFonts w:hint="default" w:ascii="Times New Roman" w:hAnsi="Times New Roman"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lang w:val="en-US" w:eastAsia="zh-CN"/>
                <w14:textFill>
                  <w14:solidFill>
                    <w14:schemeClr w14:val="tx1"/>
                  </w14:solidFill>
                </w14:textFill>
              </w:rPr>
              <w:t>0.08</w:t>
            </w:r>
            <w:r>
              <w:rPr>
                <w:rFonts w:hint="default" w:ascii="Times New Roman" w:hAnsi="Times New Roman"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，经集气罩收集后“水喷淋+</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干式过滤+</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活性炭吸附”处理后，由1根22m高排气筒（DA00</w:t>
            </w: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w:t>
            </w:r>
          </w:p>
          <w:p w14:paraId="678EB114">
            <w:pPr>
              <w:pStyle w:val="93"/>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shd w:val="clear" w:color="auto" w:fill="auto"/>
                <w:lang w:val="en-US" w:eastAsia="zh-CN"/>
                <w14:textFill>
                  <w14:solidFill>
                    <w14:schemeClr w14:val="tx1"/>
                  </w14:solidFill>
                </w14:textFill>
              </w:rPr>
              <w:t>脱漆</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废气</w:t>
            </w:r>
          </w:p>
          <w:p w14:paraId="76E532A1">
            <w:pPr>
              <w:pStyle w:val="93"/>
              <w:ind w:firstLine="480"/>
              <w:jc w:val="both"/>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pPr>
            <w:r>
              <w:rPr>
                <w:rFonts w:hint="eastAsia" w:ascii="Times New Roman" w:hAnsi="Times New Roman" w:cs="Times New Roman"/>
                <w:bCs/>
                <w:color w:val="000000" w:themeColor="text1"/>
                <w:sz w:val="24"/>
                <w:szCs w:val="24"/>
                <w:lang w:val="en-US" w:eastAsia="zh-CN"/>
                <w14:textFill>
                  <w14:solidFill>
                    <w14:schemeClr w14:val="tx1"/>
                  </w14:solidFill>
                </w14:textFill>
              </w:rPr>
              <w:t>不合格电泳漆需浸泡在脱漆剂中溶解脱漆，本项目采用的脱漆剂主要成分包括磷酸20%、石蜡1%、乙醇25%、甲基纤维素5%、丙二醇甲醚45%、尿素3%、水1%。乙醇、丙二醇甲醚具有挥发性，常温下按50%挥发考虑，则脱漆剂年用量5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非甲烷总烃产生量约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instrText xml:space="preserve"> = 5*0.7*0.5 \* MERGEFORMAT </w:instrTex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，经集气罩收集后“水喷淋+</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干式过滤+</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活性炭吸附”处理后，由1根22m高排气筒（DA002）排放。</w:t>
            </w:r>
          </w:p>
          <w:p w14:paraId="448F902B">
            <w:pPr>
              <w:pStyle w:val="93"/>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shd w:val="clear" w:color="auto" w:fill="auto"/>
                <w:lang w:val="en-US" w:eastAsia="zh-CN"/>
                <w14:textFill>
                  <w14:solidFill>
                    <w14:schemeClr w14:val="tx1"/>
                  </w14:solidFill>
                </w14:textFill>
              </w:rPr>
              <w:t>（9）炉窑</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燃气废气</w:t>
            </w:r>
          </w:p>
          <w:p w14:paraId="5A6B31C8">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本项目固化炉（</w:t>
            </w:r>
            <w:r>
              <w:rPr>
                <w:rFonts w:hint="eastAsia" w:ascii="Times New Roman" w:hAnsi="Times New Roman" w:cs="Times New Roman"/>
                <w:color w:val="000000" w:themeColor="text1"/>
                <w:sz w:val="24"/>
                <w:szCs w:val="24"/>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套）采用热风炉作为热源，采用天然气为燃料，配套低氮燃烧器，年使用天然气4</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万m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，天然气燃烧过程中会产生燃烧废气，主要污染物为烟尘、二氧化硫、氮氧化物。</w:t>
            </w:r>
          </w:p>
          <w:p w14:paraId="40AA7F01">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根据《排放源统计调查产排污核算方法和系数手册》中“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金属制品业、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通用设备制造业、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专用设备制造业、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汽车制造业、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铁路、船舶、航空航天和其他运输设备制造业、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431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金属制品修理、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432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通用设备修理、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433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专用设备修理、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434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铁路、船舶、航空航天等运输设备修理（不包括电镀工艺）行业系数手册”中的“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涂装”可知，使用天然气工业炉窑，颗粒物、二氧化硫、氮氧化物产物系数分别为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0.000286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千克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立方米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原料、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0.000002S</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千克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立方米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原料、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0.00187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千克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立方米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原料。根据《天然气》（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GB17820-201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8）中规定天然气的含</w:t>
            </w:r>
            <w:r>
              <w:rPr>
                <w:rFonts w:hint="eastAsia" w:ascii="Times New Roman" w:hAnsi="Times New Roman" w:cs="Times New Roman"/>
                <w:color w:val="000000" w:themeColor="text1"/>
                <w:sz w:val="24"/>
                <w:szCs w:val="24"/>
                <w:lang w:val="en-US" w:eastAsia="zh-CN"/>
                <w14:textFill>
                  <w14:solidFill>
                    <w14:schemeClr w14:val="tx1"/>
                  </w14:solidFill>
                </w14:textFill>
              </w:rPr>
              <w:t>硫量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不大于10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0mg/m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，本项目天然气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含硫量S取最大值按100mg/m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计。</w:t>
            </w:r>
          </w:p>
          <w:p w14:paraId="6C8FFC27">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①3#厂房电泳</w:t>
            </w:r>
            <w:r>
              <w:rPr>
                <w:rFonts w:hint="eastAsia" w:ascii="Times New Roman" w:hAnsi="Times New Roman" w:cs="Times New Roman"/>
                <w:color w:val="000000" w:themeColor="text1"/>
                <w:sz w:val="24"/>
                <w:szCs w:val="24"/>
                <w:lang w:val="en-US" w:eastAsia="zh-CN"/>
                <w14:textFill>
                  <w14:solidFill>
                    <w14:schemeClr w14:val="tx1"/>
                  </w14:solidFill>
                </w14:textFill>
              </w:rPr>
              <w:t>、喷粉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生产线</w:t>
            </w:r>
          </w:p>
          <w:p w14:paraId="1645D861">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3#厂房电泳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固化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、喷粉固化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工序天然气总使用量为</w:t>
            </w:r>
            <w:r>
              <w:rPr>
                <w:rFonts w:hint="eastAsia" w:ascii="Times New Roman" w:hAnsi="Times New Roman"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，则喷粉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、电泳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固化工序燃烧废气中颗粒物（烟尘）产生量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0.000286*90*10000/1000 \# "0.000"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eastAsia" w:ascii="Times New Roman" w:hAnsi="Times New Roman" w:cs="Times New Roman"/>
                <w:color w:val="000000" w:themeColor="text1"/>
                <w:sz w:val="24"/>
                <w:szCs w:val="24"/>
                <w:lang w:val="en-US" w:eastAsia="zh-CN"/>
                <w14:textFill>
                  <w14:solidFill>
                    <w14:schemeClr w14:val="tx1"/>
                  </w14:solidFill>
                </w14:textFill>
              </w:rPr>
              <w:t>34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t/a、二氧化硫产生量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0.000002*100*90*10000/1000 \# "0.000"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eastAsia" w:ascii="Times New Roman" w:hAnsi="Times New Roman" w:cs="Times New Roman"/>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t/a、氮氧化物产生量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225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t/a。天然气燃烧废气与电泳废气、喷粉固化废气一同</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收集</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处理后，由1根</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22</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m高排气筒</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DA00</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2DA9F8A1">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②</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#厂房喷胶生产线</w:t>
            </w:r>
          </w:p>
          <w:p w14:paraId="2C43A57E">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#厂房喷胶烘干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工序天然气总使用量为</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，则燃烧废气中颗粒物（烟尘）产生量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0.000286*90*10000/1000 \# "0.000"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eastAsia" w:ascii="Times New Roman" w:hAnsi="Times New Roman" w:cs="Times New Roman"/>
                <w:color w:val="000000" w:themeColor="text1"/>
                <w:sz w:val="24"/>
                <w:szCs w:val="24"/>
                <w:lang w:val="en-US" w:eastAsia="zh-CN"/>
                <w14:textFill>
                  <w14:solidFill>
                    <w14:schemeClr w14:val="tx1"/>
                  </w14:solidFill>
                </w14:textFill>
              </w:rPr>
              <w:t>17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t/a、二氧化硫产生量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0.000002*100*90*10000/1000 \# "0.000"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t/a、氮氧化物产生量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112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t/a。天然气燃烧废气与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喷胶烘干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废气一同</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收集</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处理后，由1根</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22</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m高排气筒</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DA00</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9）</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3A868A0B">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③</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2#厂房电泳</w:t>
            </w:r>
            <w:r>
              <w:rPr>
                <w:rFonts w:hint="eastAsia" w:ascii="Times New Roman" w:hAnsi="Times New Roman" w:cs="Times New Roman"/>
                <w:color w:val="000000" w:themeColor="text1"/>
                <w:sz w:val="24"/>
                <w:szCs w:val="24"/>
                <w:lang w:val="en-US" w:eastAsia="zh-CN"/>
                <w14:textFill>
                  <w14:solidFill>
                    <w14:schemeClr w14:val="tx1"/>
                  </w14:solidFill>
                </w14:textFill>
              </w:rPr>
              <w:t>、喷粉、钝化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生产线</w:t>
            </w:r>
          </w:p>
          <w:p w14:paraId="196A65D1">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2#厂房喷粉固化及电泳固化</w:t>
            </w:r>
            <w:r>
              <w:rPr>
                <w:rFonts w:hint="eastAsia" w:ascii="Times New Roman" w:hAnsi="Times New Roman" w:cs="Times New Roman"/>
                <w:color w:val="000000" w:themeColor="text1"/>
                <w:sz w:val="24"/>
                <w:szCs w:val="24"/>
                <w:lang w:val="en-US" w:eastAsia="zh-CN"/>
                <w14:textFill>
                  <w14:solidFill>
                    <w14:schemeClr w14:val="tx1"/>
                  </w14:solidFill>
                </w14:textFill>
              </w:rPr>
              <w:t>、钝化烘干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工序天然气总使用量为</w:t>
            </w:r>
            <w:r>
              <w:rPr>
                <w:rFonts w:hint="eastAsia" w:ascii="Times New Roman" w:hAnsi="Times New Roman" w:cs="Times New Roman"/>
                <w:color w:val="000000" w:themeColor="text1"/>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，则燃烧废气中颗粒物（烟尘）产生量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0.000286*90*10000/1000 \# "0.000"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eastAsia" w:ascii="Times New Roman" w:hAnsi="Times New Roman" w:cs="Times New Roman"/>
                <w:color w:val="000000" w:themeColor="text1"/>
                <w:sz w:val="24"/>
                <w:szCs w:val="24"/>
                <w:lang w:val="en-US" w:eastAsia="zh-CN"/>
                <w14:textFill>
                  <w14:solidFill>
                    <w14:schemeClr w14:val="tx1"/>
                  </w14:solidFill>
                </w14:textFill>
              </w:rPr>
              <w:t>51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t/a、二氧化硫产生量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0.000002*100*90*10000/1000 \# "0.000"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eastAsia" w:ascii="Times New Roman" w:hAnsi="Times New Roman" w:cs="Times New Roman"/>
                <w:color w:val="000000" w:themeColor="text1"/>
                <w:sz w:val="24"/>
                <w:szCs w:val="24"/>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t/a、氮氧化物产生量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337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t/a。天然气燃烧废气与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电泳固化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废气、喷粉固化废气一同</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收集</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处理后，由1根</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15</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m高排气筒</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DA00</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6DB32612">
            <w:pPr>
              <w:pStyle w:val="93"/>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④</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2#厂房喷胶生产线</w:t>
            </w:r>
          </w:p>
          <w:p w14:paraId="6592ACBF">
            <w:pPr>
              <w:pStyle w:val="93"/>
              <w:ind w:firstLine="48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2#厂房喷胶烘干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工序天然气总使用量为</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万m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，则燃烧废气中颗粒物（烟尘）产生量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0.000286*90*10000/1000 \# "0.000"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eastAsia" w:ascii="Times New Roman" w:hAnsi="Times New Roman" w:cs="Times New Roman"/>
                <w:color w:val="000000" w:themeColor="text1"/>
                <w:sz w:val="24"/>
                <w:szCs w:val="24"/>
                <w:lang w:val="en-US" w:eastAsia="zh-CN"/>
                <w14:textFill>
                  <w14:solidFill>
                    <w14:schemeClr w14:val="tx1"/>
                  </w14:solidFill>
                </w14:textFill>
              </w:rPr>
              <w:t>17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t/a、二氧化硫产生量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0.000002*100*90*10000/1000 \# "0.000"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t/a、氮氧化物产生量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112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t/a。天然气燃烧废气与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喷胶烘干</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废气一同</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收集</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处理后，由1根</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15</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m高排气筒</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DA00</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0008F15F">
            <w:pPr>
              <w:pStyle w:val="93"/>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）丝印烘干废气</w:t>
            </w:r>
          </w:p>
          <w:p w14:paraId="6DD78937">
            <w:pPr>
              <w:pStyle w:val="93"/>
              <w:ind w:firstLine="480"/>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本项目部分产品需要印刷商标，采用油墨进行印刷，</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印刷后的丝印网板采用洗网水清洗，该工序仅在2#厂房进行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根据建设单位提供的油墨、洗网水的MSDS（见附件十二），</w:t>
            </w:r>
            <w:r>
              <w:rPr>
                <w:rFonts w:hint="default" w:ascii="Times New Roman" w:hAnsi="Times New Roman" w:cs="Times New Roman"/>
                <w:bCs/>
                <w:color w:val="000000" w:themeColor="text1"/>
                <w:sz w:val="24"/>
                <w:szCs w:val="24"/>
                <w:lang w:val="en-US" w:eastAsia="zh-CN"/>
                <w14:textFill>
                  <w14:solidFill>
                    <w14:schemeClr w14:val="tx1"/>
                  </w14:solidFill>
                </w14:textFill>
              </w:rPr>
              <w:t>以挥发性成分100%挥发考虑，则</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油墨、洗网水挥发率分别为35%、100%，设计油墨、洗网水年用量分别为0.072t、0.18t，以油墨、洗网水中VOC全部挥发计，则VOC（以非甲烷总烃计）产生量为0.205t/a，其中甲苯0.18t/a。丝印烘干废气经集气罩收集后与电泳废气一同采用“水喷淋+干式过滤+活性炭吸附”处理后，由1根15m高排气筒（DA004）排放，未能捕集到的VOC</w:t>
            </w:r>
            <w:r>
              <w:rPr>
                <w:rFonts w:hint="eastAsia" w:ascii="Times New Roman" w:hAnsi="Times New Roman" w:cs="Times New Roman"/>
                <w:color w:val="000000" w:themeColor="text1"/>
                <w:sz w:val="24"/>
                <w:szCs w:val="24"/>
                <w:highlight w:val="none"/>
                <w:vertAlign w:val="subscript"/>
                <w:lang w:val="en-US" w:eastAsia="zh-CN"/>
                <w14:textFill>
                  <w14:solidFill>
                    <w14:schemeClr w14:val="tx1"/>
                  </w14:solidFill>
                </w14:textFill>
              </w:rPr>
              <w:t>S</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在车间无组织排放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852D50A">
            <w:pPr>
              <w:pStyle w:val="93"/>
              <w:ind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11</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）热水锅炉废气</w:t>
            </w:r>
          </w:p>
          <w:p w14:paraId="4A66ED63">
            <w:pPr>
              <w:spacing w:line="360" w:lineRule="auto"/>
              <w:ind w:firstLine="480" w:firstLineChars="200"/>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项目配套</w:t>
            </w:r>
            <w:r>
              <w:rPr>
                <w:rFonts w:hint="eastAsia" w:ascii="Times New Roman" w:hAnsi="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olor w:val="000000" w:themeColor="text1"/>
                <w:sz w:val="24"/>
                <w:szCs w:val="24"/>
                <w14:textFill>
                  <w14:solidFill>
                    <w14:schemeClr w14:val="tx1"/>
                  </w14:solidFill>
                </w14:textFill>
              </w:rPr>
              <w:t>台</w:t>
            </w:r>
            <w:r>
              <w:rPr>
                <w:rFonts w:hint="eastAsia" w:ascii="Times New Roman" w:hAnsi="Times New Roman"/>
                <w:color w:val="000000" w:themeColor="text1"/>
                <w:sz w:val="24"/>
                <w:szCs w:val="24"/>
                <w:lang w:val="en-US" w:eastAsia="zh-CN"/>
                <w14:textFill>
                  <w14:solidFill>
                    <w14:schemeClr w14:val="tx1"/>
                  </w14:solidFill>
                </w14:textFill>
              </w:rPr>
              <w:t>1.2MW</w:t>
            </w:r>
            <w:r>
              <w:rPr>
                <w:rFonts w:hint="eastAsia" w:ascii="Times New Roman" w:hAnsi="Times New Roman" w:eastAsia="宋体"/>
                <w:color w:val="000000" w:themeColor="text1"/>
                <w:sz w:val="24"/>
                <w:szCs w:val="24"/>
                <w:lang w:eastAsia="zh-CN"/>
                <w14:textFill>
                  <w14:solidFill>
                    <w14:schemeClr w14:val="tx1"/>
                  </w14:solidFill>
                </w14:textFill>
              </w:rPr>
              <w:t>天然气</w:t>
            </w:r>
            <w:r>
              <w:rPr>
                <w:rFonts w:hint="eastAsia" w:ascii="Times New Roman" w:hAnsi="Times New Roman"/>
                <w:color w:val="000000" w:themeColor="text1"/>
                <w:sz w:val="24"/>
                <w:szCs w:val="24"/>
                <w:lang w:val="en-US" w:eastAsia="zh-CN"/>
                <w14:textFill>
                  <w14:solidFill>
                    <w14:schemeClr w14:val="tx1"/>
                  </w14:solidFill>
                </w14:textFill>
              </w:rPr>
              <w:t>热水</w:t>
            </w:r>
            <w:r>
              <w:rPr>
                <w:rFonts w:hint="eastAsia" w:ascii="Times New Roman" w:hAnsi="Times New Roman" w:eastAsia="宋体"/>
                <w:color w:val="000000" w:themeColor="text1"/>
                <w:sz w:val="24"/>
                <w:szCs w:val="24"/>
                <w14:textFill>
                  <w14:solidFill>
                    <w14:schemeClr w14:val="tx1"/>
                  </w14:solidFill>
                </w14:textFill>
              </w:rPr>
              <w:t>锅炉</w:t>
            </w:r>
            <w:r>
              <w:rPr>
                <w:rFonts w:hint="eastAsia"/>
                <w:color w:val="000000" w:themeColor="text1"/>
                <w:sz w:val="24"/>
                <w:szCs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为2#厂房前处理线提供热水，</w:t>
            </w:r>
            <w:r>
              <w:rPr>
                <w:rFonts w:hint="eastAsia"/>
                <w:color w:val="000000" w:themeColor="text1"/>
                <w:sz w:val="24"/>
                <w:szCs w:val="24"/>
                <w:lang w:eastAsia="zh-CN"/>
                <w14:textFill>
                  <w14:solidFill>
                    <w14:schemeClr w14:val="tx1"/>
                  </w14:solidFill>
                </w14:textFill>
              </w:rPr>
              <w:t>锅炉</w:t>
            </w:r>
            <w:r>
              <w:rPr>
                <w:rFonts w:hint="eastAsia" w:ascii="Times New Roman" w:hAnsi="Times New Roman" w:eastAsia="宋体"/>
                <w:color w:val="000000" w:themeColor="text1"/>
                <w:sz w:val="24"/>
                <w:szCs w:val="24"/>
                <w14:textFill>
                  <w14:solidFill>
                    <w14:schemeClr w14:val="tx1"/>
                  </w14:solidFill>
                </w14:textFill>
              </w:rPr>
              <w:t>年运行时长</w:t>
            </w:r>
            <w:r>
              <w:rPr>
                <w:rFonts w:hint="eastAsia"/>
                <w:color w:val="000000" w:themeColor="text1"/>
                <w:sz w:val="24"/>
                <w:szCs w:val="24"/>
                <w:lang w:val="en-US" w:eastAsia="zh-CN"/>
                <w14:textFill>
                  <w14:solidFill>
                    <w14:schemeClr w14:val="tx1"/>
                  </w14:solidFill>
                </w14:textFill>
              </w:rPr>
              <w:t>300</w:t>
            </w:r>
            <w:r>
              <w:rPr>
                <w:rFonts w:hint="eastAsia" w:ascii="Times New Roman" w:hAnsi="Times New Roman" w:eastAsia="宋体"/>
                <w:color w:val="000000" w:themeColor="text1"/>
                <w:sz w:val="24"/>
                <w:szCs w:val="24"/>
                <w14:textFill>
                  <w14:solidFill>
                    <w14:schemeClr w14:val="tx1"/>
                  </w14:solidFill>
                </w14:textFill>
              </w:rPr>
              <w:t>h/a</w:t>
            </w:r>
            <w:r>
              <w:rPr>
                <w:rFonts w:hint="eastAsia"/>
                <w:color w:val="000000" w:themeColor="text1"/>
                <w:sz w:val="24"/>
                <w:szCs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300d，每天1h</w:t>
            </w:r>
            <w:r>
              <w:rPr>
                <w:rFonts w:hint="eastAsia"/>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，天然气用量约为</w:t>
            </w:r>
            <w:r>
              <w:rPr>
                <w:rFonts w:hint="eastAsia"/>
                <w:color w:val="000000" w:themeColor="text1"/>
                <w:sz w:val="24"/>
                <w:szCs w:val="24"/>
                <w:lang w:val="en-US" w:eastAsia="zh-CN"/>
                <w14:textFill>
                  <w14:solidFill>
                    <w14:schemeClr w14:val="tx1"/>
                  </w14:solidFill>
                </w14:textFill>
              </w:rPr>
              <w:t>6</w:t>
            </w:r>
            <w:r>
              <w:rPr>
                <w:rFonts w:hint="eastAsia" w:ascii="Times New Roman" w:hAnsi="Times New Roman" w:eastAsia="宋体"/>
                <w:color w:val="000000" w:themeColor="text1"/>
                <w:sz w:val="24"/>
                <w:szCs w:val="24"/>
                <w14:textFill>
                  <w14:solidFill>
                    <w14:schemeClr w14:val="tx1"/>
                  </w14:solidFill>
                </w14:textFill>
              </w:rPr>
              <w:t>万m</w:t>
            </w:r>
            <w:r>
              <w:rPr>
                <w:rFonts w:hint="eastAsia" w:ascii="Times New Roman" w:hAnsi="Times New Roman" w:eastAsia="宋体"/>
                <w:color w:val="000000" w:themeColor="text1"/>
                <w:sz w:val="24"/>
                <w:szCs w:val="24"/>
                <w:vertAlign w:val="superscript"/>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/年。天然气燃烧产生的废气中主要污染物为烟尘、二氧化硫、氮氧化物，</w:t>
            </w:r>
            <w:r>
              <w:rPr>
                <w:rFonts w:hint="eastAsia" w:ascii="Times New Roman" w:hAnsi="宋体" w:eastAsia="宋体" w:cs="Times New Roman"/>
                <w:color w:val="000000" w:themeColor="text1"/>
                <w:sz w:val="24"/>
                <w:szCs w:val="24"/>
                <w14:textFill>
                  <w14:solidFill>
                    <w14:schemeClr w14:val="tx1"/>
                  </w14:solidFill>
                </w14:textFill>
              </w:rPr>
              <w:t>经查阅《排放源统计调查产排污核算方法和系数手册》，对照“4430</w:t>
            </w:r>
            <w:r>
              <w:rPr>
                <w:rFonts w:hint="eastAsia" w:ascii="Times New Roman" w:hAnsi="宋体" w:eastAsia="宋体" w:cs="Times New Roman"/>
                <w:color w:val="000000" w:themeColor="text1"/>
                <w:sz w:val="24"/>
                <w:szCs w:val="24"/>
                <w:lang w:val="en-US" w:eastAsia="zh-CN"/>
                <w14:textFill>
                  <w14:solidFill>
                    <w14:schemeClr w14:val="tx1"/>
                  </w14:solidFill>
                </w14:textFill>
              </w:rPr>
              <w:t>工业</w:t>
            </w:r>
            <w:r>
              <w:rPr>
                <w:rFonts w:hint="eastAsia" w:ascii="Times New Roman" w:hAnsi="宋体" w:eastAsia="宋体" w:cs="Times New Roman"/>
                <w:color w:val="000000" w:themeColor="text1"/>
                <w:sz w:val="24"/>
                <w:szCs w:val="24"/>
                <w14:textFill>
                  <w14:solidFill>
                    <w14:schemeClr w14:val="tx1"/>
                  </w14:solidFill>
                </w14:textFill>
              </w:rPr>
              <w:t>锅炉</w:t>
            </w:r>
            <w:r>
              <w:rPr>
                <w:rFonts w:hint="eastAsia" w:ascii="Times New Roman" w:hAnsi="宋体" w:eastAsia="宋体" w:cs="Times New Roman"/>
                <w:color w:val="000000" w:themeColor="text1"/>
                <w:sz w:val="24"/>
                <w:szCs w:val="24"/>
                <w:lang w:eastAsia="zh-CN"/>
                <w14:textFill>
                  <w14:solidFill>
                    <w14:schemeClr w14:val="tx1"/>
                  </w14:solidFill>
                </w14:textFill>
              </w:rPr>
              <w:t>（</w:t>
            </w:r>
            <w:r>
              <w:rPr>
                <w:rFonts w:hint="eastAsia" w:ascii="Times New Roman" w:hAnsi="宋体" w:eastAsia="宋体" w:cs="Times New Roman"/>
                <w:color w:val="000000" w:themeColor="text1"/>
                <w:sz w:val="24"/>
                <w:szCs w:val="24"/>
                <w:lang w:val="en-US" w:eastAsia="zh-CN"/>
                <w14:textFill>
                  <w14:solidFill>
                    <w14:schemeClr w14:val="tx1"/>
                  </w14:solidFill>
                </w14:textFill>
              </w:rPr>
              <w:t>热力生产和供应行业</w:t>
            </w:r>
            <w:r>
              <w:rPr>
                <w:rFonts w:hint="eastAsia" w:ascii="Times New Roman" w:hAnsi="宋体" w:eastAsia="宋体" w:cs="Times New Roman"/>
                <w:color w:val="000000" w:themeColor="text1"/>
                <w:sz w:val="24"/>
                <w:szCs w:val="24"/>
                <w:lang w:eastAsia="zh-CN"/>
                <w14:textFill>
                  <w14:solidFill>
                    <w14:schemeClr w14:val="tx1"/>
                  </w14:solidFill>
                </w14:textFill>
              </w:rPr>
              <w:t>）</w:t>
            </w:r>
            <w:r>
              <w:rPr>
                <w:rFonts w:hint="eastAsia" w:ascii="Times New Roman" w:hAnsi="宋体" w:eastAsia="宋体" w:cs="Times New Roman"/>
                <w:color w:val="000000" w:themeColor="text1"/>
                <w:sz w:val="24"/>
                <w:szCs w:val="24"/>
                <w14:textFill>
                  <w14:solidFill>
                    <w14:schemeClr w14:val="tx1"/>
                  </w14:solidFill>
                </w14:textFill>
              </w:rPr>
              <w:t>产排污系数手册”</w:t>
            </w:r>
            <w:r>
              <w:rPr>
                <w:rFonts w:hint="eastAsia" w:ascii="Times New Roman" w:hAnsi="宋体" w:eastAsia="宋体" w:cs="Times New Roman"/>
                <w:color w:val="000000" w:themeColor="text1"/>
                <w:sz w:val="24"/>
                <w:szCs w:val="24"/>
                <w:lang w:eastAsia="zh-CN"/>
                <w14:textFill>
                  <w14:solidFill>
                    <w14:schemeClr w14:val="tx1"/>
                  </w14:solidFill>
                </w14:textFill>
              </w:rPr>
              <w:t>，</w:t>
            </w:r>
            <w:r>
              <w:rPr>
                <w:rFonts w:hint="eastAsia" w:ascii="Times New Roman" w:hAnsi="宋体" w:eastAsia="宋体" w:cs="Times New Roman"/>
                <w:color w:val="000000" w:themeColor="text1"/>
                <w:sz w:val="24"/>
                <w:szCs w:val="24"/>
                <w14:textFill>
                  <w14:solidFill>
                    <w14:schemeClr w14:val="tx1"/>
                  </w14:solidFill>
                </w14:textFill>
              </w:rPr>
              <w:t>SO</w:t>
            </w:r>
            <w:r>
              <w:rPr>
                <w:rFonts w:hint="eastAsia" w:ascii="Times New Roman" w:hAnsi="宋体" w:eastAsia="宋体" w:cs="Times New Roman"/>
                <w:color w:val="000000" w:themeColor="text1"/>
                <w:sz w:val="24"/>
                <w:szCs w:val="24"/>
                <w:vertAlign w:val="subscript"/>
                <w14:textFill>
                  <w14:solidFill>
                    <w14:schemeClr w14:val="tx1"/>
                  </w14:solidFill>
                </w14:textFill>
              </w:rPr>
              <w:t>2</w:t>
            </w:r>
            <w:r>
              <w:rPr>
                <w:rFonts w:hint="eastAsia" w:ascii="Times New Roman" w:hAnsi="宋体" w:eastAsia="宋体" w:cs="Times New Roman"/>
                <w:color w:val="000000" w:themeColor="text1"/>
                <w:sz w:val="24"/>
                <w:szCs w:val="24"/>
                <w14:textFill>
                  <w14:solidFill>
                    <w14:schemeClr w14:val="tx1"/>
                  </w14:solidFill>
                </w14:textFill>
              </w:rPr>
              <w:t>的产污系数为0.02Skg/万m</w:t>
            </w:r>
            <w:r>
              <w:rPr>
                <w:rFonts w:hint="eastAsia" w:ascii="Times New Roman" w:hAnsi="宋体" w:eastAsia="宋体" w:cs="Times New Roman"/>
                <w:color w:val="000000" w:themeColor="text1"/>
                <w:sz w:val="24"/>
                <w:szCs w:val="24"/>
                <w:vertAlign w:val="superscript"/>
                <w14:textFill>
                  <w14:solidFill>
                    <w14:schemeClr w14:val="tx1"/>
                  </w14:solidFill>
                </w14:textFill>
              </w:rPr>
              <w:t>3</w:t>
            </w:r>
            <w:r>
              <w:rPr>
                <w:rFonts w:hint="eastAsia" w:ascii="Times New Roman" w:hAnsi="宋体" w:eastAsia="宋体" w:cs="Times New Roman"/>
                <w:color w:val="000000" w:themeColor="text1"/>
                <w:sz w:val="24"/>
                <w:szCs w:val="24"/>
                <w14:textFill>
                  <w14:solidFill>
                    <w14:schemeClr w14:val="tx1"/>
                  </w14:solidFill>
                </w14:textFill>
              </w:rPr>
              <w:t>原料（其中S为天然气中基硫分含量</w:t>
            </w:r>
            <w:r>
              <w:rPr>
                <w:rFonts w:hint="eastAsia" w:ascii="Times New Roman" w:hAnsi="宋体" w:eastAsia="宋体" w:cs="Times New Roman"/>
                <w:color w:val="000000" w:themeColor="text1"/>
                <w:sz w:val="24"/>
                <w:szCs w:val="24"/>
                <w:lang w:eastAsia="zh-CN"/>
                <w14:textFill>
                  <w14:solidFill>
                    <w14:schemeClr w14:val="tx1"/>
                  </w14:solidFill>
                </w14:textFill>
              </w:rPr>
              <w:t>）；</w:t>
            </w:r>
            <w:r>
              <w:rPr>
                <w:rFonts w:hint="eastAsia" w:ascii="Times New Roman" w:hAnsi="宋体" w:eastAsia="宋体" w:cs="Times New Roman"/>
                <w:color w:val="000000" w:themeColor="text1"/>
                <w:sz w:val="24"/>
                <w:szCs w:val="24"/>
                <w14:textFill>
                  <w14:solidFill>
                    <w14:schemeClr w14:val="tx1"/>
                  </w14:solidFill>
                </w14:textFill>
              </w:rPr>
              <w:t>根据建设单位提供的锅炉系统设计说明书，企业拟</w:t>
            </w:r>
            <w:r>
              <w:rPr>
                <w:rFonts w:hint="eastAsia" w:ascii="Times New Roman" w:hAnsi="宋体" w:eastAsia="宋体" w:cs="Times New Roman"/>
                <w:color w:val="000000" w:themeColor="text1"/>
                <w:sz w:val="24"/>
                <w:szCs w:val="24"/>
                <w:lang w:val="en-US" w:eastAsia="zh-CN"/>
                <w14:textFill>
                  <w14:solidFill>
                    <w14:schemeClr w14:val="tx1"/>
                  </w14:solidFill>
                </w14:textFill>
              </w:rPr>
              <w:t>配套</w:t>
            </w:r>
            <w:r>
              <w:rPr>
                <w:rFonts w:hint="eastAsia" w:ascii="Times New Roman" w:hAnsi="宋体" w:eastAsia="宋体" w:cs="Times New Roman"/>
                <w:color w:val="000000" w:themeColor="text1"/>
                <w:sz w:val="24"/>
                <w:szCs w:val="24"/>
                <w14:textFill>
                  <w14:solidFill>
                    <w14:schemeClr w14:val="tx1"/>
                  </w14:solidFill>
                </w14:textFill>
              </w:rPr>
              <w:t>超低氮燃烧器，NO</w:t>
            </w:r>
            <w:r>
              <w:rPr>
                <w:rFonts w:hint="eastAsia" w:ascii="Times New Roman" w:hAnsi="宋体" w:eastAsia="宋体" w:cs="Times New Roman"/>
                <w:color w:val="000000" w:themeColor="text1"/>
                <w:sz w:val="24"/>
                <w:szCs w:val="24"/>
                <w:vertAlign w:val="subscript"/>
                <w14:textFill>
                  <w14:solidFill>
                    <w14:schemeClr w14:val="tx1"/>
                  </w14:solidFill>
                </w14:textFill>
              </w:rPr>
              <w:t>X</w:t>
            </w:r>
            <w:r>
              <w:rPr>
                <w:rFonts w:hint="eastAsia" w:ascii="Times New Roman" w:hAnsi="宋体" w:eastAsia="宋体" w:cs="Times New Roman"/>
                <w:color w:val="000000" w:themeColor="text1"/>
                <w:sz w:val="24"/>
                <w:szCs w:val="24"/>
                <w14:textFill>
                  <w14:solidFill>
                    <w14:schemeClr w14:val="tx1"/>
                  </w14:solidFill>
                </w14:textFill>
              </w:rPr>
              <w:t>产污系数取</w:t>
            </w:r>
            <w:r>
              <w:rPr>
                <w:rFonts w:hint="eastAsia" w:ascii="Times New Roman" w:hAnsi="宋体" w:cs="Times New Roman"/>
                <w:color w:val="000000" w:themeColor="text1"/>
                <w:sz w:val="24"/>
                <w:szCs w:val="24"/>
                <w:lang w:val="en-US" w:eastAsia="zh-CN"/>
                <w14:textFill>
                  <w14:solidFill>
                    <w14:schemeClr w14:val="tx1"/>
                  </w14:solidFill>
                </w14:textFill>
              </w:rPr>
              <w:t>15.87</w:t>
            </w:r>
            <w:r>
              <w:rPr>
                <w:rFonts w:hint="eastAsia" w:ascii="Times New Roman" w:hAnsi="宋体" w:eastAsia="宋体" w:cs="Times New Roman"/>
                <w:color w:val="000000" w:themeColor="text1"/>
                <w:sz w:val="24"/>
                <w:szCs w:val="24"/>
                <w14:textFill>
                  <w14:solidFill>
                    <w14:schemeClr w14:val="tx1"/>
                  </w14:solidFill>
                </w14:textFill>
              </w:rPr>
              <w:t>（低氮燃烧，</w:t>
            </w:r>
            <w:r>
              <w:rPr>
                <w:rFonts w:hint="eastAsia" w:ascii="Times New Roman" w:hAnsi="宋体" w:eastAsia="宋体" w:cs="Times New Roman"/>
                <w:color w:val="000000" w:themeColor="text1"/>
                <w:sz w:val="24"/>
                <w:szCs w:val="24"/>
                <w:lang w:val="en-US" w:eastAsia="zh-CN"/>
                <w14:textFill>
                  <w14:solidFill>
                    <w14:schemeClr w14:val="tx1"/>
                  </w14:solidFill>
                </w14:textFill>
              </w:rPr>
              <w:t>国内</w:t>
            </w:r>
            <w:r>
              <w:rPr>
                <w:rFonts w:hint="eastAsia" w:ascii="Times New Roman" w:hAnsi="宋体" w:cs="Times New Roman"/>
                <w:color w:val="000000" w:themeColor="text1"/>
                <w:sz w:val="24"/>
                <w:szCs w:val="24"/>
                <w:lang w:val="en-US" w:eastAsia="zh-CN"/>
                <w14:textFill>
                  <w14:solidFill>
                    <w14:schemeClr w14:val="tx1"/>
                  </w14:solidFill>
                </w14:textFill>
              </w:rPr>
              <w:t>一般</w:t>
            </w:r>
            <w:r>
              <w:rPr>
                <w:rFonts w:hint="eastAsia" w:ascii="Times New Roman" w:hAnsi="宋体" w:eastAsia="宋体" w:cs="Times New Roman"/>
                <w:color w:val="000000" w:themeColor="text1"/>
                <w:sz w:val="24"/>
                <w:szCs w:val="24"/>
                <w14:textFill>
                  <w14:solidFill>
                    <w14:schemeClr w14:val="tx1"/>
                  </w14:solidFill>
                </w14:textFill>
              </w:rPr>
              <w:t>）kg/万m³原料</w:t>
            </w:r>
            <w:r>
              <w:rPr>
                <w:rFonts w:hint="eastAsia" w:ascii="Times New Roman" w:hAnsi="宋体" w:eastAsia="宋体" w:cs="Times New Roman"/>
                <w:color w:val="000000" w:themeColor="text1"/>
                <w:sz w:val="24"/>
                <w:szCs w:val="24"/>
                <w:lang w:eastAsia="zh-CN"/>
                <w14:textFill>
                  <w14:solidFill>
                    <w14:schemeClr w14:val="tx1"/>
                  </w14:solidFill>
                </w14:textFill>
              </w:rPr>
              <w:t>；</w:t>
            </w:r>
            <w:r>
              <w:rPr>
                <w:rFonts w:hint="eastAsia" w:ascii="Times New Roman" w:hAnsi="宋体" w:eastAsia="宋体" w:cs="Times New Roman"/>
                <w:color w:val="000000" w:themeColor="text1"/>
                <w:sz w:val="24"/>
                <w:szCs w:val="24"/>
                <w14:textFill>
                  <w14:solidFill>
                    <w14:schemeClr w14:val="tx1"/>
                  </w14:solidFill>
                </w14:textFill>
              </w:rPr>
              <w:t>颗粒物的产污系数参照</w:t>
            </w:r>
            <w:r>
              <w:rPr>
                <w:rFonts w:hint="eastAsia" w:hAnsi="宋体" w:eastAsia="宋体"/>
                <w:color w:val="000000" w:themeColor="text1"/>
                <w:kern w:val="0"/>
                <w:sz w:val="24"/>
                <w:szCs w:val="24"/>
                <w14:textFill>
                  <w14:solidFill>
                    <w14:schemeClr w14:val="tx1"/>
                  </w14:solidFill>
                </w14:textFill>
              </w:rPr>
              <w:t>《纳入排污许可管理的火电等</w:t>
            </w:r>
            <w:r>
              <w:rPr>
                <w:rFonts w:hAnsi="宋体" w:eastAsia="宋体"/>
                <w:color w:val="000000" w:themeColor="text1"/>
                <w:kern w:val="0"/>
                <w:sz w:val="24"/>
                <w:szCs w:val="24"/>
                <w14:textFill>
                  <w14:solidFill>
                    <w14:schemeClr w14:val="tx1"/>
                  </w14:solidFill>
                </w14:textFill>
              </w:rPr>
              <w:t>17</w:t>
            </w:r>
            <w:r>
              <w:rPr>
                <w:rFonts w:hint="eastAsia" w:hAnsi="宋体" w:eastAsia="宋体"/>
                <w:color w:val="000000" w:themeColor="text1"/>
                <w:kern w:val="0"/>
                <w:sz w:val="24"/>
                <w:szCs w:val="24"/>
                <w14:textFill>
                  <w14:solidFill>
                    <w14:schemeClr w14:val="tx1"/>
                  </w14:solidFill>
                </w14:textFill>
              </w:rPr>
              <w:t>个行业污染物实际排放量计算方法》中火电行业产污系数</w:t>
            </w:r>
            <w:r>
              <w:rPr>
                <w:rFonts w:hint="eastAsia" w:ascii="Times New Roman" w:hAnsi="宋体" w:eastAsia="宋体" w:cs="Times New Roman"/>
                <w:color w:val="000000" w:themeColor="text1"/>
                <w:sz w:val="24"/>
                <w:szCs w:val="24"/>
                <w14:textFill>
                  <w14:solidFill>
                    <w14:schemeClr w14:val="tx1"/>
                  </w14:solidFill>
                </w14:textFill>
              </w:rPr>
              <w:t>，取</w:t>
            </w:r>
            <w:r>
              <w:rPr>
                <w:color w:val="000000" w:themeColor="text1"/>
                <w:sz w:val="24"/>
                <w:szCs w:val="24"/>
                <w14:textFill>
                  <w14:solidFill>
                    <w14:schemeClr w14:val="tx1"/>
                  </w14:solidFill>
                </w14:textFill>
              </w:rPr>
              <w:t>103.9</w:t>
            </w:r>
            <w:r>
              <w:rPr>
                <w:rFonts w:hint="eastAsia" w:ascii="Times New Roman" w:hAnsi="宋体" w:eastAsia="宋体" w:cs="Times New Roman"/>
                <w:color w:val="000000" w:themeColor="text1"/>
                <w:sz w:val="24"/>
                <w:szCs w:val="24"/>
                <w:lang w:val="en-US" w:eastAsia="zh-CN"/>
                <w14:textFill>
                  <w14:solidFill>
                    <w14:schemeClr w14:val="tx1"/>
                  </w14:solidFill>
                </w14:textFill>
              </w:rPr>
              <w:t>m</w:t>
            </w:r>
            <w:r>
              <w:rPr>
                <w:rFonts w:hint="eastAsia" w:ascii="Times New Roman" w:hAnsi="宋体" w:eastAsia="宋体" w:cs="Times New Roman"/>
                <w:color w:val="000000" w:themeColor="text1"/>
                <w:sz w:val="24"/>
                <w:szCs w:val="24"/>
                <w14:textFill>
                  <w14:solidFill>
                    <w14:schemeClr w14:val="tx1"/>
                  </w14:solidFill>
                </w14:textFill>
              </w:rPr>
              <w:t>g/m³原料</w:t>
            </w:r>
            <w:r>
              <w:rPr>
                <w:rFonts w:hint="eastAsia" w:ascii="Times New Roman" w:hAnsi="宋体" w:eastAsia="宋体" w:cs="Times New Roman"/>
                <w:color w:val="000000" w:themeColor="text1"/>
                <w:sz w:val="24"/>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具体产污系数见表4.2-</w:t>
            </w:r>
            <w:r>
              <w:rPr>
                <w:rFonts w:hint="eastAsia" w:ascii="Times New Roman" w:hAnsi="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olor w:val="000000" w:themeColor="text1"/>
                <w:sz w:val="24"/>
                <w:szCs w:val="24"/>
                <w:lang w:val="en-US" w:eastAsia="zh-CN"/>
                <w14:textFill>
                  <w14:solidFill>
                    <w14:schemeClr w14:val="tx1"/>
                  </w14:solidFill>
                </w14:textFill>
              </w:rPr>
              <w:t>。</w:t>
            </w:r>
          </w:p>
          <w:p w14:paraId="37E4622D">
            <w:pPr>
              <w:pStyle w:val="29"/>
              <w:spacing w:after="0"/>
              <w:ind w:left="0" w:leftChars="0" w:firstLine="0" w:firstLineChars="0"/>
              <w:jc w:val="center"/>
              <w:rPr>
                <w:rFonts w:hint="eastAsia"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w:t>
            </w:r>
            <w:r>
              <w:rPr>
                <w:rFonts w:hint="eastAsia" w:ascii="Times New Roman" w:hAnsi="Times New Roman" w:eastAsia="宋体"/>
                <w:b/>
                <w:bCs/>
                <w:color w:val="000000" w:themeColor="text1"/>
                <w:sz w:val="24"/>
                <w:szCs w:val="24"/>
                <w14:textFill>
                  <w14:solidFill>
                    <w14:schemeClr w14:val="tx1"/>
                  </w14:solidFill>
                </w14:textFill>
              </w:rPr>
              <w:t>4.2-</w:t>
            </w:r>
            <w:r>
              <w:rPr>
                <w:rFonts w:hint="eastAsia" w:ascii="Times New Roman" w:hAnsi="Times New Roman" w:eastAsia="宋体"/>
                <w:b/>
                <w:bCs/>
                <w:color w:val="000000" w:themeColor="text1"/>
                <w:sz w:val="24"/>
                <w:szCs w:val="24"/>
                <w:lang w:val="en-US" w:eastAsia="zh-CN"/>
                <w14:textFill>
                  <w14:solidFill>
                    <w14:schemeClr w14:val="tx1"/>
                  </w14:solidFill>
                </w14:textFill>
              </w:rPr>
              <w:t>4</w:t>
            </w:r>
            <w:r>
              <w:rPr>
                <w:rFonts w:hint="eastAsia" w:ascii="Times New Roman" w:hAnsi="Times New Roman" w:eastAsia="宋体"/>
                <w:b/>
                <w:bCs/>
                <w:color w:val="000000" w:themeColor="text1"/>
                <w:sz w:val="24"/>
                <w:szCs w:val="24"/>
                <w14:textFill>
                  <w14:solidFill>
                    <w14:schemeClr w14:val="tx1"/>
                  </w14:solidFill>
                </w14:textFill>
              </w:rPr>
              <w:t xml:space="preserve"> 燃气锅炉废气产污系数表</w:t>
            </w:r>
          </w:p>
          <w:tbl>
            <w:tblPr>
              <w:tblStyle w:val="30"/>
              <w:tblW w:w="4998" w:type="pct"/>
              <w:tblInd w:w="0" w:type="dxa"/>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622"/>
              <w:gridCol w:w="2796"/>
              <w:gridCol w:w="2881"/>
            </w:tblGrid>
            <w:tr w14:paraId="5829CAE3">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4" w:type="dxa"/>
                  <w:noWrap w:val="0"/>
                  <w:vAlign w:val="center"/>
                </w:tcPr>
                <w:p w14:paraId="2510CC6A">
                  <w:pPr>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原料名称</w:t>
                  </w:r>
                </w:p>
              </w:tc>
              <w:tc>
                <w:tcPr>
                  <w:tcW w:w="1514" w:type="dxa"/>
                  <w:noWrap w:val="0"/>
                  <w:vAlign w:val="center"/>
                </w:tcPr>
                <w:p w14:paraId="1789DC5D">
                  <w:pPr>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污染物指标</w:t>
                  </w:r>
                </w:p>
              </w:tc>
              <w:tc>
                <w:tcPr>
                  <w:tcW w:w="2609" w:type="dxa"/>
                  <w:noWrap w:val="0"/>
                  <w:vAlign w:val="center"/>
                </w:tcPr>
                <w:p w14:paraId="37A466CB">
                  <w:pPr>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单位</w:t>
                  </w:r>
                </w:p>
              </w:tc>
              <w:tc>
                <w:tcPr>
                  <w:tcW w:w="2688" w:type="dxa"/>
                  <w:noWrap w:val="0"/>
                  <w:vAlign w:val="center"/>
                </w:tcPr>
                <w:p w14:paraId="498C5C0B">
                  <w:pPr>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产污系数</w:t>
                  </w:r>
                </w:p>
              </w:tc>
            </w:tr>
            <w:tr w14:paraId="66E91087">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074" w:type="dxa"/>
                  <w:vMerge w:val="restart"/>
                  <w:noWrap w:val="0"/>
                  <w:vAlign w:val="center"/>
                </w:tcPr>
                <w:p w14:paraId="6591A86D">
                  <w:pPr>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天然气</w:t>
                  </w:r>
                </w:p>
              </w:tc>
              <w:tc>
                <w:tcPr>
                  <w:tcW w:w="1514" w:type="dxa"/>
                  <w:noWrap w:val="0"/>
                  <w:vAlign w:val="center"/>
                </w:tcPr>
                <w:p w14:paraId="26279E1F">
                  <w:pPr>
                    <w:snapToGrid w:val="0"/>
                    <w:jc w:val="center"/>
                    <w:rPr>
                      <w:rFonts w:ascii="Times New Roman" w:hAnsi="Times New Roman" w:eastAsia="宋体"/>
                      <w:color w:val="000000" w:themeColor="text1"/>
                      <w:sz w:val="21"/>
                      <w:szCs w:val="21"/>
                      <w14:textFill>
                        <w14:solidFill>
                          <w14:schemeClr w14:val="tx1"/>
                        </w14:solidFill>
                      </w14:textFill>
                    </w:rPr>
                  </w:pPr>
                  <w:r>
                    <w:rPr>
                      <w:rFonts w:ascii="宋体" w:hAnsi="宋体"/>
                      <w:color w:val="000000" w:themeColor="text1"/>
                      <w14:textFill>
                        <w14:solidFill>
                          <w14:schemeClr w14:val="tx1"/>
                        </w14:solidFill>
                      </w14:textFill>
                    </w:rPr>
                    <w:t>工业废气量</w:t>
                  </w:r>
                </w:p>
              </w:tc>
              <w:tc>
                <w:tcPr>
                  <w:tcW w:w="2609" w:type="dxa"/>
                  <w:noWrap w:val="0"/>
                  <w:vAlign w:val="center"/>
                </w:tcPr>
                <w:p w14:paraId="6288354A">
                  <w:pPr>
                    <w:snapToGrid w:val="0"/>
                    <w:jc w:val="center"/>
                    <w:rPr>
                      <w:rFonts w:ascii="Times New Roman" w:hAnsi="Times New Roman" w:eastAsia="宋体"/>
                      <w:color w:val="000000" w:themeColor="text1"/>
                      <w:sz w:val="21"/>
                      <w:szCs w:val="21"/>
                      <w14:textFill>
                        <w14:solidFill>
                          <w14:schemeClr w14:val="tx1"/>
                        </w14:solidFill>
                      </w14:textFill>
                    </w:rPr>
                  </w:pPr>
                  <w:r>
                    <w:rPr>
                      <w:rFonts w:ascii="宋体" w:hAnsi="宋体"/>
                      <w:color w:val="000000" w:themeColor="text1"/>
                      <w14:textFill>
                        <w14:solidFill>
                          <w14:schemeClr w14:val="tx1"/>
                        </w14:solidFill>
                      </w14:textFill>
                    </w:rPr>
                    <w:t>标立方米</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万立方米</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原料</w:t>
                  </w:r>
                </w:p>
              </w:tc>
              <w:tc>
                <w:tcPr>
                  <w:tcW w:w="2688" w:type="dxa"/>
                  <w:noWrap w:val="0"/>
                  <w:vAlign w:val="center"/>
                </w:tcPr>
                <w:p w14:paraId="4ABDE1C1">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107753</w:t>
                  </w:r>
                </w:p>
              </w:tc>
            </w:tr>
            <w:tr w14:paraId="4FA3E7F4">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074" w:type="dxa"/>
                  <w:vMerge w:val="continue"/>
                  <w:noWrap w:val="0"/>
                  <w:vAlign w:val="center"/>
                </w:tcPr>
                <w:p w14:paraId="415AE0A6">
                  <w:pPr>
                    <w:jc w:val="center"/>
                    <w:rPr>
                      <w:rFonts w:hint="eastAsia" w:ascii="Times New Roman" w:hAnsi="Times New Roman" w:eastAsia="宋体"/>
                      <w:color w:val="000000" w:themeColor="text1"/>
                      <w:sz w:val="21"/>
                      <w:szCs w:val="21"/>
                      <w14:textFill>
                        <w14:solidFill>
                          <w14:schemeClr w14:val="tx1"/>
                        </w14:solidFill>
                      </w14:textFill>
                    </w:rPr>
                  </w:pPr>
                </w:p>
              </w:tc>
              <w:tc>
                <w:tcPr>
                  <w:tcW w:w="1514" w:type="dxa"/>
                  <w:noWrap w:val="0"/>
                  <w:vAlign w:val="center"/>
                </w:tcPr>
                <w:p w14:paraId="212E8496">
                  <w:pPr>
                    <w:snapToGrid w:val="0"/>
                    <w:jc w:val="center"/>
                    <w:rPr>
                      <w:rFonts w:ascii="Times New Roman" w:hAnsi="Times New Roman" w:eastAsia="宋体"/>
                      <w:color w:val="000000" w:themeColor="text1"/>
                      <w:sz w:val="21"/>
                      <w:szCs w:val="21"/>
                      <w14:textFill>
                        <w14:solidFill>
                          <w14:schemeClr w14:val="tx1"/>
                        </w14:solidFill>
                      </w14:textFill>
                    </w:rPr>
                  </w:pPr>
                  <w:r>
                    <w:rPr>
                      <w:rFonts w:ascii="宋体" w:hAnsi="宋体"/>
                      <w:color w:val="000000" w:themeColor="text1"/>
                      <w14:textFill>
                        <w14:solidFill>
                          <w14:schemeClr w14:val="tx1"/>
                        </w14:solidFill>
                      </w14:textFill>
                    </w:rPr>
                    <w:t>二氧化硫</w:t>
                  </w:r>
                </w:p>
              </w:tc>
              <w:tc>
                <w:tcPr>
                  <w:tcW w:w="2609" w:type="dxa"/>
                  <w:noWrap w:val="0"/>
                  <w:vAlign w:val="center"/>
                </w:tcPr>
                <w:p w14:paraId="643F6822">
                  <w:pPr>
                    <w:snapToGrid w:val="0"/>
                    <w:jc w:val="center"/>
                    <w:rPr>
                      <w:rFonts w:hint="eastAsia" w:ascii="Times New Roman" w:hAnsi="Times New Roman" w:eastAsia="宋体"/>
                      <w:color w:val="000000" w:themeColor="text1"/>
                      <w:sz w:val="21"/>
                      <w:szCs w:val="21"/>
                      <w14:textFill>
                        <w14:solidFill>
                          <w14:schemeClr w14:val="tx1"/>
                        </w14:solidFill>
                      </w14:textFill>
                    </w:rPr>
                  </w:pPr>
                  <w:r>
                    <w:rPr>
                      <w:rFonts w:ascii="宋体" w:hAnsi="宋体"/>
                      <w:color w:val="000000" w:themeColor="text1"/>
                      <w14:textFill>
                        <w14:solidFill>
                          <w14:schemeClr w14:val="tx1"/>
                        </w14:solidFill>
                      </w14:textFill>
                    </w:rPr>
                    <w:t>千克</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万立方米</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原料</w:t>
                  </w:r>
                </w:p>
              </w:tc>
              <w:tc>
                <w:tcPr>
                  <w:tcW w:w="2688" w:type="dxa"/>
                  <w:noWrap w:val="0"/>
                  <w:vAlign w:val="center"/>
                </w:tcPr>
                <w:p w14:paraId="13286B99">
                  <w:pPr>
                    <w:snapToGrid w:val="0"/>
                    <w:jc w:val="center"/>
                    <w:rPr>
                      <w:rFonts w:hint="eastAsia" w:ascii="Times New Roman" w:hAnsi="Times New Roman" w:eastAsia="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0.02</w:t>
                  </w:r>
                  <w:r>
                    <w:rPr>
                      <w:color w:val="000000" w:themeColor="text1"/>
                      <w14:textFill>
                        <w14:solidFill>
                          <w14:schemeClr w14:val="tx1"/>
                        </w14:solidFill>
                      </w14:textFill>
                    </w:rPr>
                    <w:t>S</w:t>
                  </w:r>
                  <w:r>
                    <w:rPr>
                      <w:rFonts w:hint="eastAsia" w:ascii="宋体" w:hAnsi="宋体"/>
                      <w:color w:val="000000" w:themeColor="text1"/>
                      <w:vertAlign w:val="superscript"/>
                      <w14:textFill>
                        <w14:solidFill>
                          <w14:schemeClr w14:val="tx1"/>
                        </w14:solidFill>
                      </w14:textFill>
                    </w:rPr>
                    <w:t>①</w:t>
                  </w:r>
                </w:p>
              </w:tc>
            </w:tr>
            <w:tr w14:paraId="39599F92">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4" w:type="dxa"/>
                  <w:vMerge w:val="continue"/>
                  <w:noWrap w:val="0"/>
                  <w:vAlign w:val="center"/>
                </w:tcPr>
                <w:p w14:paraId="24BFC4DE">
                  <w:pPr>
                    <w:jc w:val="center"/>
                    <w:rPr>
                      <w:rFonts w:ascii="Times New Roman" w:hAnsi="Times New Roman" w:eastAsia="宋体"/>
                      <w:color w:val="000000" w:themeColor="text1"/>
                      <w:sz w:val="21"/>
                      <w:szCs w:val="21"/>
                      <w14:textFill>
                        <w14:solidFill>
                          <w14:schemeClr w14:val="tx1"/>
                        </w14:solidFill>
                      </w14:textFill>
                    </w:rPr>
                  </w:pPr>
                </w:p>
              </w:tc>
              <w:tc>
                <w:tcPr>
                  <w:tcW w:w="1514" w:type="dxa"/>
                  <w:noWrap w:val="0"/>
                  <w:vAlign w:val="center"/>
                </w:tcPr>
                <w:p w14:paraId="4A2DD716">
                  <w:pPr>
                    <w:snapToGrid w:val="0"/>
                    <w:jc w:val="center"/>
                    <w:rPr>
                      <w:rFonts w:hint="eastAsia" w:ascii="Times New Roman" w:hAnsi="Times New Roman" w:eastAsia="宋体"/>
                      <w:color w:val="000000" w:themeColor="text1"/>
                      <w:sz w:val="21"/>
                      <w:szCs w:val="21"/>
                      <w14:textFill>
                        <w14:solidFill>
                          <w14:schemeClr w14:val="tx1"/>
                        </w14:solidFill>
                      </w14:textFill>
                    </w:rPr>
                  </w:pPr>
                  <w:r>
                    <w:rPr>
                      <w:rFonts w:ascii="宋体" w:hAnsi="宋体"/>
                      <w:color w:val="000000" w:themeColor="text1"/>
                      <w14:textFill>
                        <w14:solidFill>
                          <w14:schemeClr w14:val="tx1"/>
                        </w14:solidFill>
                      </w14:textFill>
                    </w:rPr>
                    <w:t>氮氧化物</w:t>
                  </w:r>
                </w:p>
              </w:tc>
              <w:tc>
                <w:tcPr>
                  <w:tcW w:w="2609" w:type="dxa"/>
                  <w:noWrap w:val="0"/>
                  <w:vAlign w:val="center"/>
                </w:tcPr>
                <w:p w14:paraId="6C744B20">
                  <w:pPr>
                    <w:snapToGrid w:val="0"/>
                    <w:jc w:val="center"/>
                    <w:rPr>
                      <w:rFonts w:ascii="Times New Roman" w:hAnsi="Times New Roman" w:eastAsia="宋体"/>
                      <w:color w:val="000000" w:themeColor="text1"/>
                      <w:sz w:val="21"/>
                      <w:szCs w:val="21"/>
                      <w14:textFill>
                        <w14:solidFill>
                          <w14:schemeClr w14:val="tx1"/>
                        </w14:solidFill>
                      </w14:textFill>
                    </w:rPr>
                  </w:pPr>
                  <w:r>
                    <w:rPr>
                      <w:rFonts w:ascii="宋体" w:hAnsi="宋体"/>
                      <w:color w:val="000000" w:themeColor="text1"/>
                      <w14:textFill>
                        <w14:solidFill>
                          <w14:schemeClr w14:val="tx1"/>
                        </w14:solidFill>
                      </w14:textFill>
                    </w:rPr>
                    <w:t>千克</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万立方米</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原料</w:t>
                  </w:r>
                </w:p>
              </w:tc>
              <w:tc>
                <w:tcPr>
                  <w:tcW w:w="2688" w:type="dxa"/>
                  <w:noWrap w:val="0"/>
                  <w:vAlign w:val="center"/>
                </w:tcPr>
                <w:p w14:paraId="6F9ADE44">
                  <w:pPr>
                    <w:snapToGrid w:val="0"/>
                    <w:jc w:val="center"/>
                    <w:rPr>
                      <w:rFonts w:ascii="Times New Roman" w:hAnsi="Times New Roman" w:eastAsia="宋体"/>
                      <w:color w:val="000000" w:themeColor="text1"/>
                      <w:sz w:val="21"/>
                      <w:szCs w:val="21"/>
                      <w14:textFill>
                        <w14:solidFill>
                          <w14:schemeClr w14:val="tx1"/>
                        </w14:solidFill>
                      </w14:textFill>
                    </w:rPr>
                  </w:pPr>
                  <w:r>
                    <w:rPr>
                      <w:rFonts w:hint="eastAsia"/>
                      <w:color w:val="000000" w:themeColor="text1"/>
                      <w:lang w:val="en-US" w:eastAsia="zh-CN"/>
                      <w14:textFill>
                        <w14:solidFill>
                          <w14:schemeClr w14:val="tx1"/>
                        </w14:solidFill>
                      </w14:textFill>
                    </w:rPr>
                    <w:t>6.97（低氮燃烧-国内领先）</w:t>
                  </w:r>
                </w:p>
              </w:tc>
            </w:tr>
            <w:tr w14:paraId="334E7C70">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074" w:type="dxa"/>
                  <w:vMerge w:val="continue"/>
                  <w:noWrap w:val="0"/>
                  <w:vAlign w:val="center"/>
                </w:tcPr>
                <w:p w14:paraId="1614D22D">
                  <w:pPr>
                    <w:jc w:val="center"/>
                    <w:rPr>
                      <w:rFonts w:ascii="Times New Roman" w:hAnsi="Times New Roman" w:eastAsia="宋体"/>
                      <w:color w:val="000000" w:themeColor="text1"/>
                      <w:sz w:val="21"/>
                      <w:szCs w:val="21"/>
                      <w14:textFill>
                        <w14:solidFill>
                          <w14:schemeClr w14:val="tx1"/>
                        </w14:solidFill>
                      </w14:textFill>
                    </w:rPr>
                  </w:pPr>
                </w:p>
              </w:tc>
              <w:tc>
                <w:tcPr>
                  <w:tcW w:w="1514" w:type="dxa"/>
                  <w:noWrap w:val="0"/>
                  <w:vAlign w:val="center"/>
                </w:tcPr>
                <w:p w14:paraId="65B0304B">
                  <w:pPr>
                    <w:snapToGrid w:val="0"/>
                    <w:jc w:val="center"/>
                    <w:rPr>
                      <w:rFonts w:hint="eastAsia" w:ascii="Times New Roman" w:hAnsi="Times New Roman" w:eastAsia="宋体"/>
                      <w:i/>
                      <w:iCs/>
                      <w:color w:val="000000" w:themeColor="text1"/>
                      <w:sz w:val="21"/>
                      <w:szCs w:val="21"/>
                      <w14:textFill>
                        <w14:solidFill>
                          <w14:schemeClr w14:val="tx1"/>
                        </w14:solidFill>
                      </w14:textFill>
                    </w:rPr>
                  </w:pPr>
                  <w:r>
                    <w:rPr>
                      <w:rFonts w:hint="eastAsia" w:ascii="宋体" w:hAnsi="宋体"/>
                      <w:color w:val="000000" w:themeColor="text1"/>
                      <w14:textFill>
                        <w14:solidFill>
                          <w14:schemeClr w14:val="tx1"/>
                        </w14:solidFill>
                      </w14:textFill>
                    </w:rPr>
                    <w:t>颗粒物</w:t>
                  </w:r>
                </w:p>
              </w:tc>
              <w:tc>
                <w:tcPr>
                  <w:tcW w:w="2609" w:type="dxa"/>
                  <w:noWrap w:val="0"/>
                  <w:vAlign w:val="center"/>
                </w:tcPr>
                <w:p w14:paraId="5918D568">
                  <w:pPr>
                    <w:jc w:val="center"/>
                    <w:rPr>
                      <w:rFonts w:ascii="Times New Roman" w:hAnsi="Times New Roman" w:eastAsia="宋体"/>
                      <w:color w:val="000000" w:themeColor="text1"/>
                      <w:sz w:val="21"/>
                      <w:szCs w:val="21"/>
                      <w14:textFill>
                        <w14:solidFill>
                          <w14:schemeClr w14:val="tx1"/>
                        </w14:solidFill>
                      </w14:textFill>
                    </w:rPr>
                  </w:pPr>
                  <w:r>
                    <w:rPr>
                      <w:rFonts w:hint="eastAsia" w:ascii="宋体" w:hAnsi="宋体"/>
                      <w:color w:val="000000" w:themeColor="text1"/>
                      <w14:textFill>
                        <w14:solidFill>
                          <w14:schemeClr w14:val="tx1"/>
                        </w14:solidFill>
                      </w14:textFill>
                    </w:rPr>
                    <w:t>毫克</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立方米</w:t>
                  </w:r>
                  <w:r>
                    <w:rPr>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原料</w:t>
                  </w:r>
                </w:p>
              </w:tc>
              <w:tc>
                <w:tcPr>
                  <w:tcW w:w="2688" w:type="dxa"/>
                  <w:noWrap w:val="0"/>
                  <w:vAlign w:val="center"/>
                </w:tcPr>
                <w:p w14:paraId="698AA245">
                  <w:pPr>
                    <w:jc w:val="center"/>
                    <w:rPr>
                      <w:rFonts w:ascii="Times New Roman" w:hAnsi="Times New Roman" w:eastAsia="宋体"/>
                      <w:color w:val="000000" w:themeColor="text1"/>
                      <w:sz w:val="21"/>
                      <w:szCs w:val="21"/>
                      <w14:textFill>
                        <w14:solidFill>
                          <w14:schemeClr w14:val="tx1"/>
                        </w14:solidFill>
                      </w14:textFill>
                    </w:rPr>
                  </w:pPr>
                  <w:r>
                    <w:rPr>
                      <w:color w:val="000000" w:themeColor="text1"/>
                      <w14:textFill>
                        <w14:solidFill>
                          <w14:schemeClr w14:val="tx1"/>
                        </w14:solidFill>
                      </w14:textFill>
                    </w:rPr>
                    <w:t>103.9</w:t>
                  </w:r>
                </w:p>
              </w:tc>
            </w:tr>
            <w:tr w14:paraId="758E5D8C">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885" w:type="dxa"/>
                  <w:gridSpan w:val="4"/>
                  <w:noWrap w:val="0"/>
                  <w:vAlign w:val="center"/>
                </w:tcPr>
                <w:p w14:paraId="4B0AB0CC">
                  <w:pPr>
                    <w:jc w:val="lef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注：</w:t>
                  </w:r>
                  <w:r>
                    <w:rPr>
                      <w:rFonts w:hint="eastAsia" w:ascii="Times New Roman" w:hAnsi="Times New Roman" w:eastAsia="宋体"/>
                      <w:color w:val="000000" w:themeColor="text1"/>
                      <w:sz w:val="21"/>
                      <w:szCs w:val="21"/>
                      <w14:textFill>
                        <w14:solidFill>
                          <w14:schemeClr w14:val="tx1"/>
                        </w14:solidFill>
                      </w14:textFill>
                    </w:rPr>
                    <w:t>①含硫量（S）是指气体燃料中的硫含量，单位为毫克/立方米。根据《天然气》（GB17820-2018）表1标准，天然气的总硫不大于100mg/m</w:t>
                  </w:r>
                  <w:r>
                    <w:rPr>
                      <w:rFonts w:hint="eastAsia" w:ascii="Times New Roman" w:hAnsi="Times New Roman" w:eastAsia="宋体"/>
                      <w:color w:val="000000" w:themeColor="text1"/>
                      <w:sz w:val="21"/>
                      <w:szCs w:val="21"/>
                      <w:vertAlign w:val="superscript"/>
                      <w14:textFill>
                        <w14:solidFill>
                          <w14:schemeClr w14:val="tx1"/>
                        </w14:solidFill>
                      </w14:textFill>
                    </w:rPr>
                    <w:t>3</w:t>
                  </w:r>
                  <w:r>
                    <w:rPr>
                      <w:rFonts w:hint="eastAsia" w:ascii="Times New Roman" w:hAnsi="Times New Roman" w:eastAsia="宋体"/>
                      <w:color w:val="000000" w:themeColor="text1"/>
                      <w:sz w:val="21"/>
                      <w:szCs w:val="21"/>
                      <w14:textFill>
                        <w14:solidFill>
                          <w14:schemeClr w14:val="tx1"/>
                        </w14:solidFill>
                      </w14:textFill>
                    </w:rPr>
                    <w:t>，本次环评取上限100mg/m</w:t>
                  </w:r>
                  <w:r>
                    <w:rPr>
                      <w:rFonts w:hint="eastAsia" w:ascii="Times New Roman" w:hAnsi="Times New Roman" w:eastAsia="宋体"/>
                      <w:color w:val="000000" w:themeColor="text1"/>
                      <w:sz w:val="21"/>
                      <w:szCs w:val="21"/>
                      <w:vertAlign w:val="superscript"/>
                      <w14:textFill>
                        <w14:solidFill>
                          <w14:schemeClr w14:val="tx1"/>
                        </w14:solidFill>
                      </w14:textFill>
                    </w:rPr>
                    <w:t>3</w:t>
                  </w:r>
                  <w:r>
                    <w:rPr>
                      <w:rFonts w:hint="eastAsia" w:ascii="Times New Roman" w:hAnsi="Times New Roman" w:eastAsia="宋体"/>
                      <w:color w:val="000000" w:themeColor="text1"/>
                      <w:sz w:val="21"/>
                      <w:szCs w:val="21"/>
                      <w14:textFill>
                        <w14:solidFill>
                          <w14:schemeClr w14:val="tx1"/>
                        </w14:solidFill>
                      </w14:textFill>
                    </w:rPr>
                    <w:t>。</w:t>
                  </w:r>
                </w:p>
              </w:tc>
            </w:tr>
          </w:tbl>
          <w:p w14:paraId="144E9CD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根据表4.2-</w:t>
            </w:r>
            <w:r>
              <w:rPr>
                <w:rFonts w:hint="eastAsia"/>
                <w:color w:val="000000" w:themeColor="text1"/>
                <w:sz w:val="24"/>
                <w:szCs w:val="24"/>
                <w:lang w:val="en-US" w:eastAsia="zh-CN"/>
                <w14:textFill>
                  <w14:solidFill>
                    <w14:schemeClr w14:val="tx1"/>
                  </w14:solidFill>
                </w14:textFill>
              </w:rPr>
              <w:t>4</w:t>
            </w:r>
            <w:r>
              <w:rPr>
                <w:rFonts w:hint="eastAsia" w:ascii="Times New Roman" w:hAnsi="Times New Roman" w:eastAsia="宋体"/>
                <w:color w:val="000000" w:themeColor="text1"/>
                <w:sz w:val="24"/>
                <w:szCs w:val="24"/>
                <w14:textFill>
                  <w14:solidFill>
                    <w14:schemeClr w14:val="tx1"/>
                  </w14:solidFill>
                </w14:textFill>
              </w:rPr>
              <w:t>计算，</w:t>
            </w:r>
            <w:r>
              <w:rPr>
                <w:rFonts w:hint="eastAsia" w:ascii="Times New Roman" w:hAnsi="Times New Roman"/>
                <w:color w:val="000000" w:themeColor="text1"/>
                <w:sz w:val="24"/>
                <w:szCs w:val="24"/>
                <w:lang w:val="en-US" w:eastAsia="zh-CN"/>
                <w14:textFill>
                  <w14:solidFill>
                    <w14:schemeClr w14:val="tx1"/>
                  </w14:solidFill>
                </w14:textFill>
              </w:rPr>
              <w:t>热水</w:t>
            </w:r>
            <w:r>
              <w:rPr>
                <w:rFonts w:hint="eastAsia" w:ascii="Times New Roman" w:hAnsi="Times New Roman" w:eastAsia="宋体"/>
                <w:color w:val="000000" w:themeColor="text1"/>
                <w:sz w:val="24"/>
                <w:szCs w:val="24"/>
                <w14:textFill>
                  <w14:solidFill>
                    <w14:schemeClr w14:val="tx1"/>
                  </w14:solidFill>
                </w14:textFill>
              </w:rPr>
              <w:t>锅炉废气</w:t>
            </w:r>
            <w:r>
              <w:rPr>
                <w:rFonts w:hint="eastAsia" w:ascii="Times New Roman" w:hAnsi="Times New Roman" w:eastAsia="宋体"/>
                <w:color w:val="000000" w:themeColor="text1"/>
                <w:sz w:val="24"/>
                <w:szCs w:val="24"/>
                <w:lang w:eastAsia="zh-CN"/>
                <w14:textFill>
                  <w14:solidFill>
                    <w14:schemeClr w14:val="tx1"/>
                  </w14:solidFill>
                </w14:textFill>
              </w:rPr>
              <w:t>中烟气产生量约为</w:t>
            </w:r>
            <w:r>
              <w:rPr>
                <w:rFonts w:hint="eastAsia"/>
                <w:color w:val="000000" w:themeColor="text1"/>
                <w:sz w:val="24"/>
                <w:szCs w:val="24"/>
                <w:lang w:val="en-US" w:eastAsia="zh-CN"/>
                <w14:textFill>
                  <w14:solidFill>
                    <w14:schemeClr w14:val="tx1"/>
                  </w14:solidFill>
                </w14:textFill>
              </w:rPr>
              <w:t>64.65</w:t>
            </w:r>
            <w:r>
              <w:rPr>
                <w:rFonts w:hint="eastAsia" w:ascii="Times New Roman" w:hAnsi="Times New Roman" w:eastAsia="宋体"/>
                <w:color w:val="000000" w:themeColor="text1"/>
                <w:sz w:val="24"/>
                <w:szCs w:val="24"/>
                <w:lang w:val="en-US" w:eastAsia="zh-CN"/>
                <w14:textFill>
                  <w14:solidFill>
                    <w14:schemeClr w14:val="tx1"/>
                  </w14:solidFill>
                </w14:textFill>
              </w:rPr>
              <w:t>万m</w:t>
            </w:r>
            <w:r>
              <w:rPr>
                <w:rFonts w:hint="eastAsia" w:ascii="Times New Roman" w:hAnsi="Times New Roman" w:eastAsia="宋体"/>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szCs w:val="24"/>
                <w:lang w:val="en-US" w:eastAsia="zh-CN"/>
                <w14:textFill>
                  <w14:solidFill>
                    <w14:schemeClr w14:val="tx1"/>
                  </w14:solidFill>
                </w14:textFill>
              </w:rPr>
              <w:t>/a，颗粒物产生量约为0.0</w:t>
            </w:r>
            <w:r>
              <w:rPr>
                <w:rFonts w:hint="eastAsia"/>
                <w:color w:val="000000" w:themeColor="text1"/>
                <w:sz w:val="24"/>
                <w:szCs w:val="24"/>
                <w:lang w:val="en-US" w:eastAsia="zh-CN"/>
                <w14:textFill>
                  <w14:solidFill>
                    <w14:schemeClr w14:val="tx1"/>
                  </w14:solidFill>
                </w14:textFill>
              </w:rPr>
              <w:t>09</w:t>
            </w:r>
            <w:r>
              <w:rPr>
                <w:rFonts w:hint="eastAsia" w:ascii="Times New Roman" w:hAnsi="Times New Roman" w:eastAsia="宋体"/>
                <w:color w:val="000000" w:themeColor="text1"/>
                <w:sz w:val="24"/>
                <w:szCs w:val="24"/>
                <w:lang w:val="en-US" w:eastAsia="zh-CN"/>
                <w14:textFill>
                  <w14:solidFill>
                    <w14:schemeClr w14:val="tx1"/>
                  </w14:solidFill>
                </w14:textFill>
              </w:rPr>
              <w:t>t/a，二氧化硫产生量约为</w:t>
            </w:r>
            <w:r>
              <w:rPr>
                <w:rFonts w:hint="eastAsia"/>
                <w:color w:val="000000" w:themeColor="text1"/>
                <w:sz w:val="24"/>
                <w:szCs w:val="24"/>
                <w:lang w:val="en-US" w:eastAsia="zh-CN"/>
                <w14:textFill>
                  <w14:solidFill>
                    <w14:schemeClr w14:val="tx1"/>
                  </w14:solidFill>
                </w14:textFill>
              </w:rPr>
              <w:t>0.012</w:t>
            </w:r>
            <w:r>
              <w:rPr>
                <w:rFonts w:hint="eastAsia" w:ascii="Times New Roman" w:hAnsi="Times New Roman" w:eastAsia="宋体"/>
                <w:color w:val="000000" w:themeColor="text1"/>
                <w:sz w:val="24"/>
                <w:szCs w:val="24"/>
                <w:lang w:val="en-US" w:eastAsia="zh-CN"/>
                <w14:textFill>
                  <w14:solidFill>
                    <w14:schemeClr w14:val="tx1"/>
                  </w14:solidFill>
                </w14:textFill>
              </w:rPr>
              <w:t>t/a，氮氧化物产生量约为</w:t>
            </w:r>
            <w:r>
              <w:rPr>
                <w:rFonts w:hint="eastAsia"/>
                <w:color w:val="000000" w:themeColor="text1"/>
                <w:sz w:val="24"/>
                <w:szCs w:val="24"/>
                <w:lang w:val="en-US" w:eastAsia="zh-CN"/>
                <w14:textFill>
                  <w14:solidFill>
                    <w14:schemeClr w14:val="tx1"/>
                  </w14:solidFill>
                </w14:textFill>
              </w:rPr>
              <w:t>0.042</w:t>
            </w:r>
            <w:r>
              <w:rPr>
                <w:rFonts w:hint="eastAsia" w:ascii="Times New Roman" w:hAnsi="Times New Roman" w:eastAsia="宋体"/>
                <w:color w:val="000000" w:themeColor="text1"/>
                <w:sz w:val="24"/>
                <w:szCs w:val="24"/>
                <w:lang w:val="en-US" w:eastAsia="zh-CN"/>
                <w14:textFill>
                  <w14:solidFill>
                    <w14:schemeClr w14:val="tx1"/>
                  </w14:solidFill>
                </w14:textFill>
              </w:rPr>
              <w:t>t/a。</w:t>
            </w:r>
          </w:p>
          <w:p w14:paraId="15C5E4D6">
            <w:pPr>
              <w:pStyle w:val="93"/>
              <w:ind w:firstLine="480"/>
              <w:jc w:val="both"/>
              <w:rPr>
                <w:rFonts w:hint="default"/>
                <w:color w:val="000000" w:themeColor="text1"/>
                <w:lang w:val="en-US"/>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）废气收集措施及可行性分析</w:t>
            </w:r>
          </w:p>
          <w:p w14:paraId="38B34F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项目废气产生点主要包括磷化槽、电泳槽、酸洗槽、钝化槽、</w:t>
            </w:r>
            <w:r>
              <w:rPr>
                <w:rFonts w:hint="eastAsia" w:cs="Times New Roman"/>
                <w:bCs/>
                <w:color w:val="000000" w:themeColor="text1"/>
                <w:sz w:val="24"/>
                <w:lang w:val="en-US" w:eastAsia="zh-CN"/>
                <w14:textFill>
                  <w14:solidFill>
                    <w14:schemeClr w14:val="tx1"/>
                  </w14:solidFill>
                </w14:textFill>
              </w:rPr>
              <w:t>脱漆槽、</w:t>
            </w:r>
            <w:r>
              <w:rPr>
                <w:rFonts w:hint="eastAsia" w:ascii="Times New Roman" w:hAnsi="Times New Roman" w:eastAsia="宋体" w:cs="Times New Roman"/>
                <w:bCs/>
                <w:color w:val="000000" w:themeColor="text1"/>
                <w:sz w:val="24"/>
                <w:lang w:val="en-US" w:eastAsia="zh-CN"/>
                <w14:textFill>
                  <w14:solidFill>
                    <w14:schemeClr w14:val="tx1"/>
                  </w14:solidFill>
                </w14:textFill>
              </w:rPr>
              <w:t>喷粉房、喷胶房、固化烘干室等，针对以上废气产生点，企业拟采取集气措施如下：</w:t>
            </w:r>
          </w:p>
          <w:p w14:paraId="1DF3ED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①</w:t>
            </w:r>
            <w:r>
              <w:rPr>
                <w:rFonts w:hint="eastAsia" w:cs="Times New Roman"/>
                <w:bCs/>
                <w:color w:val="000000" w:themeColor="text1"/>
                <w:sz w:val="24"/>
                <w:lang w:val="en-US" w:eastAsia="zh-CN"/>
                <w14:textFill>
                  <w14:solidFill>
                    <w14:schemeClr w14:val="tx1"/>
                  </w14:solidFill>
                </w14:textFill>
              </w:rPr>
              <w:t>电泳前处理线为封闭式生产线，</w:t>
            </w:r>
            <w:r>
              <w:rPr>
                <w:rFonts w:hint="eastAsia" w:ascii="Times New Roman" w:hAnsi="Times New Roman" w:eastAsia="宋体" w:cs="Times New Roman"/>
                <w:bCs/>
                <w:color w:val="000000" w:themeColor="text1"/>
                <w:sz w:val="24"/>
                <w:lang w:val="en-US" w:eastAsia="zh-CN"/>
                <w14:textFill>
                  <w14:solidFill>
                    <w14:schemeClr w14:val="tx1"/>
                  </w14:solidFill>
                </w14:textFill>
              </w:rPr>
              <w:t>只保留物料进出口，磷化槽设2个集气罩。钝化线为敞开式生产线，酸洗槽、钝化槽各设1个集气罩。</w:t>
            </w:r>
          </w:p>
          <w:p w14:paraId="054A49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②电泳线为封闭式生产线，</w:t>
            </w:r>
            <w:r>
              <w:rPr>
                <w:rFonts w:hint="eastAsia" w:ascii="Times New Roman" w:hAnsi="Times New Roman" w:eastAsia="宋体" w:cs="Times New Roman"/>
                <w:bCs/>
                <w:color w:val="000000" w:themeColor="text1"/>
                <w:sz w:val="24"/>
                <w:lang w:val="en-US" w:eastAsia="zh-CN"/>
                <w14:textFill>
                  <w14:solidFill>
                    <w14:schemeClr w14:val="tx1"/>
                  </w14:solidFill>
                </w14:textFill>
              </w:rPr>
              <w:t>只保留物料进出口，电泳槽设2个集气罩</w:t>
            </w:r>
            <w:r>
              <w:rPr>
                <w:rFonts w:hint="eastAsia" w:cs="Times New Roman"/>
                <w:bCs/>
                <w:color w:val="000000" w:themeColor="text1"/>
                <w:sz w:val="24"/>
                <w:lang w:val="en-US" w:eastAsia="zh-CN"/>
                <w14:textFill>
                  <w14:solidFill>
                    <w14:schemeClr w14:val="tx1"/>
                  </w14:solidFill>
                </w14:textFill>
              </w:rPr>
              <w:t>，脱漆槽</w:t>
            </w:r>
            <w:r>
              <w:rPr>
                <w:rFonts w:hint="eastAsia" w:ascii="Times New Roman" w:hAnsi="Times New Roman" w:eastAsia="宋体" w:cs="Times New Roman"/>
                <w:bCs/>
                <w:color w:val="000000" w:themeColor="text1"/>
                <w:sz w:val="24"/>
                <w:lang w:val="en-US" w:eastAsia="zh-CN"/>
                <w14:textFill>
                  <w14:solidFill>
                    <w14:schemeClr w14:val="tx1"/>
                  </w14:solidFill>
                </w14:textFill>
              </w:rPr>
              <w:t>设</w:t>
            </w:r>
            <w:r>
              <w:rPr>
                <w:rFonts w:hint="eastAsia" w:cs="Times New Roman"/>
                <w:bCs/>
                <w:color w:val="000000" w:themeColor="text1"/>
                <w:sz w:val="24"/>
                <w:lang w:val="en-US" w:eastAsia="zh-CN"/>
                <w14:textFill>
                  <w14:solidFill>
                    <w14:schemeClr w14:val="tx1"/>
                  </w14:solidFill>
                </w14:textFill>
              </w:rPr>
              <w:t>1</w:t>
            </w:r>
            <w:r>
              <w:rPr>
                <w:rFonts w:hint="eastAsia" w:ascii="Times New Roman" w:hAnsi="Times New Roman" w:eastAsia="宋体" w:cs="Times New Roman"/>
                <w:bCs/>
                <w:color w:val="000000" w:themeColor="text1"/>
                <w:sz w:val="24"/>
                <w:lang w:val="en-US" w:eastAsia="zh-CN"/>
                <w14:textFill>
                  <w14:solidFill>
                    <w14:schemeClr w14:val="tx1"/>
                  </w14:solidFill>
                </w14:textFill>
              </w:rPr>
              <w:t>个集气罩。</w:t>
            </w:r>
          </w:p>
          <w:p w14:paraId="265886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②烘干固化室相对密闭，炉内设1个抽风口，燃烧废气和烘干固化废气经抽风口直接抽风收集废气，考虑进出料口废气逸散，在炉两侧设集气罩。</w:t>
            </w:r>
          </w:p>
          <w:p w14:paraId="6192DF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③企业共设</w:t>
            </w:r>
            <w:r>
              <w:rPr>
                <w:rFonts w:hint="eastAsia" w:cs="Times New Roman"/>
                <w:bCs/>
                <w:color w:val="000000" w:themeColor="text1"/>
                <w:sz w:val="24"/>
                <w:lang w:val="en-US" w:eastAsia="zh-CN"/>
                <w14:textFill>
                  <w14:solidFill>
                    <w14:schemeClr w14:val="tx1"/>
                  </w14:solidFill>
                </w14:textFill>
              </w:rPr>
              <w:t>6</w:t>
            </w:r>
            <w:r>
              <w:rPr>
                <w:rFonts w:hint="eastAsia" w:ascii="Times New Roman" w:hAnsi="Times New Roman" w:eastAsia="宋体" w:cs="Times New Roman"/>
                <w:bCs/>
                <w:color w:val="000000" w:themeColor="text1"/>
                <w:sz w:val="24"/>
                <w:lang w:val="en-US" w:eastAsia="zh-CN"/>
                <w14:textFill>
                  <w14:solidFill>
                    <w14:schemeClr w14:val="tx1"/>
                  </w14:solidFill>
                </w14:textFill>
              </w:rPr>
              <w:t>个喷粉房，</w:t>
            </w:r>
            <w:r>
              <w:rPr>
                <w:rFonts w:hint="eastAsia" w:cs="Times New Roman"/>
                <w:bCs/>
                <w:color w:val="000000" w:themeColor="text1"/>
                <w:sz w:val="24"/>
                <w:lang w:val="en-US" w:eastAsia="zh-CN"/>
                <w14:textFill>
                  <w14:solidFill>
                    <w14:schemeClr w14:val="tx1"/>
                  </w14:solidFill>
                </w14:textFill>
              </w:rPr>
              <w:t>6</w:t>
            </w:r>
            <w:r>
              <w:rPr>
                <w:rFonts w:hint="eastAsia" w:ascii="Times New Roman" w:hAnsi="Times New Roman" w:eastAsia="宋体" w:cs="Times New Roman"/>
                <w:bCs/>
                <w:color w:val="000000" w:themeColor="text1"/>
                <w:sz w:val="24"/>
                <w:lang w:val="en-US" w:eastAsia="zh-CN"/>
                <w14:textFill>
                  <w14:solidFill>
                    <w14:schemeClr w14:val="tx1"/>
                  </w14:solidFill>
                </w14:textFill>
              </w:rPr>
              <w:t>个喷胶房</w:t>
            </w:r>
            <w:r>
              <w:rPr>
                <w:rFonts w:hint="eastAsia" w:cs="Times New Roman"/>
                <w:bCs/>
                <w:color w:val="000000" w:themeColor="text1"/>
                <w:sz w:val="24"/>
                <w:lang w:val="en-US" w:eastAsia="zh-CN"/>
                <w14:textFill>
                  <w14:solidFill>
                    <w14:schemeClr w14:val="tx1"/>
                  </w14:solidFill>
                </w14:textFill>
              </w:rPr>
              <w:t>（其中2个备用）</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1个丝印烘干区，</w:t>
            </w:r>
            <w:r>
              <w:rPr>
                <w:rFonts w:hint="eastAsia" w:ascii="Times New Roman" w:hAnsi="Times New Roman" w:eastAsia="宋体" w:cs="Times New Roman"/>
                <w:bCs/>
                <w:color w:val="000000" w:themeColor="text1"/>
                <w:sz w:val="24"/>
                <w:lang w:val="en-US" w:eastAsia="zh-CN"/>
                <w14:textFill>
                  <w14:solidFill>
                    <w14:schemeClr w14:val="tx1"/>
                  </w14:solidFill>
                </w14:textFill>
              </w:rPr>
              <w:t>均为独立密闭房间，</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仅</w:t>
            </w:r>
            <w:r>
              <w:rPr>
                <w:rFonts w:hint="eastAsia" w:ascii="Times New Roman" w:hAnsi="Times New Roman" w:eastAsia="宋体" w:cs="Times New Roman"/>
                <w:bCs/>
                <w:color w:val="000000" w:themeColor="text1"/>
                <w:sz w:val="24"/>
                <w:lang w:val="en-US" w:eastAsia="zh-CN"/>
                <w14:textFill>
                  <w14:solidFill>
                    <w14:schemeClr w14:val="tx1"/>
                  </w14:solidFill>
                </w14:textFill>
              </w:rPr>
              <w:t>保留物料进出口，另在喷粉房内设喷粉柜</w:t>
            </w:r>
            <w:r>
              <w:rPr>
                <w:rFonts w:hint="eastAsia" w:cs="Times New Roman"/>
                <w:bCs/>
                <w:color w:val="000000" w:themeColor="text1"/>
                <w:sz w:val="24"/>
                <w:lang w:val="en-US" w:eastAsia="zh-CN"/>
                <w14:textFill>
                  <w14:solidFill>
                    <w14:schemeClr w14:val="tx1"/>
                  </w14:solidFill>
                </w14:textFill>
              </w:rPr>
              <w:t>（自动喷粉柜密闭，手动喷粉柜半密闭）</w:t>
            </w:r>
            <w:r>
              <w:rPr>
                <w:rFonts w:hint="eastAsia" w:ascii="Times New Roman" w:hAnsi="Times New Roman" w:eastAsia="宋体" w:cs="Times New Roman"/>
                <w:bCs/>
                <w:color w:val="000000" w:themeColor="text1"/>
                <w:sz w:val="24"/>
                <w:lang w:val="en-US" w:eastAsia="zh-CN"/>
                <w14:textFill>
                  <w14:solidFill>
                    <w14:schemeClr w14:val="tx1"/>
                  </w14:solidFill>
                </w14:textFill>
              </w:rPr>
              <w:t>进行喷粉作业，均设</w:t>
            </w:r>
            <w:r>
              <w:rPr>
                <w:rFonts w:hint="eastAsia" w:cs="Times New Roman"/>
                <w:bCs/>
                <w:color w:val="000000" w:themeColor="text1"/>
                <w:sz w:val="24"/>
                <w:lang w:val="en-US" w:eastAsia="zh-CN"/>
                <w14:textFill>
                  <w14:solidFill>
                    <w14:schemeClr w14:val="tx1"/>
                  </w14:solidFill>
                </w14:textFill>
              </w:rPr>
              <w:t>强制</w:t>
            </w:r>
            <w:r>
              <w:rPr>
                <w:rFonts w:hint="eastAsia" w:ascii="Times New Roman" w:hAnsi="Times New Roman" w:eastAsia="宋体" w:cs="Times New Roman"/>
                <w:bCs/>
                <w:color w:val="000000" w:themeColor="text1"/>
                <w:sz w:val="24"/>
                <w:lang w:val="en-US" w:eastAsia="zh-CN"/>
                <w14:textFill>
                  <w14:solidFill>
                    <w14:schemeClr w14:val="tx1"/>
                  </w14:solidFill>
                </w14:textFill>
              </w:rPr>
              <w:t>排气装置，</w:t>
            </w:r>
            <w:r>
              <w:rPr>
                <w:rFonts w:hint="eastAsia" w:cs="Times New Roman"/>
                <w:bCs/>
                <w:color w:val="000000" w:themeColor="text1"/>
                <w:sz w:val="24"/>
                <w:lang w:val="en-US" w:eastAsia="zh-CN"/>
                <w14:textFill>
                  <w14:solidFill>
                    <w14:schemeClr w14:val="tx1"/>
                  </w14:solidFill>
                </w14:textFill>
              </w:rPr>
              <w:t>丝印烘干区在进出口各设置1个集气罩</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p>
          <w:p w14:paraId="7712CC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参考《广东省工业源挥发性有机物减排量核算方法》，废气产生源设置在密闭设备、密闭管道内，所有开口处，包括人员或物料进出口处呈负压时，废气收集效率为</w:t>
            </w:r>
            <w:r>
              <w:rPr>
                <w:rFonts w:hint="default" w:ascii="Times New Roman" w:hAnsi="Times New Roman" w:eastAsia="宋体" w:cs="Times New Roman"/>
                <w:bCs/>
                <w:color w:val="000000" w:themeColor="text1"/>
                <w:sz w:val="24"/>
                <w:lang w:val="en-US" w:eastAsia="zh-CN"/>
                <w14:textFill>
                  <w14:solidFill>
                    <w14:schemeClr w14:val="tx1"/>
                  </w14:solidFill>
                </w14:textFill>
              </w:rPr>
              <w:t>90%</w:t>
            </w:r>
            <w:r>
              <w:rPr>
                <w:rFonts w:hint="eastAsia" w:ascii="Times New Roman" w:hAnsi="Times New Roman" w:eastAsia="宋体" w:cs="Times New Roman"/>
                <w:bCs/>
                <w:color w:val="000000" w:themeColor="text1"/>
                <w:sz w:val="24"/>
                <w:lang w:val="en-US" w:eastAsia="zh-CN"/>
                <w14:textFill>
                  <w14:solidFill>
                    <w14:schemeClr w14:val="tx1"/>
                  </w14:solidFill>
                </w14:textFill>
              </w:rPr>
              <w:t>，磷化槽、电泳槽、</w:t>
            </w:r>
            <w:r>
              <w:rPr>
                <w:rFonts w:hint="eastAsia" w:cs="Times New Roman"/>
                <w:bCs/>
                <w:color w:val="000000" w:themeColor="text1"/>
                <w:sz w:val="24"/>
                <w:lang w:val="en-US" w:eastAsia="zh-CN"/>
                <w14:textFill>
                  <w14:solidFill>
                    <w14:schemeClr w14:val="tx1"/>
                  </w14:solidFill>
                </w14:textFill>
              </w:rPr>
              <w:t>脱漆槽、</w:t>
            </w:r>
            <w:r>
              <w:rPr>
                <w:rFonts w:hint="eastAsia" w:ascii="Times New Roman" w:hAnsi="Times New Roman" w:eastAsia="宋体" w:cs="Times New Roman"/>
                <w:bCs/>
                <w:color w:val="000000" w:themeColor="text1"/>
                <w:sz w:val="24"/>
                <w:lang w:val="en-US" w:eastAsia="zh-CN"/>
                <w14:textFill>
                  <w14:solidFill>
                    <w14:schemeClr w14:val="tx1"/>
                  </w14:solidFill>
                </w14:textFill>
              </w:rPr>
              <w:t>固化烘干室、喷粉房</w:t>
            </w:r>
            <w:r>
              <w:rPr>
                <w:rFonts w:hint="eastAsia" w:cs="Times New Roman"/>
                <w:bCs/>
                <w:color w:val="000000" w:themeColor="text1"/>
                <w:sz w:val="24"/>
                <w:lang w:val="en-US" w:eastAsia="zh-CN"/>
                <w14:textFill>
                  <w14:solidFill>
                    <w14:schemeClr w14:val="tx1"/>
                  </w14:solidFill>
                </w14:textFill>
              </w:rPr>
              <w:t>、丝印烘干区</w:t>
            </w:r>
            <w:r>
              <w:rPr>
                <w:rFonts w:hint="eastAsia" w:ascii="Times New Roman" w:hAnsi="Times New Roman" w:eastAsia="宋体" w:cs="Times New Roman"/>
                <w:bCs/>
                <w:color w:val="000000" w:themeColor="text1"/>
                <w:sz w:val="24"/>
                <w:lang w:val="en-US" w:eastAsia="zh-CN"/>
                <w14:textFill>
                  <w14:solidFill>
                    <w14:schemeClr w14:val="tx1"/>
                  </w14:solidFill>
                </w14:textFill>
              </w:rPr>
              <w:t>总体封闭，只保留物料进出口，且进出口处呈负压状态，收集效率取</w:t>
            </w:r>
            <w:r>
              <w:rPr>
                <w:rFonts w:hint="default" w:ascii="Times New Roman" w:hAnsi="Times New Roman" w:eastAsia="宋体" w:cs="Times New Roman"/>
                <w:bCs/>
                <w:color w:val="000000" w:themeColor="text1"/>
                <w:sz w:val="24"/>
                <w:lang w:val="en-US" w:eastAsia="zh-CN"/>
                <w14:textFill>
                  <w14:solidFill>
                    <w14:schemeClr w14:val="tx1"/>
                  </w14:solidFill>
                </w14:textFill>
              </w:rPr>
              <w:t>90%</w:t>
            </w:r>
            <w:r>
              <w:rPr>
                <w:rFonts w:hint="eastAsia" w:ascii="Times New Roman" w:hAnsi="Times New Roman" w:eastAsia="宋体" w:cs="Times New Roman"/>
                <w:bCs/>
                <w:color w:val="000000" w:themeColor="text1"/>
                <w:sz w:val="24"/>
                <w:lang w:val="en-US" w:eastAsia="zh-CN"/>
                <w14:textFill>
                  <w14:solidFill>
                    <w14:schemeClr w14:val="tx1"/>
                  </w14:solidFill>
                </w14:textFill>
              </w:rPr>
              <w:t>。钝化线酸洗槽、钝化槽未密闭，废气收集效率取8</w:t>
            </w:r>
            <w:r>
              <w:rPr>
                <w:rFonts w:hint="default" w:ascii="Times New Roman" w:hAnsi="Times New Roman" w:eastAsia="宋体" w:cs="Times New Roman"/>
                <w:bCs/>
                <w:color w:val="000000" w:themeColor="text1"/>
                <w:sz w:val="24"/>
                <w:lang w:val="en-US" w:eastAsia="zh-CN"/>
                <w14:textFill>
                  <w14:solidFill>
                    <w14:schemeClr w14:val="tx1"/>
                  </w14:solidFill>
                </w14:textFill>
              </w:rPr>
              <w:t>0%</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p>
          <w:p w14:paraId="7D821D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根据《环境工程技术手册：废气处理工程技术手册》（王纯、张殿印主编，化学工业出版社，</w:t>
            </w:r>
            <w:r>
              <w:rPr>
                <w:rFonts w:hint="default" w:ascii="Times New Roman" w:hAnsi="Times New Roman" w:eastAsia="宋体" w:cs="Times New Roman"/>
                <w:bCs/>
                <w:color w:val="000000" w:themeColor="text1"/>
                <w:sz w:val="24"/>
                <w:lang w:val="en-US" w:eastAsia="zh-CN"/>
                <w14:textFill>
                  <w14:solidFill>
                    <w14:schemeClr w14:val="tx1"/>
                  </w14:solidFill>
                </w14:textFill>
              </w:rPr>
              <w:t>2013</w:t>
            </w:r>
            <w:r>
              <w:rPr>
                <w:rFonts w:hint="eastAsia" w:ascii="Times New Roman" w:hAnsi="Times New Roman" w:eastAsia="宋体" w:cs="Times New Roman"/>
                <w:bCs/>
                <w:color w:val="000000" w:themeColor="text1"/>
                <w:sz w:val="24"/>
                <w:lang w:val="en-US" w:eastAsia="zh-CN"/>
                <w14:textFill>
                  <w14:solidFill>
                    <w14:schemeClr w14:val="tx1"/>
                  </w14:solidFill>
                </w14:textFill>
              </w:rPr>
              <w:t>年</w:t>
            </w:r>
            <w:r>
              <w:rPr>
                <w:rFonts w:hint="default" w:ascii="Times New Roman" w:hAnsi="Times New Roman" w:eastAsia="宋体" w:cs="Times New Roman"/>
                <w:bCs/>
                <w:color w:val="000000" w:themeColor="text1"/>
                <w:sz w:val="24"/>
                <w:lang w:val="en-US" w:eastAsia="zh-CN"/>
                <w14:textFill>
                  <w14:solidFill>
                    <w14:schemeClr w14:val="tx1"/>
                  </w14:solidFill>
                </w14:textFill>
              </w:rPr>
              <w:t>1</w:t>
            </w:r>
            <w:r>
              <w:rPr>
                <w:rFonts w:hint="eastAsia" w:ascii="Times New Roman" w:hAnsi="Times New Roman" w:eastAsia="宋体" w:cs="Times New Roman"/>
                <w:bCs/>
                <w:color w:val="000000" w:themeColor="text1"/>
                <w:sz w:val="24"/>
                <w:lang w:val="en-US" w:eastAsia="zh-CN"/>
                <w14:textFill>
                  <w14:solidFill>
                    <w14:schemeClr w14:val="tx1"/>
                  </w14:solidFill>
                </w14:textFill>
              </w:rPr>
              <w:t>月第</w:t>
            </w:r>
            <w:r>
              <w:rPr>
                <w:rFonts w:hint="default" w:ascii="Times New Roman" w:hAnsi="Times New Roman" w:eastAsia="宋体" w:cs="Times New Roman"/>
                <w:bCs/>
                <w:color w:val="000000" w:themeColor="text1"/>
                <w:sz w:val="24"/>
                <w:lang w:val="en-US" w:eastAsia="zh-CN"/>
                <w14:textFill>
                  <w14:solidFill>
                    <w14:schemeClr w14:val="tx1"/>
                  </w14:solidFill>
                </w14:textFill>
              </w:rPr>
              <w:t>1</w:t>
            </w:r>
            <w:r>
              <w:rPr>
                <w:rFonts w:hint="eastAsia" w:ascii="Times New Roman" w:hAnsi="Times New Roman" w:eastAsia="宋体" w:cs="Times New Roman"/>
                <w:bCs/>
                <w:color w:val="000000" w:themeColor="text1"/>
                <w:sz w:val="24"/>
                <w:lang w:val="en-US" w:eastAsia="zh-CN"/>
                <w14:textFill>
                  <w14:solidFill>
                    <w14:schemeClr w14:val="tx1"/>
                  </w14:solidFill>
                </w14:textFill>
              </w:rPr>
              <w:t>版），集气罩的排气量</w:t>
            </w:r>
            <w:r>
              <w:rPr>
                <w:rFonts w:hint="default" w:ascii="Times New Roman" w:hAnsi="Times New Roman" w:eastAsia="宋体" w:cs="Times New Roman"/>
                <w:bCs/>
                <w:color w:val="000000" w:themeColor="text1"/>
                <w:sz w:val="24"/>
                <w:lang w:val="en-US" w:eastAsia="zh-CN"/>
                <w14:textFill>
                  <w14:solidFill>
                    <w14:schemeClr w14:val="tx1"/>
                  </w14:solidFill>
                </w14:textFill>
              </w:rPr>
              <w:t>Q</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m</w:t>
            </w:r>
            <w:r>
              <w:rPr>
                <w:rFonts w:hint="default" w:ascii="Times New Roman" w:hAnsi="Times New Roman" w:eastAsia="宋体" w:cs="Times New Roman"/>
                <w:bCs/>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lang w:val="en-US" w:eastAsia="zh-CN"/>
                <w14:textFill>
                  <w14:solidFill>
                    <w14:schemeClr w14:val="tx1"/>
                  </w14:solidFill>
                </w14:textFill>
              </w:rPr>
              <w:t>/h</w:t>
            </w: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）可通过下式计算： </w:t>
            </w:r>
          </w:p>
          <w:p w14:paraId="03E979D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L=3600k</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P</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H</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Vx</w:t>
            </w:r>
          </w:p>
          <w:p w14:paraId="0125B7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其中：</w:t>
            </w:r>
            <w:r>
              <w:rPr>
                <w:rFonts w:hint="default" w:ascii="Times New Roman" w:hAnsi="Times New Roman" w:eastAsia="宋体" w:cs="Times New Roman"/>
                <w:bCs/>
                <w:color w:val="000000" w:themeColor="text1"/>
                <w:sz w:val="24"/>
                <w:lang w:val="en-US" w:eastAsia="zh-CN"/>
                <w14:textFill>
                  <w14:solidFill>
                    <w14:schemeClr w14:val="tx1"/>
                  </w14:solidFill>
                </w14:textFill>
              </w:rPr>
              <w:t>L—</w:t>
            </w:r>
            <w:r>
              <w:rPr>
                <w:rFonts w:hint="eastAsia" w:ascii="Times New Roman" w:hAnsi="Times New Roman" w:eastAsia="宋体" w:cs="Times New Roman"/>
                <w:bCs/>
                <w:color w:val="000000" w:themeColor="text1"/>
                <w:sz w:val="24"/>
                <w:lang w:val="en-US" w:eastAsia="zh-CN"/>
                <w14:textFill>
                  <w14:solidFill>
                    <w14:schemeClr w14:val="tx1"/>
                  </w14:solidFill>
                </w14:textFill>
              </w:rPr>
              <w:t>计算所需风量，</w:t>
            </w:r>
            <w:r>
              <w:rPr>
                <w:rFonts w:hint="default" w:ascii="Times New Roman" w:hAnsi="Times New Roman" w:eastAsia="宋体" w:cs="Times New Roman"/>
                <w:bCs/>
                <w:color w:val="000000" w:themeColor="text1"/>
                <w:sz w:val="24"/>
                <w:lang w:val="en-US" w:eastAsia="zh-CN"/>
                <w14:textFill>
                  <w14:solidFill>
                    <w14:schemeClr w14:val="tx1"/>
                  </w14:solidFill>
                </w14:textFill>
              </w:rPr>
              <w:t>m</w:t>
            </w:r>
            <w:r>
              <w:rPr>
                <w:rFonts w:hint="default" w:ascii="Times New Roman" w:hAnsi="Times New Roman" w:eastAsia="宋体" w:cs="Times New Roman"/>
                <w:bCs/>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lang w:val="en-US" w:eastAsia="zh-CN"/>
                <w14:textFill>
                  <w14:solidFill>
                    <w14:schemeClr w14:val="tx1"/>
                  </w14:solidFill>
                </w14:textFill>
              </w:rPr>
              <w:t>/h</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p>
          <w:p w14:paraId="4A1A8BCB">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k—</w:t>
            </w:r>
            <w:r>
              <w:rPr>
                <w:rFonts w:hint="eastAsia" w:ascii="Times New Roman" w:hAnsi="Times New Roman" w:eastAsia="宋体" w:cs="Times New Roman"/>
                <w:bCs/>
                <w:color w:val="000000" w:themeColor="text1"/>
                <w:sz w:val="24"/>
                <w:lang w:val="en-US" w:eastAsia="zh-CN"/>
                <w14:textFill>
                  <w14:solidFill>
                    <w14:schemeClr w14:val="tx1"/>
                  </w14:solidFill>
                </w14:textFill>
              </w:rPr>
              <w:t>安全系数，一般取</w:t>
            </w:r>
            <w:r>
              <w:rPr>
                <w:rFonts w:hint="default" w:ascii="Times New Roman" w:hAnsi="Times New Roman" w:eastAsia="宋体" w:cs="Times New Roman"/>
                <w:bCs/>
                <w:color w:val="000000" w:themeColor="text1"/>
                <w:sz w:val="24"/>
                <w:lang w:val="en-US" w:eastAsia="zh-CN"/>
                <w14:textFill>
                  <w14:solidFill>
                    <w14:schemeClr w14:val="tx1"/>
                  </w14:solidFill>
                </w14:textFill>
              </w:rPr>
              <w:t>1.4</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p>
          <w:p w14:paraId="343CCBEF">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H—</w:t>
            </w:r>
            <w:r>
              <w:rPr>
                <w:rFonts w:hint="eastAsia" w:ascii="Times New Roman" w:hAnsi="Times New Roman" w:eastAsia="宋体" w:cs="Times New Roman"/>
                <w:bCs/>
                <w:color w:val="000000" w:themeColor="text1"/>
                <w:sz w:val="24"/>
                <w:lang w:val="en-US" w:eastAsia="zh-CN"/>
                <w14:textFill>
                  <w14:solidFill>
                    <w14:schemeClr w14:val="tx1"/>
                  </w14:solidFill>
                </w14:textFill>
              </w:rPr>
              <w:t>集气罩至污染源的距离，</w:t>
            </w:r>
            <w:r>
              <w:rPr>
                <w:rFonts w:hint="default" w:ascii="Times New Roman" w:hAnsi="Times New Roman" w:eastAsia="宋体" w:cs="Times New Roman"/>
                <w:bCs/>
                <w:color w:val="000000" w:themeColor="text1"/>
                <w:sz w:val="24"/>
                <w:lang w:val="en-US" w:eastAsia="zh-CN"/>
                <w14:textFill>
                  <w14:solidFill>
                    <w14:schemeClr w14:val="tx1"/>
                  </w14:solidFill>
                </w14:textFill>
              </w:rPr>
              <w:t>m</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p>
          <w:p w14:paraId="6F95F8D0">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P—</w:t>
            </w:r>
            <w:r>
              <w:rPr>
                <w:rFonts w:hint="eastAsia" w:ascii="Times New Roman" w:hAnsi="Times New Roman" w:eastAsia="宋体" w:cs="Times New Roman"/>
                <w:bCs/>
                <w:color w:val="000000" w:themeColor="text1"/>
                <w:sz w:val="24"/>
                <w:lang w:val="en-US" w:eastAsia="zh-CN"/>
                <w14:textFill>
                  <w14:solidFill>
                    <w14:schemeClr w14:val="tx1"/>
                  </w14:solidFill>
                </w14:textFill>
              </w:rPr>
              <w:t>集气罩口敞开面的周长，</w:t>
            </w:r>
            <w:r>
              <w:rPr>
                <w:rFonts w:hint="default" w:ascii="Times New Roman" w:hAnsi="Times New Roman" w:eastAsia="宋体" w:cs="Times New Roman"/>
                <w:bCs/>
                <w:color w:val="000000" w:themeColor="text1"/>
                <w:sz w:val="24"/>
                <w:lang w:val="en-US" w:eastAsia="zh-CN"/>
                <w14:textFill>
                  <w14:solidFill>
                    <w14:schemeClr w14:val="tx1"/>
                  </w14:solidFill>
                </w14:textFill>
              </w:rPr>
              <w:t>m</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p>
          <w:p w14:paraId="22419176">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Vx—</w:t>
            </w:r>
            <w:r>
              <w:rPr>
                <w:rFonts w:hint="eastAsia" w:ascii="Times New Roman" w:hAnsi="Times New Roman" w:eastAsia="宋体" w:cs="Times New Roman"/>
                <w:bCs/>
                <w:color w:val="000000" w:themeColor="text1"/>
                <w:sz w:val="24"/>
                <w:lang w:val="en-US" w:eastAsia="zh-CN"/>
                <w14:textFill>
                  <w14:solidFill>
                    <w14:schemeClr w14:val="tx1"/>
                  </w14:solidFill>
                </w14:textFill>
              </w:rPr>
              <w:t>污染源边缘控制风速，</w:t>
            </w:r>
            <w:r>
              <w:rPr>
                <w:rFonts w:hint="default" w:ascii="Times New Roman" w:hAnsi="Times New Roman" w:eastAsia="宋体" w:cs="Times New Roman"/>
                <w:bCs/>
                <w:color w:val="000000" w:themeColor="text1"/>
                <w:sz w:val="24"/>
                <w:lang w:val="en-US" w:eastAsia="zh-CN"/>
                <w14:textFill>
                  <w14:solidFill>
                    <w14:schemeClr w14:val="tx1"/>
                  </w14:solidFill>
                </w14:textFill>
              </w:rPr>
              <w:t>m/s</w:t>
            </w:r>
            <w:r>
              <w:rPr>
                <w:rFonts w:hint="eastAsia" w:ascii="Times New Roman" w:hAnsi="Times New Roman" w:eastAsia="宋体" w:cs="Times New Roman"/>
                <w:bCs/>
                <w:color w:val="000000" w:themeColor="text1"/>
                <w:sz w:val="24"/>
                <w:lang w:val="en-US" w:eastAsia="zh-CN"/>
                <w14:textFill>
                  <w14:solidFill>
                    <w14:schemeClr w14:val="tx1"/>
                  </w14:solidFill>
                </w14:textFill>
              </w:rPr>
              <w:t>，取</w:t>
            </w:r>
            <w:r>
              <w:rPr>
                <w:rFonts w:hint="default" w:ascii="Times New Roman" w:hAnsi="Times New Roman" w:eastAsia="宋体" w:cs="Times New Roman"/>
                <w:bCs/>
                <w:color w:val="000000" w:themeColor="text1"/>
                <w:sz w:val="24"/>
                <w:lang w:val="en-US" w:eastAsia="zh-CN"/>
                <w14:textFill>
                  <w14:solidFill>
                    <w14:schemeClr w14:val="tx1"/>
                  </w14:solidFill>
                </w14:textFill>
              </w:rPr>
              <w:t>0.5m/s</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p>
          <w:p w14:paraId="360425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项目废气风量核算如下表：</w:t>
            </w:r>
          </w:p>
          <w:p w14:paraId="33B69053">
            <w:pPr>
              <w:pStyle w:val="83"/>
              <w:numPr>
                <w:ilvl w:val="0"/>
                <w:numId w:val="0"/>
              </w:numPr>
              <w:autoSpaceDE/>
              <w:autoSpaceDN/>
              <w:spacing w:after="0" w:line="240" w:lineRule="auto"/>
              <w:ind w:left="0" w:leftChars="0" w:firstLine="200" w:firstLineChars="0"/>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w:t>
            </w:r>
            <w:r>
              <w:rPr>
                <w:rFonts w:hint="eastAsia" w:ascii="Times New Roman" w:hAnsi="Times New Roman" w:eastAsia="宋体" w:cs="Times New Roman"/>
                <w:color w:val="000000" w:themeColor="text1"/>
                <w:lang w:val="en-US" w:eastAsia="zh-CN"/>
                <w14:textFill>
                  <w14:solidFill>
                    <w14:schemeClr w14:val="tx1"/>
                  </w14:solidFill>
                </w14:textFill>
              </w:rPr>
              <w:t>4.2-</w:t>
            </w:r>
            <w:r>
              <w:rPr>
                <w:rFonts w:hint="eastAsia" w:cs="Times New Roman"/>
                <w:color w:val="000000" w:themeColor="text1"/>
                <w:lang w:val="en-US" w:eastAsia="zh-CN"/>
                <w14:textFill>
                  <w14:solidFill>
                    <w14:schemeClr w14:val="tx1"/>
                  </w14:solidFill>
                </w14:textFill>
              </w:rPr>
              <w:t>5</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lang w:val="en-US" w:eastAsia="zh-CN"/>
                <w14:textFill>
                  <w14:solidFill>
                    <w14:schemeClr w14:val="tx1"/>
                  </w14:solidFill>
                </w14:textFill>
              </w:rPr>
              <w:t>废气风量核算一览表</w:t>
            </w:r>
          </w:p>
          <w:tbl>
            <w:tblPr>
              <w:tblStyle w:val="30"/>
              <w:tblW w:w="8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1293"/>
              <w:gridCol w:w="505"/>
              <w:gridCol w:w="555"/>
              <w:gridCol w:w="590"/>
              <w:gridCol w:w="835"/>
              <w:gridCol w:w="1230"/>
              <w:gridCol w:w="1094"/>
              <w:gridCol w:w="763"/>
              <w:gridCol w:w="749"/>
            </w:tblGrid>
            <w:tr w14:paraId="5589E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4" w:type="dxa"/>
                  <w:noWrap w:val="0"/>
                  <w:vAlign w:val="center"/>
                </w:tcPr>
                <w:p w14:paraId="4B9EBE79">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排气筒编号</w:t>
                  </w:r>
                </w:p>
              </w:tc>
              <w:tc>
                <w:tcPr>
                  <w:tcW w:w="1293" w:type="dxa"/>
                  <w:noWrap w:val="0"/>
                  <w:vAlign w:val="center"/>
                </w:tcPr>
                <w:p w14:paraId="5B495FD0">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设备名称</w:t>
                  </w:r>
                </w:p>
              </w:tc>
              <w:tc>
                <w:tcPr>
                  <w:tcW w:w="505" w:type="dxa"/>
                  <w:noWrap w:val="0"/>
                  <w:vAlign w:val="center"/>
                </w:tcPr>
                <w:p w14:paraId="48784248">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k</w:t>
                  </w:r>
                </w:p>
              </w:tc>
              <w:tc>
                <w:tcPr>
                  <w:tcW w:w="555" w:type="dxa"/>
                  <w:noWrap w:val="0"/>
                  <w:vAlign w:val="center"/>
                </w:tcPr>
                <w:p w14:paraId="2E77284D">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P/m</w:t>
                  </w:r>
                </w:p>
              </w:tc>
              <w:tc>
                <w:tcPr>
                  <w:tcW w:w="590" w:type="dxa"/>
                  <w:noWrap w:val="0"/>
                  <w:vAlign w:val="center"/>
                </w:tcPr>
                <w:p w14:paraId="0060AFFC">
                  <w:pPr>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H/m</w:t>
                  </w:r>
                </w:p>
              </w:tc>
              <w:tc>
                <w:tcPr>
                  <w:tcW w:w="835" w:type="dxa"/>
                  <w:noWrap w:val="0"/>
                  <w:vAlign w:val="center"/>
                </w:tcPr>
                <w:p w14:paraId="08E136CD">
                  <w:pPr>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Vx</w:t>
                  </w:r>
                  <w:r>
                    <w:rPr>
                      <w:rFonts w:hint="eastAsia" w:ascii="Times New Roman" w:hAnsi="Times New Roman" w:cs="Times New Roman"/>
                      <w:bCs/>
                      <w:color w:val="000000" w:themeColor="text1"/>
                      <w:sz w:val="21"/>
                      <w:szCs w:val="21"/>
                      <w:lang w:val="en-US" w:eastAsia="zh-CN"/>
                      <w14:textFill>
                        <w14:solidFill>
                          <w14:schemeClr w14:val="tx1"/>
                        </w14:solidFill>
                      </w14:textFill>
                    </w:rPr>
                    <w:t>/m/s</w:t>
                  </w:r>
                </w:p>
              </w:tc>
              <w:tc>
                <w:tcPr>
                  <w:tcW w:w="1230" w:type="dxa"/>
                  <w:noWrap w:val="0"/>
                  <w:vAlign w:val="center"/>
                </w:tcPr>
                <w:p w14:paraId="347404C5">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集气罩罩口尺寸</w:t>
                  </w:r>
                </w:p>
              </w:tc>
              <w:tc>
                <w:tcPr>
                  <w:tcW w:w="1094" w:type="dxa"/>
                  <w:noWrap w:val="0"/>
                  <w:vAlign w:val="center"/>
                </w:tcPr>
                <w:p w14:paraId="0D23CF49">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单个集气罩风量L/m</w:t>
                  </w:r>
                  <w:r>
                    <w:rPr>
                      <w:rFonts w:hint="eastAsia" w:ascii="Times New Roman" w:hAnsi="Times New Roman" w:cs="Times New Roman"/>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1"/>
                      <w:szCs w:val="21"/>
                      <w:lang w:val="en-US" w:eastAsia="zh-CN"/>
                      <w14:textFill>
                        <w14:solidFill>
                          <w14:schemeClr w14:val="tx1"/>
                        </w14:solidFill>
                      </w14:textFill>
                    </w:rPr>
                    <w:t>/h</w:t>
                  </w:r>
                </w:p>
              </w:tc>
              <w:tc>
                <w:tcPr>
                  <w:tcW w:w="763" w:type="dxa"/>
                  <w:noWrap w:val="0"/>
                  <w:vAlign w:val="center"/>
                </w:tcPr>
                <w:p w14:paraId="75E98594">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集气罩数量/个</w:t>
                  </w:r>
                </w:p>
              </w:tc>
              <w:tc>
                <w:tcPr>
                  <w:tcW w:w="749" w:type="dxa"/>
                  <w:noWrap w:val="0"/>
                  <w:vAlign w:val="center"/>
                </w:tcPr>
                <w:p w14:paraId="0EBB5373">
                  <w:pPr>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设计总风量/m</w:t>
                  </w:r>
                  <w:r>
                    <w:rPr>
                      <w:rFonts w:hint="eastAsia" w:ascii="Times New Roman" w:hAnsi="Times New Roman" w:cs="Times New Roman"/>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1"/>
                      <w:szCs w:val="21"/>
                      <w:lang w:val="en-US" w:eastAsia="zh-CN"/>
                      <w14:textFill>
                        <w14:solidFill>
                          <w14:schemeClr w14:val="tx1"/>
                        </w14:solidFill>
                      </w14:textFill>
                    </w:rPr>
                    <w:t>/h</w:t>
                  </w:r>
                </w:p>
              </w:tc>
            </w:tr>
            <w:tr w14:paraId="0A4D8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noWrap w:val="0"/>
                  <w:vAlign w:val="center"/>
                </w:tcPr>
                <w:p w14:paraId="550383D7">
                  <w:pPr>
                    <w:jc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DA00</w:t>
                  </w:r>
                  <w:r>
                    <w:rPr>
                      <w:rFonts w:hint="eastAsia" w:cs="Times New Roman"/>
                      <w:bCs/>
                      <w:color w:val="000000" w:themeColor="text1"/>
                      <w:sz w:val="21"/>
                      <w:szCs w:val="21"/>
                      <w:lang w:val="en-US" w:eastAsia="zh-CN"/>
                      <w14:textFill>
                        <w14:solidFill>
                          <w14:schemeClr w14:val="tx1"/>
                        </w14:solidFill>
                      </w14:textFill>
                    </w:rPr>
                    <w:t>1</w:t>
                  </w:r>
                </w:p>
              </w:tc>
              <w:tc>
                <w:tcPr>
                  <w:tcW w:w="1293" w:type="dxa"/>
                  <w:noWrap w:val="0"/>
                  <w:vAlign w:val="center"/>
                </w:tcPr>
                <w:p w14:paraId="7D967D53">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磷化槽</w:t>
                  </w:r>
                </w:p>
              </w:tc>
              <w:tc>
                <w:tcPr>
                  <w:tcW w:w="505" w:type="dxa"/>
                  <w:noWrap w:val="0"/>
                  <w:vAlign w:val="center"/>
                </w:tcPr>
                <w:p w14:paraId="3090E0EF">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noWrap w:val="0"/>
                  <w:vAlign w:val="center"/>
                </w:tcPr>
                <w:p w14:paraId="6383ACB3">
                  <w:pPr>
                    <w:keepNext w:val="0"/>
                    <w:keepLines w:val="0"/>
                    <w:widowControl/>
                    <w:suppressLineNumbers w:val="0"/>
                    <w:jc w:val="center"/>
                    <w:textAlignment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noWrap w:val="0"/>
                  <w:vAlign w:val="center"/>
                </w:tcPr>
                <w:p w14:paraId="21DC5A2A">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noWrap w:val="0"/>
                  <w:vAlign w:val="center"/>
                </w:tcPr>
                <w:p w14:paraId="792C49F7">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noWrap w:val="0"/>
                  <w:vAlign w:val="center"/>
                </w:tcPr>
                <w:p w14:paraId="14249697">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noWrap w:val="0"/>
                  <w:vAlign w:val="center"/>
                </w:tcPr>
                <w:p w14:paraId="6DF3D36F">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noWrap w:val="0"/>
                  <w:vAlign w:val="center"/>
                </w:tcPr>
                <w:p w14:paraId="5F3D7751">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49" w:type="dxa"/>
                  <w:noWrap w:val="0"/>
                  <w:vAlign w:val="center"/>
                </w:tcPr>
                <w:p w14:paraId="7C441B0F">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5000</w:t>
                  </w:r>
                </w:p>
              </w:tc>
            </w:tr>
            <w:tr w14:paraId="562A5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restart"/>
                  <w:noWrap w:val="0"/>
                  <w:vAlign w:val="center"/>
                </w:tcPr>
                <w:p w14:paraId="030B3E41">
                  <w:pPr>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DA00</w:t>
                  </w:r>
                  <w:r>
                    <w:rPr>
                      <w:rFonts w:hint="eastAsia" w:cs="Times New Roman"/>
                      <w:bCs/>
                      <w:color w:val="000000" w:themeColor="text1"/>
                      <w:sz w:val="21"/>
                      <w:szCs w:val="21"/>
                      <w:lang w:val="en-US" w:eastAsia="zh-CN"/>
                      <w14:textFill>
                        <w14:solidFill>
                          <w14:schemeClr w14:val="tx1"/>
                        </w14:solidFill>
                      </w14:textFill>
                    </w:rPr>
                    <w:t>2</w:t>
                  </w:r>
                </w:p>
              </w:tc>
              <w:tc>
                <w:tcPr>
                  <w:tcW w:w="1293" w:type="dxa"/>
                  <w:shd w:val="clear" w:color="auto" w:fill="auto"/>
                  <w:noWrap w:val="0"/>
                  <w:vAlign w:val="center"/>
                </w:tcPr>
                <w:p w14:paraId="4BC5372B">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电泳槽</w:t>
                  </w:r>
                </w:p>
              </w:tc>
              <w:tc>
                <w:tcPr>
                  <w:tcW w:w="505" w:type="dxa"/>
                  <w:shd w:val="clear" w:color="auto" w:fill="auto"/>
                  <w:noWrap w:val="0"/>
                  <w:vAlign w:val="center"/>
                </w:tcPr>
                <w:p w14:paraId="6280D693">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shd w:val="clear" w:color="auto" w:fill="auto"/>
                  <w:noWrap w:val="0"/>
                  <w:vAlign w:val="center"/>
                </w:tcPr>
                <w:p w14:paraId="126AE7B8">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shd w:val="clear" w:color="auto" w:fill="auto"/>
                  <w:noWrap w:val="0"/>
                  <w:vAlign w:val="center"/>
                </w:tcPr>
                <w:p w14:paraId="0FDB1122">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shd w:val="clear" w:color="auto" w:fill="auto"/>
                  <w:noWrap w:val="0"/>
                  <w:vAlign w:val="center"/>
                </w:tcPr>
                <w:p w14:paraId="2E8A5FBF">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shd w:val="clear" w:color="auto" w:fill="auto"/>
                  <w:noWrap w:val="0"/>
                  <w:vAlign w:val="center"/>
                </w:tcPr>
                <w:p w14:paraId="6DE71F0B">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shd w:val="clear" w:color="auto" w:fill="auto"/>
                  <w:noWrap w:val="0"/>
                  <w:vAlign w:val="center"/>
                </w:tcPr>
                <w:p w14:paraId="5414264E">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shd w:val="clear" w:color="auto" w:fill="auto"/>
                  <w:noWrap w:val="0"/>
                  <w:vAlign w:val="center"/>
                </w:tcPr>
                <w:p w14:paraId="6BB2F756">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49" w:type="dxa"/>
                  <w:vMerge w:val="restart"/>
                  <w:noWrap w:val="0"/>
                  <w:vAlign w:val="center"/>
                </w:tcPr>
                <w:p w14:paraId="43E54E4D">
                  <w:pPr>
                    <w:keepNext w:val="0"/>
                    <w:keepLines w:val="0"/>
                    <w:widowControl/>
                    <w:suppressLineNumbers w:val="0"/>
                    <w:jc w:val="center"/>
                    <w:textAlignment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15000</w:t>
                  </w:r>
                </w:p>
              </w:tc>
            </w:tr>
            <w:tr w14:paraId="7E5C1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continue"/>
                  <w:noWrap w:val="0"/>
                  <w:vAlign w:val="center"/>
                </w:tcPr>
                <w:p w14:paraId="405A18A4">
                  <w:pPr>
                    <w:jc w:val="center"/>
                    <w:rPr>
                      <w:rFonts w:hint="default" w:ascii="Times New Roman" w:hAnsi="Times New Roman" w:cs="Times New Roman"/>
                      <w:bCs/>
                      <w:color w:val="000000" w:themeColor="text1"/>
                      <w:sz w:val="21"/>
                      <w:szCs w:val="21"/>
                      <w14:textFill>
                        <w14:solidFill>
                          <w14:schemeClr w14:val="tx1"/>
                        </w14:solidFill>
                      </w14:textFill>
                    </w:rPr>
                  </w:pPr>
                </w:p>
              </w:tc>
              <w:tc>
                <w:tcPr>
                  <w:tcW w:w="1293" w:type="dxa"/>
                  <w:noWrap w:val="0"/>
                  <w:vAlign w:val="center"/>
                </w:tcPr>
                <w:p w14:paraId="0A058137">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脱漆</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槽</w:t>
                  </w:r>
                </w:p>
              </w:tc>
              <w:tc>
                <w:tcPr>
                  <w:tcW w:w="505" w:type="dxa"/>
                  <w:noWrap w:val="0"/>
                  <w:vAlign w:val="center"/>
                </w:tcPr>
                <w:p w14:paraId="45C0F1E0">
                  <w:pPr>
                    <w:keepNext w:val="0"/>
                    <w:keepLines w:val="0"/>
                    <w:widowControl/>
                    <w:suppressLineNumbers w:val="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noWrap w:val="0"/>
                  <w:vAlign w:val="center"/>
                </w:tcPr>
                <w:p w14:paraId="2E6712D0">
                  <w:pPr>
                    <w:keepNext w:val="0"/>
                    <w:keepLines w:val="0"/>
                    <w:widowControl/>
                    <w:suppressLineNumbers w:val="0"/>
                    <w:jc w:val="center"/>
                    <w:textAlignment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noWrap w:val="0"/>
                  <w:vAlign w:val="center"/>
                </w:tcPr>
                <w:p w14:paraId="757BF804">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noWrap w:val="0"/>
                  <w:vAlign w:val="center"/>
                </w:tcPr>
                <w:p w14:paraId="5C2E3261">
                  <w:pPr>
                    <w:keepNext w:val="0"/>
                    <w:keepLines w:val="0"/>
                    <w:widowControl/>
                    <w:suppressLineNumbers w:val="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noWrap w:val="0"/>
                  <w:vAlign w:val="center"/>
                </w:tcPr>
                <w:p w14:paraId="2C43B8B7">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noWrap w:val="0"/>
                  <w:vAlign w:val="center"/>
                </w:tcPr>
                <w:p w14:paraId="549BE667">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noWrap w:val="0"/>
                  <w:vAlign w:val="center"/>
                </w:tcPr>
                <w:p w14:paraId="1D278C6B">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49" w:type="dxa"/>
                  <w:vMerge w:val="continue"/>
                  <w:noWrap w:val="0"/>
                  <w:vAlign w:val="center"/>
                </w:tcPr>
                <w:p w14:paraId="776934D7">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r>
            <w:tr w14:paraId="390A9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continue"/>
                  <w:noWrap w:val="0"/>
                  <w:vAlign w:val="center"/>
                </w:tcPr>
                <w:p w14:paraId="0C7ED801">
                  <w:pPr>
                    <w:jc w:val="center"/>
                    <w:rPr>
                      <w:rFonts w:hint="default" w:ascii="Times New Roman" w:hAnsi="Times New Roman" w:cs="Times New Roman"/>
                      <w:bCs/>
                      <w:color w:val="000000" w:themeColor="text1"/>
                      <w:sz w:val="21"/>
                      <w:szCs w:val="21"/>
                      <w14:textFill>
                        <w14:solidFill>
                          <w14:schemeClr w14:val="tx1"/>
                        </w14:solidFill>
                      </w14:textFill>
                    </w:rPr>
                  </w:pPr>
                </w:p>
              </w:tc>
              <w:tc>
                <w:tcPr>
                  <w:tcW w:w="1293" w:type="dxa"/>
                  <w:noWrap w:val="0"/>
                  <w:vAlign w:val="center"/>
                </w:tcPr>
                <w:p w14:paraId="0BA786E9">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电泳固化炉</w:t>
                  </w:r>
                </w:p>
              </w:tc>
              <w:tc>
                <w:tcPr>
                  <w:tcW w:w="505" w:type="dxa"/>
                  <w:noWrap w:val="0"/>
                  <w:vAlign w:val="center"/>
                </w:tcPr>
                <w:p w14:paraId="7A054EB7">
                  <w:pPr>
                    <w:keepNext w:val="0"/>
                    <w:keepLines w:val="0"/>
                    <w:widowControl/>
                    <w:suppressLineNumbers w:val="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noWrap w:val="0"/>
                  <w:vAlign w:val="center"/>
                </w:tcPr>
                <w:p w14:paraId="7F05F608">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noWrap w:val="0"/>
                  <w:vAlign w:val="center"/>
                </w:tcPr>
                <w:p w14:paraId="64791DA1">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noWrap w:val="0"/>
                  <w:vAlign w:val="center"/>
                </w:tcPr>
                <w:p w14:paraId="4A2FD4A5">
                  <w:pPr>
                    <w:keepNext w:val="0"/>
                    <w:keepLines w:val="0"/>
                    <w:widowControl/>
                    <w:suppressLineNumbers w:val="0"/>
                    <w:jc w:val="center"/>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noWrap w:val="0"/>
                  <w:vAlign w:val="center"/>
                </w:tcPr>
                <w:p w14:paraId="58023116">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noWrap w:val="0"/>
                  <w:vAlign w:val="center"/>
                </w:tcPr>
                <w:p w14:paraId="60F62AA7">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noWrap w:val="0"/>
                  <w:vAlign w:val="center"/>
                </w:tcPr>
                <w:p w14:paraId="7D804881">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49" w:type="dxa"/>
                  <w:vMerge w:val="continue"/>
                  <w:noWrap w:val="0"/>
                  <w:vAlign w:val="center"/>
                </w:tcPr>
                <w:p w14:paraId="2D967E66">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r>
            <w:tr w14:paraId="72D4CC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continue"/>
                  <w:noWrap w:val="0"/>
                  <w:vAlign w:val="center"/>
                </w:tcPr>
                <w:p w14:paraId="0259B67D">
                  <w:pPr>
                    <w:jc w:val="center"/>
                    <w:rPr>
                      <w:rFonts w:hint="default" w:ascii="Times New Roman" w:hAnsi="Times New Roman" w:cs="Times New Roman"/>
                      <w:bCs/>
                      <w:color w:val="000000" w:themeColor="text1"/>
                      <w:sz w:val="21"/>
                      <w:szCs w:val="21"/>
                      <w14:textFill>
                        <w14:solidFill>
                          <w14:schemeClr w14:val="tx1"/>
                        </w14:solidFill>
                      </w14:textFill>
                    </w:rPr>
                  </w:pPr>
                </w:p>
              </w:tc>
              <w:tc>
                <w:tcPr>
                  <w:tcW w:w="1293" w:type="dxa"/>
                  <w:noWrap w:val="0"/>
                  <w:vAlign w:val="center"/>
                </w:tcPr>
                <w:p w14:paraId="4444267E">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粉末固化炉</w:t>
                  </w:r>
                </w:p>
              </w:tc>
              <w:tc>
                <w:tcPr>
                  <w:tcW w:w="505" w:type="dxa"/>
                  <w:noWrap w:val="0"/>
                  <w:vAlign w:val="center"/>
                </w:tcPr>
                <w:p w14:paraId="15F7BB47">
                  <w:pPr>
                    <w:keepNext w:val="0"/>
                    <w:keepLines w:val="0"/>
                    <w:widowControl/>
                    <w:suppressLineNumbers w:val="0"/>
                    <w:jc w:val="center"/>
                    <w:textAlignment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noWrap w:val="0"/>
                  <w:vAlign w:val="center"/>
                </w:tcPr>
                <w:p w14:paraId="32A9ED6D">
                  <w:pPr>
                    <w:keepNext w:val="0"/>
                    <w:keepLines w:val="0"/>
                    <w:widowControl/>
                    <w:suppressLineNumbers w:val="0"/>
                    <w:jc w:val="center"/>
                    <w:textAlignment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noWrap w:val="0"/>
                  <w:vAlign w:val="center"/>
                </w:tcPr>
                <w:p w14:paraId="6D6CAC7D">
                  <w:pPr>
                    <w:keepNext w:val="0"/>
                    <w:keepLines w:val="0"/>
                    <w:widowControl/>
                    <w:suppressLineNumbers w:val="0"/>
                    <w:jc w:val="center"/>
                    <w:textAlignment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noWrap w:val="0"/>
                  <w:vAlign w:val="center"/>
                </w:tcPr>
                <w:p w14:paraId="11308432">
                  <w:pPr>
                    <w:keepNext w:val="0"/>
                    <w:keepLines w:val="0"/>
                    <w:widowControl/>
                    <w:suppressLineNumbers w:val="0"/>
                    <w:jc w:val="center"/>
                    <w:textAlignment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noWrap w:val="0"/>
                  <w:vAlign w:val="center"/>
                </w:tcPr>
                <w:p w14:paraId="061A6455">
                  <w:pPr>
                    <w:keepNext w:val="0"/>
                    <w:keepLines w:val="0"/>
                    <w:widowControl/>
                    <w:suppressLineNumbers w:val="0"/>
                    <w:jc w:val="center"/>
                    <w:textAlignment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noWrap w:val="0"/>
                  <w:vAlign w:val="center"/>
                </w:tcPr>
                <w:p w14:paraId="56C037F1">
                  <w:pPr>
                    <w:keepNext w:val="0"/>
                    <w:keepLines w:val="0"/>
                    <w:widowControl/>
                    <w:suppressLineNumbers w:val="0"/>
                    <w:jc w:val="center"/>
                    <w:textAlignment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noWrap w:val="0"/>
                  <w:vAlign w:val="center"/>
                </w:tcPr>
                <w:p w14:paraId="4E546141">
                  <w:pPr>
                    <w:keepNext w:val="0"/>
                    <w:keepLines w:val="0"/>
                    <w:widowControl/>
                    <w:suppressLineNumbers w:val="0"/>
                    <w:jc w:val="center"/>
                    <w:textAlignment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49" w:type="dxa"/>
                  <w:vMerge w:val="continue"/>
                  <w:noWrap w:val="0"/>
                  <w:vAlign w:val="center"/>
                </w:tcPr>
                <w:p w14:paraId="033C65C0">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r>
            <w:tr w14:paraId="76968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restart"/>
                  <w:noWrap w:val="0"/>
                  <w:vAlign w:val="center"/>
                </w:tcPr>
                <w:p w14:paraId="23C84E99">
                  <w:pPr>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DA003</w:t>
                  </w:r>
                </w:p>
              </w:tc>
              <w:tc>
                <w:tcPr>
                  <w:tcW w:w="1293" w:type="dxa"/>
                  <w:shd w:val="clear" w:color="auto" w:fill="auto"/>
                  <w:noWrap w:val="0"/>
                  <w:vAlign w:val="center"/>
                </w:tcPr>
                <w:p w14:paraId="52DCB5C2">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酸洗槽</w:t>
                  </w:r>
                </w:p>
              </w:tc>
              <w:tc>
                <w:tcPr>
                  <w:tcW w:w="505" w:type="dxa"/>
                  <w:shd w:val="clear" w:color="auto" w:fill="auto"/>
                  <w:noWrap w:val="0"/>
                  <w:vAlign w:val="center"/>
                </w:tcPr>
                <w:p w14:paraId="4104674E">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shd w:val="clear" w:color="auto" w:fill="auto"/>
                  <w:noWrap w:val="0"/>
                  <w:vAlign w:val="center"/>
                </w:tcPr>
                <w:p w14:paraId="60D128B1">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shd w:val="clear" w:color="auto" w:fill="auto"/>
                  <w:noWrap w:val="0"/>
                  <w:vAlign w:val="center"/>
                </w:tcPr>
                <w:p w14:paraId="13969E5D">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shd w:val="clear" w:color="auto" w:fill="auto"/>
                  <w:noWrap w:val="0"/>
                  <w:vAlign w:val="center"/>
                </w:tcPr>
                <w:p w14:paraId="3D545D9E">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shd w:val="clear" w:color="auto" w:fill="auto"/>
                  <w:noWrap w:val="0"/>
                  <w:vAlign w:val="center"/>
                </w:tcPr>
                <w:p w14:paraId="6D074FA9">
                  <w:pPr>
                    <w:keepNext w:val="0"/>
                    <w:keepLines w:val="0"/>
                    <w:widowControl/>
                    <w:suppressLineNumbers w:val="0"/>
                    <w:jc w:val="center"/>
                    <w:textAlignment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shd w:val="clear" w:color="auto" w:fill="auto"/>
                  <w:noWrap w:val="0"/>
                  <w:vAlign w:val="center"/>
                </w:tcPr>
                <w:p w14:paraId="59D0A34D">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shd w:val="clear" w:color="auto" w:fill="auto"/>
                  <w:noWrap w:val="0"/>
                  <w:vAlign w:val="center"/>
                </w:tcPr>
                <w:p w14:paraId="6056E748">
                  <w:pPr>
                    <w:keepNext w:val="0"/>
                    <w:keepLines w:val="0"/>
                    <w:widowControl/>
                    <w:suppressLineNumbers w:val="0"/>
                    <w:jc w:val="center"/>
                    <w:textAlignment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49" w:type="dxa"/>
                  <w:vMerge w:val="restart"/>
                  <w:noWrap w:val="0"/>
                  <w:vAlign w:val="center"/>
                </w:tcPr>
                <w:p w14:paraId="4EB0FABA">
                  <w:pPr>
                    <w:keepNext w:val="0"/>
                    <w:keepLines w:val="0"/>
                    <w:widowControl/>
                    <w:suppressLineNumbers w:val="0"/>
                    <w:jc w:val="center"/>
                    <w:textAlignment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11000</w:t>
                  </w:r>
                </w:p>
              </w:tc>
            </w:tr>
            <w:tr w14:paraId="2497C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continue"/>
                  <w:noWrap w:val="0"/>
                  <w:vAlign w:val="center"/>
                </w:tcPr>
                <w:p w14:paraId="3004047A">
                  <w:pPr>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p>
              </w:tc>
              <w:tc>
                <w:tcPr>
                  <w:tcW w:w="1293" w:type="dxa"/>
                  <w:shd w:val="clear" w:color="auto" w:fill="auto"/>
                  <w:noWrap w:val="0"/>
                  <w:vAlign w:val="center"/>
                </w:tcPr>
                <w:p w14:paraId="4CF8CF55">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钝化槽</w:t>
                  </w:r>
                </w:p>
              </w:tc>
              <w:tc>
                <w:tcPr>
                  <w:tcW w:w="505" w:type="dxa"/>
                  <w:shd w:val="clear" w:color="auto" w:fill="auto"/>
                  <w:noWrap w:val="0"/>
                  <w:vAlign w:val="center"/>
                </w:tcPr>
                <w:p w14:paraId="130E7A5D">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shd w:val="clear" w:color="auto" w:fill="auto"/>
                  <w:noWrap w:val="0"/>
                  <w:vAlign w:val="center"/>
                </w:tcPr>
                <w:p w14:paraId="7278012C">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shd w:val="clear" w:color="auto" w:fill="auto"/>
                  <w:noWrap w:val="0"/>
                  <w:vAlign w:val="center"/>
                </w:tcPr>
                <w:p w14:paraId="2551B866">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shd w:val="clear" w:color="auto" w:fill="auto"/>
                  <w:noWrap w:val="0"/>
                  <w:vAlign w:val="center"/>
                </w:tcPr>
                <w:p w14:paraId="2929316E">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shd w:val="clear" w:color="auto" w:fill="auto"/>
                  <w:noWrap w:val="0"/>
                  <w:vAlign w:val="center"/>
                </w:tcPr>
                <w:p w14:paraId="25B0F621">
                  <w:pPr>
                    <w:keepNext w:val="0"/>
                    <w:keepLines w:val="0"/>
                    <w:widowControl/>
                    <w:suppressLineNumbers w:val="0"/>
                    <w:jc w:val="center"/>
                    <w:textAlignment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shd w:val="clear" w:color="auto" w:fill="auto"/>
                  <w:noWrap w:val="0"/>
                  <w:vAlign w:val="center"/>
                </w:tcPr>
                <w:p w14:paraId="19227889">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shd w:val="clear" w:color="auto" w:fill="auto"/>
                  <w:noWrap w:val="0"/>
                  <w:vAlign w:val="center"/>
                </w:tcPr>
                <w:p w14:paraId="42A7462A">
                  <w:pPr>
                    <w:keepNext w:val="0"/>
                    <w:keepLines w:val="0"/>
                    <w:widowControl/>
                    <w:suppressLineNumbers w:val="0"/>
                    <w:jc w:val="center"/>
                    <w:textAlignment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49" w:type="dxa"/>
                  <w:vMerge w:val="continue"/>
                  <w:noWrap w:val="0"/>
                  <w:vAlign w:val="center"/>
                </w:tcPr>
                <w:p w14:paraId="59D32751">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r>
            <w:tr w14:paraId="47A28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continue"/>
                  <w:noWrap w:val="0"/>
                  <w:vAlign w:val="center"/>
                </w:tcPr>
                <w:p w14:paraId="0C91164E">
                  <w:pPr>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p>
              </w:tc>
              <w:tc>
                <w:tcPr>
                  <w:tcW w:w="1293" w:type="dxa"/>
                  <w:shd w:val="clear" w:color="auto" w:fill="auto"/>
                  <w:noWrap w:val="0"/>
                  <w:vAlign w:val="center"/>
                </w:tcPr>
                <w:p w14:paraId="55D32D26">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磷化槽</w:t>
                  </w:r>
                </w:p>
              </w:tc>
              <w:tc>
                <w:tcPr>
                  <w:tcW w:w="505" w:type="dxa"/>
                  <w:shd w:val="clear" w:color="auto" w:fill="auto"/>
                  <w:noWrap w:val="0"/>
                  <w:vAlign w:val="center"/>
                </w:tcPr>
                <w:p w14:paraId="46341070">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shd w:val="clear" w:color="auto" w:fill="auto"/>
                  <w:noWrap w:val="0"/>
                  <w:vAlign w:val="center"/>
                </w:tcPr>
                <w:p w14:paraId="44114477">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shd w:val="clear" w:color="auto" w:fill="auto"/>
                  <w:noWrap w:val="0"/>
                  <w:vAlign w:val="center"/>
                </w:tcPr>
                <w:p w14:paraId="11782B7F">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shd w:val="clear" w:color="auto" w:fill="auto"/>
                  <w:noWrap w:val="0"/>
                  <w:vAlign w:val="center"/>
                </w:tcPr>
                <w:p w14:paraId="2078D6AF">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shd w:val="clear" w:color="auto" w:fill="auto"/>
                  <w:noWrap w:val="0"/>
                  <w:vAlign w:val="center"/>
                </w:tcPr>
                <w:p w14:paraId="43112534">
                  <w:pPr>
                    <w:keepNext w:val="0"/>
                    <w:keepLines w:val="0"/>
                    <w:widowControl/>
                    <w:suppressLineNumbers w:val="0"/>
                    <w:jc w:val="center"/>
                    <w:textAlignment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shd w:val="clear" w:color="auto" w:fill="auto"/>
                  <w:noWrap w:val="0"/>
                  <w:vAlign w:val="center"/>
                </w:tcPr>
                <w:p w14:paraId="3D60A9C3">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shd w:val="clear" w:color="auto" w:fill="auto"/>
                  <w:noWrap w:val="0"/>
                  <w:vAlign w:val="center"/>
                </w:tcPr>
                <w:p w14:paraId="2490E227">
                  <w:pPr>
                    <w:keepNext w:val="0"/>
                    <w:keepLines w:val="0"/>
                    <w:widowControl/>
                    <w:suppressLineNumbers w:val="0"/>
                    <w:jc w:val="center"/>
                    <w:textAlignment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49" w:type="dxa"/>
                  <w:vMerge w:val="continue"/>
                  <w:noWrap w:val="0"/>
                  <w:vAlign w:val="center"/>
                </w:tcPr>
                <w:p w14:paraId="2CECC0B9">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r>
            <w:tr w14:paraId="0F7E9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restart"/>
                  <w:noWrap w:val="0"/>
                  <w:vAlign w:val="center"/>
                </w:tcPr>
                <w:p w14:paraId="33FDA819">
                  <w:pPr>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DA00</w:t>
                  </w:r>
                  <w:r>
                    <w:rPr>
                      <w:rFonts w:hint="eastAsia" w:cs="Times New Roman"/>
                      <w:bCs/>
                      <w:color w:val="000000" w:themeColor="text1"/>
                      <w:sz w:val="21"/>
                      <w:szCs w:val="21"/>
                      <w:lang w:val="en-US" w:eastAsia="zh-CN"/>
                      <w14:textFill>
                        <w14:solidFill>
                          <w14:schemeClr w14:val="tx1"/>
                        </w14:solidFill>
                      </w14:textFill>
                    </w:rPr>
                    <w:t>4</w:t>
                  </w:r>
                </w:p>
              </w:tc>
              <w:tc>
                <w:tcPr>
                  <w:tcW w:w="1293" w:type="dxa"/>
                  <w:noWrap w:val="0"/>
                  <w:vAlign w:val="center"/>
                </w:tcPr>
                <w:p w14:paraId="15EE9C33">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电泳槽</w:t>
                  </w:r>
                </w:p>
              </w:tc>
              <w:tc>
                <w:tcPr>
                  <w:tcW w:w="505" w:type="dxa"/>
                  <w:noWrap w:val="0"/>
                  <w:vAlign w:val="center"/>
                </w:tcPr>
                <w:p w14:paraId="2A2FD6D6">
                  <w:pPr>
                    <w:keepNext w:val="0"/>
                    <w:keepLines w:val="0"/>
                    <w:widowControl/>
                    <w:suppressLineNumbers w:val="0"/>
                    <w:jc w:val="center"/>
                    <w:textAlignment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noWrap w:val="0"/>
                  <w:vAlign w:val="center"/>
                </w:tcPr>
                <w:p w14:paraId="776C538A">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noWrap w:val="0"/>
                  <w:vAlign w:val="center"/>
                </w:tcPr>
                <w:p w14:paraId="1D827650">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noWrap w:val="0"/>
                  <w:vAlign w:val="center"/>
                </w:tcPr>
                <w:p w14:paraId="767A6C06">
                  <w:pPr>
                    <w:keepNext w:val="0"/>
                    <w:keepLines w:val="0"/>
                    <w:widowControl/>
                    <w:suppressLineNumbers w:val="0"/>
                    <w:jc w:val="center"/>
                    <w:textAlignment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noWrap w:val="0"/>
                  <w:vAlign w:val="center"/>
                </w:tcPr>
                <w:p w14:paraId="361EACB6">
                  <w:pPr>
                    <w:keepNext w:val="0"/>
                    <w:keepLines w:val="0"/>
                    <w:widowControl/>
                    <w:suppressLineNumbers w:val="0"/>
                    <w:jc w:val="center"/>
                    <w:textAlignment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noWrap w:val="0"/>
                  <w:vAlign w:val="center"/>
                </w:tcPr>
                <w:p w14:paraId="0820F95B">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noWrap w:val="0"/>
                  <w:vAlign w:val="center"/>
                </w:tcPr>
                <w:p w14:paraId="53F8AA89">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49" w:type="dxa"/>
                  <w:vMerge w:val="restart"/>
                  <w:noWrap w:val="0"/>
                  <w:vAlign w:val="center"/>
                </w:tcPr>
                <w:p w14:paraId="72654C5D">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30000</w:t>
                  </w:r>
                </w:p>
              </w:tc>
            </w:tr>
            <w:tr w14:paraId="7ADCF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continue"/>
                  <w:noWrap w:val="0"/>
                  <w:vAlign w:val="center"/>
                </w:tcPr>
                <w:p w14:paraId="3DB0DA07">
                  <w:pPr>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p>
              </w:tc>
              <w:tc>
                <w:tcPr>
                  <w:tcW w:w="1293" w:type="dxa"/>
                  <w:shd w:val="clear" w:color="auto" w:fill="auto"/>
                  <w:noWrap w:val="0"/>
                  <w:vAlign w:val="center"/>
                </w:tcPr>
                <w:p w14:paraId="3489020A">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电泳固化炉</w:t>
                  </w:r>
                </w:p>
              </w:tc>
              <w:tc>
                <w:tcPr>
                  <w:tcW w:w="505" w:type="dxa"/>
                  <w:shd w:val="clear" w:color="auto" w:fill="auto"/>
                  <w:noWrap w:val="0"/>
                  <w:vAlign w:val="center"/>
                </w:tcPr>
                <w:p w14:paraId="76DA8899">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shd w:val="clear" w:color="auto" w:fill="auto"/>
                  <w:noWrap w:val="0"/>
                  <w:vAlign w:val="center"/>
                </w:tcPr>
                <w:p w14:paraId="319338D0">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shd w:val="clear" w:color="auto" w:fill="auto"/>
                  <w:noWrap w:val="0"/>
                  <w:vAlign w:val="center"/>
                </w:tcPr>
                <w:p w14:paraId="3C990BA5">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shd w:val="clear" w:color="auto" w:fill="auto"/>
                  <w:noWrap w:val="0"/>
                  <w:vAlign w:val="center"/>
                </w:tcPr>
                <w:p w14:paraId="3B9CBF30">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shd w:val="clear" w:color="auto" w:fill="auto"/>
                  <w:noWrap w:val="0"/>
                  <w:vAlign w:val="center"/>
                </w:tcPr>
                <w:p w14:paraId="4CCE5DC7">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shd w:val="clear" w:color="auto" w:fill="auto"/>
                  <w:noWrap w:val="0"/>
                  <w:vAlign w:val="center"/>
                </w:tcPr>
                <w:p w14:paraId="4101CF2C">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shd w:val="clear" w:color="auto" w:fill="auto"/>
                  <w:noWrap w:val="0"/>
                  <w:vAlign w:val="center"/>
                </w:tcPr>
                <w:p w14:paraId="2ABC34B3">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49" w:type="dxa"/>
                  <w:vMerge w:val="continue"/>
                  <w:noWrap w:val="0"/>
                  <w:vAlign w:val="center"/>
                </w:tcPr>
                <w:p w14:paraId="10EEA518">
                  <w:pPr>
                    <w:jc w:val="center"/>
                    <w:rPr>
                      <w:rFonts w:hint="eastAsia" w:cs="Times New Roman"/>
                      <w:bCs/>
                      <w:color w:val="000000" w:themeColor="text1"/>
                      <w:sz w:val="21"/>
                      <w:szCs w:val="21"/>
                      <w:lang w:val="en-US" w:eastAsia="zh-CN"/>
                      <w14:textFill>
                        <w14:solidFill>
                          <w14:schemeClr w14:val="tx1"/>
                        </w14:solidFill>
                      </w14:textFill>
                    </w:rPr>
                  </w:pPr>
                </w:p>
              </w:tc>
            </w:tr>
            <w:tr w14:paraId="22646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continue"/>
                  <w:noWrap w:val="0"/>
                  <w:vAlign w:val="center"/>
                </w:tcPr>
                <w:p w14:paraId="3D697D11">
                  <w:pPr>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p>
              </w:tc>
              <w:tc>
                <w:tcPr>
                  <w:tcW w:w="1293" w:type="dxa"/>
                  <w:shd w:val="clear" w:color="auto" w:fill="auto"/>
                  <w:noWrap w:val="0"/>
                  <w:vAlign w:val="center"/>
                </w:tcPr>
                <w:p w14:paraId="69B2CBB1">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钝化烘干炉</w:t>
                  </w:r>
                </w:p>
              </w:tc>
              <w:tc>
                <w:tcPr>
                  <w:tcW w:w="505" w:type="dxa"/>
                  <w:shd w:val="clear" w:color="auto" w:fill="auto"/>
                  <w:noWrap w:val="0"/>
                  <w:vAlign w:val="center"/>
                </w:tcPr>
                <w:p w14:paraId="7C86080A">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shd w:val="clear" w:color="auto" w:fill="auto"/>
                  <w:noWrap w:val="0"/>
                  <w:vAlign w:val="center"/>
                </w:tcPr>
                <w:p w14:paraId="0B7ECAA4">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shd w:val="clear" w:color="auto" w:fill="auto"/>
                  <w:noWrap w:val="0"/>
                  <w:vAlign w:val="center"/>
                </w:tcPr>
                <w:p w14:paraId="7EC59017">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shd w:val="clear" w:color="auto" w:fill="auto"/>
                  <w:noWrap w:val="0"/>
                  <w:vAlign w:val="center"/>
                </w:tcPr>
                <w:p w14:paraId="61E66FEB">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shd w:val="clear" w:color="auto" w:fill="auto"/>
                  <w:noWrap w:val="0"/>
                  <w:vAlign w:val="center"/>
                </w:tcPr>
                <w:p w14:paraId="190FD179">
                  <w:pPr>
                    <w:keepNext w:val="0"/>
                    <w:keepLines w:val="0"/>
                    <w:widowControl/>
                    <w:suppressLineNumbers w:val="0"/>
                    <w:jc w:val="center"/>
                    <w:textAlignment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shd w:val="clear" w:color="auto" w:fill="auto"/>
                  <w:noWrap w:val="0"/>
                  <w:vAlign w:val="center"/>
                </w:tcPr>
                <w:p w14:paraId="6AB52F0E">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shd w:val="clear" w:color="auto" w:fill="auto"/>
                  <w:noWrap w:val="0"/>
                  <w:vAlign w:val="center"/>
                </w:tcPr>
                <w:p w14:paraId="6433AFB9">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49" w:type="dxa"/>
                  <w:vMerge w:val="continue"/>
                  <w:noWrap w:val="0"/>
                  <w:vAlign w:val="center"/>
                </w:tcPr>
                <w:p w14:paraId="45B87B89">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r>
            <w:tr w14:paraId="1C16D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continue"/>
                  <w:noWrap w:val="0"/>
                  <w:vAlign w:val="center"/>
                </w:tcPr>
                <w:p w14:paraId="56791FC3">
                  <w:pPr>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p>
              </w:tc>
              <w:tc>
                <w:tcPr>
                  <w:tcW w:w="1293" w:type="dxa"/>
                  <w:noWrap w:val="0"/>
                  <w:vAlign w:val="center"/>
                </w:tcPr>
                <w:p w14:paraId="6AC882EC">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丝印烘干区</w:t>
                  </w:r>
                </w:p>
              </w:tc>
              <w:tc>
                <w:tcPr>
                  <w:tcW w:w="505" w:type="dxa"/>
                  <w:shd w:val="clear" w:color="auto" w:fill="auto"/>
                  <w:noWrap w:val="0"/>
                  <w:vAlign w:val="center"/>
                </w:tcPr>
                <w:p w14:paraId="2E9AC218">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shd w:val="clear" w:color="auto" w:fill="auto"/>
                  <w:noWrap w:val="0"/>
                  <w:vAlign w:val="center"/>
                </w:tcPr>
                <w:p w14:paraId="743772F9">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shd w:val="clear" w:color="auto" w:fill="auto"/>
                  <w:noWrap w:val="0"/>
                  <w:vAlign w:val="center"/>
                </w:tcPr>
                <w:p w14:paraId="50B404B4">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shd w:val="clear" w:color="auto" w:fill="auto"/>
                  <w:noWrap w:val="0"/>
                  <w:vAlign w:val="center"/>
                </w:tcPr>
                <w:p w14:paraId="51F694B5">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shd w:val="clear" w:color="auto" w:fill="auto"/>
                  <w:noWrap w:val="0"/>
                  <w:vAlign w:val="center"/>
                </w:tcPr>
                <w:p w14:paraId="58F7B569">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shd w:val="clear" w:color="auto" w:fill="auto"/>
                  <w:noWrap w:val="0"/>
                  <w:vAlign w:val="center"/>
                </w:tcPr>
                <w:p w14:paraId="16BCB8A9">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shd w:val="clear" w:color="auto" w:fill="auto"/>
                  <w:noWrap w:val="0"/>
                  <w:vAlign w:val="center"/>
                </w:tcPr>
                <w:p w14:paraId="32BCC267">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49" w:type="dxa"/>
                  <w:vMerge w:val="continue"/>
                  <w:noWrap w:val="0"/>
                  <w:vAlign w:val="center"/>
                </w:tcPr>
                <w:p w14:paraId="36E054E8">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r>
            <w:tr w14:paraId="57AEA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4" w:type="dxa"/>
                  <w:vMerge w:val="continue"/>
                  <w:noWrap w:val="0"/>
                  <w:vAlign w:val="center"/>
                </w:tcPr>
                <w:p w14:paraId="106A71CF">
                  <w:pPr>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p>
              </w:tc>
              <w:tc>
                <w:tcPr>
                  <w:tcW w:w="1293" w:type="dxa"/>
                  <w:noWrap w:val="0"/>
                  <w:vAlign w:val="center"/>
                </w:tcPr>
                <w:p w14:paraId="270890C8">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粉末固化炉</w:t>
                  </w:r>
                </w:p>
              </w:tc>
              <w:tc>
                <w:tcPr>
                  <w:tcW w:w="505" w:type="dxa"/>
                  <w:noWrap w:val="0"/>
                  <w:vAlign w:val="center"/>
                </w:tcPr>
                <w:p w14:paraId="61EA4F00">
                  <w:pPr>
                    <w:keepNext w:val="0"/>
                    <w:keepLines w:val="0"/>
                    <w:widowControl/>
                    <w:suppressLineNumbers w:val="0"/>
                    <w:jc w:val="center"/>
                    <w:textAlignment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noWrap w:val="0"/>
                  <w:vAlign w:val="center"/>
                </w:tcPr>
                <w:p w14:paraId="35F07612">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noWrap w:val="0"/>
                  <w:vAlign w:val="center"/>
                </w:tcPr>
                <w:p w14:paraId="1F2EBB72">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noWrap w:val="0"/>
                  <w:vAlign w:val="center"/>
                </w:tcPr>
                <w:p w14:paraId="58F50F92">
                  <w:pPr>
                    <w:keepNext w:val="0"/>
                    <w:keepLines w:val="0"/>
                    <w:widowControl/>
                    <w:suppressLineNumbers w:val="0"/>
                    <w:jc w:val="center"/>
                    <w:textAlignment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noWrap w:val="0"/>
                  <w:vAlign w:val="center"/>
                </w:tcPr>
                <w:p w14:paraId="58306255">
                  <w:pPr>
                    <w:keepNext w:val="0"/>
                    <w:keepLines w:val="0"/>
                    <w:widowControl/>
                    <w:suppressLineNumbers w:val="0"/>
                    <w:jc w:val="center"/>
                    <w:textAlignment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noWrap w:val="0"/>
                  <w:vAlign w:val="center"/>
                </w:tcPr>
                <w:p w14:paraId="0471F2D5">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noWrap w:val="0"/>
                  <w:vAlign w:val="center"/>
                </w:tcPr>
                <w:p w14:paraId="53262CB7">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749" w:type="dxa"/>
                  <w:vMerge w:val="continue"/>
                  <w:noWrap w:val="0"/>
                  <w:vAlign w:val="center"/>
                </w:tcPr>
                <w:p w14:paraId="1D254693">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r>
            <w:tr w14:paraId="00420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restart"/>
                  <w:noWrap w:val="0"/>
                  <w:vAlign w:val="center"/>
                </w:tcPr>
                <w:p w14:paraId="0AAE1F05">
                  <w:pPr>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DA00</w:t>
                  </w:r>
                  <w:r>
                    <w:rPr>
                      <w:rFonts w:hint="eastAsia" w:cs="Times New Roman"/>
                      <w:bCs/>
                      <w:color w:val="000000" w:themeColor="text1"/>
                      <w:sz w:val="21"/>
                      <w:szCs w:val="21"/>
                      <w:lang w:val="en-US" w:eastAsia="zh-CN"/>
                      <w14:textFill>
                        <w14:solidFill>
                          <w14:schemeClr w14:val="tx1"/>
                        </w14:solidFill>
                      </w14:textFill>
                    </w:rPr>
                    <w:t>5</w:t>
                  </w:r>
                </w:p>
              </w:tc>
              <w:tc>
                <w:tcPr>
                  <w:tcW w:w="1293" w:type="dxa"/>
                  <w:shd w:val="clear" w:color="auto" w:fill="auto"/>
                  <w:noWrap w:val="0"/>
                  <w:vAlign w:val="center"/>
                </w:tcPr>
                <w:p w14:paraId="6CC31274">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喷胶固化炉</w:t>
                  </w:r>
                </w:p>
              </w:tc>
              <w:tc>
                <w:tcPr>
                  <w:tcW w:w="505" w:type="dxa"/>
                  <w:shd w:val="clear" w:color="auto" w:fill="auto"/>
                  <w:noWrap w:val="0"/>
                  <w:vAlign w:val="center"/>
                </w:tcPr>
                <w:p w14:paraId="1DF6E3EE">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shd w:val="clear" w:color="auto" w:fill="auto"/>
                  <w:noWrap w:val="0"/>
                  <w:vAlign w:val="center"/>
                </w:tcPr>
                <w:p w14:paraId="5C3C5BA7">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shd w:val="clear" w:color="auto" w:fill="auto"/>
                  <w:noWrap w:val="0"/>
                  <w:vAlign w:val="center"/>
                </w:tcPr>
                <w:p w14:paraId="5018A0B3">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shd w:val="clear" w:color="auto" w:fill="auto"/>
                  <w:noWrap w:val="0"/>
                  <w:vAlign w:val="center"/>
                </w:tcPr>
                <w:p w14:paraId="48EFCE6B">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shd w:val="clear" w:color="auto" w:fill="auto"/>
                  <w:noWrap w:val="0"/>
                  <w:vAlign w:val="center"/>
                </w:tcPr>
                <w:p w14:paraId="6B577DC3">
                  <w:pPr>
                    <w:keepNext w:val="0"/>
                    <w:keepLines w:val="0"/>
                    <w:widowControl/>
                    <w:suppressLineNumbers w:val="0"/>
                    <w:jc w:val="center"/>
                    <w:textAlignment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shd w:val="clear" w:color="auto" w:fill="auto"/>
                  <w:noWrap w:val="0"/>
                  <w:vAlign w:val="center"/>
                </w:tcPr>
                <w:p w14:paraId="2324A209">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shd w:val="clear" w:color="auto" w:fill="auto"/>
                  <w:noWrap w:val="0"/>
                  <w:vAlign w:val="center"/>
                </w:tcPr>
                <w:p w14:paraId="230CC0D3">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49" w:type="dxa"/>
                  <w:vMerge w:val="restart"/>
                  <w:noWrap w:val="0"/>
                  <w:vAlign w:val="center"/>
                </w:tcPr>
                <w:p w14:paraId="3BD92428">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15000</w:t>
                  </w:r>
                </w:p>
              </w:tc>
            </w:tr>
            <w:tr w14:paraId="757EF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continue"/>
                  <w:noWrap w:val="0"/>
                  <w:vAlign w:val="center"/>
                </w:tcPr>
                <w:p w14:paraId="0E596ECD">
                  <w:pPr>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p>
              </w:tc>
              <w:tc>
                <w:tcPr>
                  <w:tcW w:w="1293" w:type="dxa"/>
                  <w:noWrap w:val="0"/>
                  <w:vAlign w:val="center"/>
                </w:tcPr>
                <w:p w14:paraId="5E8CF7E8">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喷胶房</w:t>
                  </w:r>
                </w:p>
              </w:tc>
              <w:tc>
                <w:tcPr>
                  <w:tcW w:w="505" w:type="dxa"/>
                  <w:noWrap w:val="0"/>
                  <w:vAlign w:val="center"/>
                </w:tcPr>
                <w:p w14:paraId="14DC5B3E">
                  <w:pPr>
                    <w:keepNext w:val="0"/>
                    <w:keepLines w:val="0"/>
                    <w:widowControl/>
                    <w:suppressLineNumbers w:val="0"/>
                    <w:jc w:val="center"/>
                    <w:textAlignment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noWrap w:val="0"/>
                  <w:vAlign w:val="center"/>
                </w:tcPr>
                <w:p w14:paraId="56564876">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590" w:type="dxa"/>
                  <w:noWrap w:val="0"/>
                  <w:vAlign w:val="center"/>
                </w:tcPr>
                <w:p w14:paraId="66A2C17E">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noWrap w:val="0"/>
                  <w:vAlign w:val="center"/>
                </w:tcPr>
                <w:p w14:paraId="194B5DB3">
                  <w:pPr>
                    <w:keepNext w:val="0"/>
                    <w:keepLines w:val="0"/>
                    <w:widowControl/>
                    <w:suppressLineNumbers w:val="0"/>
                    <w:jc w:val="center"/>
                    <w:textAlignment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noWrap w:val="0"/>
                  <w:vAlign w:val="center"/>
                </w:tcPr>
                <w:p w14:paraId="50631204">
                  <w:pPr>
                    <w:keepNext w:val="0"/>
                    <w:keepLines w:val="0"/>
                    <w:widowControl/>
                    <w:suppressLineNumbers w:val="0"/>
                    <w:jc w:val="center"/>
                    <w:textAlignment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2.0m×1.0m</w:t>
                  </w:r>
                </w:p>
              </w:tc>
              <w:tc>
                <w:tcPr>
                  <w:tcW w:w="1094" w:type="dxa"/>
                  <w:noWrap w:val="0"/>
                  <w:vAlign w:val="center"/>
                </w:tcPr>
                <w:p w14:paraId="24ACBF62">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3024</w:t>
                  </w:r>
                </w:p>
              </w:tc>
              <w:tc>
                <w:tcPr>
                  <w:tcW w:w="763" w:type="dxa"/>
                  <w:noWrap w:val="0"/>
                  <w:vAlign w:val="center"/>
                </w:tcPr>
                <w:p w14:paraId="3B6AE12C">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49" w:type="dxa"/>
                  <w:vMerge w:val="continue"/>
                  <w:noWrap w:val="0"/>
                  <w:vAlign w:val="center"/>
                </w:tcPr>
                <w:p w14:paraId="0DD3674B">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r>
            <w:tr w14:paraId="7FDA1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noWrap w:val="0"/>
                  <w:vAlign w:val="center"/>
                </w:tcPr>
                <w:p w14:paraId="25154A9B">
                  <w:pPr>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DA00</w:t>
                  </w:r>
                  <w:r>
                    <w:rPr>
                      <w:rFonts w:hint="eastAsia" w:cs="Times New Roman"/>
                      <w:bCs/>
                      <w:color w:val="000000" w:themeColor="text1"/>
                      <w:sz w:val="21"/>
                      <w:szCs w:val="21"/>
                      <w:lang w:val="en-US" w:eastAsia="zh-CN"/>
                      <w14:textFill>
                        <w14:solidFill>
                          <w14:schemeClr w14:val="tx1"/>
                        </w14:solidFill>
                      </w14:textFill>
                    </w:rPr>
                    <w:t>7</w:t>
                  </w:r>
                </w:p>
              </w:tc>
              <w:tc>
                <w:tcPr>
                  <w:tcW w:w="1293" w:type="dxa"/>
                  <w:shd w:val="clear" w:color="auto" w:fill="auto"/>
                  <w:noWrap w:val="0"/>
                  <w:vAlign w:val="center"/>
                </w:tcPr>
                <w:p w14:paraId="51CD4F83">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喷粉房</w:t>
                  </w:r>
                </w:p>
              </w:tc>
              <w:tc>
                <w:tcPr>
                  <w:tcW w:w="505" w:type="dxa"/>
                  <w:shd w:val="clear" w:color="auto" w:fill="auto"/>
                  <w:noWrap w:val="0"/>
                  <w:vAlign w:val="center"/>
                </w:tcPr>
                <w:p w14:paraId="50B91B90">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shd w:val="clear" w:color="auto" w:fill="auto"/>
                  <w:noWrap w:val="0"/>
                  <w:vAlign w:val="center"/>
                </w:tcPr>
                <w:p w14:paraId="16126DEC">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shd w:val="clear" w:color="auto" w:fill="auto"/>
                  <w:noWrap w:val="0"/>
                  <w:vAlign w:val="center"/>
                </w:tcPr>
                <w:p w14:paraId="0EDD5AFE">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shd w:val="clear" w:color="auto" w:fill="auto"/>
                  <w:noWrap w:val="0"/>
                  <w:vAlign w:val="center"/>
                </w:tcPr>
                <w:p w14:paraId="39FA00E0">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shd w:val="clear" w:color="auto" w:fill="auto"/>
                  <w:noWrap w:val="0"/>
                  <w:vAlign w:val="center"/>
                </w:tcPr>
                <w:p w14:paraId="1D34A445">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shd w:val="clear" w:color="auto" w:fill="auto"/>
                  <w:noWrap w:val="0"/>
                  <w:vAlign w:val="center"/>
                </w:tcPr>
                <w:p w14:paraId="32AF8BCA">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shd w:val="clear" w:color="auto" w:fill="auto"/>
                  <w:noWrap w:val="0"/>
                  <w:vAlign w:val="center"/>
                </w:tcPr>
                <w:p w14:paraId="781E6600">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49" w:type="dxa"/>
                  <w:noWrap w:val="0"/>
                  <w:vAlign w:val="center"/>
                </w:tcPr>
                <w:p w14:paraId="51700A23">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4000</w:t>
                  </w:r>
                </w:p>
              </w:tc>
            </w:tr>
            <w:tr w14:paraId="428BD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4" w:type="dxa"/>
                  <w:noWrap w:val="0"/>
                  <w:vAlign w:val="center"/>
                </w:tcPr>
                <w:p w14:paraId="18041918">
                  <w:pPr>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DA00</w:t>
                  </w:r>
                  <w:r>
                    <w:rPr>
                      <w:rFonts w:hint="eastAsia" w:cs="Times New Roman"/>
                      <w:bCs/>
                      <w:color w:val="000000" w:themeColor="text1"/>
                      <w:sz w:val="21"/>
                      <w:szCs w:val="21"/>
                      <w:lang w:val="en-US" w:eastAsia="zh-CN"/>
                      <w14:textFill>
                        <w14:solidFill>
                          <w14:schemeClr w14:val="tx1"/>
                        </w14:solidFill>
                      </w14:textFill>
                    </w:rPr>
                    <w:t>8</w:t>
                  </w:r>
                </w:p>
              </w:tc>
              <w:tc>
                <w:tcPr>
                  <w:tcW w:w="1293" w:type="dxa"/>
                  <w:shd w:val="clear" w:color="auto" w:fill="auto"/>
                  <w:noWrap w:val="0"/>
                  <w:vAlign w:val="center"/>
                </w:tcPr>
                <w:p w14:paraId="29FBFCCD">
                  <w:pPr>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喷粉房</w:t>
                  </w:r>
                </w:p>
              </w:tc>
              <w:tc>
                <w:tcPr>
                  <w:tcW w:w="505" w:type="dxa"/>
                  <w:shd w:val="clear" w:color="auto" w:fill="auto"/>
                  <w:noWrap w:val="0"/>
                  <w:vAlign w:val="center"/>
                </w:tcPr>
                <w:p w14:paraId="53DBE5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shd w:val="clear" w:color="auto" w:fill="auto"/>
                  <w:noWrap w:val="0"/>
                  <w:vAlign w:val="center"/>
                </w:tcPr>
                <w:p w14:paraId="7D030E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90" w:type="dxa"/>
                  <w:shd w:val="clear" w:color="auto" w:fill="auto"/>
                  <w:noWrap w:val="0"/>
                  <w:vAlign w:val="center"/>
                </w:tcPr>
                <w:p w14:paraId="7A4B6D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shd w:val="clear" w:color="auto" w:fill="auto"/>
                  <w:noWrap w:val="0"/>
                  <w:vAlign w:val="center"/>
                </w:tcPr>
                <w:p w14:paraId="684B1E0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shd w:val="clear" w:color="auto" w:fill="auto"/>
                  <w:noWrap w:val="0"/>
                  <w:vAlign w:val="center"/>
                </w:tcPr>
                <w:p w14:paraId="1B8BB93D">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1.0m×0.8m</w:t>
                  </w:r>
                </w:p>
              </w:tc>
              <w:tc>
                <w:tcPr>
                  <w:tcW w:w="1094" w:type="dxa"/>
                  <w:shd w:val="clear" w:color="auto" w:fill="auto"/>
                  <w:noWrap w:val="0"/>
                  <w:vAlign w:val="center"/>
                </w:tcPr>
                <w:p w14:paraId="20E4D3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1814.4</w:t>
                  </w:r>
                </w:p>
              </w:tc>
              <w:tc>
                <w:tcPr>
                  <w:tcW w:w="763" w:type="dxa"/>
                  <w:shd w:val="clear" w:color="auto" w:fill="auto"/>
                  <w:noWrap w:val="0"/>
                  <w:vAlign w:val="center"/>
                </w:tcPr>
                <w:p w14:paraId="75AE4B04">
                  <w:pPr>
                    <w:keepNext w:val="0"/>
                    <w:keepLines w:val="0"/>
                    <w:widowControl/>
                    <w:suppressLineNumbers w:val="0"/>
                    <w:jc w:val="center"/>
                    <w:textAlignment w:val="center"/>
                    <w:rPr>
                      <w:rFonts w:hint="eastAsia"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49" w:type="dxa"/>
                  <w:noWrap w:val="0"/>
                  <w:vAlign w:val="center"/>
                </w:tcPr>
                <w:p w14:paraId="0E08DCCF">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4000</w:t>
                  </w:r>
                </w:p>
              </w:tc>
            </w:tr>
            <w:tr w14:paraId="61078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restart"/>
                  <w:noWrap w:val="0"/>
                  <w:vAlign w:val="center"/>
                </w:tcPr>
                <w:p w14:paraId="25DC92A3">
                  <w:pPr>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DA00</w:t>
                  </w:r>
                  <w:r>
                    <w:rPr>
                      <w:rFonts w:hint="eastAsia" w:cs="Times New Roman"/>
                      <w:bCs/>
                      <w:color w:val="000000" w:themeColor="text1"/>
                      <w:sz w:val="21"/>
                      <w:szCs w:val="21"/>
                      <w:lang w:val="en-US" w:eastAsia="zh-CN"/>
                      <w14:textFill>
                        <w14:solidFill>
                          <w14:schemeClr w14:val="tx1"/>
                        </w14:solidFill>
                      </w14:textFill>
                    </w:rPr>
                    <w:t>9</w:t>
                  </w:r>
                </w:p>
              </w:tc>
              <w:tc>
                <w:tcPr>
                  <w:tcW w:w="1293" w:type="dxa"/>
                  <w:shd w:val="clear" w:color="auto" w:fill="auto"/>
                  <w:noWrap w:val="0"/>
                  <w:vAlign w:val="center"/>
                </w:tcPr>
                <w:p w14:paraId="6CCAAFEB">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喷胶房</w:t>
                  </w:r>
                </w:p>
              </w:tc>
              <w:tc>
                <w:tcPr>
                  <w:tcW w:w="505" w:type="dxa"/>
                  <w:shd w:val="clear" w:color="auto" w:fill="auto"/>
                  <w:noWrap w:val="0"/>
                  <w:vAlign w:val="center"/>
                </w:tcPr>
                <w:p w14:paraId="3CE6BE1B">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5" w:type="dxa"/>
                  <w:shd w:val="clear" w:color="auto" w:fill="auto"/>
                  <w:noWrap w:val="0"/>
                  <w:vAlign w:val="center"/>
                </w:tcPr>
                <w:p w14:paraId="68FFC902">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590" w:type="dxa"/>
                  <w:shd w:val="clear" w:color="auto" w:fill="auto"/>
                  <w:noWrap w:val="0"/>
                  <w:vAlign w:val="center"/>
                </w:tcPr>
                <w:p w14:paraId="5F7D455C">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35" w:type="dxa"/>
                  <w:shd w:val="clear" w:color="auto" w:fill="auto"/>
                  <w:noWrap w:val="0"/>
                  <w:vAlign w:val="center"/>
                </w:tcPr>
                <w:p w14:paraId="6A2C9F8F">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230" w:type="dxa"/>
                  <w:shd w:val="clear" w:color="auto" w:fill="auto"/>
                  <w:noWrap w:val="0"/>
                  <w:vAlign w:val="center"/>
                </w:tcPr>
                <w:p w14:paraId="4B6C6BDC">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2.0m×1.0m</w:t>
                  </w:r>
                </w:p>
              </w:tc>
              <w:tc>
                <w:tcPr>
                  <w:tcW w:w="1094" w:type="dxa"/>
                  <w:shd w:val="clear" w:color="auto" w:fill="auto"/>
                  <w:noWrap w:val="0"/>
                  <w:vAlign w:val="center"/>
                </w:tcPr>
                <w:p w14:paraId="7F8FA7EC">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3024</w:t>
                  </w:r>
                </w:p>
              </w:tc>
              <w:tc>
                <w:tcPr>
                  <w:tcW w:w="763" w:type="dxa"/>
                  <w:shd w:val="clear" w:color="auto" w:fill="auto"/>
                  <w:noWrap w:val="0"/>
                  <w:vAlign w:val="center"/>
                </w:tcPr>
                <w:p w14:paraId="04695FF3">
                  <w:pPr>
                    <w:keepNext w:val="0"/>
                    <w:keepLines w:val="0"/>
                    <w:widowControl/>
                    <w:suppressLineNumbers w:val="0"/>
                    <w:jc w:val="center"/>
                    <w:textAlignment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49" w:type="dxa"/>
                  <w:vMerge w:val="restart"/>
                  <w:noWrap w:val="0"/>
                  <w:vAlign w:val="center"/>
                </w:tcPr>
                <w:p w14:paraId="5C86C95B">
                  <w:pPr>
                    <w:keepNext w:val="0"/>
                    <w:keepLines w:val="0"/>
                    <w:widowControl/>
                    <w:suppressLineNumbers w:val="0"/>
                    <w:jc w:val="center"/>
                    <w:textAlignment w:val="center"/>
                    <w:rPr>
                      <w:rFonts w:hint="default"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10000</w:t>
                  </w:r>
                </w:p>
              </w:tc>
            </w:tr>
            <w:tr w14:paraId="799E35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dxa"/>
                  <w:vMerge w:val="continue"/>
                  <w:noWrap w:val="0"/>
                  <w:vAlign w:val="center"/>
                </w:tcPr>
                <w:p w14:paraId="7CF11513">
                  <w:pPr>
                    <w:jc w:val="center"/>
                    <w:rPr>
                      <w:rFonts w:hint="eastAsia" w:ascii="Times New Roman" w:hAnsi="Times New Roman" w:cs="Times New Roman"/>
                      <w:bCs/>
                      <w:color w:val="000000" w:themeColor="text1"/>
                      <w:sz w:val="21"/>
                      <w:szCs w:val="21"/>
                      <w:lang w:val="en-US" w:eastAsia="zh-CN"/>
                      <w14:textFill>
                        <w14:solidFill>
                          <w14:schemeClr w14:val="tx1"/>
                        </w14:solidFill>
                      </w14:textFill>
                    </w:rPr>
                  </w:pPr>
                </w:p>
              </w:tc>
              <w:tc>
                <w:tcPr>
                  <w:tcW w:w="1293" w:type="dxa"/>
                  <w:shd w:val="clear" w:color="auto" w:fill="auto"/>
                  <w:noWrap w:val="0"/>
                  <w:vAlign w:val="center"/>
                </w:tcPr>
                <w:p w14:paraId="4E10510B">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喷胶固化炉</w:t>
                  </w:r>
                </w:p>
              </w:tc>
              <w:tc>
                <w:tcPr>
                  <w:tcW w:w="505" w:type="dxa"/>
                  <w:shd w:val="clear" w:color="auto" w:fill="auto"/>
                  <w:noWrap w:val="0"/>
                  <w:vAlign w:val="center"/>
                </w:tcPr>
                <w:p w14:paraId="2965D118">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w:t>
                  </w:r>
                </w:p>
              </w:tc>
              <w:tc>
                <w:tcPr>
                  <w:tcW w:w="555" w:type="dxa"/>
                  <w:shd w:val="clear" w:color="auto" w:fill="auto"/>
                  <w:noWrap w:val="0"/>
                  <w:vAlign w:val="center"/>
                </w:tcPr>
                <w:p w14:paraId="18C9394A">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w:t>
                  </w:r>
                </w:p>
              </w:tc>
              <w:tc>
                <w:tcPr>
                  <w:tcW w:w="590" w:type="dxa"/>
                  <w:shd w:val="clear" w:color="auto" w:fill="auto"/>
                  <w:noWrap w:val="0"/>
                  <w:vAlign w:val="center"/>
                </w:tcPr>
                <w:p w14:paraId="3D8C461B">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w:t>
                  </w:r>
                </w:p>
              </w:tc>
              <w:tc>
                <w:tcPr>
                  <w:tcW w:w="835" w:type="dxa"/>
                  <w:shd w:val="clear" w:color="auto" w:fill="auto"/>
                  <w:noWrap w:val="0"/>
                  <w:vAlign w:val="center"/>
                </w:tcPr>
                <w:p w14:paraId="7FB28773">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p>
              </w:tc>
              <w:tc>
                <w:tcPr>
                  <w:tcW w:w="1230" w:type="dxa"/>
                  <w:shd w:val="clear" w:color="auto" w:fill="auto"/>
                  <w:noWrap w:val="0"/>
                  <w:vAlign w:val="center"/>
                </w:tcPr>
                <w:p w14:paraId="02124A7C">
                  <w:pPr>
                    <w:keepNext w:val="0"/>
                    <w:keepLines w:val="0"/>
                    <w:widowControl/>
                    <w:suppressLineNumbers w:val="0"/>
                    <w:jc w:val="center"/>
                    <w:textAlignment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1.0m×0.8m</w:t>
                  </w:r>
                </w:p>
              </w:tc>
              <w:tc>
                <w:tcPr>
                  <w:tcW w:w="1094" w:type="dxa"/>
                  <w:shd w:val="clear" w:color="auto" w:fill="auto"/>
                  <w:noWrap w:val="0"/>
                  <w:vAlign w:val="center"/>
                </w:tcPr>
                <w:p w14:paraId="5A38A51F">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1814.4</w:t>
                  </w:r>
                </w:p>
              </w:tc>
              <w:tc>
                <w:tcPr>
                  <w:tcW w:w="763" w:type="dxa"/>
                  <w:shd w:val="clear" w:color="auto" w:fill="auto"/>
                  <w:noWrap w:val="0"/>
                  <w:vAlign w:val="center"/>
                </w:tcPr>
                <w:p w14:paraId="02CD442F">
                  <w:pPr>
                    <w:keepNext w:val="0"/>
                    <w:keepLines w:val="0"/>
                    <w:widowControl/>
                    <w:suppressLineNumbers w:val="0"/>
                    <w:jc w:val="center"/>
                    <w:textAlignment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2</w:t>
                  </w:r>
                </w:p>
              </w:tc>
              <w:tc>
                <w:tcPr>
                  <w:tcW w:w="749" w:type="dxa"/>
                  <w:vMerge w:val="continue"/>
                  <w:noWrap w:val="0"/>
                  <w:vAlign w:val="center"/>
                </w:tcPr>
                <w:p w14:paraId="127CB035">
                  <w:pPr>
                    <w:keepNext w:val="0"/>
                    <w:keepLines w:val="0"/>
                    <w:widowControl/>
                    <w:suppressLineNumbers w:val="0"/>
                    <w:jc w:val="center"/>
                    <w:textAlignment w:val="center"/>
                    <w:rPr>
                      <w:rFonts w:hint="eastAsia" w:cs="Times New Roman"/>
                      <w:bCs/>
                      <w:color w:val="000000" w:themeColor="text1"/>
                      <w:sz w:val="21"/>
                      <w:szCs w:val="21"/>
                      <w:lang w:val="en-US" w:eastAsia="zh-CN"/>
                      <w14:textFill>
                        <w14:solidFill>
                          <w14:schemeClr w14:val="tx1"/>
                        </w14:solidFill>
                      </w14:textFill>
                    </w:rPr>
                  </w:pPr>
                </w:p>
              </w:tc>
            </w:tr>
          </w:tbl>
          <w:p w14:paraId="5FACA2A0">
            <w:pPr>
              <w:pStyle w:val="93"/>
              <w:keepNext w:val="0"/>
              <w:keepLines w:val="0"/>
              <w:pageBreakBefore w:val="0"/>
              <w:widowControl/>
              <w:kinsoku/>
              <w:wordWrap/>
              <w:overflowPunct/>
              <w:topLinePunct w:val="0"/>
              <w:autoSpaceDE/>
              <w:autoSpaceDN/>
              <w:bidi w:val="0"/>
              <w:adjustRightInd/>
              <w:snapToGrid/>
              <w:spacing w:before="157" w:beforeLines="50"/>
              <w:ind w:firstLine="48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参考《广东省生态环境厅关于印发工业源挥发性有机物和氮氧化物减排量核算方法的通知》（粤环函</w:t>
            </w:r>
            <w:r>
              <w:rPr>
                <w:rFonts w:hint="eastAsia" w:ascii="Times New Roman" w:hAnsi="Times New Roman" w:eastAsia="宋体" w:cs="Times New Roman"/>
                <w:color w:val="000000" w:themeColor="text1"/>
                <w:sz w:val="24"/>
                <w:lang w:val="en-US" w:eastAsia="zh-CN"/>
                <w14:textFill>
                  <w14:solidFill>
                    <w14:schemeClr w14:val="tx1"/>
                  </w14:solidFill>
                </w14:textFill>
              </w:rPr>
              <w:t>〔2023〕538号</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，建议直接将“活性炭年更换量×活性炭吸附比例”（活性炭年</w:t>
            </w:r>
            <w:r>
              <w:rPr>
                <w:rFonts w:hint="default" w:ascii="Times New Roman" w:hAnsi="Times New Roman" w:eastAsia="宋体" w:cs="Times New Roman"/>
                <w:color w:val="000000" w:themeColor="text1"/>
                <w:sz w:val="24"/>
                <w:lang w:val="en-US" w:eastAsia="zh-CN"/>
                <w14:textFill>
                  <w14:solidFill>
                    <w14:schemeClr w14:val="tx1"/>
                  </w14:solidFill>
                </w14:textFill>
              </w:rPr>
              <w:t>更换量优先以危废转移量为依据，吸附比例建议取值15%</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作为废气处理设施VOCs削减量。本评价按</w:t>
            </w:r>
            <w:r>
              <w:rPr>
                <w:rFonts w:hint="default" w:ascii="Times New Roman" w:hAnsi="Times New Roman" w:cs="Times New Roman"/>
                <w:color w:val="000000" w:themeColor="text1"/>
                <w:sz w:val="24"/>
                <w14:textFill>
                  <w14:solidFill>
                    <w14:schemeClr w14:val="tx1"/>
                  </w14:solidFill>
                </w14:textFill>
              </w:rPr>
              <w:t>活性炭吸附饱和率15%</w:t>
            </w:r>
            <w:r>
              <w:rPr>
                <w:rFonts w:hint="default" w:ascii="Times New Roman" w:hAnsi="Times New Roman" w:cs="Times New Roman"/>
                <w:color w:val="000000" w:themeColor="text1"/>
                <w:sz w:val="24"/>
                <w:lang w:val="en-US" w:eastAsia="zh-CN"/>
                <w14:textFill>
                  <w14:solidFill>
                    <w14:schemeClr w14:val="tx1"/>
                  </w14:solidFill>
                </w14:textFill>
              </w:rPr>
              <w:t>取值</w:t>
            </w:r>
            <w:r>
              <w:rPr>
                <w:rFonts w:hint="default" w:ascii="Times New Roman" w:hAnsi="Times New Roman" w:cs="Times New Roman"/>
                <w:color w:val="000000" w:themeColor="text1"/>
                <w:sz w:val="24"/>
                <w14:textFill>
                  <w14:solidFill>
                    <w14:schemeClr w14:val="tx1"/>
                  </w14:solidFill>
                </w14:textFill>
              </w:rPr>
              <w:t>，定期更换活性炭以保证VOCs治理效果</w:t>
            </w:r>
            <w:r>
              <w:rPr>
                <w:rFonts w:hint="eastAsia"/>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“水喷淋</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+干式过滤</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活性炭吸附</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装置”对</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有机废气</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的去除</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效率按80%计；</w:t>
            </w:r>
            <w:r>
              <w:rPr>
                <w:rFonts w:hint="eastAsia" w:ascii="Times New Roman" w:hAnsi="Times New Roman" w:eastAsia="宋体" w:cs="Times New Roman"/>
                <w:bCs/>
                <w:color w:val="000000" w:themeColor="text1"/>
                <w:sz w:val="24"/>
                <w:lang w:val="en-US" w:eastAsia="zh-CN"/>
                <w14:textFill>
                  <w14:solidFill>
                    <w14:schemeClr w14:val="tx1"/>
                  </w14:solidFill>
                </w14:textFill>
              </w:rPr>
              <w:t>参考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《污染源源强核算技术指南 汽车制造》（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HJ1097-2020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）附录F，涂装工序袋式过滤、滤筒过滤颗粒物去除效率为80%～99.9%，项目</w:t>
            </w:r>
            <w:r>
              <w:rPr>
                <w:rFonts w:hint="eastAsia" w:ascii="Times New Roman" w:hAnsi="Times New Roman" w:cs="Times New Roman"/>
                <w:color w:val="000000" w:themeColor="text1"/>
                <w:sz w:val="24"/>
                <w:szCs w:val="24"/>
                <w:lang w:val="en-US" w:eastAsia="zh-CN"/>
                <w14:textFill>
                  <w14:solidFill>
                    <w14:schemeClr w14:val="tx1"/>
                  </w14:solidFill>
                </w14:textFill>
              </w:rPr>
              <w:t>喷粉废气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采用</w:t>
            </w:r>
            <w:r>
              <w:rPr>
                <w:rFonts w:hint="eastAsia" w:ascii="Times New Roman" w:hAnsi="Times New Roman" w:cs="Times New Roman"/>
                <w:color w:val="000000" w:themeColor="text1"/>
                <w:sz w:val="24"/>
                <w:szCs w:val="24"/>
                <w:lang w:val="en-US" w:eastAsia="zh-CN"/>
                <w14:textFill>
                  <w14:solidFill>
                    <w14:schemeClr w14:val="tx1"/>
                  </w14:solidFill>
                </w14:textFill>
              </w:rPr>
              <w:t>配套脉冲除尘器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处理，去除效率</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按</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99.5</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考虑固化炉废气设施进口颗粒物、二氧化硫</w:t>
            </w:r>
            <w:r>
              <w:rPr>
                <w:rFonts w:hint="eastAsia" w:ascii="Times New Roman" w:hAnsi="Times New Roman" w:cs="Times New Roman"/>
                <w:color w:val="000000" w:themeColor="text1"/>
                <w:sz w:val="24"/>
                <w:szCs w:val="24"/>
                <w:lang w:val="en-US" w:eastAsia="zh-CN"/>
                <w14:textFill>
                  <w14:solidFill>
                    <w14:schemeClr w14:val="tx1"/>
                  </w14:solidFill>
                </w14:textFill>
              </w:rPr>
              <w:t>、氮氧化物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浓度不高，</w:t>
            </w:r>
            <w:r>
              <w:rPr>
                <w:rFonts w:hint="eastAsia" w:ascii="Times New Roman" w:hAnsi="Times New Roman" w:cs="Times New Roman"/>
                <w:color w:val="000000" w:themeColor="text1"/>
                <w:sz w:val="24"/>
                <w:szCs w:val="24"/>
                <w:lang w:val="en-US" w:eastAsia="zh-CN"/>
                <w14:textFill>
                  <w14:solidFill>
                    <w14:schemeClr w14:val="tx1"/>
                  </w14:solidFill>
                </w14:textFill>
              </w:rPr>
              <w:t>不考虑以上废气的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去除效率。酸性废气的处理工艺为碱液喷淋，参照《污染源源强核算技术指南  电镀》（HJ984-2018）附录F表F.1，本项目对酸雾废气的处理效率取85%。</w:t>
            </w:r>
            <w:r>
              <w:rPr>
                <w:rFonts w:hint="default" w:ascii="Times New Roman" w:hAnsi="Times New Roman" w:eastAsia="宋体" w:cs="Times New Roman"/>
                <w:color w:val="000000" w:themeColor="text1"/>
                <w:sz w:val="24"/>
                <w:szCs w:val="24"/>
                <w:highlight w:val="none"/>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全厂</w:t>
            </w:r>
            <w:r>
              <w:rPr>
                <w:rFonts w:hint="default" w:ascii="Times New Roman" w:hAnsi="Times New Roman" w:eastAsia="宋体" w:cs="Times New Roman"/>
                <w:color w:val="000000" w:themeColor="text1"/>
                <w:sz w:val="24"/>
                <w:szCs w:val="24"/>
                <w:highlight w:val="none"/>
                <w14:textFill>
                  <w14:solidFill>
                    <w14:schemeClr w14:val="tx1"/>
                  </w14:solidFill>
                </w14:textFill>
              </w:rPr>
              <w:t>实行</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两</w:t>
            </w:r>
            <w:r>
              <w:rPr>
                <w:rFonts w:hint="default" w:ascii="Times New Roman" w:hAnsi="Times New Roman" w:eastAsia="宋体" w:cs="Times New Roman"/>
                <w:color w:val="000000" w:themeColor="text1"/>
                <w:sz w:val="24"/>
                <w:szCs w:val="24"/>
                <w:highlight w:val="none"/>
                <w14:textFill>
                  <w14:solidFill>
                    <w14:schemeClr w14:val="tx1"/>
                  </w14:solidFill>
                </w14:textFill>
              </w:rPr>
              <w:t>班制，每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班8</w:t>
            </w:r>
            <w:r>
              <w:rPr>
                <w:rFonts w:hint="default" w:ascii="Times New Roman" w:hAnsi="Times New Roman" w:eastAsia="宋体" w:cs="Times New Roman"/>
                <w:color w:val="000000" w:themeColor="text1"/>
                <w:sz w:val="24"/>
                <w:szCs w:val="24"/>
                <w:highlight w:val="none"/>
                <w14:textFill>
                  <w14:solidFill>
                    <w14:schemeClr w14:val="tx1"/>
                  </w14:solidFill>
                </w14:textFill>
              </w:rPr>
              <w:t>小时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年工作日300天</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年工作时间4800h，则项目各类污染物排放情况如下表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4.2-</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1A1A781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cs="Times New Roman"/>
                <w:color w:val="000000" w:themeColor="text1"/>
                <w:sz w:val="24"/>
                <w:szCs w:val="24"/>
                <w14:textFill>
                  <w14:solidFill>
                    <w14:schemeClr w14:val="tx1"/>
                  </w14:solidFill>
                </w14:textFill>
              </w:rPr>
            </w:pPr>
          </w:p>
        </w:tc>
      </w:tr>
    </w:tbl>
    <w:p w14:paraId="5D682020">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sectPr>
          <w:pgSz w:w="11907" w:h="16840"/>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2E337C98">
      <w:pPr>
        <w:pStyle w:val="83"/>
        <w:numPr>
          <w:ilvl w:val="0"/>
          <w:numId w:val="0"/>
        </w:numPr>
        <w:autoSpaceDE/>
        <w:autoSpaceDN/>
        <w:spacing w:after="0" w:line="240" w:lineRule="auto"/>
        <w:ind w:left="0" w:leftChars="0" w:firstLine="200" w:firstLineChars="0"/>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w:t>
      </w:r>
      <w:r>
        <w:rPr>
          <w:rFonts w:hint="eastAsia" w:ascii="Times New Roman" w:hAnsi="Times New Roman" w:eastAsia="宋体" w:cs="Times New Roman"/>
          <w:color w:val="000000" w:themeColor="text1"/>
          <w:lang w:val="en-US" w:eastAsia="zh-CN"/>
          <w14:textFill>
            <w14:solidFill>
              <w14:schemeClr w14:val="tx1"/>
            </w14:solidFill>
          </w14:textFill>
        </w:rPr>
        <w:t>4.2-</w:t>
      </w:r>
      <w:r>
        <w:rPr>
          <w:rFonts w:hint="eastAsia" w:cs="Times New Roman"/>
          <w:color w:val="000000" w:themeColor="text1"/>
          <w:lang w:val="en-US" w:eastAsia="zh-CN"/>
          <w14:textFill>
            <w14:solidFill>
              <w14:schemeClr w14:val="tx1"/>
            </w14:solidFill>
          </w14:textFill>
        </w:rPr>
        <w:t>6</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项目废气污染源源强核算结果及相关参数一览表</w:t>
      </w:r>
    </w:p>
    <w:p w14:paraId="2CC30477">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p w14:paraId="4BC08788">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sectPr>
          <w:pgSz w:w="16840" w:h="11907" w:orient="landscape"/>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652D264D">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tbl>
      <w:tblPr>
        <w:tblStyle w:val="30"/>
        <w:tblpPr w:leftFromText="180" w:rightFromText="180" w:vertAnchor="text" w:horzAnchor="page" w:tblpX="1235" w:tblpY="101"/>
        <w:tblOverlap w:val="never"/>
        <w:tblW w:w="943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0"/>
        <w:gridCol w:w="9040"/>
      </w:tblGrid>
      <w:tr w14:paraId="4FC903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7" w:hRule="atLeast"/>
        </w:trPr>
        <w:tc>
          <w:tcPr>
            <w:tcW w:w="390" w:type="dxa"/>
            <w:noWrap w:val="0"/>
            <w:tcMar>
              <w:left w:w="28" w:type="dxa"/>
              <w:right w:w="28" w:type="dxa"/>
            </w:tcMar>
            <w:vAlign w:val="center"/>
          </w:tcPr>
          <w:p w14:paraId="34F17832">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运营</w:t>
            </w:r>
          </w:p>
          <w:p w14:paraId="19332882">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期环</w:t>
            </w:r>
          </w:p>
          <w:p w14:paraId="563AA24F">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境影</w:t>
            </w:r>
          </w:p>
          <w:p w14:paraId="05D3547D">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响和</w:t>
            </w:r>
          </w:p>
          <w:p w14:paraId="5B97D2F4">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保护</w:t>
            </w:r>
          </w:p>
          <w:p w14:paraId="19436FB5">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措施</w:t>
            </w:r>
          </w:p>
        </w:tc>
        <w:tc>
          <w:tcPr>
            <w:tcW w:w="9040" w:type="dxa"/>
            <w:noWrap w:val="0"/>
            <w:vAlign w:val="top"/>
          </w:tcPr>
          <w:p w14:paraId="2B25C815">
            <w:pPr>
              <w:spacing w:line="360" w:lineRule="auto"/>
              <w:rPr>
                <w:rFonts w:ascii="Times New Roman" w:hAnsi="Times New Roman"/>
                <w:b/>
                <w:color w:val="000000" w:themeColor="text1"/>
                <w:kern w:val="0"/>
                <w:sz w:val="24"/>
                <w14:textFill>
                  <w14:solidFill>
                    <w14:schemeClr w14:val="tx1"/>
                  </w14:solidFill>
                </w14:textFill>
              </w:rPr>
            </w:pPr>
            <w:r>
              <w:rPr>
                <w:rFonts w:ascii="Times New Roman" w:hAnsi="Times New Roman"/>
                <w:b/>
                <w:color w:val="000000" w:themeColor="text1"/>
                <w:kern w:val="0"/>
                <w:sz w:val="24"/>
                <w14:textFill>
                  <w14:solidFill>
                    <w14:schemeClr w14:val="tx1"/>
                  </w14:solidFill>
                </w14:textFill>
              </w:rPr>
              <w:t>4.</w:t>
            </w:r>
            <w:r>
              <w:rPr>
                <w:rFonts w:hint="eastAsia" w:ascii="Times New Roman" w:hAnsi="Times New Roman"/>
                <w:b/>
                <w:color w:val="000000" w:themeColor="text1"/>
                <w:kern w:val="0"/>
                <w:sz w:val="24"/>
                <w:lang w:val="en-US" w:eastAsia="zh-CN"/>
                <w14:textFill>
                  <w14:solidFill>
                    <w14:schemeClr w14:val="tx1"/>
                  </w14:solidFill>
                </w14:textFill>
              </w:rPr>
              <w:t>2</w:t>
            </w:r>
            <w:r>
              <w:rPr>
                <w:rFonts w:ascii="Times New Roman" w:hAnsi="Times New Roman"/>
                <w:b/>
                <w:color w:val="000000" w:themeColor="text1"/>
                <w:kern w:val="0"/>
                <w:sz w:val="24"/>
                <w14:textFill>
                  <w14:solidFill>
                    <w14:schemeClr w14:val="tx1"/>
                  </w14:solidFill>
                </w14:textFill>
              </w:rPr>
              <w:t>.2</w:t>
            </w:r>
            <w:r>
              <w:rPr>
                <w:rFonts w:hint="eastAsia" w:ascii="Times New Roman" w:hAnsi="Times New Roman"/>
                <w:b/>
                <w:color w:val="000000" w:themeColor="text1"/>
                <w:kern w:val="0"/>
                <w:sz w:val="24"/>
                <w14:textFill>
                  <w14:solidFill>
                    <w14:schemeClr w14:val="tx1"/>
                  </w14:solidFill>
                </w14:textFill>
              </w:rPr>
              <w:t>非正常排放</w:t>
            </w:r>
          </w:p>
          <w:p w14:paraId="7FB59F43">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bidi="ar"/>
                <w14:textFill>
                  <w14:solidFill>
                    <w14:schemeClr w14:val="tx1"/>
                  </w14:solidFill>
                </w14:textFill>
              </w:rPr>
              <w:t>非正常排放是指生产过程中开停车（工、炉）、设备检修、工艺设备运转异常等非正常工况下的污染物排放，以及污染物排放控制措施达不到应有效率等情况下的排放。本项目废气非正常工况排放主要为废气处理设施出现故障不能正常运行的情况，或废气治理装置失效，但废气收集系统可以正常运行，废气未经处理直接通过排气筒排放的情况等。此时应立即停产进行维修，避免对周围环境造成污染。本环评大气污染物非正常排放源强按照处理设施去除效率为0%进行核算，非正常排放时间</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1h</w:t>
            </w:r>
            <w:r>
              <w:rPr>
                <w:rFonts w:hint="eastAsia" w:ascii="Times New Roman" w:hAnsi="Times New Roman" w:eastAsia="宋体" w:cs="Times New Roman"/>
                <w:color w:val="000000" w:themeColor="text1"/>
                <w:kern w:val="0"/>
                <w:sz w:val="24"/>
                <w:lang w:val="en-US" w:eastAsia="zh-CN" w:bidi="ar"/>
                <w14:textFill>
                  <w14:solidFill>
                    <w14:schemeClr w14:val="tx1"/>
                  </w14:solidFill>
                </w14:textFill>
              </w:rPr>
              <w:t>，则非正常排放量核算见表4.2-</w:t>
            </w:r>
            <w:r>
              <w:rPr>
                <w:rFonts w:hint="eastAsia" w:cs="Times New Roman"/>
                <w:color w:val="000000" w:themeColor="text1"/>
                <w:kern w:val="0"/>
                <w:sz w:val="24"/>
                <w:lang w:val="en-US" w:eastAsia="zh-CN" w:bidi="ar"/>
                <w14:textFill>
                  <w14:solidFill>
                    <w14:schemeClr w14:val="tx1"/>
                  </w14:solidFill>
                </w14:textFill>
              </w:rPr>
              <w:t>7</w:t>
            </w:r>
            <w:r>
              <w:rPr>
                <w:rFonts w:hint="eastAsia" w:ascii="Times New Roman" w:hAnsi="Times New Roman" w:eastAsia="宋体" w:cs="Times New Roman"/>
                <w:color w:val="000000" w:themeColor="text1"/>
                <w:kern w:val="0"/>
                <w:sz w:val="24"/>
                <w:lang w:val="en-US" w:eastAsia="zh-CN" w:bidi="ar"/>
                <w14:textFill>
                  <w14:solidFill>
                    <w14:schemeClr w14:val="tx1"/>
                  </w14:solidFill>
                </w14:textFill>
              </w:rPr>
              <w:t>。</w:t>
            </w:r>
          </w:p>
          <w:p w14:paraId="08E18C18">
            <w:pPr>
              <w:pStyle w:val="83"/>
              <w:numPr>
                <w:ilvl w:val="0"/>
                <w:numId w:val="0"/>
              </w:numPr>
              <w:autoSpaceDE/>
              <w:autoSpaceDN/>
              <w:spacing w:after="0" w:line="240" w:lineRule="auto"/>
              <w:ind w:left="0" w:leftChars="0" w:firstLine="200" w:firstLineChars="0"/>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表4.</w:t>
            </w:r>
            <w:r>
              <w:rPr>
                <w:rFonts w:hint="eastAsia" w:ascii="Times New Roman" w:hAnsi="Times New Roman" w:eastAsia="宋体"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7</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项目废气污染物非正常排放核算表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72"/>
              <w:gridCol w:w="1459"/>
              <w:gridCol w:w="1406"/>
              <w:gridCol w:w="1822"/>
              <w:gridCol w:w="1635"/>
              <w:gridCol w:w="1330"/>
            </w:tblGrid>
            <w:tr w14:paraId="3B86AF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664" w:type="pct"/>
                  <w:tcBorders>
                    <w:tl2br w:val="nil"/>
                    <w:tr2bl w:val="nil"/>
                  </w:tcBorders>
                  <w:noWrap w:val="0"/>
                  <w:vAlign w:val="center"/>
                </w:tcPr>
                <w:p w14:paraId="7E1CD402">
                  <w:pPr>
                    <w:pStyle w:val="87"/>
                    <w:keepNext w:val="0"/>
                    <w:keepLines w:val="0"/>
                    <w:pageBreakBefore w:val="0"/>
                    <w:widowControl/>
                    <w:kinsoku/>
                    <w:wordWrap/>
                    <w:overflowPunct/>
                    <w:topLinePunct w:val="0"/>
                    <w:autoSpaceDE/>
                    <w:autoSpaceDN/>
                    <w:bidi w:val="0"/>
                    <w:adjustRightInd/>
                    <w:snapToGrid/>
                    <w:spacing w:line="240" w:lineRule="auto"/>
                    <w:ind w:left="0" w:right="0"/>
                    <w:jc w:val="center"/>
                    <w:rPr>
                      <w:rFonts w:hint="eastAsia" w:ascii="Times New Roman" w:hAnsi="Times New Roman" w:eastAsia="宋体"/>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排气筒</w:t>
                  </w:r>
                </w:p>
              </w:tc>
              <w:tc>
                <w:tcPr>
                  <w:tcW w:w="826" w:type="pct"/>
                  <w:tcBorders>
                    <w:tl2br w:val="nil"/>
                    <w:tr2bl w:val="nil"/>
                  </w:tcBorders>
                  <w:noWrap w:val="0"/>
                  <w:vAlign w:val="center"/>
                </w:tcPr>
                <w:p w14:paraId="1A10D1C1">
                  <w:pPr>
                    <w:pStyle w:val="87"/>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宋体"/>
                      <w:color w:val="000000" w:themeColor="text1"/>
                      <w:spacing w:val="0"/>
                      <w:kern w:val="0"/>
                      <w:sz w:val="21"/>
                      <w:szCs w:val="21"/>
                      <w:lang w:val="en-US" w:eastAsia="zh-CN" w:bidi="ar"/>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污染物</w:t>
                  </w:r>
                </w:p>
              </w:tc>
              <w:tc>
                <w:tcPr>
                  <w:tcW w:w="796" w:type="pct"/>
                  <w:tcBorders>
                    <w:tl2br w:val="nil"/>
                    <w:tr2bl w:val="nil"/>
                  </w:tcBorders>
                  <w:noWrap w:val="0"/>
                  <w:vAlign w:val="center"/>
                </w:tcPr>
                <w:p w14:paraId="03E7014D">
                  <w:pPr>
                    <w:pStyle w:val="87"/>
                    <w:keepNext w:val="0"/>
                    <w:keepLines w:val="0"/>
                    <w:pageBreakBefore w:val="0"/>
                    <w:widowControl/>
                    <w:kinsoku/>
                    <w:wordWrap/>
                    <w:overflowPunct/>
                    <w:topLinePunct w:val="0"/>
                    <w:autoSpaceDE/>
                    <w:autoSpaceDN/>
                    <w:bidi w:val="0"/>
                    <w:adjustRightInd/>
                    <w:snapToGrid/>
                    <w:spacing w:line="240" w:lineRule="auto"/>
                    <w:ind w:left="0" w:right="0"/>
                    <w:jc w:val="center"/>
                    <w:rPr>
                      <w:rFonts w:ascii="Times New Roman" w:hAnsi="Times New Roman" w:eastAsia="宋体" w:cs="宋体"/>
                      <w:color w:val="000000" w:themeColor="text1"/>
                      <w:spacing w:val="0"/>
                      <w:sz w:val="21"/>
                      <w:szCs w:val="21"/>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频次</w:t>
                  </w:r>
                  <w:r>
                    <w:rPr>
                      <w:rFonts w:hint="eastAsia" w:ascii="Times New Roman" w:hAnsi="Times New Roman" w:eastAsia="宋体" w:cs="宋体"/>
                      <w:color w:val="000000" w:themeColor="text1"/>
                      <w:spacing w:val="0"/>
                      <w:sz w:val="21"/>
                      <w:szCs w:val="21"/>
                      <w:lang w:eastAsia="zh-CN"/>
                      <w14:textFill>
                        <w14:solidFill>
                          <w14:schemeClr w14:val="tx1"/>
                        </w14:solidFill>
                      </w14:textFill>
                    </w:rPr>
                    <w:t>（</w:t>
                  </w:r>
                  <w:r>
                    <w:rPr>
                      <w:rFonts w:ascii="Times New Roman" w:hAnsi="Times New Roman" w:eastAsia="宋体" w:cs="宋体"/>
                      <w:color w:val="000000" w:themeColor="text1"/>
                      <w:spacing w:val="0"/>
                      <w:sz w:val="21"/>
                      <w:szCs w:val="21"/>
                      <w14:textFill>
                        <w14:solidFill>
                          <w14:schemeClr w14:val="tx1"/>
                        </w14:solidFill>
                      </w14:textFill>
                    </w:rPr>
                    <w:t>次/a</w:t>
                  </w:r>
                  <w:r>
                    <w:rPr>
                      <w:rFonts w:hint="eastAsia" w:ascii="Times New Roman" w:hAnsi="Times New Roman" w:eastAsia="宋体" w:cs="宋体"/>
                      <w:color w:val="000000" w:themeColor="text1"/>
                      <w:spacing w:val="0"/>
                      <w:sz w:val="21"/>
                      <w:szCs w:val="21"/>
                      <w:lang w:eastAsia="zh-CN"/>
                      <w14:textFill>
                        <w14:solidFill>
                          <w14:schemeClr w14:val="tx1"/>
                        </w14:solidFill>
                      </w14:textFill>
                    </w:rPr>
                    <w:t>）</w:t>
                  </w:r>
                </w:p>
              </w:tc>
              <w:tc>
                <w:tcPr>
                  <w:tcW w:w="1032" w:type="pct"/>
                  <w:tcBorders>
                    <w:tl2br w:val="nil"/>
                    <w:tr2bl w:val="nil"/>
                  </w:tcBorders>
                  <w:noWrap w:val="0"/>
                  <w:vAlign w:val="center"/>
                </w:tcPr>
                <w:p w14:paraId="7192408C">
                  <w:pPr>
                    <w:pStyle w:val="87"/>
                    <w:keepNext w:val="0"/>
                    <w:keepLines w:val="0"/>
                    <w:pageBreakBefore w:val="0"/>
                    <w:widowControl/>
                    <w:kinsoku/>
                    <w:wordWrap/>
                    <w:overflowPunct/>
                    <w:topLinePunct w:val="0"/>
                    <w:autoSpaceDE/>
                    <w:autoSpaceDN/>
                    <w:bidi w:val="0"/>
                    <w:adjustRightInd/>
                    <w:snapToGrid/>
                    <w:spacing w:line="240" w:lineRule="auto"/>
                    <w:ind w:left="0" w:right="0"/>
                    <w:jc w:val="center"/>
                    <w:rPr>
                      <w:rFonts w:ascii="Times New Roman" w:hAnsi="Times New Roman" w:eastAsia="宋体" w:cs="宋体"/>
                      <w:color w:val="000000" w:themeColor="text1"/>
                      <w:spacing w:val="0"/>
                      <w:sz w:val="21"/>
                      <w:szCs w:val="21"/>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持续时间</w:t>
                  </w:r>
                  <w:r>
                    <w:rPr>
                      <w:rFonts w:hint="eastAsia" w:ascii="Times New Roman" w:hAnsi="Times New Roman" w:eastAsia="宋体" w:cs="宋体"/>
                      <w:color w:val="000000" w:themeColor="text1"/>
                      <w:spacing w:val="0"/>
                      <w:sz w:val="21"/>
                      <w:szCs w:val="21"/>
                      <w:lang w:eastAsia="zh-CN"/>
                      <w14:textFill>
                        <w14:solidFill>
                          <w14:schemeClr w14:val="tx1"/>
                        </w14:solidFill>
                      </w14:textFill>
                    </w:rPr>
                    <w:t>（</w:t>
                  </w:r>
                  <w:r>
                    <w:rPr>
                      <w:rFonts w:ascii="Times New Roman" w:hAnsi="Times New Roman" w:eastAsia="宋体" w:cs="宋体"/>
                      <w:color w:val="000000" w:themeColor="text1"/>
                      <w:spacing w:val="0"/>
                      <w:sz w:val="21"/>
                      <w:szCs w:val="21"/>
                      <w14:textFill>
                        <w14:solidFill>
                          <w14:schemeClr w14:val="tx1"/>
                        </w14:solidFill>
                      </w14:textFill>
                    </w:rPr>
                    <w:t>h/次</w:t>
                  </w:r>
                  <w:r>
                    <w:rPr>
                      <w:rFonts w:hint="eastAsia" w:ascii="Times New Roman" w:hAnsi="Times New Roman" w:eastAsia="宋体" w:cs="宋体"/>
                      <w:color w:val="000000" w:themeColor="text1"/>
                      <w:spacing w:val="0"/>
                      <w:sz w:val="21"/>
                      <w:szCs w:val="21"/>
                      <w:lang w:eastAsia="zh-CN"/>
                      <w14:textFill>
                        <w14:solidFill>
                          <w14:schemeClr w14:val="tx1"/>
                        </w14:solidFill>
                      </w14:textFill>
                    </w:rPr>
                    <w:t>）</w:t>
                  </w:r>
                </w:p>
              </w:tc>
              <w:tc>
                <w:tcPr>
                  <w:tcW w:w="926" w:type="pct"/>
                  <w:tcBorders>
                    <w:tl2br w:val="nil"/>
                    <w:tr2bl w:val="nil"/>
                  </w:tcBorders>
                  <w:noWrap w:val="0"/>
                  <w:vAlign w:val="center"/>
                </w:tcPr>
                <w:p w14:paraId="019BD407">
                  <w:pPr>
                    <w:pStyle w:val="87"/>
                    <w:keepNext w:val="0"/>
                    <w:keepLines w:val="0"/>
                    <w:pageBreakBefore w:val="0"/>
                    <w:widowControl/>
                    <w:kinsoku/>
                    <w:wordWrap/>
                    <w:overflowPunct/>
                    <w:topLinePunct w:val="0"/>
                    <w:autoSpaceDE/>
                    <w:autoSpaceDN/>
                    <w:bidi w:val="0"/>
                    <w:adjustRightInd/>
                    <w:snapToGrid/>
                    <w:spacing w:line="240" w:lineRule="auto"/>
                    <w:ind w:left="0" w:right="0"/>
                    <w:jc w:val="center"/>
                    <w:rPr>
                      <w:rFonts w:ascii="Times New Roman" w:hAnsi="Times New Roman" w:eastAsia="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排放</w:t>
                  </w:r>
                  <w:r>
                    <w:rPr>
                      <w:rFonts w:hint="eastAsia" w:ascii="Times New Roman" w:hAnsi="Times New Roman"/>
                      <w:color w:val="000000" w:themeColor="text1"/>
                      <w:spacing w:val="0"/>
                      <w:sz w:val="21"/>
                      <w:szCs w:val="21"/>
                      <w:lang w:val="en-US" w:eastAsia="zh-CN"/>
                      <w14:textFill>
                        <w14:solidFill>
                          <w14:schemeClr w14:val="tx1"/>
                        </w14:solidFill>
                      </w14:textFill>
                    </w:rPr>
                    <w:t>浓度（mg</w:t>
                  </w:r>
                  <w:r>
                    <w:rPr>
                      <w:rFonts w:ascii="Times New Roman" w:hAnsi="Times New Roman" w:eastAsia="Times New Roman"/>
                      <w:color w:val="000000" w:themeColor="text1"/>
                      <w:spacing w:val="0"/>
                      <w:sz w:val="21"/>
                      <w:szCs w:val="21"/>
                      <w14:textFill>
                        <w14:solidFill>
                          <w14:schemeClr w14:val="tx1"/>
                        </w14:solidFill>
                      </w14:textFill>
                    </w:rPr>
                    <w:t>/</w:t>
                  </w:r>
                  <w:r>
                    <w:rPr>
                      <w:rFonts w:hint="eastAsia" w:ascii="Times New Roman" w:hAnsi="Times New Roman"/>
                      <w:color w:val="000000" w:themeColor="text1"/>
                      <w:spacing w:val="0"/>
                      <w:sz w:val="21"/>
                      <w:szCs w:val="21"/>
                      <w:lang w:val="en-US" w:eastAsia="zh-CN"/>
                      <w14:textFill>
                        <w14:solidFill>
                          <w14:schemeClr w14:val="tx1"/>
                        </w14:solidFill>
                      </w14:textFill>
                    </w:rPr>
                    <w:t>m</w:t>
                  </w:r>
                  <w:r>
                    <w:rPr>
                      <w:rFonts w:hint="eastAsia" w:ascii="Times New Roman" w:hAnsi="Times New Roman"/>
                      <w:color w:val="000000" w:themeColor="text1"/>
                      <w:spacing w:val="0"/>
                      <w:sz w:val="21"/>
                      <w:szCs w:val="21"/>
                      <w:vertAlign w:val="superscript"/>
                      <w:lang w:val="en-US" w:eastAsia="zh-CN"/>
                      <w14:textFill>
                        <w14:solidFill>
                          <w14:schemeClr w14:val="tx1"/>
                        </w14:solidFill>
                      </w14:textFill>
                    </w:rPr>
                    <w:t>3）</w:t>
                  </w:r>
                </w:p>
              </w:tc>
              <w:tc>
                <w:tcPr>
                  <w:tcW w:w="753" w:type="pct"/>
                  <w:tcBorders>
                    <w:tl2br w:val="nil"/>
                    <w:tr2bl w:val="nil"/>
                  </w:tcBorders>
                  <w:noWrap w:val="0"/>
                  <w:vAlign w:val="center"/>
                </w:tcPr>
                <w:p w14:paraId="69666294">
                  <w:pPr>
                    <w:pStyle w:val="87"/>
                    <w:keepNext w:val="0"/>
                    <w:keepLines w:val="0"/>
                    <w:pageBreakBefore w:val="0"/>
                    <w:widowControl/>
                    <w:kinsoku/>
                    <w:wordWrap/>
                    <w:overflowPunct/>
                    <w:topLinePunct w:val="0"/>
                    <w:autoSpaceDE/>
                    <w:autoSpaceDN/>
                    <w:bidi w:val="0"/>
                    <w:adjustRightInd/>
                    <w:snapToGrid/>
                    <w:spacing w:line="240" w:lineRule="auto"/>
                    <w:ind w:left="0" w:right="0"/>
                    <w:jc w:val="center"/>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排放量</w:t>
                  </w:r>
                  <w:r>
                    <w:rPr>
                      <w:rFonts w:hint="eastAsia" w:ascii="Times New Roman" w:hAnsi="Times New Roman"/>
                      <w:color w:val="000000" w:themeColor="text1"/>
                      <w:spacing w:val="0"/>
                      <w:sz w:val="21"/>
                      <w:szCs w:val="21"/>
                      <w:lang w:eastAsia="zh-CN"/>
                      <w14:textFill>
                        <w14:solidFill>
                          <w14:schemeClr w14:val="tx1"/>
                        </w14:solidFill>
                      </w14:textFill>
                    </w:rPr>
                    <w:t>（</w:t>
                  </w:r>
                  <w:r>
                    <w:rPr>
                      <w:rFonts w:ascii="Times New Roman" w:hAnsi="Times New Roman" w:eastAsia="Times New Roman"/>
                      <w:color w:val="000000" w:themeColor="text1"/>
                      <w:spacing w:val="0"/>
                      <w:sz w:val="21"/>
                      <w:szCs w:val="21"/>
                      <w14:textFill>
                        <w14:solidFill>
                          <w14:schemeClr w14:val="tx1"/>
                        </w14:solidFill>
                      </w14:textFill>
                    </w:rPr>
                    <w:t>kg/h</w:t>
                  </w:r>
                  <w:r>
                    <w:rPr>
                      <w:rFonts w:hint="eastAsia" w:ascii="Times New Roman" w:hAnsi="Times New Roman"/>
                      <w:color w:val="000000" w:themeColor="text1"/>
                      <w:spacing w:val="0"/>
                      <w:sz w:val="21"/>
                      <w:szCs w:val="21"/>
                      <w:lang w:eastAsia="zh-CN"/>
                      <w14:textFill>
                        <w14:solidFill>
                          <w14:schemeClr w14:val="tx1"/>
                        </w14:solidFill>
                      </w14:textFill>
                    </w:rPr>
                    <w:t>）</w:t>
                  </w:r>
                </w:p>
              </w:tc>
            </w:tr>
            <w:tr w14:paraId="3FC3D4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jc w:val="center"/>
              </w:trPr>
              <w:tc>
                <w:tcPr>
                  <w:tcW w:w="664" w:type="pct"/>
                  <w:tcBorders>
                    <w:tl2br w:val="nil"/>
                    <w:tr2bl w:val="nil"/>
                  </w:tcBorders>
                  <w:noWrap w:val="0"/>
                  <w:vAlign w:val="center"/>
                </w:tcPr>
                <w:p w14:paraId="07BA09FC">
                  <w:pPr>
                    <w:pStyle w:val="87"/>
                    <w:keepNext w:val="0"/>
                    <w:keepLines w:val="0"/>
                    <w:pageBreakBefore w:val="0"/>
                    <w:widowControl/>
                    <w:kinsoku/>
                    <w:wordWrap/>
                    <w:overflowPunct/>
                    <w:topLinePunct w:val="0"/>
                    <w:autoSpaceDE/>
                    <w:autoSpaceDN/>
                    <w:bidi w:val="0"/>
                    <w:adjustRightInd/>
                    <w:snapToGrid/>
                    <w:spacing w:line="240" w:lineRule="auto"/>
                    <w:ind w:left="0" w:right="0"/>
                    <w:jc w:val="center"/>
                    <w:rPr>
                      <w:rFonts w:ascii="Times New Roman" w:hAnsi="Times New Roman"/>
                      <w:color w:val="000000" w:themeColor="text1"/>
                      <w:spacing w:val="0"/>
                      <w:sz w:val="21"/>
                      <w:szCs w:val="21"/>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DA002</w:t>
                  </w:r>
                </w:p>
              </w:tc>
              <w:tc>
                <w:tcPr>
                  <w:tcW w:w="826" w:type="pct"/>
                  <w:tcBorders>
                    <w:tl2br w:val="nil"/>
                    <w:tr2bl w:val="nil"/>
                  </w:tcBorders>
                  <w:noWrap w:val="0"/>
                  <w:vAlign w:val="center"/>
                </w:tcPr>
                <w:p w14:paraId="1E09CF0B">
                  <w:pPr>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center"/>
                    <w:rPr>
                      <w:rFonts w:ascii="Times New Roman" w:hAnsi="Times New Roman" w:eastAsia="宋体" w:cs="宋体"/>
                      <w:color w:val="000000" w:themeColor="text1"/>
                      <w:spacing w:val="0"/>
                      <w:sz w:val="21"/>
                      <w:szCs w:val="21"/>
                      <w14:textFill>
                        <w14:solidFill>
                          <w14:schemeClr w14:val="tx1"/>
                        </w14:solidFill>
                      </w14:textFill>
                    </w:rPr>
                  </w:pPr>
                  <w:r>
                    <w:rPr>
                      <w:rFonts w:hint="eastAsia" w:ascii="宋体" w:hAnsi="宋体" w:eastAsia="宋体" w:cs="宋体"/>
                      <w:i w:val="0"/>
                      <w:iCs w:val="0"/>
                      <w:color w:val="000000" w:themeColor="text1"/>
                      <w:spacing w:val="0"/>
                      <w:kern w:val="0"/>
                      <w:sz w:val="21"/>
                      <w:szCs w:val="21"/>
                      <w:u w:val="none"/>
                      <w:lang w:val="en-US" w:eastAsia="zh-CN" w:bidi="ar"/>
                      <w14:textFill>
                        <w14:solidFill>
                          <w14:schemeClr w14:val="tx1"/>
                        </w14:solidFill>
                      </w14:textFill>
                    </w:rPr>
                    <w:t>非甲烷总烃</w:t>
                  </w:r>
                </w:p>
              </w:tc>
              <w:tc>
                <w:tcPr>
                  <w:tcW w:w="796" w:type="pct"/>
                  <w:tcBorders>
                    <w:tl2br w:val="nil"/>
                    <w:tr2bl w:val="nil"/>
                  </w:tcBorders>
                  <w:noWrap w:val="0"/>
                  <w:vAlign w:val="center"/>
                </w:tcPr>
                <w:p w14:paraId="099B51E9">
                  <w:pPr>
                    <w:pStyle w:val="87"/>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ascii="Times New Roman" w:hAnsi="Times New Roman" w:eastAsia="宋体" w:cs="宋体"/>
                      <w:color w:val="000000" w:themeColor="text1"/>
                      <w:spacing w:val="0"/>
                      <w:sz w:val="21"/>
                      <w:szCs w:val="21"/>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1</w:t>
                  </w:r>
                </w:p>
              </w:tc>
              <w:tc>
                <w:tcPr>
                  <w:tcW w:w="1032" w:type="pct"/>
                  <w:tcBorders>
                    <w:tl2br w:val="nil"/>
                    <w:tr2bl w:val="nil"/>
                  </w:tcBorders>
                  <w:noWrap w:val="0"/>
                  <w:vAlign w:val="center"/>
                </w:tcPr>
                <w:p w14:paraId="311704A2">
                  <w:pPr>
                    <w:pStyle w:val="87"/>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ascii="Times New Roman" w:hAnsi="Times New Roman" w:eastAsia="宋体" w:cs="宋体"/>
                      <w:color w:val="000000" w:themeColor="text1"/>
                      <w:spacing w:val="0"/>
                      <w:sz w:val="21"/>
                      <w:szCs w:val="21"/>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1</w:t>
                  </w:r>
                </w:p>
              </w:tc>
              <w:tc>
                <w:tcPr>
                  <w:tcW w:w="1635" w:type="dxa"/>
                  <w:tcBorders>
                    <w:tl2br w:val="nil"/>
                    <w:tr2bl w:val="nil"/>
                  </w:tcBorders>
                  <w:noWrap w:val="0"/>
                  <w:vAlign w:val="center"/>
                </w:tcPr>
                <w:p w14:paraId="71B0A4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40.90 </w:t>
                  </w:r>
                </w:p>
              </w:tc>
              <w:tc>
                <w:tcPr>
                  <w:tcW w:w="1330" w:type="dxa"/>
                  <w:tcBorders>
                    <w:tl2br w:val="nil"/>
                    <w:tr2bl w:val="nil"/>
                  </w:tcBorders>
                  <w:noWrap w:val="0"/>
                  <w:vAlign w:val="center"/>
                </w:tcPr>
                <w:p w14:paraId="742568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0.614 </w:t>
                  </w:r>
                </w:p>
              </w:tc>
            </w:tr>
            <w:tr w14:paraId="23E440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jc w:val="center"/>
              </w:trPr>
              <w:tc>
                <w:tcPr>
                  <w:tcW w:w="664" w:type="pct"/>
                  <w:tcBorders>
                    <w:tl2br w:val="nil"/>
                    <w:tr2bl w:val="nil"/>
                  </w:tcBorders>
                  <w:noWrap w:val="0"/>
                  <w:vAlign w:val="center"/>
                </w:tcPr>
                <w:p w14:paraId="5B980E3D">
                  <w:pPr>
                    <w:pStyle w:val="87"/>
                    <w:keepNext w:val="0"/>
                    <w:keepLines w:val="0"/>
                    <w:pageBreakBefore w:val="0"/>
                    <w:widowControl/>
                    <w:kinsoku/>
                    <w:wordWrap/>
                    <w:overflowPunct/>
                    <w:topLinePunct w:val="0"/>
                    <w:autoSpaceDE/>
                    <w:autoSpaceDN/>
                    <w:bidi w:val="0"/>
                    <w:adjustRightInd/>
                    <w:snapToGrid/>
                    <w:spacing w:line="240" w:lineRule="auto"/>
                    <w:ind w:left="0" w:right="0"/>
                    <w:jc w:val="center"/>
                    <w:rPr>
                      <w:rFonts w:ascii="Times New Roman" w:hAnsi="Times New Roman"/>
                      <w:color w:val="000000" w:themeColor="text1"/>
                      <w:spacing w:val="0"/>
                      <w:sz w:val="21"/>
                      <w:szCs w:val="21"/>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DA003</w:t>
                  </w:r>
                </w:p>
              </w:tc>
              <w:tc>
                <w:tcPr>
                  <w:tcW w:w="826" w:type="pct"/>
                  <w:tcBorders>
                    <w:tl2br w:val="nil"/>
                    <w:tr2bl w:val="nil"/>
                  </w:tcBorders>
                  <w:shd w:val="clear" w:color="auto" w:fill="auto"/>
                  <w:noWrap w:val="0"/>
                  <w:vAlign w:val="center"/>
                </w:tcPr>
                <w:p w14:paraId="406528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eastAsia" w:ascii="Times New Roman" w:hAnsi="Times New Roman" w:eastAsia="宋体" w:cs="宋体"/>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u w:val="none"/>
                      <w:lang w:val="en-US" w:eastAsia="zh-CN" w:bidi="ar"/>
                      <w14:textFill>
                        <w14:solidFill>
                          <w14:schemeClr w14:val="tx1"/>
                        </w14:solidFill>
                      </w14:textFill>
                    </w:rPr>
                    <w:t>NO</w:t>
                  </w:r>
                  <w:r>
                    <w:rPr>
                      <w:rStyle w:val="135"/>
                      <w:rFonts w:eastAsia="宋体"/>
                      <w:color w:val="000000" w:themeColor="text1"/>
                      <w:spacing w:val="0"/>
                      <w:sz w:val="21"/>
                      <w:szCs w:val="21"/>
                      <w:lang w:val="en-US" w:eastAsia="zh-CN" w:bidi="ar"/>
                      <w14:textFill>
                        <w14:solidFill>
                          <w14:schemeClr w14:val="tx1"/>
                        </w14:solidFill>
                      </w14:textFill>
                    </w:rPr>
                    <w:t>X</w:t>
                  </w:r>
                </w:p>
              </w:tc>
              <w:tc>
                <w:tcPr>
                  <w:tcW w:w="796" w:type="pct"/>
                  <w:tcBorders>
                    <w:tl2br w:val="nil"/>
                    <w:tr2bl w:val="nil"/>
                  </w:tcBorders>
                  <w:shd w:val="clear" w:color="auto" w:fill="auto"/>
                  <w:noWrap w:val="0"/>
                  <w:vAlign w:val="center"/>
                </w:tcPr>
                <w:p w14:paraId="42D9D6F5">
                  <w:pPr>
                    <w:pStyle w:val="87"/>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宋体"/>
                      <w:color w:val="000000" w:themeColor="text1"/>
                      <w:spacing w:val="0"/>
                      <w:kern w:val="0"/>
                      <w:sz w:val="21"/>
                      <w:szCs w:val="21"/>
                      <w:lang w:val="en-US" w:eastAsia="zh-CN" w:bidi="ar"/>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1</w:t>
                  </w:r>
                </w:p>
              </w:tc>
              <w:tc>
                <w:tcPr>
                  <w:tcW w:w="1032" w:type="pct"/>
                  <w:tcBorders>
                    <w:tl2br w:val="nil"/>
                    <w:tr2bl w:val="nil"/>
                  </w:tcBorders>
                  <w:shd w:val="clear" w:color="auto" w:fill="auto"/>
                  <w:noWrap w:val="0"/>
                  <w:vAlign w:val="center"/>
                </w:tcPr>
                <w:p w14:paraId="5D0CC8CD">
                  <w:pPr>
                    <w:pStyle w:val="87"/>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宋体"/>
                      <w:color w:val="000000" w:themeColor="text1"/>
                      <w:spacing w:val="0"/>
                      <w:kern w:val="0"/>
                      <w:sz w:val="21"/>
                      <w:szCs w:val="21"/>
                      <w:lang w:val="en-US" w:eastAsia="zh-CN" w:bidi="ar"/>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1</w:t>
                  </w:r>
                </w:p>
              </w:tc>
              <w:tc>
                <w:tcPr>
                  <w:tcW w:w="926" w:type="pct"/>
                  <w:tcBorders>
                    <w:tl2br w:val="nil"/>
                    <w:tr2bl w:val="nil"/>
                  </w:tcBorders>
                  <w:shd w:val="clear" w:color="auto" w:fill="auto"/>
                  <w:noWrap w:val="0"/>
                  <w:vAlign w:val="center"/>
                </w:tcPr>
                <w:p w14:paraId="7EA10090">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45.09 </w:t>
                  </w:r>
                </w:p>
              </w:tc>
              <w:tc>
                <w:tcPr>
                  <w:tcW w:w="753" w:type="pct"/>
                  <w:tcBorders>
                    <w:tl2br w:val="nil"/>
                    <w:tr2bl w:val="nil"/>
                  </w:tcBorders>
                  <w:shd w:val="clear" w:color="auto" w:fill="auto"/>
                  <w:noWrap w:val="0"/>
                  <w:vAlign w:val="center"/>
                </w:tcPr>
                <w:p w14:paraId="6540EF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0.496 </w:t>
                  </w:r>
                </w:p>
              </w:tc>
            </w:tr>
            <w:tr w14:paraId="2CA7C4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jc w:val="center"/>
              </w:trPr>
              <w:tc>
                <w:tcPr>
                  <w:tcW w:w="664" w:type="pct"/>
                  <w:tcBorders>
                    <w:tl2br w:val="nil"/>
                    <w:tr2bl w:val="nil"/>
                  </w:tcBorders>
                  <w:noWrap w:val="0"/>
                  <w:vAlign w:val="center"/>
                </w:tcPr>
                <w:p w14:paraId="68BF8014">
                  <w:pPr>
                    <w:pStyle w:val="87"/>
                    <w:keepNext w:val="0"/>
                    <w:keepLines w:val="0"/>
                    <w:pageBreakBefore w:val="0"/>
                    <w:widowControl/>
                    <w:kinsoku/>
                    <w:wordWrap/>
                    <w:overflowPunct/>
                    <w:topLinePunct w:val="0"/>
                    <w:autoSpaceDE/>
                    <w:autoSpaceDN/>
                    <w:bidi w:val="0"/>
                    <w:adjustRightInd/>
                    <w:snapToGrid/>
                    <w:spacing w:line="240" w:lineRule="auto"/>
                    <w:ind w:left="0" w:right="0"/>
                    <w:jc w:val="center"/>
                    <w:rPr>
                      <w:rFonts w:hint="eastAsia"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DA004</w:t>
                  </w:r>
                </w:p>
              </w:tc>
              <w:tc>
                <w:tcPr>
                  <w:tcW w:w="826" w:type="pct"/>
                  <w:tcBorders>
                    <w:tl2br w:val="nil"/>
                    <w:tr2bl w:val="nil"/>
                  </w:tcBorders>
                  <w:noWrap w:val="0"/>
                  <w:vAlign w:val="center"/>
                </w:tcPr>
                <w:p w14:paraId="4FB0C5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宋体"/>
                      <w:color w:val="000000" w:themeColor="text1"/>
                      <w:spacing w:val="0"/>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spacing w:val="0"/>
                      <w:kern w:val="0"/>
                      <w:sz w:val="21"/>
                      <w:szCs w:val="21"/>
                      <w:u w:val="none"/>
                      <w:lang w:val="en-US" w:eastAsia="zh-CN" w:bidi="ar"/>
                      <w14:textFill>
                        <w14:solidFill>
                          <w14:schemeClr w14:val="tx1"/>
                        </w14:solidFill>
                      </w14:textFill>
                    </w:rPr>
                    <w:t>非甲烷总烃</w:t>
                  </w:r>
                </w:p>
              </w:tc>
              <w:tc>
                <w:tcPr>
                  <w:tcW w:w="796" w:type="pct"/>
                  <w:tcBorders>
                    <w:tl2br w:val="nil"/>
                    <w:tr2bl w:val="nil"/>
                  </w:tcBorders>
                  <w:noWrap w:val="0"/>
                  <w:vAlign w:val="center"/>
                </w:tcPr>
                <w:p w14:paraId="5A5DD573">
                  <w:pPr>
                    <w:pStyle w:val="87"/>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宋体"/>
                      <w:color w:val="000000" w:themeColor="text1"/>
                      <w:spacing w:val="0"/>
                      <w:kern w:val="0"/>
                      <w:sz w:val="21"/>
                      <w:szCs w:val="21"/>
                      <w:lang w:val="en-US" w:eastAsia="zh-CN" w:bidi="ar"/>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1</w:t>
                  </w:r>
                </w:p>
              </w:tc>
              <w:tc>
                <w:tcPr>
                  <w:tcW w:w="1032" w:type="pct"/>
                  <w:tcBorders>
                    <w:tl2br w:val="nil"/>
                    <w:tr2bl w:val="nil"/>
                  </w:tcBorders>
                  <w:noWrap w:val="0"/>
                  <w:vAlign w:val="center"/>
                </w:tcPr>
                <w:p w14:paraId="5A1C8502">
                  <w:pPr>
                    <w:pStyle w:val="87"/>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宋体"/>
                      <w:color w:val="000000" w:themeColor="text1"/>
                      <w:spacing w:val="0"/>
                      <w:kern w:val="0"/>
                      <w:sz w:val="21"/>
                      <w:szCs w:val="21"/>
                      <w:lang w:val="en-US" w:eastAsia="zh-CN" w:bidi="ar"/>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1</w:t>
                  </w:r>
                </w:p>
              </w:tc>
              <w:tc>
                <w:tcPr>
                  <w:tcW w:w="1635" w:type="dxa"/>
                  <w:tcBorders>
                    <w:tl2br w:val="nil"/>
                    <w:tr2bl w:val="nil"/>
                  </w:tcBorders>
                  <w:noWrap w:val="0"/>
                  <w:vAlign w:val="center"/>
                </w:tcPr>
                <w:p w14:paraId="6AAEAD6F">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18.76 </w:t>
                  </w:r>
                </w:p>
              </w:tc>
              <w:tc>
                <w:tcPr>
                  <w:tcW w:w="1330" w:type="dxa"/>
                  <w:tcBorders>
                    <w:tl2br w:val="nil"/>
                    <w:tr2bl w:val="nil"/>
                  </w:tcBorders>
                  <w:noWrap w:val="0"/>
                  <w:vAlign w:val="center"/>
                </w:tcPr>
                <w:p w14:paraId="0E9241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0.563 </w:t>
                  </w:r>
                </w:p>
              </w:tc>
            </w:tr>
            <w:tr w14:paraId="60D416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jc w:val="center"/>
              </w:trPr>
              <w:tc>
                <w:tcPr>
                  <w:tcW w:w="664" w:type="pct"/>
                  <w:tcBorders>
                    <w:tl2br w:val="nil"/>
                    <w:tr2bl w:val="nil"/>
                  </w:tcBorders>
                  <w:noWrap w:val="0"/>
                  <w:vAlign w:val="center"/>
                </w:tcPr>
                <w:p w14:paraId="2D582E31">
                  <w:pPr>
                    <w:pStyle w:val="87"/>
                    <w:keepNext w:val="0"/>
                    <w:keepLines w:val="0"/>
                    <w:pageBreakBefore w:val="0"/>
                    <w:widowControl/>
                    <w:kinsoku/>
                    <w:wordWrap/>
                    <w:overflowPunct/>
                    <w:topLinePunct w:val="0"/>
                    <w:autoSpaceDE/>
                    <w:autoSpaceDN/>
                    <w:bidi w:val="0"/>
                    <w:adjustRightInd/>
                    <w:snapToGrid/>
                    <w:spacing w:line="240" w:lineRule="auto"/>
                    <w:ind w:left="0" w:right="0"/>
                    <w:jc w:val="center"/>
                    <w:rPr>
                      <w:rFonts w:hint="eastAsia"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DA005</w:t>
                  </w:r>
                </w:p>
              </w:tc>
              <w:tc>
                <w:tcPr>
                  <w:tcW w:w="826" w:type="pct"/>
                  <w:tcBorders>
                    <w:tl2br w:val="nil"/>
                    <w:tr2bl w:val="nil"/>
                  </w:tcBorders>
                  <w:noWrap w:val="0"/>
                  <w:vAlign w:val="center"/>
                </w:tcPr>
                <w:p w14:paraId="05CA748E">
                  <w:pPr>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center"/>
                    <w:rPr>
                      <w:rFonts w:hint="eastAsia" w:ascii="宋体" w:hAnsi="宋体" w:eastAsia="宋体" w:cs="宋体"/>
                      <w:i w:val="0"/>
                      <w:iCs w:val="0"/>
                      <w:color w:val="000000" w:themeColor="text1"/>
                      <w:spacing w:val="0"/>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spacing w:val="0"/>
                      <w:kern w:val="0"/>
                      <w:sz w:val="21"/>
                      <w:szCs w:val="21"/>
                      <w:u w:val="none"/>
                      <w:lang w:val="en-US" w:eastAsia="zh-CN" w:bidi="ar"/>
                      <w14:textFill>
                        <w14:solidFill>
                          <w14:schemeClr w14:val="tx1"/>
                        </w14:solidFill>
                      </w14:textFill>
                    </w:rPr>
                    <w:t>非甲烷总烃</w:t>
                  </w:r>
                </w:p>
              </w:tc>
              <w:tc>
                <w:tcPr>
                  <w:tcW w:w="796" w:type="pct"/>
                  <w:tcBorders>
                    <w:tl2br w:val="nil"/>
                    <w:tr2bl w:val="nil"/>
                  </w:tcBorders>
                  <w:noWrap w:val="0"/>
                  <w:vAlign w:val="center"/>
                </w:tcPr>
                <w:p w14:paraId="5108324E">
                  <w:pPr>
                    <w:pStyle w:val="87"/>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宋体"/>
                      <w:color w:val="000000" w:themeColor="text1"/>
                      <w:spacing w:val="0"/>
                      <w:kern w:val="0"/>
                      <w:sz w:val="21"/>
                      <w:szCs w:val="21"/>
                      <w:lang w:val="en-US" w:eastAsia="zh-CN" w:bidi="ar"/>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1</w:t>
                  </w:r>
                </w:p>
              </w:tc>
              <w:tc>
                <w:tcPr>
                  <w:tcW w:w="1032" w:type="pct"/>
                  <w:tcBorders>
                    <w:tl2br w:val="nil"/>
                    <w:tr2bl w:val="nil"/>
                  </w:tcBorders>
                  <w:noWrap w:val="0"/>
                  <w:vAlign w:val="center"/>
                </w:tcPr>
                <w:p w14:paraId="7938022F">
                  <w:pPr>
                    <w:pStyle w:val="87"/>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宋体"/>
                      <w:color w:val="000000" w:themeColor="text1"/>
                      <w:spacing w:val="0"/>
                      <w:kern w:val="0"/>
                      <w:sz w:val="21"/>
                      <w:szCs w:val="21"/>
                      <w:lang w:val="en-US" w:eastAsia="zh-CN" w:bidi="ar"/>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1</w:t>
                  </w:r>
                </w:p>
              </w:tc>
              <w:tc>
                <w:tcPr>
                  <w:tcW w:w="1635" w:type="dxa"/>
                  <w:tcBorders>
                    <w:tl2br w:val="nil"/>
                    <w:tr2bl w:val="nil"/>
                  </w:tcBorders>
                  <w:noWrap w:val="0"/>
                  <w:vAlign w:val="center"/>
                </w:tcPr>
                <w:p w14:paraId="55D17B57">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57.00 </w:t>
                  </w:r>
                </w:p>
              </w:tc>
              <w:tc>
                <w:tcPr>
                  <w:tcW w:w="1330" w:type="dxa"/>
                  <w:tcBorders>
                    <w:tl2br w:val="nil"/>
                    <w:tr2bl w:val="nil"/>
                  </w:tcBorders>
                  <w:noWrap w:val="0"/>
                  <w:vAlign w:val="center"/>
                </w:tcPr>
                <w:p w14:paraId="6BA3D4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0.855 </w:t>
                  </w:r>
                </w:p>
              </w:tc>
            </w:tr>
            <w:tr w14:paraId="68FFF1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jc w:val="center"/>
              </w:trPr>
              <w:tc>
                <w:tcPr>
                  <w:tcW w:w="664" w:type="pct"/>
                  <w:tcBorders>
                    <w:tl2br w:val="nil"/>
                    <w:tr2bl w:val="nil"/>
                  </w:tcBorders>
                  <w:noWrap w:val="0"/>
                  <w:vAlign w:val="center"/>
                </w:tcPr>
                <w:p w14:paraId="6E576DED">
                  <w:pPr>
                    <w:pStyle w:val="87"/>
                    <w:keepNext w:val="0"/>
                    <w:keepLines w:val="0"/>
                    <w:pageBreakBefore w:val="0"/>
                    <w:widowControl/>
                    <w:kinsoku/>
                    <w:wordWrap/>
                    <w:overflowPunct/>
                    <w:topLinePunct w:val="0"/>
                    <w:autoSpaceDE/>
                    <w:autoSpaceDN/>
                    <w:bidi w:val="0"/>
                    <w:adjustRightInd/>
                    <w:snapToGrid/>
                    <w:spacing w:line="240" w:lineRule="auto"/>
                    <w:ind w:left="0" w:right="0"/>
                    <w:jc w:val="center"/>
                    <w:rPr>
                      <w:rFonts w:hint="default"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DA007</w:t>
                  </w:r>
                </w:p>
              </w:tc>
              <w:tc>
                <w:tcPr>
                  <w:tcW w:w="826" w:type="pct"/>
                  <w:tcBorders>
                    <w:tl2br w:val="nil"/>
                    <w:tr2bl w:val="nil"/>
                  </w:tcBorders>
                  <w:noWrap w:val="0"/>
                  <w:vAlign w:val="center"/>
                </w:tcPr>
                <w:p w14:paraId="77C26159">
                  <w:pPr>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center"/>
                    <w:rPr>
                      <w:rFonts w:hint="default" w:ascii="Times New Roman" w:hAnsi="Times New Roman" w:eastAsia="宋体" w:cs="Times New Roman"/>
                      <w:i w:val="0"/>
                      <w:iCs w:val="0"/>
                      <w:color w:val="000000" w:themeColor="text1"/>
                      <w:spacing w:val="0"/>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u w:val="none"/>
                      <w:lang w:val="en-US" w:eastAsia="zh-CN" w:bidi="ar"/>
                      <w14:textFill>
                        <w14:solidFill>
                          <w14:schemeClr w14:val="tx1"/>
                        </w14:solidFill>
                      </w14:textFill>
                    </w:rPr>
                    <w:t>颗粒物</w:t>
                  </w:r>
                </w:p>
              </w:tc>
              <w:tc>
                <w:tcPr>
                  <w:tcW w:w="796" w:type="pct"/>
                  <w:tcBorders>
                    <w:tl2br w:val="nil"/>
                    <w:tr2bl w:val="nil"/>
                  </w:tcBorders>
                  <w:noWrap w:val="0"/>
                  <w:vAlign w:val="center"/>
                </w:tcPr>
                <w:p w14:paraId="3910359E">
                  <w:pPr>
                    <w:pStyle w:val="87"/>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ascii="Times New Roman" w:hAnsi="Times New Roman" w:eastAsia="宋体" w:cs="宋体"/>
                      <w:color w:val="000000" w:themeColor="text1"/>
                      <w:spacing w:val="0"/>
                      <w:sz w:val="21"/>
                      <w:szCs w:val="21"/>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1</w:t>
                  </w:r>
                </w:p>
              </w:tc>
              <w:tc>
                <w:tcPr>
                  <w:tcW w:w="1032" w:type="pct"/>
                  <w:tcBorders>
                    <w:tl2br w:val="nil"/>
                    <w:tr2bl w:val="nil"/>
                  </w:tcBorders>
                  <w:noWrap w:val="0"/>
                  <w:vAlign w:val="center"/>
                </w:tcPr>
                <w:p w14:paraId="2700B89C">
                  <w:pPr>
                    <w:pStyle w:val="87"/>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ascii="Times New Roman" w:hAnsi="Times New Roman" w:eastAsia="宋体" w:cs="宋体"/>
                      <w:color w:val="000000" w:themeColor="text1"/>
                      <w:spacing w:val="0"/>
                      <w:sz w:val="21"/>
                      <w:szCs w:val="21"/>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1</w:t>
                  </w:r>
                </w:p>
              </w:tc>
              <w:tc>
                <w:tcPr>
                  <w:tcW w:w="926" w:type="pct"/>
                  <w:tcBorders>
                    <w:tl2br w:val="nil"/>
                    <w:tr2bl w:val="nil"/>
                  </w:tcBorders>
                  <w:noWrap w:val="0"/>
                  <w:vAlign w:val="center"/>
                </w:tcPr>
                <w:p w14:paraId="27D1AF68">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407.81</w:t>
                  </w:r>
                </w:p>
              </w:tc>
              <w:tc>
                <w:tcPr>
                  <w:tcW w:w="753" w:type="pct"/>
                  <w:tcBorders>
                    <w:tl2br w:val="nil"/>
                    <w:tr2bl w:val="nil"/>
                  </w:tcBorders>
                  <w:noWrap w:val="0"/>
                  <w:vAlign w:val="center"/>
                </w:tcPr>
                <w:p w14:paraId="0EB46EF1">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3.262</w:t>
                  </w:r>
                </w:p>
              </w:tc>
            </w:tr>
            <w:tr w14:paraId="2C0239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jc w:val="center"/>
              </w:trPr>
              <w:tc>
                <w:tcPr>
                  <w:tcW w:w="664" w:type="pct"/>
                  <w:tcBorders>
                    <w:tl2br w:val="nil"/>
                    <w:tr2bl w:val="nil"/>
                  </w:tcBorders>
                  <w:noWrap w:val="0"/>
                  <w:vAlign w:val="center"/>
                </w:tcPr>
                <w:p w14:paraId="526398EE">
                  <w:pPr>
                    <w:pStyle w:val="87"/>
                    <w:keepNext w:val="0"/>
                    <w:keepLines w:val="0"/>
                    <w:pageBreakBefore w:val="0"/>
                    <w:widowControl/>
                    <w:kinsoku/>
                    <w:wordWrap/>
                    <w:overflowPunct/>
                    <w:topLinePunct w:val="0"/>
                    <w:autoSpaceDE/>
                    <w:autoSpaceDN/>
                    <w:bidi w:val="0"/>
                    <w:adjustRightInd/>
                    <w:snapToGrid/>
                    <w:spacing w:line="240" w:lineRule="auto"/>
                    <w:ind w:left="0" w:right="0"/>
                    <w:jc w:val="center"/>
                    <w:rPr>
                      <w:rFonts w:hint="default"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DA009</w:t>
                  </w:r>
                </w:p>
              </w:tc>
              <w:tc>
                <w:tcPr>
                  <w:tcW w:w="826" w:type="pct"/>
                  <w:tcBorders>
                    <w:tl2br w:val="nil"/>
                    <w:tr2bl w:val="nil"/>
                  </w:tcBorders>
                  <w:noWrap w:val="0"/>
                  <w:vAlign w:val="center"/>
                </w:tcPr>
                <w:p w14:paraId="282A5306">
                  <w:pPr>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center"/>
                    <w:rPr>
                      <w:rFonts w:hint="eastAsia" w:ascii="Times New Roman" w:hAnsi="Times New Roman" w:eastAsia="宋体" w:cs="Times New Roman"/>
                      <w:i w:val="0"/>
                      <w:iCs w:val="0"/>
                      <w:color w:val="000000" w:themeColor="text1"/>
                      <w:spacing w:val="0"/>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spacing w:val="0"/>
                      <w:kern w:val="0"/>
                      <w:sz w:val="21"/>
                      <w:szCs w:val="21"/>
                      <w:u w:val="none"/>
                      <w:lang w:val="en-US" w:eastAsia="zh-CN" w:bidi="ar"/>
                      <w14:textFill>
                        <w14:solidFill>
                          <w14:schemeClr w14:val="tx1"/>
                        </w14:solidFill>
                      </w14:textFill>
                    </w:rPr>
                    <w:t>非甲烷总烃</w:t>
                  </w:r>
                </w:p>
              </w:tc>
              <w:tc>
                <w:tcPr>
                  <w:tcW w:w="796" w:type="pct"/>
                  <w:tcBorders>
                    <w:tl2br w:val="nil"/>
                    <w:tr2bl w:val="nil"/>
                  </w:tcBorders>
                  <w:shd w:val="clear" w:color="auto" w:fill="auto"/>
                  <w:noWrap w:val="0"/>
                  <w:vAlign w:val="center"/>
                </w:tcPr>
                <w:p w14:paraId="7F5EF488">
                  <w:pPr>
                    <w:pStyle w:val="87"/>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宋体"/>
                      <w:color w:val="000000" w:themeColor="text1"/>
                      <w:spacing w:val="0"/>
                      <w:kern w:val="0"/>
                      <w:sz w:val="21"/>
                      <w:szCs w:val="21"/>
                      <w:lang w:val="en-US" w:eastAsia="zh-CN" w:bidi="ar"/>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1</w:t>
                  </w:r>
                </w:p>
              </w:tc>
              <w:tc>
                <w:tcPr>
                  <w:tcW w:w="1032" w:type="pct"/>
                  <w:tcBorders>
                    <w:tl2br w:val="nil"/>
                    <w:tr2bl w:val="nil"/>
                  </w:tcBorders>
                  <w:shd w:val="clear" w:color="auto" w:fill="auto"/>
                  <w:noWrap w:val="0"/>
                  <w:vAlign w:val="center"/>
                </w:tcPr>
                <w:p w14:paraId="71F70C94">
                  <w:pPr>
                    <w:pStyle w:val="87"/>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宋体"/>
                      <w:color w:val="000000" w:themeColor="text1"/>
                      <w:spacing w:val="0"/>
                      <w:kern w:val="0"/>
                      <w:sz w:val="21"/>
                      <w:szCs w:val="21"/>
                      <w:lang w:val="en-US" w:eastAsia="zh-CN" w:bidi="ar"/>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1</w:t>
                  </w:r>
                </w:p>
              </w:tc>
              <w:tc>
                <w:tcPr>
                  <w:tcW w:w="1635" w:type="dxa"/>
                  <w:tcBorders>
                    <w:tl2br w:val="nil"/>
                    <w:tr2bl w:val="nil"/>
                  </w:tcBorders>
                  <w:shd w:val="clear" w:color="auto" w:fill="auto"/>
                  <w:noWrap w:val="0"/>
                  <w:vAlign w:val="center"/>
                </w:tcPr>
                <w:p w14:paraId="7BAF8D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39.75 </w:t>
                  </w:r>
                </w:p>
              </w:tc>
              <w:tc>
                <w:tcPr>
                  <w:tcW w:w="1330" w:type="dxa"/>
                  <w:tcBorders>
                    <w:tl2br w:val="nil"/>
                    <w:tr2bl w:val="nil"/>
                  </w:tcBorders>
                  <w:shd w:val="clear" w:color="auto" w:fill="auto"/>
                  <w:noWrap w:val="0"/>
                  <w:vAlign w:val="center"/>
                </w:tcPr>
                <w:p w14:paraId="28E168D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0.398 </w:t>
                  </w:r>
                </w:p>
              </w:tc>
            </w:tr>
          </w:tbl>
          <w:p w14:paraId="4210EF46">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0" w:firstLineChars="200"/>
              <w:textAlignment w:val="bottom"/>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由表4.2-</w:t>
            </w:r>
            <w:r>
              <w:rPr>
                <w:rFonts w:hint="eastAsia"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lang w:val="en-US" w:eastAsia="zh-CN"/>
                <w14:textFill>
                  <w14:solidFill>
                    <w14:schemeClr w14:val="tx1"/>
                  </w14:solidFill>
                </w14:textFill>
              </w:rPr>
              <w:t>可知，本项目废气设施在故障等情况发生时，</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非正常事故源强颗粒物将形成超标排放，其余废气</w:t>
            </w:r>
            <w:r>
              <w:rPr>
                <w:rFonts w:hint="eastAsia" w:cs="Times New Roman"/>
                <w:color w:val="000000" w:themeColor="text1"/>
                <w:kern w:val="0"/>
                <w:sz w:val="24"/>
                <w:szCs w:val="20"/>
                <w:lang w:val="en-US" w:eastAsia="zh-CN" w:bidi="ar-SA"/>
                <w14:textFill>
                  <w14:solidFill>
                    <w14:schemeClr w14:val="tx1"/>
                  </w14:solidFill>
                </w14:textFill>
              </w:rPr>
              <w:t>污染物排放量</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也有所增加，对周边大气环境不利影响程度有较大增加。因此，发生事故时，建设单位应立即停止相应生产工序作业，待设备修复正常后再重新投产，采取以上应对措施后，非正常排放对周边影响是短暂的，但是建设单位依然要尽量避免，日常落实设备维护，定期更换吸附活性炭，保证处理效率。</w:t>
            </w:r>
          </w:p>
          <w:p w14:paraId="475B0D2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lang w:val="en-US" w:eastAsia="zh-CN"/>
                <w14:textFill>
                  <w14:solidFill>
                    <w14:schemeClr w14:val="tx1"/>
                  </w14:solidFill>
                </w14:textFill>
              </w:rPr>
              <w:t>4.</w:t>
            </w:r>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b/>
                <w:bCs w:val="0"/>
                <w:color w:val="000000" w:themeColor="text1"/>
                <w:kern w:val="0"/>
                <w:sz w:val="24"/>
                <w:lang w:val="en-US" w:eastAsia="zh-CN"/>
                <w14:textFill>
                  <w14:solidFill>
                    <w14:schemeClr w14:val="tx1"/>
                  </w14:solidFill>
                </w14:textFill>
              </w:rPr>
              <w:t>.</w:t>
            </w:r>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b/>
                <w:bCs w:val="0"/>
                <w:color w:val="000000" w:themeColor="text1"/>
                <w:kern w:val="0"/>
                <w:sz w:val="24"/>
                <w14:textFill>
                  <w14:solidFill>
                    <w14:schemeClr w14:val="tx1"/>
                  </w14:solidFill>
                </w14:textFill>
              </w:rPr>
              <w:t>运营期大气影响和污染防治措施</w:t>
            </w:r>
            <w:r>
              <w:rPr>
                <w:rFonts w:hint="eastAsia" w:ascii="Times New Roman" w:hAnsi="Times New Roman" w:eastAsia="宋体" w:cs="Times New Roman"/>
                <w:b/>
                <w:bCs w:val="0"/>
                <w:color w:val="000000" w:themeColor="text1"/>
                <w:kern w:val="0"/>
                <w:sz w:val="24"/>
                <w:lang w:eastAsia="zh-CN"/>
                <w14:textFill>
                  <w14:solidFill>
                    <w14:schemeClr w14:val="tx1"/>
                  </w14:solidFill>
                </w14:textFill>
              </w:rPr>
              <w:t>可行性</w:t>
            </w:r>
            <w:r>
              <w:rPr>
                <w:rFonts w:hint="default" w:ascii="Times New Roman" w:hAnsi="Times New Roman" w:eastAsia="宋体" w:cs="Times New Roman"/>
                <w:b/>
                <w:bCs w:val="0"/>
                <w:color w:val="000000" w:themeColor="text1"/>
                <w:kern w:val="0"/>
                <w:sz w:val="24"/>
                <w14:textFill>
                  <w14:solidFill>
                    <w14:schemeClr w14:val="tx1"/>
                  </w14:solidFill>
                </w14:textFill>
              </w:rPr>
              <w:t>分析</w:t>
            </w:r>
          </w:p>
          <w:p w14:paraId="6CBC21FE">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0" w:firstLineChars="200"/>
              <w:textAlignment w:val="bottom"/>
              <w:rPr>
                <w:rFonts w:hint="default" w:ascii="Times New Roman" w:hAnsi="Times New Roman"/>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（1）治理措施</w:t>
            </w:r>
          </w:p>
          <w:p w14:paraId="21B13531">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bottom"/>
              <w:rPr>
                <w:rFonts w:hint="default" w:ascii="Times New Roman" w:hAnsi="Times New Roman"/>
                <w:b/>
                <w:bCs/>
                <w:color w:val="000000" w:themeColor="text1"/>
                <w:sz w:val="24"/>
                <w:lang w:val="en-US" w:eastAsia="zh-CN"/>
                <w14:textFill>
                  <w14:solidFill>
                    <w14:schemeClr w14:val="tx1"/>
                  </w14:solidFill>
                </w14:textFill>
              </w:rPr>
            </w:pPr>
            <w:r>
              <w:rPr>
                <w:rFonts w:hint="eastAsia" w:ascii="Times New Roman" w:hAnsi="Times New Roman"/>
                <w:b/>
                <w:bCs/>
                <w:color w:val="000000" w:themeColor="text1"/>
                <w:sz w:val="24"/>
                <w:lang w:val="en-US" w:eastAsia="zh-CN"/>
                <w14:textFill>
                  <w14:solidFill>
                    <w14:schemeClr w14:val="tx1"/>
                  </w14:solidFill>
                </w14:textFill>
              </w:rPr>
              <w:t>①工艺流程</w:t>
            </w:r>
          </w:p>
          <w:p w14:paraId="7C179A95">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bottom"/>
              <w:rPr>
                <w:rFonts w:hint="default" w:ascii="Times New Roman" w:hAnsi="Times New Roman"/>
                <w:color w:val="000000" w:themeColor="text1"/>
                <w:sz w:val="24"/>
                <w:lang w:val="en-US" w:eastAsia="zh-CN"/>
                <w14:textFill>
                  <w14:solidFill>
                    <w14:schemeClr w14:val="tx1"/>
                  </w14:solidFill>
                </w14:textFill>
              </w:rPr>
            </w:pPr>
            <w:r>
              <w:rPr>
                <w:rFonts w:hint="default" w:ascii="Times New Roman" w:hAnsi="Times New Roman"/>
                <w:color w:val="000000" w:themeColor="text1"/>
                <w:sz w:val="24"/>
                <w:lang w:val="en-US" w:eastAsia="zh-CN"/>
                <w14:textFill>
                  <w14:solidFill>
                    <w14:schemeClr w14:val="tx1"/>
                  </w14:solidFill>
                </w14:textFill>
              </w:rPr>
              <w:object>
                <v:shape id="_x0000_i1026" o:spt="75" type="#_x0000_t75" style="height:665.75pt;width:430.8pt;" o:ole="t" filled="f" o:preferrelative="t" stroked="f" coordsize="21600,21600">
                  <v:path/>
                  <v:fill on="f" focussize="0,0"/>
                  <v:stroke on="f"/>
                  <v:imagedata r:id="rId14" o:title=""/>
                  <o:lock v:ext="edit" aspectratio="f"/>
                  <w10:wrap type="none"/>
                  <w10:anchorlock/>
                </v:shape>
                <o:OLEObject Type="Embed" ProgID="Visio.Drawing.15" ShapeID="_x0000_i1026" DrawAspect="Content" ObjectID="_1468075726" r:id="rId13">
                  <o:LockedField>false</o:LockedField>
                </o:OLEObject>
              </w:object>
            </w:r>
          </w:p>
          <w:p w14:paraId="68019FF3">
            <w:pPr>
              <w:spacing w:line="360" w:lineRule="auto"/>
              <w:ind w:firstLine="482" w:firstLineChars="200"/>
              <w:jc w:val="center"/>
              <w:rPr>
                <w:b/>
                <w:bCs/>
                <w:color w:val="000000" w:themeColor="text1"/>
                <w:sz w:val="24"/>
                <w:szCs w:val="22"/>
                <w:highlight w:val="none"/>
                <w14:textFill>
                  <w14:solidFill>
                    <w14:schemeClr w14:val="tx1"/>
                  </w14:solidFill>
                </w14:textFill>
              </w:rPr>
            </w:pPr>
            <w:r>
              <w:rPr>
                <w:b/>
                <w:bCs/>
                <w:color w:val="000000" w:themeColor="text1"/>
                <w:sz w:val="24"/>
                <w:szCs w:val="22"/>
                <w:highlight w:val="none"/>
                <w14:textFill>
                  <w14:solidFill>
                    <w14:schemeClr w14:val="tx1"/>
                  </w14:solidFill>
                </w14:textFill>
              </w:rPr>
              <w:t>图4.</w:t>
            </w:r>
            <w:r>
              <w:rPr>
                <w:rFonts w:hint="eastAsia"/>
                <w:b/>
                <w:bCs/>
                <w:color w:val="000000" w:themeColor="text1"/>
                <w:sz w:val="24"/>
                <w:szCs w:val="22"/>
                <w:highlight w:val="none"/>
                <w:lang w:val="en-US" w:eastAsia="zh-CN"/>
                <w14:textFill>
                  <w14:solidFill>
                    <w14:schemeClr w14:val="tx1"/>
                  </w14:solidFill>
                </w14:textFill>
              </w:rPr>
              <w:t>2</w:t>
            </w:r>
            <w:r>
              <w:rPr>
                <w:b/>
                <w:bCs/>
                <w:color w:val="000000" w:themeColor="text1"/>
                <w:sz w:val="24"/>
                <w:szCs w:val="22"/>
                <w:highlight w:val="none"/>
                <w14:textFill>
                  <w14:solidFill>
                    <w14:schemeClr w14:val="tx1"/>
                  </w14:solidFill>
                </w14:textFill>
              </w:rPr>
              <w:t>-1 项目废气处理工艺措施示意图</w:t>
            </w:r>
          </w:p>
          <w:p w14:paraId="3CAD733C">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bottom"/>
              <w:rPr>
                <w:rFonts w:hint="default" w:ascii="Times New Roman" w:hAnsi="Times New Roman"/>
                <w:b/>
                <w:bCs/>
                <w:color w:val="000000" w:themeColor="text1"/>
                <w:sz w:val="24"/>
                <w:lang w:val="en-US" w:eastAsia="zh-CN"/>
                <w14:textFill>
                  <w14:solidFill>
                    <w14:schemeClr w14:val="tx1"/>
                  </w14:solidFill>
                </w14:textFill>
              </w:rPr>
            </w:pPr>
            <w:r>
              <w:rPr>
                <w:rFonts w:hint="eastAsia" w:ascii="Times New Roman" w:hAnsi="Times New Roman"/>
                <w:b/>
                <w:bCs/>
                <w:color w:val="000000" w:themeColor="text1"/>
                <w:sz w:val="24"/>
                <w:lang w:val="en-US" w:eastAsia="zh-CN"/>
                <w14:textFill>
                  <w14:solidFill>
                    <w14:schemeClr w14:val="tx1"/>
                  </w14:solidFill>
                </w14:textFill>
              </w:rPr>
              <w:t>②工艺原理</w:t>
            </w:r>
          </w:p>
          <w:p w14:paraId="63007C7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bottom"/>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碱液喷淋处理原理：</w:t>
            </w:r>
          </w:p>
          <w:p w14:paraId="0040ABD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bottom"/>
              <w:rPr>
                <w:rFonts w:hint="eastAsia" w:ascii="Times New Roman" w:hAnsi="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酸性废气收集后，进入喷淋塔，在洗涤过程中利用酸性气体与碱液间的接触中和反应，将气体中的污染物传送到液体中，然后再将清洁气体与被污染的液体分离，达到洁净空气的目的，废气采用气液逆向吸收方式处理，即液体自塔顶向下以雾状（或小液滴）喷洒而下，废气则由塔体（逆向流）使气液接触，部分水汽经过除雾填料后进行分离流入塔体底部。废气在喷淋塔内部进行洗涤将废气中的溶于水的部分进行净化预处理。另外</w:t>
            </w:r>
            <w:r>
              <w:rPr>
                <w:rFonts w:hint="eastAsia" w:ascii="Times New Roman" w:hAnsi="Times New Roman"/>
                <w:color w:val="000000" w:themeColor="text1"/>
                <w:sz w:val="24"/>
                <w:lang w:val="en-US" w:eastAsia="zh-CN"/>
                <w14:textFill>
                  <w14:solidFill>
                    <w14:schemeClr w14:val="tx1"/>
                  </w14:solidFill>
                </w14:textFill>
              </w:rPr>
              <w:t>废气中的烟尘颗粒也会被水捕获，形成较重的大颗粒沉降，固气得到分离，气体得到净化。尾气含有些水雾，再经过水喷淋末端的干式过滤器进行水分吸收，此时从喷淋塔出来的气体只是一些有机化合物气体。接着废气送入活性炭吸附装置进一步处理。</w:t>
            </w:r>
          </w:p>
          <w:p w14:paraId="2E5DF0A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bottom"/>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活性炭吸附处理原理：</w:t>
            </w:r>
          </w:p>
          <w:p w14:paraId="5A8392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活性炭是一种具有多孔结构和大的内部比表面积的材料</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由于其大的比表面积、微孔结构、高的吸附能力和很高的表面活性而成为独特的多功能吸附剂，且其价廉易得，可再生化，同时它可有效去除废水、废气中的大部分有机物和某些无机物，所以它被世界各国广泛地应用于污水及废气的处理、空气净化、回收溶剂等环境保护和资源回收等领域。</w:t>
            </w:r>
          </w:p>
          <w:p w14:paraId="61BDE7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本项目拟采用颗粒活性炭作为吸附剂，碘值</w:t>
            </w:r>
            <w:r>
              <w:rPr>
                <w:rFonts w:hint="eastAsia" w:ascii="Times New Roman" w:hAnsi="Times New Roman" w:eastAsia="宋体" w:cs="Times New Roman"/>
                <w:color w:val="000000" w:themeColor="text1"/>
                <w:sz w:val="24"/>
                <w:lang w:val="en-US" w:eastAsia="zh-CN"/>
                <w14:textFill>
                  <w14:solidFill>
                    <w14:schemeClr w14:val="tx1"/>
                  </w14:solidFill>
                </w14:textFill>
              </w:rPr>
              <w:t>不低于</w:t>
            </w:r>
            <w:r>
              <w:rPr>
                <w:rFonts w:hint="default" w:ascii="Times New Roman" w:hAnsi="Times New Roman" w:eastAsia="宋体" w:cs="Times New Roman"/>
                <w:color w:val="000000" w:themeColor="text1"/>
                <w:sz w:val="24"/>
                <w:lang w:val="en-US" w:eastAsia="zh-CN"/>
                <w14:textFill>
                  <w14:solidFill>
                    <w14:schemeClr w14:val="tx1"/>
                  </w14:solidFill>
                </w14:textFill>
              </w:rPr>
              <w:t>800mg/g。</w:t>
            </w:r>
            <w:r>
              <w:rPr>
                <w:rFonts w:hint="eastAsia" w:ascii="Times New Roman" w:hAnsi="Times New Roman" w:eastAsia="宋体"/>
                <w:color w:val="000000" w:themeColor="text1"/>
                <w:sz w:val="24"/>
                <w:lang w:val="en-US" w:eastAsia="zh-CN"/>
                <w14:textFill>
                  <w14:solidFill>
                    <w14:schemeClr w14:val="tx1"/>
                  </w14:solidFill>
                </w14:textFill>
              </w:rPr>
              <w:t>为保证活性炭的正常运行，将按照《吸附法工业有机废气治理工程技术规范》（HJ 2026-2013）要求，对活性炭吸附箱两端压力进行计量，根据压差值及时更换废活性炭（阻力低于初始值或达到初阻值1.</w:t>
            </w:r>
            <w:r>
              <w:rPr>
                <w:rFonts w:hint="eastAsia" w:ascii="Times New Roman" w:hAnsi="Times New Roman" w:eastAsia="宋体" w:cs="Times New Roman"/>
                <w:color w:val="000000" w:themeColor="text1"/>
                <w:sz w:val="24"/>
                <w:lang w:val="en-US" w:eastAsia="zh-CN"/>
                <w14:textFill>
                  <w14:solidFill>
                    <w14:schemeClr w14:val="tx1"/>
                  </w14:solidFill>
                </w14:textFill>
              </w:rPr>
              <w:t>5~2倍时更换）。项目进入活性炭前的废气经过喷淋塔冷却，可满足</w:t>
            </w:r>
            <w:r>
              <w:rPr>
                <w:rFonts w:hint="eastAsia" w:ascii="Times New Roman" w:hAnsi="Times New Roman" w:eastAsia="宋体"/>
                <w:color w:val="000000" w:themeColor="text1"/>
                <w:sz w:val="24"/>
                <w:lang w:val="en-US" w:eastAsia="zh-CN"/>
                <w14:textFill>
                  <w14:solidFill>
                    <w14:schemeClr w14:val="tx1"/>
                  </w14:solidFill>
                </w14:textFill>
              </w:rPr>
              <w:t>《吸附法工业有机废气治理工程技术规范》（HJ 2026-2013）中对进入吸附装置废气温度宜低于40℃的要求，同时含尘气体经前端喷淋塔、干式过滤处理后，可满足进入颗粒物含量＜1mg/m</w:t>
            </w:r>
            <w:r>
              <w:rPr>
                <w:rFonts w:hint="eastAsia" w:ascii="Times New Roman" w:hAnsi="Times New Roman" w:eastAsia="宋体"/>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lang w:val="en-US" w:eastAsia="zh-CN"/>
                <w14:textFill>
                  <w14:solidFill>
                    <w14:schemeClr w14:val="tx1"/>
                  </w14:solidFill>
                </w14:textFill>
              </w:rPr>
              <w:t>要求。</w:t>
            </w:r>
            <w:r>
              <w:rPr>
                <w:rFonts w:hint="eastAsia" w:ascii="Times New Roman" w:hAnsi="Times New Roman" w:eastAsia="宋体" w:cs="Times New Roman"/>
                <w:color w:val="000000" w:themeColor="text1"/>
                <w:sz w:val="24"/>
                <w:lang w:val="en-US" w:eastAsia="zh-CN"/>
                <w14:textFill>
                  <w14:solidFill>
                    <w14:schemeClr w14:val="tx1"/>
                  </w14:solidFill>
                </w14:textFill>
              </w:rPr>
              <w:t>项目拟设置双级活性炭装置，由两个串联的活性炭吸附箱组成，并按设计要求对活性炭足量添加、及时更换，活性炭吸附箱一次总填装量及定期更换频次见后文4.5.1章节。</w:t>
            </w:r>
          </w:p>
          <w:p w14:paraId="70A133CE">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bottom"/>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③技术可行分析</w:t>
            </w:r>
          </w:p>
          <w:p w14:paraId="5CE505AF">
            <w:pPr>
              <w:pStyle w:val="56"/>
              <w:spacing w:after="0" w:line="360" w:lineRule="auto"/>
              <w:ind w:left="0" w:leftChars="0" w:firstLine="480" w:firstLineChars="20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本次可行性技术分析参考</w:t>
            </w: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排污许可证申请与核发技术规范 汽车制造业</w:t>
            </w: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 xml:space="preserve">HJ </w:t>
            </w:r>
            <w:r>
              <w:rPr>
                <w:rFonts w:hint="eastAsia" w:ascii="Times New Roman" w:hAnsi="Times New Roman" w:eastAsia="宋体"/>
                <w:color w:val="000000" w:themeColor="text1"/>
                <w:lang w:val="en-US" w:eastAsia="zh-CN"/>
                <w14:textFill>
                  <w14:solidFill>
                    <w14:schemeClr w14:val="tx1"/>
                  </w14:solidFill>
                </w14:textFill>
              </w:rPr>
              <w:t>971-2018）</w:t>
            </w:r>
            <w:r>
              <w:rPr>
                <w:rFonts w:ascii="Times New Roman" w:hAnsi="Times New Roman" w:eastAsia="宋体"/>
                <w:color w:val="000000" w:themeColor="text1"/>
                <w14:textFill>
                  <w14:solidFill>
                    <w14:schemeClr w14:val="tx1"/>
                  </w14:solidFill>
                </w14:textFill>
              </w:rPr>
              <w:t>中</w:t>
            </w:r>
            <w:r>
              <w:rPr>
                <w:rFonts w:hint="eastAsia" w:ascii="Times New Roman" w:hAnsi="Times New Roman" w:eastAsia="宋体"/>
                <w:color w:val="000000" w:themeColor="text1"/>
                <w:lang w:val="en-US" w:eastAsia="zh-CN"/>
                <w14:textFill>
                  <w14:solidFill>
                    <w14:schemeClr w14:val="tx1"/>
                  </w14:solidFill>
                </w14:textFill>
              </w:rPr>
              <w:t>汽车制造业</w:t>
            </w:r>
            <w:r>
              <w:rPr>
                <w:rFonts w:hint="eastAsia" w:ascii="Times New Roman" w:hAnsi="Times New Roman" w:eastAsia="宋体"/>
                <w:color w:val="000000" w:themeColor="text1"/>
                <w:lang w:eastAsia="zh-CN"/>
                <w14:textFill>
                  <w14:solidFill>
                    <w14:schemeClr w14:val="tx1"/>
                  </w14:solidFill>
                </w14:textFill>
              </w:rPr>
              <w:t>废气</w:t>
            </w:r>
            <w:r>
              <w:rPr>
                <w:rFonts w:ascii="Times New Roman" w:hAnsi="Times New Roman" w:eastAsia="宋体"/>
                <w:color w:val="000000" w:themeColor="text1"/>
                <w14:textFill>
                  <w14:solidFill>
                    <w14:schemeClr w14:val="tx1"/>
                  </w14:solidFill>
                </w14:textFill>
              </w:rPr>
              <w:t>污染</w:t>
            </w:r>
            <w:r>
              <w:rPr>
                <w:rFonts w:hint="eastAsia" w:ascii="Times New Roman" w:hAnsi="Times New Roman" w:eastAsia="宋体"/>
                <w:color w:val="000000" w:themeColor="text1"/>
                <w:lang w:val="en-US" w:eastAsia="zh-CN"/>
                <w14:textFill>
                  <w14:solidFill>
                    <w14:schemeClr w14:val="tx1"/>
                  </w14:solidFill>
                </w14:textFill>
              </w:rPr>
              <w:t>治理推荐</w:t>
            </w:r>
            <w:r>
              <w:rPr>
                <w:rFonts w:ascii="Times New Roman" w:hAnsi="Times New Roman" w:eastAsia="宋体"/>
                <w:color w:val="000000" w:themeColor="text1"/>
                <w14:textFill>
                  <w14:solidFill>
                    <w14:schemeClr w14:val="tx1"/>
                  </w14:solidFill>
                </w14:textFill>
              </w:rPr>
              <w:t>可行技术</w:t>
            </w:r>
            <w:r>
              <w:rPr>
                <w:rFonts w:hint="eastAsia" w:ascii="Times New Roman" w:hAnsi="Times New Roman" w:eastAsia="宋体"/>
                <w:color w:val="000000" w:themeColor="text1"/>
                <w:lang w:val="en-US" w:eastAsia="zh-CN"/>
                <w14:textFill>
                  <w14:solidFill>
                    <w14:schemeClr w14:val="tx1"/>
                  </w14:solidFill>
                </w14:textFill>
              </w:rPr>
              <w:t>清单</w:t>
            </w:r>
            <w:r>
              <w:rPr>
                <w:rFonts w:hint="eastAsia" w:ascii="Times New Roman" w:hAnsi="Times New Roman" w:eastAsia="宋体"/>
                <w:color w:val="000000" w:themeColor="text1"/>
                <w14:textFill>
                  <w14:solidFill>
                    <w14:schemeClr w14:val="tx1"/>
                  </w14:solidFill>
                </w14:textFill>
              </w:rPr>
              <w:t>进行分析</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详见表</w:t>
            </w:r>
            <w:r>
              <w:rPr>
                <w:rFonts w:hint="eastAsia" w:ascii="Times New Roman" w:hAnsi="Times New Roman" w:eastAsia="宋体"/>
                <w:color w:val="000000" w:themeColor="text1"/>
                <w:lang w:val="en-US" w:eastAsia="zh-CN"/>
                <w14:textFill>
                  <w14:solidFill>
                    <w14:schemeClr w14:val="tx1"/>
                  </w14:solidFill>
                </w14:textFill>
              </w:rPr>
              <w:t>4.2-</w:t>
            </w:r>
            <w:r>
              <w:rPr>
                <w:rFonts w:hint="eastAsia" w:eastAsia="宋体"/>
                <w:color w:val="000000" w:themeColor="text1"/>
                <w:lang w:val="en-US" w:eastAsia="zh-CN"/>
                <w14:textFill>
                  <w14:solidFill>
                    <w14:schemeClr w14:val="tx1"/>
                  </w14:solidFill>
                </w14:textFill>
              </w:rPr>
              <w:t>8</w:t>
            </w:r>
            <w:r>
              <w:rPr>
                <w:rFonts w:hint="eastAsia" w:ascii="Times New Roman" w:hAnsi="Times New Roman" w:eastAsia="宋体"/>
                <w:color w:val="000000" w:themeColor="text1"/>
                <w14:textFill>
                  <w14:solidFill>
                    <w14:schemeClr w14:val="tx1"/>
                  </w14:solidFill>
                </w14:textFill>
              </w:rPr>
              <w:t>。</w:t>
            </w:r>
          </w:p>
          <w:p w14:paraId="7405BC90">
            <w:pPr>
              <w:widowControl/>
              <w:spacing w:before="120" w:beforeLines="50"/>
              <w:jc w:val="center"/>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kern w:val="0"/>
                <w:sz w:val="24"/>
                <w:lang w:bidi="ar"/>
                <w14:textFill>
                  <w14:solidFill>
                    <w14:schemeClr w14:val="tx1"/>
                  </w14:solidFill>
                </w14:textFill>
              </w:rPr>
              <w:t>表</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4.2-</w:t>
            </w:r>
            <w:r>
              <w:rPr>
                <w:rFonts w:hint="eastAsia" w:cs="Times New Roman"/>
                <w:b/>
                <w:bCs/>
                <w:color w:val="000000" w:themeColor="text1"/>
                <w:kern w:val="0"/>
                <w:sz w:val="24"/>
                <w:lang w:val="en-US" w:eastAsia="zh-CN" w:bidi="ar"/>
                <w14:textFill>
                  <w14:solidFill>
                    <w14:schemeClr w14:val="tx1"/>
                  </w14:solidFill>
                </w14:textFill>
              </w:rPr>
              <w:t>8</w:t>
            </w:r>
            <w:r>
              <w:rPr>
                <w:rFonts w:hint="eastAsia" w:ascii="Times New Roman" w:hAnsi="Times New Roman" w:eastAsia="宋体" w:cs="Times New Roman"/>
                <w:b/>
                <w:bCs/>
                <w:color w:val="000000" w:themeColor="text1"/>
                <w:kern w:val="0"/>
                <w:sz w:val="24"/>
                <w:lang w:bidi="ar"/>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汽车制造业废气污染治理推荐可行技术</w:t>
            </w:r>
          </w:p>
          <w:tbl>
            <w:tblPr>
              <w:tblStyle w:val="30"/>
              <w:tblW w:w="4954"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763"/>
              <w:gridCol w:w="810"/>
              <w:gridCol w:w="1740"/>
              <w:gridCol w:w="1219"/>
              <w:gridCol w:w="1420"/>
              <w:gridCol w:w="1601"/>
              <w:gridCol w:w="1190"/>
            </w:tblGrid>
            <w:tr w14:paraId="1DBD40E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78" w:hRule="atLeast"/>
              </w:trPr>
              <w:tc>
                <w:tcPr>
                  <w:tcW w:w="436" w:type="pct"/>
                  <w:noWrap w:val="0"/>
                  <w:vAlign w:val="center"/>
                </w:tcPr>
                <w:p w14:paraId="14A78994">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val="0"/>
                      <w:bCs w:val="0"/>
                      <w:color w:val="000000" w:themeColor="text1"/>
                      <w:szCs w:val="21"/>
                      <w:lang w:val="en-US" w:eastAsia="zh-CN"/>
                      <w14:textFill>
                        <w14:solidFill>
                          <w14:schemeClr w14:val="tx1"/>
                        </w14:solidFill>
                      </w14:textFill>
                    </w:rPr>
                  </w:pPr>
                  <w:r>
                    <w:rPr>
                      <w:rFonts w:hint="eastAsia" w:ascii="Times New Roman" w:hAnsi="Times New Roman" w:eastAsia="宋体"/>
                      <w:b w:val="0"/>
                      <w:bCs w:val="0"/>
                      <w:color w:val="000000" w:themeColor="text1"/>
                      <w:szCs w:val="21"/>
                      <w:lang w:val="en-US" w:eastAsia="zh-CN"/>
                      <w14:textFill>
                        <w14:solidFill>
                          <w14:schemeClr w14:val="tx1"/>
                        </w14:solidFill>
                      </w14:textFill>
                    </w:rPr>
                    <w:t>来源</w:t>
                  </w:r>
                </w:p>
              </w:tc>
              <w:tc>
                <w:tcPr>
                  <w:tcW w:w="463" w:type="pct"/>
                  <w:noWrap w:val="0"/>
                  <w:vAlign w:val="center"/>
                </w:tcPr>
                <w:p w14:paraId="6D976121">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val="0"/>
                      <w:bCs w:val="0"/>
                      <w:color w:val="000000" w:themeColor="text1"/>
                      <w:szCs w:val="21"/>
                      <w:lang w:val="en-US" w:eastAsia="zh-CN"/>
                      <w14:textFill>
                        <w14:solidFill>
                          <w14:schemeClr w14:val="tx1"/>
                        </w14:solidFill>
                      </w14:textFill>
                    </w:rPr>
                  </w:pPr>
                  <w:r>
                    <w:rPr>
                      <w:rFonts w:hint="eastAsia" w:ascii="Times New Roman" w:hAnsi="Times New Roman" w:eastAsia="宋体"/>
                      <w:b w:val="0"/>
                      <w:bCs w:val="0"/>
                      <w:color w:val="000000" w:themeColor="text1"/>
                      <w:szCs w:val="21"/>
                      <w:lang w:val="en-US" w:eastAsia="zh-CN"/>
                      <w14:textFill>
                        <w14:solidFill>
                          <w14:schemeClr w14:val="tx1"/>
                        </w14:solidFill>
                      </w14:textFill>
                    </w:rPr>
                    <w:t>生产单元</w:t>
                  </w:r>
                </w:p>
              </w:tc>
              <w:tc>
                <w:tcPr>
                  <w:tcW w:w="995" w:type="pct"/>
                  <w:noWrap w:val="0"/>
                  <w:vAlign w:val="center"/>
                </w:tcPr>
                <w:p w14:paraId="05F412B2">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000000" w:themeColor="text1"/>
                      <w:szCs w:val="21"/>
                      <w:lang w:val="en-US" w:eastAsia="zh-CN"/>
                      <w14:textFill>
                        <w14:solidFill>
                          <w14:schemeClr w14:val="tx1"/>
                        </w14:solidFill>
                      </w14:textFill>
                    </w:rPr>
                  </w:pPr>
                  <w:r>
                    <w:rPr>
                      <w:rFonts w:hint="eastAsia" w:ascii="Times New Roman" w:hAnsi="Times New Roman" w:eastAsia="宋体"/>
                      <w:b w:val="0"/>
                      <w:bCs w:val="0"/>
                      <w:color w:val="000000" w:themeColor="text1"/>
                      <w:szCs w:val="21"/>
                      <w:lang w:val="en-US" w:eastAsia="zh-CN"/>
                      <w14:textFill>
                        <w14:solidFill>
                          <w14:schemeClr w14:val="tx1"/>
                        </w14:solidFill>
                      </w14:textFill>
                    </w:rPr>
                    <w:t>主要生产设施名称</w:t>
                  </w:r>
                </w:p>
              </w:tc>
              <w:tc>
                <w:tcPr>
                  <w:tcW w:w="697" w:type="pct"/>
                  <w:noWrap w:val="0"/>
                  <w:vAlign w:val="center"/>
                </w:tcPr>
                <w:p w14:paraId="5060078F">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ascii="Times New Roman" w:hAnsi="Times New Roman" w:eastAsia="宋体"/>
                      <w:b w:val="0"/>
                      <w:bCs w:val="0"/>
                      <w:color w:val="000000" w:themeColor="text1"/>
                      <w:szCs w:val="21"/>
                      <w14:textFill>
                        <w14:solidFill>
                          <w14:schemeClr w14:val="tx1"/>
                        </w14:solidFill>
                      </w14:textFill>
                    </w:rPr>
                  </w:pPr>
                  <w:r>
                    <w:rPr>
                      <w:rFonts w:ascii="Times New Roman" w:hAnsi="Times New Roman" w:eastAsia="宋体"/>
                      <w:b w:val="0"/>
                      <w:bCs w:val="0"/>
                      <w:color w:val="000000" w:themeColor="text1"/>
                      <w:szCs w:val="21"/>
                      <w14:textFill>
                        <w14:solidFill>
                          <w14:schemeClr w14:val="tx1"/>
                        </w14:solidFill>
                      </w14:textFill>
                    </w:rPr>
                    <w:t>污染物种类</w:t>
                  </w:r>
                </w:p>
              </w:tc>
              <w:tc>
                <w:tcPr>
                  <w:tcW w:w="812" w:type="pct"/>
                  <w:noWrap w:val="0"/>
                  <w:vAlign w:val="center"/>
                </w:tcPr>
                <w:p w14:paraId="34051579">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000000" w:themeColor="text1"/>
                      <w:szCs w:val="21"/>
                      <w:lang w:eastAsia="zh-CN"/>
                      <w14:textFill>
                        <w14:solidFill>
                          <w14:schemeClr w14:val="tx1"/>
                        </w14:solidFill>
                      </w14:textFill>
                    </w:rPr>
                  </w:pPr>
                  <w:r>
                    <w:rPr>
                      <w:rFonts w:hint="eastAsia" w:ascii="Times New Roman" w:hAnsi="Times New Roman" w:eastAsia="宋体"/>
                      <w:b w:val="0"/>
                      <w:bCs w:val="0"/>
                      <w:color w:val="000000" w:themeColor="text1"/>
                      <w:szCs w:val="21"/>
                      <w:lang w:eastAsia="zh-CN"/>
                      <w14:textFill>
                        <w14:solidFill>
                          <w14:schemeClr w14:val="tx1"/>
                        </w14:solidFill>
                      </w14:textFill>
                    </w:rPr>
                    <w:t>可行技术</w:t>
                  </w:r>
                </w:p>
              </w:tc>
              <w:tc>
                <w:tcPr>
                  <w:tcW w:w="915" w:type="pct"/>
                  <w:noWrap w:val="0"/>
                  <w:vAlign w:val="center"/>
                </w:tcPr>
                <w:p w14:paraId="1FC171DA">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000000" w:themeColor="text1"/>
                      <w:szCs w:val="21"/>
                      <w:lang w:val="en-US" w:eastAsia="zh-CN"/>
                      <w14:textFill>
                        <w14:solidFill>
                          <w14:schemeClr w14:val="tx1"/>
                        </w14:solidFill>
                      </w14:textFill>
                    </w:rPr>
                  </w:pPr>
                  <w:r>
                    <w:rPr>
                      <w:rFonts w:hint="eastAsia" w:ascii="Times New Roman" w:hAnsi="Times New Roman" w:eastAsia="宋体"/>
                      <w:b w:val="0"/>
                      <w:bCs w:val="0"/>
                      <w:color w:val="000000" w:themeColor="text1"/>
                      <w:szCs w:val="21"/>
                      <w:lang w:val="en-US" w:eastAsia="zh-CN"/>
                      <w14:textFill>
                        <w14:solidFill>
                          <w14:schemeClr w14:val="tx1"/>
                        </w14:solidFill>
                      </w14:textFill>
                    </w:rPr>
                    <w:t>本项目</w:t>
                  </w:r>
                </w:p>
              </w:tc>
              <w:tc>
                <w:tcPr>
                  <w:tcW w:w="680" w:type="pct"/>
                  <w:noWrap w:val="0"/>
                  <w:vAlign w:val="center"/>
                </w:tcPr>
                <w:p w14:paraId="77C3FD5E">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val="0"/>
                      <w:bCs w:val="0"/>
                      <w:color w:val="000000" w:themeColor="text1"/>
                      <w:szCs w:val="21"/>
                      <w:lang w:val="en-US" w:eastAsia="zh-CN"/>
                      <w14:textFill>
                        <w14:solidFill>
                          <w14:schemeClr w14:val="tx1"/>
                        </w14:solidFill>
                      </w14:textFill>
                    </w:rPr>
                  </w:pPr>
                  <w:r>
                    <w:rPr>
                      <w:rFonts w:hint="eastAsia" w:ascii="Times New Roman" w:hAnsi="Times New Roman" w:eastAsia="宋体"/>
                      <w:b w:val="0"/>
                      <w:bCs w:val="0"/>
                      <w:color w:val="000000" w:themeColor="text1"/>
                      <w:szCs w:val="21"/>
                      <w:lang w:val="en-US" w:eastAsia="zh-CN"/>
                      <w14:textFill>
                        <w14:solidFill>
                          <w14:schemeClr w14:val="tx1"/>
                        </w14:solidFill>
                      </w14:textFill>
                    </w:rPr>
                    <w:t>是否属于可行技术</w:t>
                  </w:r>
                </w:p>
              </w:tc>
            </w:tr>
            <w:tr w14:paraId="68ABC4C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4" w:hRule="atLeast"/>
              </w:trPr>
              <w:tc>
                <w:tcPr>
                  <w:tcW w:w="436" w:type="pct"/>
                  <w:vMerge w:val="restart"/>
                  <w:noWrap w:val="0"/>
                  <w:vAlign w:val="center"/>
                </w:tcPr>
                <w:p w14:paraId="6A452580">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HJ</w:t>
                  </w:r>
                  <w:r>
                    <w:rPr>
                      <w:rFonts w:hint="eastAsia" w:ascii="Times New Roman" w:hAnsi="Times New Roman" w:eastAsia="宋体"/>
                      <w:color w:val="000000" w:themeColor="text1"/>
                      <w:lang w:val="en-US" w:eastAsia="zh-CN"/>
                      <w14:textFill>
                        <w14:solidFill>
                          <w14:schemeClr w14:val="tx1"/>
                        </w14:solidFill>
                      </w14:textFill>
                    </w:rPr>
                    <w:t>971-2018</w:t>
                  </w:r>
                </w:p>
              </w:tc>
              <w:tc>
                <w:tcPr>
                  <w:tcW w:w="463" w:type="pct"/>
                  <w:noWrap w:val="0"/>
                  <w:vAlign w:val="center"/>
                </w:tcPr>
                <w:p w14:paraId="088C7110">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预处理</w:t>
                  </w:r>
                </w:p>
              </w:tc>
              <w:tc>
                <w:tcPr>
                  <w:tcW w:w="995" w:type="pct"/>
                  <w:noWrap w:val="0"/>
                  <w:vAlign w:val="center"/>
                </w:tcPr>
                <w:p w14:paraId="2BE2F063">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酸洗</w:t>
                  </w:r>
                </w:p>
              </w:tc>
              <w:tc>
                <w:tcPr>
                  <w:tcW w:w="697" w:type="pct"/>
                  <w:noWrap w:val="0"/>
                  <w:vAlign w:val="center"/>
                </w:tcPr>
                <w:p w14:paraId="398DB626">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酸性废气</w:t>
                  </w:r>
                </w:p>
              </w:tc>
              <w:tc>
                <w:tcPr>
                  <w:tcW w:w="812" w:type="pct"/>
                  <w:noWrap w:val="0"/>
                  <w:vAlign w:val="center"/>
                </w:tcPr>
                <w:p w14:paraId="71211C1B">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val="0"/>
                      <w:bCs w:val="0"/>
                      <w:color w:val="000000" w:themeColor="text1"/>
                      <w:szCs w:val="21"/>
                      <w:lang w:val="en-US" w:eastAsia="zh-CN"/>
                      <w14:textFill>
                        <w14:solidFill>
                          <w14:schemeClr w14:val="tx1"/>
                        </w14:solidFill>
                      </w14:textFill>
                    </w:rPr>
                  </w:pPr>
                  <w:r>
                    <w:rPr>
                      <w:rFonts w:hint="eastAsia" w:ascii="Times New Roman" w:hAnsi="Times New Roman" w:eastAsia="宋体"/>
                      <w:b w:val="0"/>
                      <w:bCs w:val="0"/>
                      <w:color w:val="000000" w:themeColor="text1"/>
                      <w:szCs w:val="21"/>
                      <w:lang w:val="en-US" w:eastAsia="zh-CN"/>
                      <w14:textFill>
                        <w14:solidFill>
                          <w14:schemeClr w14:val="tx1"/>
                        </w14:solidFill>
                      </w14:textFill>
                    </w:rPr>
                    <w:t>碱液吸收</w:t>
                  </w:r>
                </w:p>
              </w:tc>
              <w:tc>
                <w:tcPr>
                  <w:tcW w:w="915" w:type="pct"/>
                  <w:noWrap w:val="0"/>
                  <w:vAlign w:val="center"/>
                </w:tcPr>
                <w:p w14:paraId="7AE2F09C">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碱液喷淋塔</w:t>
                  </w:r>
                </w:p>
              </w:tc>
              <w:tc>
                <w:tcPr>
                  <w:tcW w:w="680" w:type="pct"/>
                  <w:noWrap w:val="0"/>
                  <w:vAlign w:val="center"/>
                </w:tcPr>
                <w:p w14:paraId="19D1E9BB">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000000" w:themeColor="text1"/>
                      <w:szCs w:val="21"/>
                      <w:lang w:val="en-US" w:eastAsia="zh-CN"/>
                      <w14:textFill>
                        <w14:solidFill>
                          <w14:schemeClr w14:val="tx1"/>
                        </w14:solidFill>
                      </w14:textFill>
                    </w:rPr>
                  </w:pPr>
                  <w:r>
                    <w:rPr>
                      <w:rFonts w:hint="eastAsia" w:ascii="Times New Roman" w:hAnsi="Times New Roman" w:eastAsia="宋体"/>
                      <w:b w:val="0"/>
                      <w:bCs w:val="0"/>
                      <w:color w:val="000000" w:themeColor="text1"/>
                      <w:szCs w:val="21"/>
                      <w:lang w:val="en-US" w:eastAsia="zh-CN"/>
                      <w14:textFill>
                        <w14:solidFill>
                          <w14:schemeClr w14:val="tx1"/>
                        </w14:solidFill>
                      </w14:textFill>
                    </w:rPr>
                    <w:t>是</w:t>
                  </w:r>
                </w:p>
              </w:tc>
            </w:tr>
            <w:tr w14:paraId="1BCF267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4" w:hRule="atLeast"/>
              </w:trPr>
              <w:tc>
                <w:tcPr>
                  <w:tcW w:w="436" w:type="pct"/>
                  <w:vMerge w:val="continue"/>
                  <w:noWrap w:val="0"/>
                  <w:vAlign w:val="center"/>
                </w:tcPr>
                <w:p w14:paraId="7F9CD286">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p>
              </w:tc>
              <w:tc>
                <w:tcPr>
                  <w:tcW w:w="463" w:type="pct"/>
                  <w:vMerge w:val="restart"/>
                  <w:noWrap w:val="0"/>
                  <w:vAlign w:val="center"/>
                </w:tcPr>
                <w:p w14:paraId="66D24298">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涂装</w:t>
                  </w:r>
                </w:p>
              </w:tc>
              <w:tc>
                <w:tcPr>
                  <w:tcW w:w="995" w:type="pct"/>
                  <w:noWrap w:val="0"/>
                  <w:vAlign w:val="center"/>
                </w:tcPr>
                <w:p w14:paraId="671BC745">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喷粉</w:t>
                  </w:r>
                </w:p>
              </w:tc>
              <w:tc>
                <w:tcPr>
                  <w:tcW w:w="697" w:type="pct"/>
                  <w:noWrap w:val="0"/>
                  <w:vAlign w:val="center"/>
                </w:tcPr>
                <w:p w14:paraId="75FB6D85">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颗粒物</w:t>
                  </w:r>
                </w:p>
              </w:tc>
              <w:tc>
                <w:tcPr>
                  <w:tcW w:w="812" w:type="pct"/>
                  <w:noWrap w:val="0"/>
                  <w:vAlign w:val="center"/>
                </w:tcPr>
                <w:p w14:paraId="0F8D4205">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袋式过滤</w:t>
                  </w:r>
                </w:p>
              </w:tc>
              <w:tc>
                <w:tcPr>
                  <w:tcW w:w="915" w:type="pct"/>
                  <w:noWrap w:val="0"/>
                  <w:vAlign w:val="center"/>
                </w:tcPr>
                <w:p w14:paraId="7867BDD0">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袋式过滤</w:t>
                  </w:r>
                </w:p>
              </w:tc>
              <w:tc>
                <w:tcPr>
                  <w:tcW w:w="680" w:type="pct"/>
                  <w:noWrap w:val="0"/>
                  <w:vAlign w:val="center"/>
                </w:tcPr>
                <w:p w14:paraId="65E84CF5">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val="0"/>
                      <w:bCs w:val="0"/>
                      <w:color w:val="000000" w:themeColor="text1"/>
                      <w:szCs w:val="21"/>
                      <w:lang w:val="en-US" w:eastAsia="zh-CN"/>
                      <w14:textFill>
                        <w14:solidFill>
                          <w14:schemeClr w14:val="tx1"/>
                        </w14:solidFill>
                      </w14:textFill>
                    </w:rPr>
                  </w:pPr>
                  <w:r>
                    <w:rPr>
                      <w:rFonts w:hint="eastAsia" w:ascii="Times New Roman" w:hAnsi="Times New Roman" w:eastAsia="宋体"/>
                      <w:b w:val="0"/>
                      <w:bCs w:val="0"/>
                      <w:color w:val="000000" w:themeColor="text1"/>
                      <w:szCs w:val="21"/>
                      <w:lang w:val="en-US" w:eastAsia="zh-CN"/>
                      <w14:textFill>
                        <w14:solidFill>
                          <w14:schemeClr w14:val="tx1"/>
                        </w14:solidFill>
                      </w14:textFill>
                    </w:rPr>
                    <w:t>是</w:t>
                  </w:r>
                </w:p>
              </w:tc>
            </w:tr>
            <w:tr w14:paraId="0C50C3C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4" w:hRule="atLeast"/>
              </w:trPr>
              <w:tc>
                <w:tcPr>
                  <w:tcW w:w="436" w:type="pct"/>
                  <w:vMerge w:val="continue"/>
                  <w:noWrap w:val="0"/>
                  <w:vAlign w:val="center"/>
                </w:tcPr>
                <w:p w14:paraId="0BA483AF">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p>
              </w:tc>
              <w:tc>
                <w:tcPr>
                  <w:tcW w:w="463" w:type="pct"/>
                  <w:vMerge w:val="continue"/>
                  <w:noWrap w:val="0"/>
                  <w:vAlign w:val="center"/>
                </w:tcPr>
                <w:p w14:paraId="5E056C01">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p>
              </w:tc>
              <w:tc>
                <w:tcPr>
                  <w:tcW w:w="995" w:type="pct"/>
                  <w:noWrap w:val="0"/>
                  <w:vAlign w:val="center"/>
                </w:tcPr>
                <w:p w14:paraId="52604783">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烘干（含电泳、胶、中涂、面漆烘干）生产设施</w:t>
                  </w:r>
                </w:p>
              </w:tc>
              <w:tc>
                <w:tcPr>
                  <w:tcW w:w="697" w:type="pct"/>
                  <w:noWrap w:val="0"/>
                  <w:vAlign w:val="center"/>
                </w:tcPr>
                <w:p w14:paraId="6CB5AB35">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挥发性有机物</w:t>
                  </w:r>
                </w:p>
              </w:tc>
              <w:tc>
                <w:tcPr>
                  <w:tcW w:w="812" w:type="pct"/>
                  <w:noWrap w:val="0"/>
                  <w:vAlign w:val="center"/>
                </w:tcPr>
                <w:p w14:paraId="039B3AC5">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吸附、热力焚烧</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催化燃烧等</w:t>
                  </w:r>
                </w:p>
              </w:tc>
              <w:tc>
                <w:tcPr>
                  <w:tcW w:w="915" w:type="pct"/>
                  <w:noWrap w:val="0"/>
                  <w:vAlign w:val="center"/>
                </w:tcPr>
                <w:p w14:paraId="2BBE2B34">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水喷淋+活性炭吸附</w:t>
                  </w:r>
                </w:p>
              </w:tc>
              <w:tc>
                <w:tcPr>
                  <w:tcW w:w="680" w:type="pct"/>
                  <w:noWrap w:val="0"/>
                  <w:vAlign w:val="center"/>
                </w:tcPr>
                <w:p w14:paraId="73BC60C4">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b w:val="0"/>
                      <w:bCs w:val="0"/>
                      <w:color w:val="000000" w:themeColor="text1"/>
                      <w:szCs w:val="21"/>
                      <w:lang w:val="en-US" w:eastAsia="zh-CN"/>
                      <w14:textFill>
                        <w14:solidFill>
                          <w14:schemeClr w14:val="tx1"/>
                        </w14:solidFill>
                      </w14:textFill>
                    </w:rPr>
                  </w:pPr>
                  <w:r>
                    <w:rPr>
                      <w:rFonts w:hint="eastAsia" w:ascii="Times New Roman" w:hAnsi="Times New Roman" w:eastAsia="宋体"/>
                      <w:b w:val="0"/>
                      <w:bCs w:val="0"/>
                      <w:color w:val="000000" w:themeColor="text1"/>
                      <w:szCs w:val="21"/>
                      <w:lang w:val="en-US" w:eastAsia="zh-CN"/>
                      <w14:textFill>
                        <w14:solidFill>
                          <w14:schemeClr w14:val="tx1"/>
                        </w14:solidFill>
                      </w14:textFill>
                    </w:rPr>
                    <w:t>是</w:t>
                  </w:r>
                </w:p>
              </w:tc>
            </w:tr>
            <w:tr w14:paraId="26520D1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4" w:hRule="atLeast"/>
              </w:trPr>
              <w:tc>
                <w:tcPr>
                  <w:tcW w:w="436" w:type="pct"/>
                  <w:vMerge w:val="continue"/>
                  <w:noWrap w:val="0"/>
                  <w:vAlign w:val="center"/>
                </w:tcPr>
                <w:p w14:paraId="343464E8">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p>
              </w:tc>
              <w:tc>
                <w:tcPr>
                  <w:tcW w:w="463" w:type="pct"/>
                  <w:noWrap w:val="0"/>
                  <w:vAlign w:val="center"/>
                </w:tcPr>
                <w:p w14:paraId="67FFB8C0">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公用</w:t>
                  </w:r>
                </w:p>
              </w:tc>
              <w:tc>
                <w:tcPr>
                  <w:tcW w:w="995" w:type="pct"/>
                  <w:noWrap w:val="0"/>
                  <w:vAlign w:val="center"/>
                </w:tcPr>
                <w:p w14:paraId="6C94E77E">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燃气加热装置</w:t>
                  </w:r>
                </w:p>
              </w:tc>
              <w:tc>
                <w:tcPr>
                  <w:tcW w:w="697" w:type="pct"/>
                  <w:noWrap w:val="0"/>
                  <w:vAlign w:val="center"/>
                </w:tcPr>
                <w:p w14:paraId="0B08A66F">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氮氧化物</w:t>
                  </w:r>
                </w:p>
              </w:tc>
              <w:tc>
                <w:tcPr>
                  <w:tcW w:w="812" w:type="pct"/>
                  <w:noWrap w:val="0"/>
                  <w:vAlign w:val="center"/>
                </w:tcPr>
                <w:p w14:paraId="5CCDEF84">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低氮燃烧</w:t>
                  </w:r>
                </w:p>
              </w:tc>
              <w:tc>
                <w:tcPr>
                  <w:tcW w:w="915" w:type="pct"/>
                  <w:noWrap w:val="0"/>
                  <w:vAlign w:val="center"/>
                </w:tcPr>
                <w:p w14:paraId="13823249">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低氮燃烧</w:t>
                  </w:r>
                </w:p>
              </w:tc>
              <w:tc>
                <w:tcPr>
                  <w:tcW w:w="680" w:type="pct"/>
                  <w:noWrap w:val="0"/>
                  <w:vAlign w:val="center"/>
                </w:tcPr>
                <w:p w14:paraId="15008867">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eastAsia" w:ascii="Times New Roman" w:hAnsi="Times New Roman" w:eastAsia="宋体"/>
                      <w:b w:val="0"/>
                      <w:bCs w:val="0"/>
                      <w:color w:val="000000" w:themeColor="text1"/>
                      <w:szCs w:val="21"/>
                      <w:lang w:val="en-US" w:eastAsia="zh-CN"/>
                      <w14:textFill>
                        <w14:solidFill>
                          <w14:schemeClr w14:val="tx1"/>
                        </w14:solidFill>
                      </w14:textFill>
                    </w:rPr>
                  </w:pPr>
                  <w:r>
                    <w:rPr>
                      <w:rFonts w:hint="eastAsia" w:ascii="Times New Roman" w:hAnsi="Times New Roman" w:eastAsia="宋体"/>
                      <w:b w:val="0"/>
                      <w:bCs w:val="0"/>
                      <w:color w:val="000000" w:themeColor="text1"/>
                      <w:szCs w:val="21"/>
                      <w:lang w:val="en-US" w:eastAsia="zh-CN"/>
                      <w14:textFill>
                        <w14:solidFill>
                          <w14:schemeClr w14:val="tx1"/>
                        </w14:solidFill>
                      </w14:textFill>
                    </w:rPr>
                    <w:t>是</w:t>
                  </w:r>
                </w:p>
              </w:tc>
            </w:tr>
          </w:tbl>
          <w:p w14:paraId="5B655612">
            <w:pPr>
              <w:pStyle w:val="56"/>
              <w:spacing w:before="120" w:beforeLines="50" w:after="0" w:line="360" w:lineRule="auto"/>
              <w:ind w:left="0" w:leftChars="0" w:firstLine="480" w:firstLineChars="200"/>
              <w:rPr>
                <w:rFonts w:hint="eastAsia" w:ascii="Times New Roman" w:hAnsi="Times New Roman" w:eastAsia="宋体" w:cs="Times New Roman"/>
                <w:color w:val="000000" w:themeColor="text1"/>
                <w:szCs w:val="22"/>
                <w:lang w:val="en-US" w:eastAsia="zh-CN" w:bidi="ar"/>
                <w14:textFill>
                  <w14:solidFill>
                    <w14:schemeClr w14:val="tx1"/>
                  </w14:solidFill>
                </w14:textFill>
              </w:rPr>
            </w:pPr>
            <w:r>
              <w:rPr>
                <w:rFonts w:hint="eastAsia" w:ascii="Times New Roman" w:hAnsi="Times New Roman" w:eastAsia="宋体"/>
                <w:color w:val="000000" w:themeColor="text1"/>
                <w:szCs w:val="22"/>
                <w:lang w:val="en-US" w:eastAsia="zh-CN" w:bidi="ar"/>
                <w14:textFill>
                  <w14:solidFill>
                    <w14:schemeClr w14:val="tx1"/>
                  </w14:solidFill>
                </w14:textFill>
              </w:rPr>
              <w:t>由上表可知，项目酸性废气、喷粉粉尘、天然气加热装置、涂装工序采取的治理措施均属于可行技术</w:t>
            </w:r>
            <w:r>
              <w:rPr>
                <w:rFonts w:hint="eastAsia" w:ascii="Times New Roman" w:hAnsi="Times New Roman" w:eastAsia="宋体" w:cs="Times New Roman"/>
                <w:color w:val="000000" w:themeColor="text1"/>
                <w:szCs w:val="22"/>
                <w:lang w:val="en-US" w:eastAsia="zh-CN" w:bidi="ar"/>
                <w14:textFill>
                  <w14:solidFill>
                    <w14:schemeClr w14:val="tx1"/>
                  </w14:solidFill>
                </w14:textFill>
              </w:rPr>
              <w:t>。</w:t>
            </w:r>
            <w:r>
              <w:rPr>
                <w:rFonts w:hint="eastAsia" w:ascii="Times New Roman" w:hAnsi="Times New Roman" w:eastAsia="宋体"/>
                <w:color w:val="000000" w:themeColor="text1"/>
                <w:szCs w:val="22"/>
                <w:lang w:val="en-US" w:eastAsia="zh-CN" w:bidi="ar"/>
                <w14:textFill>
                  <w14:solidFill>
                    <w14:schemeClr w14:val="tx1"/>
                  </w14:solidFill>
                </w14:textFill>
              </w:rPr>
              <w:t>综上，</w:t>
            </w:r>
            <w:r>
              <w:rPr>
                <w:rFonts w:hint="eastAsia" w:ascii="Times New Roman" w:hAnsi="Times New Roman" w:eastAsia="宋体" w:cs="Times New Roman"/>
                <w:color w:val="000000" w:themeColor="text1"/>
                <w:szCs w:val="22"/>
                <w:lang w:val="en-US" w:eastAsia="zh-CN" w:bidi="ar"/>
                <w14:textFill>
                  <w14:solidFill>
                    <w14:schemeClr w14:val="tx1"/>
                  </w14:solidFill>
                </w14:textFill>
              </w:rPr>
              <w:t>项目废气经处理后均可达标排放，对周边环境影响较小。</w:t>
            </w:r>
          </w:p>
          <w:p w14:paraId="20A6F102">
            <w:pPr>
              <w:pStyle w:val="93"/>
              <w:widowControl w:val="0"/>
              <w:adjustRightInd w:val="0"/>
              <w:snapToGrid w:val="0"/>
              <w:ind w:firstLine="480"/>
              <w:jc w:val="both"/>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kern w:val="0"/>
                <w:sz w:val="24"/>
                <w:szCs w:val="20"/>
                <w:lang w:val="en-US" w:eastAsia="zh-CN" w:bidi="ar-SA"/>
                <w14:textFill>
                  <w14:solidFill>
                    <w14:schemeClr w14:val="tx1"/>
                  </w14:solidFill>
                </w14:textFill>
              </w:rPr>
              <w:t>（2）无组织废气</w:t>
            </w:r>
            <w:r>
              <w:rPr>
                <w:rFonts w:hint="eastAsia" w:ascii="Times New Roman" w:hAnsi="Times New Roman" w:eastAsia="宋体"/>
                <w:b/>
                <w:bCs/>
                <w:color w:val="000000" w:themeColor="text1"/>
                <w:sz w:val="24"/>
                <w14:textFill>
                  <w14:solidFill>
                    <w14:schemeClr w14:val="tx1"/>
                  </w14:solidFill>
                </w14:textFill>
              </w:rPr>
              <w:t>排放控制要求</w:t>
            </w:r>
          </w:p>
          <w:p w14:paraId="7B7502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w:t>
            </w:r>
            <w:r>
              <w:rPr>
                <w:rFonts w:hint="eastAsia"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lang w:val="en-US" w:eastAsia="zh-CN"/>
                <w14:textFill>
                  <w14:solidFill>
                    <w14:schemeClr w14:val="tx1"/>
                  </w14:solidFill>
                </w14:textFill>
              </w:rPr>
              <w:t>排污许可证申请与核发技术规范 汽车制造业</w:t>
            </w:r>
            <w:r>
              <w:rPr>
                <w:rFonts w:hint="eastAsia"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 xml:space="preserve">HJ </w:t>
            </w:r>
            <w:r>
              <w:rPr>
                <w:rFonts w:hint="eastAsia" w:ascii="Times New Roman" w:hAnsi="Times New Roman" w:eastAsia="宋体"/>
                <w:color w:val="000000" w:themeColor="text1"/>
                <w:sz w:val="24"/>
                <w:szCs w:val="24"/>
                <w:lang w:val="en-US" w:eastAsia="zh-CN"/>
                <w14:textFill>
                  <w14:solidFill>
                    <w14:schemeClr w14:val="tx1"/>
                  </w14:solidFill>
                </w14:textFill>
              </w:rPr>
              <w:t>971-2018）</w:t>
            </w:r>
            <w:r>
              <w:rPr>
                <w:rFonts w:hint="default" w:ascii="Times New Roman" w:hAnsi="Times New Roman" w:eastAsia="宋体" w:cs="Times New Roman"/>
                <w:color w:val="000000" w:themeColor="text1"/>
                <w:sz w:val="24"/>
                <w:szCs w:val="24"/>
                <w14:textFill>
                  <w14:solidFill>
                    <w14:schemeClr w14:val="tx1"/>
                  </w14:solidFill>
                </w14:textFill>
              </w:rPr>
              <w:t>、《挥发性有机物无组织排放控制标准》（GB37822-2019）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等标准</w:t>
            </w:r>
            <w:r>
              <w:rPr>
                <w:rFonts w:hint="default" w:ascii="Times New Roman" w:hAnsi="Times New Roman" w:eastAsia="宋体" w:cs="Times New Roman"/>
                <w:color w:val="000000" w:themeColor="text1"/>
                <w:sz w:val="24"/>
                <w:szCs w:val="24"/>
                <w14:textFill>
                  <w14:solidFill>
                    <w14:schemeClr w14:val="tx1"/>
                  </w14:solidFill>
                </w14:textFill>
              </w:rPr>
              <w:t>，建设单位对废气无组织排放采取以下控制措施：</w:t>
            </w:r>
          </w:p>
          <w:p w14:paraId="64B65E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产生有机废气作业区密闭，</w:t>
            </w:r>
            <w:r>
              <w:rPr>
                <w:rFonts w:hint="eastAsia" w:ascii="Times New Roman" w:hAnsi="Times New Roman" w:eastAsia="宋体" w:cs="Times New Roman"/>
                <w:bCs/>
                <w:color w:val="000000" w:themeColor="text1"/>
                <w:sz w:val="24"/>
                <w:lang w:val="en-US" w:eastAsia="zh-CN"/>
                <w14:textFill>
                  <w14:solidFill>
                    <w14:schemeClr w14:val="tx1"/>
                  </w14:solidFill>
                </w14:textFill>
              </w:rPr>
              <w:t>电泳</w:t>
            </w:r>
            <w:r>
              <w:rPr>
                <w:rFonts w:hint="eastAsia" w:cs="Times New Roman"/>
                <w:bCs/>
                <w:color w:val="000000" w:themeColor="text1"/>
                <w:sz w:val="24"/>
                <w:lang w:val="en-US" w:eastAsia="zh-CN"/>
                <w14:textFill>
                  <w14:solidFill>
                    <w14:schemeClr w14:val="tx1"/>
                  </w14:solidFill>
                </w14:textFill>
              </w:rPr>
              <w:t>线密闭</w:t>
            </w:r>
            <w:r>
              <w:rPr>
                <w:rFonts w:hint="eastAsia" w:ascii="Times New Roman" w:hAnsi="Times New Roman" w:eastAsia="宋体" w:cs="Times New Roman"/>
                <w:bCs/>
                <w:color w:val="000000" w:themeColor="text1"/>
                <w:sz w:val="24"/>
                <w:lang w:val="en-US" w:eastAsia="zh-CN"/>
                <w14:textFill>
                  <w14:solidFill>
                    <w14:schemeClr w14:val="tx1"/>
                  </w14:solidFill>
                </w14:textFill>
              </w:rPr>
              <w:t>，只保留物料进出口，</w:t>
            </w:r>
            <w:r>
              <w:rPr>
                <w:rFonts w:hint="eastAsia" w:cs="Times New Roman"/>
                <w:bCs/>
                <w:color w:val="000000" w:themeColor="text1"/>
                <w:sz w:val="24"/>
                <w:lang w:val="en-US" w:eastAsia="zh-CN"/>
                <w14:textFill>
                  <w14:solidFill>
                    <w14:schemeClr w14:val="tx1"/>
                  </w14:solidFill>
                </w14:textFill>
              </w:rPr>
              <w:t>各槽体上方分别</w:t>
            </w:r>
            <w:r>
              <w:rPr>
                <w:rFonts w:hint="eastAsia" w:ascii="Times New Roman" w:hAnsi="Times New Roman" w:eastAsia="宋体" w:cs="Times New Roman"/>
                <w:bCs/>
                <w:color w:val="000000" w:themeColor="text1"/>
                <w:sz w:val="24"/>
                <w:lang w:val="en-US" w:eastAsia="zh-CN"/>
                <w14:textFill>
                  <w14:solidFill>
                    <w14:schemeClr w14:val="tx1"/>
                  </w14:solidFill>
                </w14:textFill>
              </w:rPr>
              <w:t>设置一个集气罩；烘干固化室密闭，仅留物料进出口，固化室内设有抽风口，燃烧废气和烘干固化废气经抽风口直接抽风收集废气，另外在烘干固化室进出口处各设置一个集气罩集气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，加强废气收集效率</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减少废气的无组织排放。</w:t>
            </w:r>
          </w:p>
          <w:p w14:paraId="76C8F4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w:t>
            </w:r>
            <w:r>
              <w:rPr>
                <w:rFonts w:hint="eastAsia" w:cs="Times New Roman"/>
                <w:color w:val="000000" w:themeColor="text1"/>
                <w:sz w:val="24"/>
                <w:szCs w:val="24"/>
                <w:lang w:val="en-US" w:eastAsia="zh-CN"/>
                <w14:textFill>
                  <w14:solidFill>
                    <w14:schemeClr w14:val="tx1"/>
                  </w14:solidFill>
                </w14:textFill>
              </w:rPr>
              <w:t>喷粉房、喷胶房密闭，喷粉房配套二级粉末回收系统，末端再配套脉冲式袋式除尘器处理喷粉粉尘，优先采用自动喷粉、喷胶工艺，人工</w:t>
            </w:r>
            <w:r>
              <w:rPr>
                <w:rFonts w:hint="eastAsia" w:cs="Times New Roman"/>
                <w:color w:val="000000" w:themeColor="text1"/>
                <w:position w:val="0"/>
                <w:sz w:val="24"/>
                <w:szCs w:val="24"/>
                <w:highlight w:val="none"/>
                <w:lang w:val="en-US" w:eastAsia="zh-CN"/>
                <w14:textFill>
                  <w14:solidFill>
                    <w14:schemeClr w14:val="tx1"/>
                  </w14:solidFill>
                </w14:textFill>
              </w:rPr>
              <w:t>手动补喷。</w:t>
            </w:r>
          </w:p>
          <w:p w14:paraId="5BA598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③</w:t>
            </w:r>
            <w:r>
              <w:rPr>
                <w:rFonts w:hint="default" w:ascii="Times New Roman" w:hAnsi="Times New Roman" w:eastAsia="宋体" w:cs="Times New Roman"/>
                <w:color w:val="000000" w:themeColor="text1"/>
                <w:sz w:val="24"/>
                <w:szCs w:val="24"/>
                <w14:textFill>
                  <w14:solidFill>
                    <w14:schemeClr w14:val="tx1"/>
                  </w14:solidFill>
                </w14:textFill>
              </w:rPr>
              <w:t>在运营生产期间应加强生产设备及环保设施的日常维护，避免事故</w:t>
            </w:r>
            <w:r>
              <w:rPr>
                <w:rFonts w:hint="eastAsia" w:ascii="Times New Roman" w:hAnsi="Times New Roman" w:eastAsia="宋体" w:cs="Times New Roman"/>
                <w:color w:val="000000" w:themeColor="text1"/>
                <w:sz w:val="24"/>
                <w:szCs w:val="24"/>
                <w:lang w:eastAsia="zh-CN"/>
                <w14:textFill>
                  <w14:solidFill>
                    <w14:schemeClr w14:val="tx1"/>
                  </w14:solidFill>
                </w14:textFill>
              </w:rPr>
              <w:t>发生</w:t>
            </w:r>
            <w:r>
              <w:rPr>
                <w:rFonts w:hint="default" w:ascii="Times New Roman" w:hAnsi="Times New Roman" w:eastAsia="宋体" w:cs="Times New Roman"/>
                <w:color w:val="000000" w:themeColor="text1"/>
                <w:sz w:val="24"/>
                <w:szCs w:val="24"/>
                <w14:textFill>
                  <w14:solidFill>
                    <w14:schemeClr w14:val="tx1"/>
                  </w14:solidFill>
                </w14:textFill>
              </w:rPr>
              <w:t>，保证设施的正常运行。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废气收集处理系统相对生产设备先启后停，废气收集处理系统发生故障或检修时，对应的生产工艺设备应停止运行，待检修完毕后投入使用。</w:t>
            </w:r>
          </w:p>
          <w:p w14:paraId="08C076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④建立台账，记录含VOCs原辅材料和含VOCs产品的名称，使用量、回收量、废弃量、去向以及VOCs含量等信息，台账保存期限不小于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年。</w:t>
            </w:r>
          </w:p>
          <w:p w14:paraId="0668D9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⑤载有VOCs物料的设备及其管道在开停工</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车</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、检维修和清洗时，应在退料阶段将残存物</w:t>
            </w:r>
            <w:r>
              <w:rPr>
                <w:rFonts w:hint="eastAsia" w:ascii="Times New Roman" w:hAnsi="Times New Roman" w:eastAsia="宋体" w:cs="Times New Roman"/>
                <w:color w:val="000000" w:themeColor="text1"/>
                <w:sz w:val="24"/>
                <w:szCs w:val="24"/>
                <w:lang w:eastAsia="zh-CN"/>
                <w14:textFill>
                  <w14:solidFill>
                    <w14:schemeClr w14:val="tx1"/>
                  </w14:solidFill>
                </w14:textFill>
              </w:rPr>
              <w:t>料清</w:t>
            </w:r>
            <w:r>
              <w:rPr>
                <w:rFonts w:hint="default" w:ascii="Times New Roman" w:hAnsi="Times New Roman" w:eastAsia="宋体" w:cs="Times New Roman"/>
                <w:color w:val="000000" w:themeColor="text1"/>
                <w:sz w:val="24"/>
                <w:szCs w:val="24"/>
                <w14:textFill>
                  <w14:solidFill>
                    <w14:schemeClr w14:val="tx1"/>
                  </w14:solidFill>
                </w14:textFill>
              </w:rPr>
              <w:t>净，并用密闭容器盛装，退料过程废气应排至VOCs废气收集处理系统；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清扫</w:t>
            </w:r>
            <w:r>
              <w:rPr>
                <w:rFonts w:hint="default" w:ascii="Times New Roman" w:hAnsi="Times New Roman" w:eastAsia="宋体" w:cs="Times New Roman"/>
                <w:color w:val="000000" w:themeColor="text1"/>
                <w:sz w:val="24"/>
                <w:szCs w:val="24"/>
                <w14:textFill>
                  <w14:solidFill>
                    <w14:schemeClr w14:val="tx1"/>
                  </w14:solidFill>
                </w14:textFill>
              </w:rPr>
              <w:t>及吹扫过程排气应排至VOCs废气收集处理系统。</w:t>
            </w:r>
          </w:p>
          <w:p w14:paraId="5CE60A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⑥</w:t>
            </w:r>
            <w:r>
              <w:rPr>
                <w:rFonts w:hint="default" w:ascii="Times New Roman" w:hAnsi="Times New Roman" w:eastAsia="宋体" w:cs="Times New Roman"/>
                <w:color w:val="000000" w:themeColor="text1"/>
                <w:sz w:val="24"/>
                <w:szCs w:val="24"/>
                <w14:textFill>
                  <w14:solidFill>
                    <w14:schemeClr w14:val="tx1"/>
                  </w14:solidFill>
                </w14:textFill>
              </w:rPr>
              <w:t>工艺过程产生的含VOCs废料</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渣、液</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，如本项目产生的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废活性炭、废化学品包装物等</w:t>
            </w:r>
            <w:r>
              <w:rPr>
                <w:rFonts w:hint="default" w:ascii="Times New Roman" w:hAnsi="Times New Roman" w:eastAsia="宋体" w:cs="Times New Roman"/>
                <w:color w:val="000000" w:themeColor="text1"/>
                <w:sz w:val="24"/>
                <w:szCs w:val="24"/>
                <w14:textFill>
                  <w14:solidFill>
                    <w14:schemeClr w14:val="tx1"/>
                  </w14:solidFill>
                </w14:textFill>
              </w:rPr>
              <w:t>在贮存、转运过程中应密闭。</w:t>
            </w:r>
          </w:p>
          <w:p w14:paraId="6F335A83">
            <w:pPr>
              <w:pStyle w:val="93"/>
              <w:widowControl w:val="0"/>
              <w:adjustRightInd w:val="0"/>
              <w:snapToGrid w:val="0"/>
              <w:ind w:firstLine="48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对沉积在车间地面的粉尘及时清扫，作为一般工业固废外售合规单位综合利用。</w:t>
            </w:r>
          </w:p>
          <w:p w14:paraId="5C2C4C77">
            <w:pPr>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综上所述，建设单位在切实落实本项目提出废气环保措施，并确保项目废气设施正常运转的情况下，项目废气排放物排放量较小，对周边大气环境及敏感目标影响较小，采取的措施合理可行。</w:t>
            </w:r>
          </w:p>
          <w:p w14:paraId="5853B38D">
            <w:pPr>
              <w:widowControl/>
              <w:spacing w:before="120" w:beforeLines="50"/>
              <w:jc w:val="cente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表4.2-</w:t>
            </w:r>
            <w:r>
              <w:rPr>
                <w:rFonts w:hint="eastAsia" w:cs="Times New Roman"/>
                <w:b/>
                <w:bCs/>
                <w:color w:val="000000" w:themeColor="text1"/>
                <w:kern w:val="0"/>
                <w:sz w:val="24"/>
                <w:lang w:val="en-US" w:eastAsia="zh-CN" w:bidi="ar"/>
                <w14:textFill>
                  <w14:solidFill>
                    <w14:schemeClr w14:val="tx1"/>
                  </w14:solidFill>
                </w14:textFill>
              </w:rPr>
              <w:t>9</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大气排放口基本情况</w:t>
            </w:r>
          </w:p>
          <w:tbl>
            <w:tblPr>
              <w:tblStyle w:val="3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5"/>
              <w:gridCol w:w="2129"/>
              <w:gridCol w:w="1748"/>
              <w:gridCol w:w="927"/>
              <w:gridCol w:w="1156"/>
              <w:gridCol w:w="959"/>
              <w:gridCol w:w="985"/>
            </w:tblGrid>
            <w:tr w14:paraId="5C75C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tcBorders>
                    <w:tl2br w:val="nil"/>
                    <w:tr2bl w:val="nil"/>
                  </w:tcBorders>
                  <w:noWrap w:val="0"/>
                  <w:vAlign w:val="center"/>
                </w:tcPr>
                <w:p w14:paraId="796EA4E6">
                  <w:pPr>
                    <w:pStyle w:val="87"/>
                    <w:keepNext w:val="0"/>
                    <w:keepLines w:val="0"/>
                    <w:pageBreakBefore w:val="0"/>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4"/>
                      <w:sz w:val="21"/>
                      <w14:textFill>
                        <w14:solidFill>
                          <w14:schemeClr w14:val="tx1"/>
                        </w14:solidFill>
                      </w14:textFill>
                    </w:rPr>
                  </w:pPr>
                  <w:r>
                    <w:rPr>
                      <w:rFonts w:ascii="Times New Roman" w:hAnsi="Times New Roman" w:eastAsia="宋体" w:cs="宋体"/>
                      <w:color w:val="000000" w:themeColor="text1"/>
                      <w:spacing w:val="-4"/>
                      <w:sz w:val="21"/>
                      <w14:textFill>
                        <w14:solidFill>
                          <w14:schemeClr w14:val="tx1"/>
                        </w14:solidFill>
                      </w14:textFill>
                    </w:rPr>
                    <w:t>排放口编号</w:t>
                  </w:r>
                </w:p>
              </w:tc>
              <w:tc>
                <w:tcPr>
                  <w:tcW w:w="1207" w:type="pct"/>
                  <w:tcBorders>
                    <w:tl2br w:val="nil"/>
                    <w:tr2bl w:val="nil"/>
                  </w:tcBorders>
                  <w:noWrap w:val="0"/>
                  <w:vAlign w:val="center"/>
                </w:tcPr>
                <w:p w14:paraId="0AE2503A">
                  <w:pPr>
                    <w:pStyle w:val="87"/>
                    <w:keepNext w:val="0"/>
                    <w:keepLines w:val="0"/>
                    <w:pageBreakBefore w:val="0"/>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4"/>
                      <w:sz w:val="21"/>
                      <w14:textFill>
                        <w14:solidFill>
                          <w14:schemeClr w14:val="tx1"/>
                        </w14:solidFill>
                      </w14:textFill>
                    </w:rPr>
                  </w:pPr>
                  <w:r>
                    <w:rPr>
                      <w:rFonts w:ascii="Times New Roman" w:hAnsi="Times New Roman" w:eastAsia="宋体" w:cs="宋体"/>
                      <w:color w:val="000000" w:themeColor="text1"/>
                      <w:spacing w:val="-4"/>
                      <w:sz w:val="21"/>
                      <w14:textFill>
                        <w14:solidFill>
                          <w14:schemeClr w14:val="tx1"/>
                        </w14:solidFill>
                      </w14:textFill>
                    </w:rPr>
                    <w:t>排放口名称</w:t>
                  </w:r>
                </w:p>
              </w:tc>
              <w:tc>
                <w:tcPr>
                  <w:tcW w:w="991" w:type="pct"/>
                  <w:tcBorders>
                    <w:tl2br w:val="nil"/>
                    <w:tr2bl w:val="nil"/>
                  </w:tcBorders>
                  <w:noWrap w:val="0"/>
                  <w:vAlign w:val="center"/>
                </w:tcPr>
                <w:p w14:paraId="63537967">
                  <w:pPr>
                    <w:pStyle w:val="87"/>
                    <w:keepNext w:val="0"/>
                    <w:keepLines w:val="0"/>
                    <w:pageBreakBefore w:val="0"/>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4"/>
                      <w:sz w:val="21"/>
                      <w14:textFill>
                        <w14:solidFill>
                          <w14:schemeClr w14:val="tx1"/>
                        </w14:solidFill>
                      </w14:textFill>
                    </w:rPr>
                  </w:pPr>
                  <w:r>
                    <w:rPr>
                      <w:rFonts w:ascii="Times New Roman" w:hAnsi="Times New Roman" w:eastAsia="宋体" w:cs="宋体"/>
                      <w:color w:val="000000" w:themeColor="text1"/>
                      <w:spacing w:val="-4"/>
                      <w:sz w:val="21"/>
                      <w14:textFill>
                        <w14:solidFill>
                          <w14:schemeClr w14:val="tx1"/>
                        </w14:solidFill>
                      </w14:textFill>
                    </w:rPr>
                    <w:t>污染物种类</w:t>
                  </w:r>
                </w:p>
              </w:tc>
              <w:tc>
                <w:tcPr>
                  <w:tcW w:w="525" w:type="pct"/>
                  <w:tcBorders>
                    <w:tl2br w:val="nil"/>
                    <w:tr2bl w:val="nil"/>
                  </w:tcBorders>
                  <w:noWrap w:val="0"/>
                  <w:vAlign w:val="center"/>
                </w:tcPr>
                <w:p w14:paraId="44ECF351">
                  <w:pPr>
                    <w:pStyle w:val="87"/>
                    <w:keepNext w:val="0"/>
                    <w:keepLines w:val="0"/>
                    <w:pageBreakBefore w:val="0"/>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宋体" w:cs="宋体"/>
                      <w:color w:val="000000" w:themeColor="text1"/>
                      <w:spacing w:val="-4"/>
                      <w:sz w:val="21"/>
                      <w14:textFill>
                        <w14:solidFill>
                          <w14:schemeClr w14:val="tx1"/>
                        </w14:solidFill>
                      </w14:textFill>
                    </w:rPr>
                  </w:pPr>
                  <w:r>
                    <w:rPr>
                      <w:rFonts w:ascii="Times New Roman" w:hAnsi="Times New Roman" w:eastAsia="宋体" w:cs="宋体"/>
                      <w:color w:val="000000" w:themeColor="text1"/>
                      <w:spacing w:val="-4"/>
                      <w:sz w:val="21"/>
                      <w14:textFill>
                        <w14:solidFill>
                          <w14:schemeClr w14:val="tx1"/>
                        </w14:solidFill>
                      </w14:textFill>
                    </w:rPr>
                    <w:t>排气筒</w:t>
                  </w:r>
                </w:p>
                <w:p w14:paraId="48E53E42">
                  <w:pPr>
                    <w:pStyle w:val="87"/>
                    <w:keepNext w:val="0"/>
                    <w:keepLines w:val="0"/>
                    <w:pageBreakBefore w:val="0"/>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ascii="Times New Roman" w:hAnsi="Times New Roman" w:eastAsia="宋体" w:cs="宋体"/>
                      <w:color w:val="000000" w:themeColor="text1"/>
                      <w:spacing w:val="-4"/>
                      <w:sz w:val="21"/>
                      <w14:textFill>
                        <w14:solidFill>
                          <w14:schemeClr w14:val="tx1"/>
                        </w14:solidFill>
                      </w14:textFill>
                    </w:rPr>
                    <w:t>高度(m)</w:t>
                  </w:r>
                </w:p>
              </w:tc>
              <w:tc>
                <w:tcPr>
                  <w:tcW w:w="655" w:type="pct"/>
                  <w:tcBorders>
                    <w:tl2br w:val="nil"/>
                    <w:tr2bl w:val="nil"/>
                  </w:tcBorders>
                  <w:noWrap w:val="0"/>
                  <w:vAlign w:val="center"/>
                </w:tcPr>
                <w:p w14:paraId="7EDDBE15">
                  <w:pPr>
                    <w:pStyle w:val="87"/>
                    <w:keepNext w:val="0"/>
                    <w:keepLines w:val="0"/>
                    <w:pageBreakBefore w:val="0"/>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sz w:val="21"/>
                      <w:lang w:val="en-US" w:eastAsia="zh-CN"/>
                      <w14:textFill>
                        <w14:solidFill>
                          <w14:schemeClr w14:val="tx1"/>
                        </w14:solidFill>
                      </w14:textFill>
                    </w:rPr>
                    <w:t>排气筒出口内径</w:t>
                  </w:r>
                  <w:r>
                    <w:rPr>
                      <w:rFonts w:ascii="Times New Roman" w:hAnsi="Times New Roman" w:eastAsia="宋体" w:cs="宋体"/>
                      <w:color w:val="000000" w:themeColor="text1"/>
                      <w:spacing w:val="-4"/>
                      <w:sz w:val="21"/>
                      <w14:textFill>
                        <w14:solidFill>
                          <w14:schemeClr w14:val="tx1"/>
                        </w14:solidFill>
                      </w14:textFill>
                    </w:rPr>
                    <w:t>(m)</w:t>
                  </w:r>
                </w:p>
              </w:tc>
              <w:tc>
                <w:tcPr>
                  <w:tcW w:w="543" w:type="pct"/>
                  <w:tcBorders>
                    <w:tl2br w:val="nil"/>
                    <w:tr2bl w:val="nil"/>
                  </w:tcBorders>
                  <w:noWrap w:val="0"/>
                  <w:vAlign w:val="center"/>
                </w:tcPr>
                <w:p w14:paraId="59308221">
                  <w:pPr>
                    <w:pStyle w:val="87"/>
                    <w:keepNext w:val="0"/>
                    <w:keepLines w:val="0"/>
                    <w:pageBreakBefore w:val="0"/>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ascii="Times New Roman" w:hAnsi="Times New Roman" w:eastAsia="宋体" w:cs="宋体"/>
                      <w:color w:val="000000" w:themeColor="text1"/>
                      <w:spacing w:val="-4"/>
                      <w:sz w:val="21"/>
                      <w14:textFill>
                        <w14:solidFill>
                          <w14:schemeClr w14:val="tx1"/>
                        </w14:solidFill>
                      </w14:textFill>
                    </w:rPr>
                    <w:t>排气温度(</w:t>
                  </w:r>
                  <w:r>
                    <w:rPr>
                      <w:rFonts w:hint="default" w:ascii="Times New Roman" w:hAnsi="Times New Roman" w:eastAsia="宋体" w:cs="Times New Roman"/>
                      <w:color w:val="000000" w:themeColor="text1"/>
                      <w:spacing w:val="-4"/>
                      <w:sz w:val="21"/>
                      <w14:textFill>
                        <w14:solidFill>
                          <w14:schemeClr w14:val="tx1"/>
                        </w14:solidFill>
                      </w14:textFill>
                    </w:rPr>
                    <w:t>℃)</w:t>
                  </w:r>
                </w:p>
              </w:tc>
              <w:tc>
                <w:tcPr>
                  <w:tcW w:w="558" w:type="pct"/>
                  <w:tcBorders>
                    <w:tl2br w:val="nil"/>
                    <w:tr2bl w:val="nil"/>
                  </w:tcBorders>
                  <w:noWrap w:val="0"/>
                  <w:vAlign w:val="center"/>
                </w:tcPr>
                <w:p w14:paraId="4601CC97">
                  <w:pPr>
                    <w:pStyle w:val="87"/>
                    <w:keepNext w:val="0"/>
                    <w:keepLines w:val="0"/>
                    <w:pageBreakBefore w:val="0"/>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s="宋体"/>
                      <w:color w:val="000000" w:themeColor="text1"/>
                      <w:spacing w:val="-4"/>
                      <w:sz w:val="21"/>
                      <w:lang w:val="en-US" w:eastAsia="zh-CN"/>
                      <w14:textFill>
                        <w14:solidFill>
                          <w14:schemeClr w14:val="tx1"/>
                        </w14:solidFill>
                      </w14:textFill>
                    </w:rPr>
                  </w:pPr>
                  <w:r>
                    <w:rPr>
                      <w:rFonts w:hint="eastAsia" w:ascii="Times New Roman" w:hAnsi="Times New Roman" w:eastAsia="宋体" w:cs="宋体"/>
                      <w:color w:val="000000" w:themeColor="text1"/>
                      <w:spacing w:val="-4"/>
                      <w:sz w:val="21"/>
                      <w:lang w:val="en-US" w:eastAsia="zh-CN"/>
                      <w14:textFill>
                        <w14:solidFill>
                          <w14:schemeClr w14:val="tx1"/>
                        </w14:solidFill>
                      </w14:textFill>
                    </w:rPr>
                    <w:t>排放口类型</w:t>
                  </w:r>
                </w:p>
              </w:tc>
            </w:tr>
            <w:tr w14:paraId="76E27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tcBorders>
                    <w:tl2br w:val="nil"/>
                    <w:tr2bl w:val="nil"/>
                  </w:tcBorders>
                  <w:noWrap w:val="0"/>
                  <w:vAlign w:val="center"/>
                </w:tcPr>
                <w:p w14:paraId="135FE7D7">
                  <w:pPr>
                    <w:pStyle w:val="87"/>
                    <w:keepNext w:val="0"/>
                    <w:keepLines w:val="0"/>
                    <w:pageBreakBefore w:val="0"/>
                    <w:kinsoku/>
                    <w:wordWrap/>
                    <w:overflowPunct/>
                    <w:topLinePunct w:val="0"/>
                    <w:autoSpaceDE/>
                    <w:autoSpaceDN/>
                    <w:bidi w:val="0"/>
                    <w:adjustRightInd/>
                    <w:snapToGrid/>
                    <w:spacing w:before="0" w:line="240" w:lineRule="auto"/>
                    <w:ind w:left="0" w:right="0"/>
                    <w:jc w:val="center"/>
                    <w:textAlignment w:val="auto"/>
                    <w:rPr>
                      <w:rFonts w:hint="eastAsia" w:ascii="Times New Roman" w:hAnsi="Times New Roman" w:eastAsia="宋体" w:cs="宋体"/>
                      <w:color w:val="000000" w:themeColor="text1"/>
                      <w:spacing w:val="-4"/>
                      <w:sz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DA</w:t>
                  </w:r>
                  <w:r>
                    <w:rPr>
                      <w:rFonts w:ascii="Times New Roman" w:hAnsi="Times New Roman" w:eastAsia="宋体" w:cs="Times New Roman"/>
                      <w:color w:val="000000" w:themeColor="text1"/>
                      <w:spacing w:val="8"/>
                      <w:sz w:val="21"/>
                      <w:szCs w:val="21"/>
                      <w14:textFill>
                        <w14:solidFill>
                          <w14:schemeClr w14:val="tx1"/>
                        </w14:solidFill>
                      </w14:textFill>
                    </w:rPr>
                    <w:t>00</w:t>
                  </w:r>
                  <w:r>
                    <w:rPr>
                      <w:rFonts w:hint="eastAsia" w:ascii="Times New Roman" w:hAnsi="Times New Roman" w:eastAsia="宋体" w:cs="Times New Roman"/>
                      <w:color w:val="000000" w:themeColor="text1"/>
                      <w:spacing w:val="8"/>
                      <w:sz w:val="21"/>
                      <w:szCs w:val="21"/>
                      <w:lang w:val="en-US" w:eastAsia="zh-CN"/>
                      <w14:textFill>
                        <w14:solidFill>
                          <w14:schemeClr w14:val="tx1"/>
                        </w14:solidFill>
                      </w14:textFill>
                    </w:rPr>
                    <w:t>1</w:t>
                  </w:r>
                </w:p>
              </w:tc>
              <w:tc>
                <w:tcPr>
                  <w:tcW w:w="1207" w:type="pct"/>
                  <w:tcBorders>
                    <w:tl2br w:val="nil"/>
                    <w:tr2bl w:val="nil"/>
                  </w:tcBorders>
                  <w:shd w:val="clear" w:color="auto" w:fill="auto"/>
                  <w:noWrap w:val="0"/>
                  <w:vAlign w:val="center"/>
                </w:tcPr>
                <w:p w14:paraId="26353849">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cs="宋体"/>
                      <w:color w:val="000000" w:themeColor="text1"/>
                      <w:spacing w:val="-4"/>
                      <w:kern w:val="0"/>
                      <w:sz w:val="21"/>
                      <w:szCs w:val="22"/>
                      <w:lang w:val="en-US" w:eastAsia="zh-CN" w:bidi="ar"/>
                      <w14:textFill>
                        <w14:solidFill>
                          <w14:schemeClr w14:val="tx1"/>
                        </w14:solidFill>
                      </w14:textFill>
                    </w:rPr>
                    <w:t>3#厂房电泳前处理</w:t>
                  </w: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酸性气体排放口</w:t>
                  </w:r>
                </w:p>
              </w:tc>
              <w:tc>
                <w:tcPr>
                  <w:tcW w:w="991" w:type="pct"/>
                  <w:tcBorders>
                    <w:tl2br w:val="nil"/>
                    <w:tr2bl w:val="nil"/>
                  </w:tcBorders>
                  <w:shd w:val="clear" w:color="auto" w:fill="auto"/>
                  <w:noWrap w:val="0"/>
                  <w:vAlign w:val="center"/>
                </w:tcPr>
                <w:p w14:paraId="79DC4EEA">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t>磷酸气体</w:t>
                  </w:r>
                </w:p>
              </w:tc>
              <w:tc>
                <w:tcPr>
                  <w:tcW w:w="525" w:type="pct"/>
                  <w:tcBorders>
                    <w:tl2br w:val="nil"/>
                    <w:tr2bl w:val="nil"/>
                  </w:tcBorders>
                  <w:shd w:val="clear" w:color="auto" w:fill="auto"/>
                  <w:noWrap w:val="0"/>
                  <w:vAlign w:val="center"/>
                </w:tcPr>
                <w:p w14:paraId="3BEC5F92">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22</w:t>
                  </w:r>
                </w:p>
              </w:tc>
              <w:tc>
                <w:tcPr>
                  <w:tcW w:w="655" w:type="pct"/>
                  <w:tcBorders>
                    <w:tl2br w:val="nil"/>
                    <w:tr2bl w:val="nil"/>
                  </w:tcBorders>
                  <w:shd w:val="clear" w:color="auto" w:fill="auto"/>
                  <w:noWrap w:val="0"/>
                  <w:vAlign w:val="center"/>
                </w:tcPr>
                <w:p w14:paraId="2646A9DA">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0.5</w:t>
                  </w:r>
                </w:p>
              </w:tc>
              <w:tc>
                <w:tcPr>
                  <w:tcW w:w="543" w:type="pct"/>
                  <w:tcBorders>
                    <w:tl2br w:val="nil"/>
                    <w:tr2bl w:val="nil"/>
                  </w:tcBorders>
                  <w:shd w:val="clear" w:color="auto" w:fill="auto"/>
                  <w:noWrap w:val="0"/>
                  <w:vAlign w:val="center"/>
                </w:tcPr>
                <w:p w14:paraId="546F479A">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常温</w:t>
                  </w:r>
                </w:p>
              </w:tc>
              <w:tc>
                <w:tcPr>
                  <w:tcW w:w="558" w:type="pct"/>
                  <w:tcBorders>
                    <w:tl2br w:val="nil"/>
                    <w:tr2bl w:val="nil"/>
                  </w:tcBorders>
                  <w:shd w:val="clear" w:color="auto" w:fill="auto"/>
                  <w:noWrap w:val="0"/>
                  <w:vAlign w:val="center"/>
                </w:tcPr>
                <w:p w14:paraId="5743600F">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一般排放口</w:t>
                  </w:r>
                </w:p>
              </w:tc>
            </w:tr>
            <w:tr w14:paraId="42DD1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tcBorders>
                    <w:tl2br w:val="nil"/>
                    <w:tr2bl w:val="nil"/>
                  </w:tcBorders>
                  <w:noWrap w:val="0"/>
                  <w:vAlign w:val="center"/>
                </w:tcPr>
                <w:p w14:paraId="4497E3D3">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DA</w:t>
                  </w:r>
                  <w:r>
                    <w:rPr>
                      <w:rFonts w:ascii="Times New Roman" w:hAnsi="Times New Roman" w:eastAsia="宋体" w:cs="Times New Roman"/>
                      <w:color w:val="000000" w:themeColor="text1"/>
                      <w:spacing w:val="8"/>
                      <w:sz w:val="21"/>
                      <w:szCs w:val="21"/>
                      <w14:textFill>
                        <w14:solidFill>
                          <w14:schemeClr w14:val="tx1"/>
                        </w14:solidFill>
                      </w14:textFill>
                    </w:rPr>
                    <w:t>00</w:t>
                  </w:r>
                  <w:r>
                    <w:rPr>
                      <w:rFonts w:hint="eastAsia" w:cs="Times New Roman"/>
                      <w:color w:val="000000" w:themeColor="text1"/>
                      <w:spacing w:val="8"/>
                      <w:sz w:val="21"/>
                      <w:szCs w:val="21"/>
                      <w:lang w:val="en-US" w:eastAsia="zh-CN"/>
                      <w14:textFill>
                        <w14:solidFill>
                          <w14:schemeClr w14:val="tx1"/>
                        </w14:solidFill>
                      </w14:textFill>
                    </w:rPr>
                    <w:t>2</w:t>
                  </w:r>
                </w:p>
              </w:tc>
              <w:tc>
                <w:tcPr>
                  <w:tcW w:w="1207" w:type="pct"/>
                  <w:tcBorders>
                    <w:tl2br w:val="nil"/>
                    <w:tr2bl w:val="nil"/>
                  </w:tcBorders>
                  <w:noWrap w:val="0"/>
                  <w:vAlign w:val="center"/>
                </w:tcPr>
                <w:p w14:paraId="2CFD1E4A">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cs="宋体"/>
                      <w:color w:val="000000" w:themeColor="text1"/>
                      <w:spacing w:val="-4"/>
                      <w:kern w:val="0"/>
                      <w:sz w:val="21"/>
                      <w:szCs w:val="22"/>
                      <w:lang w:val="en-US" w:eastAsia="zh-CN" w:bidi="ar"/>
                      <w14:textFill>
                        <w14:solidFill>
                          <w14:schemeClr w14:val="tx1"/>
                        </w14:solidFill>
                      </w14:textFill>
                    </w:rPr>
                    <w:t>3#厂房</w:t>
                  </w:r>
                  <w:r>
                    <w:rPr>
                      <w:rFonts w:hint="eastAsia" w:ascii="Times New Roman" w:hAnsi="Times New Roman" w:cs="Times New Roman"/>
                      <w:color w:val="000000" w:themeColor="text1"/>
                      <w:kern w:val="18"/>
                      <w:sz w:val="21"/>
                      <w:szCs w:val="21"/>
                      <w:lang w:val="en-US" w:eastAsia="zh-CN"/>
                      <w14:textFill>
                        <w14:solidFill>
                          <w14:schemeClr w14:val="tx1"/>
                        </w14:solidFill>
                      </w14:textFill>
                    </w:rPr>
                    <w:t>电泳、电泳烘干固化、喷粉烘干固化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及烘干</w:t>
                  </w:r>
                  <w:r>
                    <w:rPr>
                      <w:rFonts w:hint="eastAsia" w:ascii="Times New Roman" w:hAnsi="Times New Roman" w:cs="Times New Roman"/>
                      <w:color w:val="000000" w:themeColor="text1"/>
                      <w:kern w:val="18"/>
                      <w:sz w:val="21"/>
                      <w:szCs w:val="21"/>
                      <w:lang w:val="en-US" w:eastAsia="zh-CN"/>
                      <w14:textFill>
                        <w14:solidFill>
                          <w14:schemeClr w14:val="tx1"/>
                        </w14:solidFill>
                      </w14:textFill>
                    </w:rPr>
                    <w:t>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废气、脱漆废气</w:t>
                  </w: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排气筒</w:t>
                  </w:r>
                </w:p>
              </w:tc>
              <w:tc>
                <w:tcPr>
                  <w:tcW w:w="991" w:type="pct"/>
                  <w:tcBorders>
                    <w:tl2br w:val="nil"/>
                    <w:tr2bl w:val="nil"/>
                  </w:tcBorders>
                  <w:noWrap w:val="0"/>
                  <w:vAlign w:val="center"/>
                </w:tcPr>
                <w:p w14:paraId="3A23063E">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default" w:ascii="Times New Roman" w:hAnsi="Times New Roman" w:cs="Times New Roman"/>
                      <w:color w:val="000000" w:themeColor="text1"/>
                      <w:spacing w:val="6"/>
                      <w:sz w:val="21"/>
                      <w:szCs w:val="21"/>
                      <w:lang w:val="en-US" w:eastAsia="zh-CN"/>
                      <w14:textFill>
                        <w14:solidFill>
                          <w14:schemeClr w14:val="tx1"/>
                        </w14:solidFill>
                      </w14:textFill>
                    </w:rPr>
                    <w:t>非甲烷总烃</w:t>
                  </w:r>
                  <w:r>
                    <w:rPr>
                      <w:rFonts w:hint="eastAsia" w:ascii="Times New Roman" w:hAnsi="Times New Roman" w:cs="Times New Roman"/>
                      <w:color w:val="000000" w:themeColor="text1"/>
                      <w:spacing w:val="6"/>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SO</w:t>
                  </w:r>
                  <w:r>
                    <w:rPr>
                      <w:rFonts w:hint="default" w:ascii="Times New Roman" w:hAnsi="Times New Roman" w:cs="Times New Roman"/>
                      <w:color w:val="000000" w:themeColor="text1"/>
                      <w:spacing w:val="6"/>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、NO</w:t>
                  </w:r>
                  <w:r>
                    <w:rPr>
                      <w:rFonts w:hint="default" w:ascii="Times New Roman" w:hAnsi="Times New Roman" w:cs="Times New Roman"/>
                      <w:color w:val="000000" w:themeColor="text1"/>
                      <w:spacing w:val="6"/>
                      <w:sz w:val="21"/>
                      <w:szCs w:val="21"/>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、颗粒物</w:t>
                  </w:r>
                </w:p>
              </w:tc>
              <w:tc>
                <w:tcPr>
                  <w:tcW w:w="525" w:type="pct"/>
                  <w:tcBorders>
                    <w:tl2br w:val="nil"/>
                    <w:tr2bl w:val="nil"/>
                  </w:tcBorders>
                  <w:noWrap w:val="0"/>
                  <w:vAlign w:val="center"/>
                </w:tcPr>
                <w:p w14:paraId="664FB120">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22</w:t>
                  </w:r>
                </w:p>
              </w:tc>
              <w:tc>
                <w:tcPr>
                  <w:tcW w:w="655" w:type="pct"/>
                  <w:tcBorders>
                    <w:tl2br w:val="nil"/>
                    <w:tr2bl w:val="nil"/>
                  </w:tcBorders>
                  <w:noWrap w:val="0"/>
                  <w:vAlign w:val="center"/>
                </w:tcPr>
                <w:p w14:paraId="2811732C">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0.8</w:t>
                  </w:r>
                </w:p>
              </w:tc>
              <w:tc>
                <w:tcPr>
                  <w:tcW w:w="543" w:type="pct"/>
                  <w:tcBorders>
                    <w:tl2br w:val="nil"/>
                    <w:tr2bl w:val="nil"/>
                  </w:tcBorders>
                  <w:noWrap w:val="0"/>
                  <w:vAlign w:val="center"/>
                </w:tcPr>
                <w:p w14:paraId="60230551">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常温</w:t>
                  </w:r>
                </w:p>
              </w:tc>
              <w:tc>
                <w:tcPr>
                  <w:tcW w:w="558" w:type="pct"/>
                  <w:tcBorders>
                    <w:tl2br w:val="nil"/>
                    <w:tr2bl w:val="nil"/>
                  </w:tcBorders>
                  <w:noWrap w:val="0"/>
                  <w:vAlign w:val="center"/>
                </w:tcPr>
                <w:p w14:paraId="6C6F3602">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一般排放口</w:t>
                  </w:r>
                </w:p>
              </w:tc>
            </w:tr>
            <w:tr w14:paraId="208C8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tcBorders>
                    <w:tl2br w:val="nil"/>
                    <w:tr2bl w:val="nil"/>
                  </w:tcBorders>
                  <w:shd w:val="clear" w:color="auto" w:fill="auto"/>
                  <w:noWrap w:val="0"/>
                  <w:vAlign w:val="center"/>
                </w:tcPr>
                <w:p w14:paraId="0BB5736D">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DA</w:t>
                  </w:r>
                  <w:r>
                    <w:rPr>
                      <w:rFonts w:ascii="Times New Roman" w:hAnsi="Times New Roman" w:eastAsia="宋体" w:cs="Times New Roman"/>
                      <w:color w:val="000000" w:themeColor="text1"/>
                      <w:spacing w:val="8"/>
                      <w:sz w:val="21"/>
                      <w:szCs w:val="21"/>
                      <w14:textFill>
                        <w14:solidFill>
                          <w14:schemeClr w14:val="tx1"/>
                        </w14:solidFill>
                      </w14:textFill>
                    </w:rPr>
                    <w:t>00</w:t>
                  </w:r>
                  <w:r>
                    <w:rPr>
                      <w:rFonts w:hint="eastAsia" w:ascii="Times New Roman" w:hAnsi="Times New Roman" w:eastAsia="宋体" w:cs="Times New Roman"/>
                      <w:color w:val="000000" w:themeColor="text1"/>
                      <w:spacing w:val="8"/>
                      <w:sz w:val="21"/>
                      <w:szCs w:val="21"/>
                      <w:lang w:val="en-US" w:eastAsia="zh-CN"/>
                      <w14:textFill>
                        <w14:solidFill>
                          <w14:schemeClr w14:val="tx1"/>
                        </w14:solidFill>
                      </w14:textFill>
                    </w:rPr>
                    <w:t>3</w:t>
                  </w:r>
                </w:p>
              </w:tc>
              <w:tc>
                <w:tcPr>
                  <w:tcW w:w="1207" w:type="pct"/>
                  <w:tcBorders>
                    <w:tl2br w:val="nil"/>
                    <w:tr2bl w:val="nil"/>
                  </w:tcBorders>
                  <w:shd w:val="clear" w:color="auto" w:fill="auto"/>
                  <w:noWrap w:val="0"/>
                  <w:vAlign w:val="center"/>
                </w:tcPr>
                <w:p w14:paraId="632F68D8">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cs="宋体"/>
                      <w:color w:val="000000" w:themeColor="text1"/>
                      <w:spacing w:val="-4"/>
                      <w:kern w:val="0"/>
                      <w:sz w:val="21"/>
                      <w:szCs w:val="22"/>
                      <w:lang w:val="en-US" w:eastAsia="zh-CN" w:bidi="ar"/>
                      <w14:textFill>
                        <w14:solidFill>
                          <w14:schemeClr w14:val="tx1"/>
                        </w14:solidFill>
                      </w14:textFill>
                    </w:rPr>
                    <w:t>2#厂房</w:t>
                  </w: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电泳前处理及钝化酸性废气</w:t>
                  </w: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排放口</w:t>
                  </w:r>
                </w:p>
              </w:tc>
              <w:tc>
                <w:tcPr>
                  <w:tcW w:w="991" w:type="pct"/>
                  <w:tcBorders>
                    <w:tl2br w:val="nil"/>
                    <w:tr2bl w:val="nil"/>
                  </w:tcBorders>
                  <w:shd w:val="clear" w:color="auto" w:fill="auto"/>
                  <w:noWrap w:val="0"/>
                  <w:vAlign w:val="center"/>
                </w:tcPr>
                <w:p w14:paraId="7EF054DD">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t>磷酸气体</w:t>
                  </w: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、氮氧化物</w:t>
                  </w:r>
                </w:p>
              </w:tc>
              <w:tc>
                <w:tcPr>
                  <w:tcW w:w="525" w:type="pct"/>
                  <w:tcBorders>
                    <w:tl2br w:val="nil"/>
                    <w:tr2bl w:val="nil"/>
                  </w:tcBorders>
                  <w:shd w:val="clear" w:color="auto" w:fill="auto"/>
                  <w:noWrap w:val="0"/>
                  <w:vAlign w:val="center"/>
                </w:tcPr>
                <w:p w14:paraId="11D0FB28">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t>15</w:t>
                  </w:r>
                </w:p>
              </w:tc>
              <w:tc>
                <w:tcPr>
                  <w:tcW w:w="655" w:type="pct"/>
                  <w:tcBorders>
                    <w:tl2br w:val="nil"/>
                    <w:tr2bl w:val="nil"/>
                  </w:tcBorders>
                  <w:shd w:val="clear" w:color="auto" w:fill="auto"/>
                  <w:noWrap w:val="0"/>
                  <w:vAlign w:val="center"/>
                </w:tcPr>
                <w:p w14:paraId="65449851">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0.5</w:t>
                  </w:r>
                </w:p>
              </w:tc>
              <w:tc>
                <w:tcPr>
                  <w:tcW w:w="543" w:type="pct"/>
                  <w:tcBorders>
                    <w:tl2br w:val="nil"/>
                    <w:tr2bl w:val="nil"/>
                  </w:tcBorders>
                  <w:shd w:val="clear" w:color="auto" w:fill="auto"/>
                  <w:noWrap w:val="0"/>
                  <w:vAlign w:val="center"/>
                </w:tcPr>
                <w:p w14:paraId="71EA2F97">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常温</w:t>
                  </w:r>
                </w:p>
              </w:tc>
              <w:tc>
                <w:tcPr>
                  <w:tcW w:w="558" w:type="pct"/>
                  <w:tcBorders>
                    <w:tl2br w:val="nil"/>
                    <w:tr2bl w:val="nil"/>
                  </w:tcBorders>
                  <w:shd w:val="clear" w:color="auto" w:fill="auto"/>
                  <w:noWrap w:val="0"/>
                  <w:vAlign w:val="center"/>
                </w:tcPr>
                <w:p w14:paraId="3DAF7E4F">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一般排放口</w:t>
                  </w:r>
                </w:p>
              </w:tc>
            </w:tr>
            <w:tr w14:paraId="3D645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tcBorders>
                    <w:tl2br w:val="nil"/>
                    <w:tr2bl w:val="nil"/>
                  </w:tcBorders>
                  <w:noWrap w:val="0"/>
                  <w:vAlign w:val="center"/>
                </w:tcPr>
                <w:p w14:paraId="5921FE6B">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DA</w:t>
                  </w:r>
                  <w:r>
                    <w:rPr>
                      <w:rFonts w:ascii="Times New Roman" w:hAnsi="Times New Roman" w:eastAsia="宋体" w:cs="Times New Roman"/>
                      <w:color w:val="000000" w:themeColor="text1"/>
                      <w:spacing w:val="8"/>
                      <w:sz w:val="21"/>
                      <w:szCs w:val="21"/>
                      <w14:textFill>
                        <w14:solidFill>
                          <w14:schemeClr w14:val="tx1"/>
                        </w14:solidFill>
                      </w14:textFill>
                    </w:rPr>
                    <w:t>00</w:t>
                  </w:r>
                  <w:r>
                    <w:rPr>
                      <w:rFonts w:hint="eastAsia" w:cs="Times New Roman"/>
                      <w:color w:val="000000" w:themeColor="text1"/>
                      <w:spacing w:val="8"/>
                      <w:sz w:val="21"/>
                      <w:szCs w:val="21"/>
                      <w:lang w:val="en-US" w:eastAsia="zh-CN"/>
                      <w14:textFill>
                        <w14:solidFill>
                          <w14:schemeClr w14:val="tx1"/>
                        </w14:solidFill>
                      </w14:textFill>
                    </w:rPr>
                    <w:t>4</w:t>
                  </w:r>
                </w:p>
              </w:tc>
              <w:tc>
                <w:tcPr>
                  <w:tcW w:w="1207" w:type="pct"/>
                  <w:tcBorders>
                    <w:tl2br w:val="nil"/>
                    <w:tr2bl w:val="nil"/>
                  </w:tcBorders>
                  <w:noWrap w:val="0"/>
                  <w:vAlign w:val="center"/>
                </w:tcPr>
                <w:p w14:paraId="6E82FCE8">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cs="宋体"/>
                      <w:color w:val="000000" w:themeColor="text1"/>
                      <w:spacing w:val="-4"/>
                      <w:kern w:val="0"/>
                      <w:sz w:val="21"/>
                      <w:szCs w:val="22"/>
                      <w:lang w:val="en-US" w:eastAsia="zh-CN" w:bidi="ar"/>
                      <w14:textFill>
                        <w14:solidFill>
                          <w14:schemeClr w14:val="tx1"/>
                        </w14:solidFill>
                      </w14:textFill>
                    </w:rPr>
                    <w:t>2#厂房</w:t>
                  </w:r>
                  <w:r>
                    <w:rPr>
                      <w:rFonts w:hint="eastAsia" w:ascii="Times New Roman" w:hAnsi="Times New Roman" w:cs="Times New Roman"/>
                      <w:color w:val="000000" w:themeColor="text1"/>
                      <w:kern w:val="18"/>
                      <w:sz w:val="21"/>
                      <w:szCs w:val="21"/>
                      <w:lang w:val="en-US" w:eastAsia="zh-CN"/>
                      <w14:textFill>
                        <w14:solidFill>
                          <w14:schemeClr w14:val="tx1"/>
                        </w14:solidFill>
                      </w14:textFill>
                    </w:rPr>
                    <w:t>电泳、电泳烘干固化、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钝化</w:t>
                  </w:r>
                  <w:r>
                    <w:rPr>
                      <w:rFonts w:hint="eastAsia" w:cs="Times New Roman"/>
                      <w:color w:val="000000" w:themeColor="text1"/>
                      <w:spacing w:val="0"/>
                      <w:sz w:val="21"/>
                      <w:szCs w:val="21"/>
                      <w:highlight w:val="none"/>
                      <w:lang w:val="en-US" w:eastAsia="zh-CN"/>
                      <w14:textFill>
                        <w14:solidFill>
                          <w14:schemeClr w14:val="tx1"/>
                        </w14:solidFill>
                      </w14:textFill>
                    </w:rPr>
                    <w:t>水洗</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烘干、</w:t>
                  </w:r>
                  <w:r>
                    <w:rPr>
                      <w:rFonts w:hint="eastAsia" w:ascii="Times New Roman" w:hAnsi="Times New Roman" w:cs="Times New Roman"/>
                      <w:color w:val="000000" w:themeColor="text1"/>
                      <w:kern w:val="18"/>
                      <w:sz w:val="21"/>
                      <w:szCs w:val="21"/>
                      <w:lang w:val="en-US" w:eastAsia="zh-CN"/>
                      <w14:textFill>
                        <w14:solidFill>
                          <w14:schemeClr w14:val="tx1"/>
                        </w14:solidFill>
                      </w14:textFill>
                    </w:rPr>
                    <w:t>喷粉烘干固化、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丝印烘干废气</w:t>
                  </w: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排气筒</w:t>
                  </w:r>
                </w:p>
              </w:tc>
              <w:tc>
                <w:tcPr>
                  <w:tcW w:w="991" w:type="pct"/>
                  <w:tcBorders>
                    <w:tl2br w:val="nil"/>
                    <w:tr2bl w:val="nil"/>
                  </w:tcBorders>
                  <w:noWrap w:val="0"/>
                  <w:vAlign w:val="center"/>
                </w:tcPr>
                <w:p w14:paraId="4EDE463D">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default" w:ascii="Times New Roman" w:hAnsi="Times New Roman" w:cs="Times New Roman"/>
                      <w:color w:val="000000" w:themeColor="text1"/>
                      <w:spacing w:val="6"/>
                      <w:sz w:val="21"/>
                      <w:szCs w:val="21"/>
                      <w:lang w:val="en-US" w:eastAsia="zh-CN"/>
                      <w14:textFill>
                        <w14:solidFill>
                          <w14:schemeClr w14:val="tx1"/>
                        </w14:solidFill>
                      </w14:textFill>
                    </w:rPr>
                    <w:t>非甲烷总烃</w:t>
                  </w:r>
                  <w:r>
                    <w:rPr>
                      <w:rFonts w:hint="eastAsia" w:ascii="Times New Roman" w:hAnsi="Times New Roman" w:cs="Times New Roman"/>
                      <w:color w:val="000000" w:themeColor="text1"/>
                      <w:spacing w:val="6"/>
                      <w:sz w:val="21"/>
                      <w:szCs w:val="21"/>
                      <w:lang w:val="en-US" w:eastAsia="zh-CN"/>
                      <w14:textFill>
                        <w14:solidFill>
                          <w14:schemeClr w14:val="tx1"/>
                        </w14:solidFill>
                      </w14:textFill>
                    </w:rPr>
                    <w:t>、甲苯、</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SO</w:t>
                  </w:r>
                  <w:r>
                    <w:rPr>
                      <w:rFonts w:hint="default" w:ascii="Times New Roman" w:hAnsi="Times New Roman" w:cs="Times New Roman"/>
                      <w:color w:val="000000" w:themeColor="text1"/>
                      <w:spacing w:val="6"/>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、NO</w:t>
                  </w:r>
                  <w:r>
                    <w:rPr>
                      <w:rFonts w:hint="default" w:ascii="Times New Roman" w:hAnsi="Times New Roman" w:cs="Times New Roman"/>
                      <w:color w:val="000000" w:themeColor="text1"/>
                      <w:spacing w:val="6"/>
                      <w:sz w:val="21"/>
                      <w:szCs w:val="21"/>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、颗粒物</w:t>
                  </w:r>
                </w:p>
              </w:tc>
              <w:tc>
                <w:tcPr>
                  <w:tcW w:w="525" w:type="pct"/>
                  <w:tcBorders>
                    <w:tl2br w:val="nil"/>
                    <w:tr2bl w:val="nil"/>
                  </w:tcBorders>
                  <w:noWrap w:val="0"/>
                  <w:vAlign w:val="center"/>
                </w:tcPr>
                <w:p w14:paraId="45408581">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t>15</w:t>
                  </w:r>
                </w:p>
              </w:tc>
              <w:tc>
                <w:tcPr>
                  <w:tcW w:w="655" w:type="pct"/>
                  <w:tcBorders>
                    <w:tl2br w:val="nil"/>
                    <w:tr2bl w:val="nil"/>
                  </w:tcBorders>
                  <w:noWrap w:val="0"/>
                  <w:vAlign w:val="center"/>
                </w:tcPr>
                <w:p w14:paraId="402D8AFF">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0.</w:t>
                  </w:r>
                  <w:r>
                    <w:rPr>
                      <w:rFonts w:hint="eastAsia" w:ascii="Times New Roman" w:hAnsi="Times New Roman" w:cs="宋体"/>
                      <w:color w:val="000000" w:themeColor="text1"/>
                      <w:spacing w:val="-4"/>
                      <w:kern w:val="0"/>
                      <w:sz w:val="21"/>
                      <w:szCs w:val="22"/>
                      <w:lang w:val="en-US" w:eastAsia="zh-CN" w:bidi="ar"/>
                      <w14:textFill>
                        <w14:solidFill>
                          <w14:schemeClr w14:val="tx1"/>
                        </w14:solidFill>
                      </w14:textFill>
                    </w:rPr>
                    <w:t>8</w:t>
                  </w:r>
                </w:p>
              </w:tc>
              <w:tc>
                <w:tcPr>
                  <w:tcW w:w="543" w:type="pct"/>
                  <w:tcBorders>
                    <w:tl2br w:val="nil"/>
                    <w:tr2bl w:val="nil"/>
                  </w:tcBorders>
                  <w:noWrap w:val="0"/>
                  <w:vAlign w:val="center"/>
                </w:tcPr>
                <w:p w14:paraId="387E2251">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常温</w:t>
                  </w:r>
                </w:p>
              </w:tc>
              <w:tc>
                <w:tcPr>
                  <w:tcW w:w="558" w:type="pct"/>
                  <w:tcBorders>
                    <w:tl2br w:val="nil"/>
                    <w:tr2bl w:val="nil"/>
                  </w:tcBorders>
                  <w:noWrap w:val="0"/>
                  <w:vAlign w:val="center"/>
                </w:tcPr>
                <w:p w14:paraId="34207AC3">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一般排放口</w:t>
                  </w:r>
                </w:p>
              </w:tc>
            </w:tr>
            <w:tr w14:paraId="2B99A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tcBorders>
                    <w:tl2br w:val="nil"/>
                    <w:tr2bl w:val="nil"/>
                  </w:tcBorders>
                  <w:noWrap w:val="0"/>
                  <w:vAlign w:val="center"/>
                </w:tcPr>
                <w:p w14:paraId="5142319E">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DA</w:t>
                  </w:r>
                  <w:r>
                    <w:rPr>
                      <w:rFonts w:ascii="Times New Roman" w:hAnsi="Times New Roman" w:eastAsia="宋体" w:cs="Times New Roman"/>
                      <w:color w:val="000000" w:themeColor="text1"/>
                      <w:spacing w:val="8"/>
                      <w:sz w:val="21"/>
                      <w:szCs w:val="21"/>
                      <w14:textFill>
                        <w14:solidFill>
                          <w14:schemeClr w14:val="tx1"/>
                        </w14:solidFill>
                      </w14:textFill>
                    </w:rPr>
                    <w:t>00</w:t>
                  </w:r>
                  <w:r>
                    <w:rPr>
                      <w:rFonts w:hint="eastAsia" w:cs="Times New Roman"/>
                      <w:color w:val="000000" w:themeColor="text1"/>
                      <w:spacing w:val="8"/>
                      <w:sz w:val="21"/>
                      <w:szCs w:val="21"/>
                      <w:lang w:val="en-US" w:eastAsia="zh-CN"/>
                      <w14:textFill>
                        <w14:solidFill>
                          <w14:schemeClr w14:val="tx1"/>
                        </w14:solidFill>
                      </w14:textFill>
                    </w:rPr>
                    <w:t>5</w:t>
                  </w:r>
                </w:p>
              </w:tc>
              <w:tc>
                <w:tcPr>
                  <w:tcW w:w="1207" w:type="pct"/>
                  <w:tcBorders>
                    <w:tl2br w:val="nil"/>
                    <w:tr2bl w:val="nil"/>
                  </w:tcBorders>
                  <w:noWrap w:val="0"/>
                  <w:vAlign w:val="center"/>
                </w:tcPr>
                <w:p w14:paraId="6723DA59">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cs="宋体"/>
                      <w:color w:val="000000" w:themeColor="text1"/>
                      <w:spacing w:val="-4"/>
                      <w:kern w:val="0"/>
                      <w:sz w:val="21"/>
                      <w:szCs w:val="22"/>
                      <w:lang w:val="en-US" w:eastAsia="zh-CN" w:bidi="ar"/>
                      <w14:textFill>
                        <w14:solidFill>
                          <w14:schemeClr w14:val="tx1"/>
                        </w14:solidFill>
                      </w14:textFill>
                    </w:rPr>
                    <w:t>2#厂房</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喷胶废气及喷胶烘干</w:t>
                  </w:r>
                  <w:r>
                    <w:rPr>
                      <w:rFonts w:hint="eastAsia" w:ascii="Times New Roman" w:hAnsi="Times New Roman" w:cs="Times New Roman"/>
                      <w:color w:val="000000" w:themeColor="text1"/>
                      <w:kern w:val="18"/>
                      <w:sz w:val="21"/>
                      <w:szCs w:val="21"/>
                      <w:lang w:val="en-US" w:eastAsia="zh-CN"/>
                      <w14:textFill>
                        <w14:solidFill>
                          <w14:schemeClr w14:val="tx1"/>
                        </w14:solidFill>
                      </w14:textFill>
                    </w:rPr>
                    <w:t>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废气</w:t>
                  </w: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排放口</w:t>
                  </w:r>
                </w:p>
              </w:tc>
              <w:tc>
                <w:tcPr>
                  <w:tcW w:w="991" w:type="pct"/>
                  <w:tcBorders>
                    <w:tl2br w:val="nil"/>
                    <w:tr2bl w:val="nil"/>
                  </w:tcBorders>
                  <w:noWrap w:val="0"/>
                  <w:vAlign w:val="center"/>
                </w:tcPr>
                <w:p w14:paraId="7787553B">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default" w:ascii="Times New Roman" w:hAnsi="Times New Roman" w:cs="Times New Roman"/>
                      <w:color w:val="000000" w:themeColor="text1"/>
                      <w:spacing w:val="6"/>
                      <w:sz w:val="21"/>
                      <w:szCs w:val="21"/>
                      <w:lang w:val="en-US" w:eastAsia="zh-CN"/>
                      <w14:textFill>
                        <w14:solidFill>
                          <w14:schemeClr w14:val="tx1"/>
                        </w14:solidFill>
                      </w14:textFill>
                    </w:rPr>
                    <w:t>非甲烷总烃</w:t>
                  </w:r>
                  <w:r>
                    <w:rPr>
                      <w:rFonts w:hint="eastAsia" w:ascii="Times New Roman" w:hAnsi="Times New Roman" w:cs="Times New Roman"/>
                      <w:color w:val="000000" w:themeColor="text1"/>
                      <w:spacing w:val="6"/>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SO</w:t>
                  </w:r>
                  <w:r>
                    <w:rPr>
                      <w:rFonts w:hint="default" w:ascii="Times New Roman" w:hAnsi="Times New Roman" w:cs="Times New Roman"/>
                      <w:color w:val="000000" w:themeColor="text1"/>
                      <w:spacing w:val="6"/>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、NO</w:t>
                  </w:r>
                  <w:r>
                    <w:rPr>
                      <w:rFonts w:hint="default" w:ascii="Times New Roman" w:hAnsi="Times New Roman" w:cs="Times New Roman"/>
                      <w:color w:val="000000" w:themeColor="text1"/>
                      <w:spacing w:val="6"/>
                      <w:sz w:val="21"/>
                      <w:szCs w:val="21"/>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、颗粒物</w:t>
                  </w:r>
                </w:p>
              </w:tc>
              <w:tc>
                <w:tcPr>
                  <w:tcW w:w="525" w:type="pct"/>
                  <w:tcBorders>
                    <w:tl2br w:val="nil"/>
                    <w:tr2bl w:val="nil"/>
                  </w:tcBorders>
                  <w:noWrap w:val="0"/>
                  <w:vAlign w:val="center"/>
                </w:tcPr>
                <w:p w14:paraId="2D7F3490">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t>15</w:t>
                  </w:r>
                </w:p>
              </w:tc>
              <w:tc>
                <w:tcPr>
                  <w:tcW w:w="655" w:type="pct"/>
                  <w:tcBorders>
                    <w:tl2br w:val="nil"/>
                    <w:tr2bl w:val="nil"/>
                  </w:tcBorders>
                  <w:noWrap w:val="0"/>
                  <w:vAlign w:val="center"/>
                </w:tcPr>
                <w:p w14:paraId="507D2A29">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0.8</w:t>
                  </w:r>
                </w:p>
              </w:tc>
              <w:tc>
                <w:tcPr>
                  <w:tcW w:w="543" w:type="pct"/>
                  <w:tcBorders>
                    <w:tl2br w:val="nil"/>
                    <w:tr2bl w:val="nil"/>
                  </w:tcBorders>
                  <w:noWrap w:val="0"/>
                  <w:vAlign w:val="center"/>
                </w:tcPr>
                <w:p w14:paraId="2333ED33">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常温</w:t>
                  </w:r>
                </w:p>
              </w:tc>
              <w:tc>
                <w:tcPr>
                  <w:tcW w:w="558" w:type="pct"/>
                  <w:tcBorders>
                    <w:tl2br w:val="nil"/>
                    <w:tr2bl w:val="nil"/>
                  </w:tcBorders>
                  <w:noWrap w:val="0"/>
                  <w:vAlign w:val="center"/>
                </w:tcPr>
                <w:p w14:paraId="738407C2">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一般排放口</w:t>
                  </w:r>
                </w:p>
              </w:tc>
            </w:tr>
            <w:tr w14:paraId="6C289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tcBorders>
                    <w:tl2br w:val="nil"/>
                    <w:tr2bl w:val="nil"/>
                  </w:tcBorders>
                  <w:noWrap w:val="0"/>
                  <w:vAlign w:val="center"/>
                </w:tcPr>
                <w:p w14:paraId="06552A53">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DA</w:t>
                  </w:r>
                  <w:r>
                    <w:rPr>
                      <w:rFonts w:ascii="Times New Roman" w:hAnsi="Times New Roman" w:eastAsia="宋体" w:cs="Times New Roman"/>
                      <w:color w:val="000000" w:themeColor="text1"/>
                      <w:spacing w:val="8"/>
                      <w:sz w:val="21"/>
                      <w:szCs w:val="21"/>
                      <w14:textFill>
                        <w14:solidFill>
                          <w14:schemeClr w14:val="tx1"/>
                        </w14:solidFill>
                      </w14:textFill>
                    </w:rPr>
                    <w:t>00</w:t>
                  </w:r>
                  <w:r>
                    <w:rPr>
                      <w:rFonts w:hint="eastAsia" w:cs="Times New Roman"/>
                      <w:color w:val="000000" w:themeColor="text1"/>
                      <w:spacing w:val="8"/>
                      <w:sz w:val="21"/>
                      <w:szCs w:val="21"/>
                      <w:lang w:val="en-US" w:eastAsia="zh-CN"/>
                      <w14:textFill>
                        <w14:solidFill>
                          <w14:schemeClr w14:val="tx1"/>
                        </w14:solidFill>
                      </w14:textFill>
                    </w:rPr>
                    <w:t>6</w:t>
                  </w:r>
                </w:p>
              </w:tc>
              <w:tc>
                <w:tcPr>
                  <w:tcW w:w="1207" w:type="pct"/>
                  <w:tcBorders>
                    <w:tl2br w:val="nil"/>
                    <w:tr2bl w:val="nil"/>
                  </w:tcBorders>
                  <w:noWrap w:val="0"/>
                  <w:vAlign w:val="center"/>
                </w:tcPr>
                <w:p w14:paraId="3EA77E8B">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cs="宋体"/>
                      <w:color w:val="000000" w:themeColor="text1"/>
                      <w:spacing w:val="-4"/>
                      <w:kern w:val="0"/>
                      <w:sz w:val="21"/>
                      <w:szCs w:val="22"/>
                      <w:lang w:val="en-US" w:eastAsia="zh-CN" w:bidi="ar"/>
                      <w14:textFill>
                        <w14:solidFill>
                          <w14:schemeClr w14:val="tx1"/>
                        </w14:solidFill>
                      </w14:textFill>
                    </w:rPr>
                    <w:t>2#厂房热水锅炉废气排气筒</w:t>
                  </w:r>
                </w:p>
              </w:tc>
              <w:tc>
                <w:tcPr>
                  <w:tcW w:w="991" w:type="pct"/>
                  <w:tcBorders>
                    <w:tl2br w:val="nil"/>
                    <w:tr2bl w:val="nil"/>
                  </w:tcBorders>
                  <w:shd w:val="clear" w:color="auto" w:fill="auto"/>
                  <w:noWrap w:val="0"/>
                  <w:vAlign w:val="center"/>
                </w:tcPr>
                <w:p w14:paraId="1B41FBA4">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default" w:ascii="Times New Roman" w:hAnsi="Times New Roman" w:cs="Times New Roman"/>
                      <w:color w:val="000000" w:themeColor="text1"/>
                      <w:spacing w:val="6"/>
                      <w:sz w:val="21"/>
                      <w:szCs w:val="21"/>
                      <w:lang w:val="en-US" w:eastAsia="zh-CN"/>
                      <w14:textFill>
                        <w14:solidFill>
                          <w14:schemeClr w14:val="tx1"/>
                        </w14:solidFill>
                      </w14:textFill>
                    </w:rPr>
                    <w:t>SO</w:t>
                  </w:r>
                  <w:r>
                    <w:rPr>
                      <w:rFonts w:hint="default" w:ascii="Times New Roman" w:hAnsi="Times New Roman" w:cs="Times New Roman"/>
                      <w:color w:val="000000" w:themeColor="text1"/>
                      <w:spacing w:val="6"/>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、NO</w:t>
                  </w:r>
                  <w:r>
                    <w:rPr>
                      <w:rFonts w:hint="default" w:ascii="Times New Roman" w:hAnsi="Times New Roman" w:cs="Times New Roman"/>
                      <w:color w:val="000000" w:themeColor="text1"/>
                      <w:spacing w:val="6"/>
                      <w:sz w:val="21"/>
                      <w:szCs w:val="21"/>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、颗粒物</w:t>
                  </w:r>
                </w:p>
              </w:tc>
              <w:tc>
                <w:tcPr>
                  <w:tcW w:w="525" w:type="pct"/>
                  <w:tcBorders>
                    <w:tl2br w:val="nil"/>
                    <w:tr2bl w:val="nil"/>
                  </w:tcBorders>
                  <w:shd w:val="clear" w:color="auto" w:fill="auto"/>
                  <w:noWrap w:val="0"/>
                  <w:vAlign w:val="center"/>
                </w:tcPr>
                <w:p w14:paraId="2863B256">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t>15</w:t>
                  </w:r>
                </w:p>
              </w:tc>
              <w:tc>
                <w:tcPr>
                  <w:tcW w:w="655" w:type="pct"/>
                  <w:tcBorders>
                    <w:tl2br w:val="nil"/>
                    <w:tr2bl w:val="nil"/>
                  </w:tcBorders>
                  <w:shd w:val="clear" w:color="auto" w:fill="auto"/>
                  <w:noWrap w:val="0"/>
                  <w:vAlign w:val="center"/>
                </w:tcPr>
                <w:p w14:paraId="0DF0F8C3">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0.3</w:t>
                  </w:r>
                </w:p>
              </w:tc>
              <w:tc>
                <w:tcPr>
                  <w:tcW w:w="543" w:type="pct"/>
                  <w:tcBorders>
                    <w:tl2br w:val="nil"/>
                    <w:tr2bl w:val="nil"/>
                  </w:tcBorders>
                  <w:shd w:val="clear" w:color="auto" w:fill="auto"/>
                  <w:noWrap w:val="0"/>
                  <w:vAlign w:val="center"/>
                </w:tcPr>
                <w:p w14:paraId="22ED97EB">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常温</w:t>
                  </w:r>
                </w:p>
              </w:tc>
              <w:tc>
                <w:tcPr>
                  <w:tcW w:w="558" w:type="pct"/>
                  <w:tcBorders>
                    <w:tl2br w:val="nil"/>
                    <w:tr2bl w:val="nil"/>
                  </w:tcBorders>
                  <w:shd w:val="clear" w:color="auto" w:fill="auto"/>
                  <w:noWrap w:val="0"/>
                  <w:vAlign w:val="center"/>
                </w:tcPr>
                <w:p w14:paraId="280209A5">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一般排放口</w:t>
                  </w:r>
                </w:p>
              </w:tc>
            </w:tr>
            <w:tr w14:paraId="575ED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tcBorders>
                    <w:tl2br w:val="nil"/>
                    <w:tr2bl w:val="nil"/>
                  </w:tcBorders>
                  <w:noWrap w:val="0"/>
                  <w:vAlign w:val="center"/>
                </w:tcPr>
                <w:p w14:paraId="042C375B">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DA</w:t>
                  </w:r>
                  <w:r>
                    <w:rPr>
                      <w:rFonts w:ascii="Times New Roman" w:hAnsi="Times New Roman" w:eastAsia="宋体" w:cs="Times New Roman"/>
                      <w:color w:val="000000" w:themeColor="text1"/>
                      <w:spacing w:val="8"/>
                      <w:sz w:val="21"/>
                      <w:szCs w:val="21"/>
                      <w14:textFill>
                        <w14:solidFill>
                          <w14:schemeClr w14:val="tx1"/>
                        </w14:solidFill>
                      </w14:textFill>
                    </w:rPr>
                    <w:t>00</w:t>
                  </w:r>
                  <w:r>
                    <w:rPr>
                      <w:rFonts w:hint="eastAsia" w:cs="Times New Roman"/>
                      <w:color w:val="000000" w:themeColor="text1"/>
                      <w:spacing w:val="8"/>
                      <w:sz w:val="21"/>
                      <w:szCs w:val="21"/>
                      <w:lang w:val="en-US" w:eastAsia="zh-CN"/>
                      <w14:textFill>
                        <w14:solidFill>
                          <w14:schemeClr w14:val="tx1"/>
                        </w14:solidFill>
                      </w14:textFill>
                    </w:rPr>
                    <w:t>7</w:t>
                  </w:r>
                </w:p>
              </w:tc>
              <w:tc>
                <w:tcPr>
                  <w:tcW w:w="1207" w:type="pct"/>
                  <w:tcBorders>
                    <w:tl2br w:val="nil"/>
                    <w:tr2bl w:val="nil"/>
                  </w:tcBorders>
                  <w:noWrap w:val="0"/>
                  <w:vAlign w:val="center"/>
                </w:tcPr>
                <w:p w14:paraId="4FD76882">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cs="宋体"/>
                      <w:color w:val="000000" w:themeColor="text1"/>
                      <w:spacing w:val="-4"/>
                      <w:kern w:val="0"/>
                      <w:sz w:val="21"/>
                      <w:szCs w:val="22"/>
                      <w:lang w:val="en-US" w:eastAsia="zh-CN" w:bidi="ar"/>
                      <w14:textFill>
                        <w14:solidFill>
                          <w14:schemeClr w14:val="tx1"/>
                        </w14:solidFill>
                      </w14:textFill>
                    </w:rPr>
                    <w:t>2#厂房</w:t>
                  </w: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喷粉粉尘</w:t>
                  </w:r>
                </w:p>
              </w:tc>
              <w:tc>
                <w:tcPr>
                  <w:tcW w:w="991" w:type="pct"/>
                  <w:tcBorders>
                    <w:tl2br w:val="nil"/>
                    <w:tr2bl w:val="nil"/>
                  </w:tcBorders>
                  <w:noWrap w:val="0"/>
                  <w:vAlign w:val="center"/>
                </w:tcPr>
                <w:p w14:paraId="48CB4824">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default" w:ascii="Times New Roman" w:hAnsi="Times New Roman" w:cs="Times New Roman"/>
                      <w:color w:val="000000" w:themeColor="text1"/>
                      <w:spacing w:val="6"/>
                      <w:sz w:val="21"/>
                      <w:szCs w:val="21"/>
                      <w:lang w:val="en-US" w:eastAsia="zh-CN"/>
                      <w14:textFill>
                        <w14:solidFill>
                          <w14:schemeClr w14:val="tx1"/>
                        </w14:solidFill>
                      </w14:textFill>
                    </w:rPr>
                    <w:t>颗粒物</w:t>
                  </w:r>
                </w:p>
              </w:tc>
              <w:tc>
                <w:tcPr>
                  <w:tcW w:w="525" w:type="pct"/>
                  <w:tcBorders>
                    <w:tl2br w:val="nil"/>
                    <w:tr2bl w:val="nil"/>
                  </w:tcBorders>
                  <w:noWrap w:val="0"/>
                  <w:vAlign w:val="center"/>
                </w:tcPr>
                <w:p w14:paraId="18A6C6FF">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t>15</w:t>
                  </w:r>
                </w:p>
              </w:tc>
              <w:tc>
                <w:tcPr>
                  <w:tcW w:w="655" w:type="pct"/>
                  <w:tcBorders>
                    <w:tl2br w:val="nil"/>
                    <w:tr2bl w:val="nil"/>
                  </w:tcBorders>
                  <w:noWrap w:val="0"/>
                  <w:vAlign w:val="center"/>
                </w:tcPr>
                <w:p w14:paraId="1612F50E">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0.5</w:t>
                  </w:r>
                </w:p>
              </w:tc>
              <w:tc>
                <w:tcPr>
                  <w:tcW w:w="543" w:type="pct"/>
                  <w:tcBorders>
                    <w:tl2br w:val="nil"/>
                    <w:tr2bl w:val="nil"/>
                  </w:tcBorders>
                  <w:noWrap w:val="0"/>
                  <w:vAlign w:val="center"/>
                </w:tcPr>
                <w:p w14:paraId="2A222282">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常温</w:t>
                  </w:r>
                </w:p>
              </w:tc>
              <w:tc>
                <w:tcPr>
                  <w:tcW w:w="558" w:type="pct"/>
                  <w:tcBorders>
                    <w:tl2br w:val="nil"/>
                    <w:tr2bl w:val="nil"/>
                  </w:tcBorders>
                  <w:noWrap w:val="0"/>
                  <w:vAlign w:val="center"/>
                </w:tcPr>
                <w:p w14:paraId="39670592">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一般排放口</w:t>
                  </w:r>
                </w:p>
              </w:tc>
            </w:tr>
            <w:tr w14:paraId="7EB4F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tcBorders>
                    <w:tl2br w:val="nil"/>
                    <w:tr2bl w:val="nil"/>
                  </w:tcBorders>
                  <w:noWrap w:val="0"/>
                  <w:vAlign w:val="center"/>
                </w:tcPr>
                <w:p w14:paraId="726292A0">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DA</w:t>
                  </w:r>
                  <w:r>
                    <w:rPr>
                      <w:rFonts w:ascii="Times New Roman" w:hAnsi="Times New Roman" w:eastAsia="宋体" w:cs="Times New Roman"/>
                      <w:color w:val="000000" w:themeColor="text1"/>
                      <w:spacing w:val="8"/>
                      <w:sz w:val="21"/>
                      <w:szCs w:val="21"/>
                      <w14:textFill>
                        <w14:solidFill>
                          <w14:schemeClr w14:val="tx1"/>
                        </w14:solidFill>
                      </w14:textFill>
                    </w:rPr>
                    <w:t>00</w:t>
                  </w:r>
                  <w:r>
                    <w:rPr>
                      <w:rFonts w:hint="eastAsia" w:cs="Times New Roman"/>
                      <w:color w:val="000000" w:themeColor="text1"/>
                      <w:spacing w:val="8"/>
                      <w:sz w:val="21"/>
                      <w:szCs w:val="21"/>
                      <w:lang w:val="en-US" w:eastAsia="zh-CN"/>
                      <w14:textFill>
                        <w14:solidFill>
                          <w14:schemeClr w14:val="tx1"/>
                        </w14:solidFill>
                      </w14:textFill>
                    </w:rPr>
                    <w:t>8</w:t>
                  </w:r>
                </w:p>
              </w:tc>
              <w:tc>
                <w:tcPr>
                  <w:tcW w:w="1207" w:type="pct"/>
                  <w:tcBorders>
                    <w:tl2br w:val="nil"/>
                    <w:tr2bl w:val="nil"/>
                  </w:tcBorders>
                  <w:noWrap w:val="0"/>
                  <w:vAlign w:val="center"/>
                </w:tcPr>
                <w:p w14:paraId="30629D57">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cs="宋体"/>
                      <w:color w:val="000000" w:themeColor="text1"/>
                      <w:spacing w:val="-4"/>
                      <w:kern w:val="0"/>
                      <w:sz w:val="21"/>
                      <w:szCs w:val="22"/>
                      <w:lang w:val="en-US" w:eastAsia="zh-CN" w:bidi="ar"/>
                      <w14:textFill>
                        <w14:solidFill>
                          <w14:schemeClr w14:val="tx1"/>
                        </w14:solidFill>
                      </w14:textFill>
                    </w:rPr>
                    <w:t>2#厂房</w:t>
                  </w: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喷粉粉尘</w:t>
                  </w:r>
                </w:p>
              </w:tc>
              <w:tc>
                <w:tcPr>
                  <w:tcW w:w="991" w:type="pct"/>
                  <w:tcBorders>
                    <w:tl2br w:val="nil"/>
                    <w:tr2bl w:val="nil"/>
                  </w:tcBorders>
                  <w:noWrap w:val="0"/>
                  <w:vAlign w:val="center"/>
                </w:tcPr>
                <w:p w14:paraId="26BC47DF">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default" w:ascii="Times New Roman" w:hAnsi="Times New Roman" w:cs="Times New Roman"/>
                      <w:color w:val="000000" w:themeColor="text1"/>
                      <w:spacing w:val="6"/>
                      <w:sz w:val="21"/>
                      <w:szCs w:val="21"/>
                      <w:lang w:val="en-US" w:eastAsia="zh-CN"/>
                      <w14:textFill>
                        <w14:solidFill>
                          <w14:schemeClr w14:val="tx1"/>
                        </w14:solidFill>
                      </w14:textFill>
                    </w:rPr>
                    <w:t>颗粒物</w:t>
                  </w:r>
                </w:p>
              </w:tc>
              <w:tc>
                <w:tcPr>
                  <w:tcW w:w="525" w:type="pct"/>
                  <w:tcBorders>
                    <w:tl2br w:val="nil"/>
                    <w:tr2bl w:val="nil"/>
                  </w:tcBorders>
                  <w:noWrap w:val="0"/>
                  <w:vAlign w:val="center"/>
                </w:tcPr>
                <w:p w14:paraId="70A8AE52">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t>15</w:t>
                  </w:r>
                </w:p>
              </w:tc>
              <w:tc>
                <w:tcPr>
                  <w:tcW w:w="655" w:type="pct"/>
                  <w:tcBorders>
                    <w:tl2br w:val="nil"/>
                    <w:tr2bl w:val="nil"/>
                  </w:tcBorders>
                  <w:noWrap w:val="0"/>
                  <w:vAlign w:val="center"/>
                </w:tcPr>
                <w:p w14:paraId="7E4073F4">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0.5</w:t>
                  </w:r>
                </w:p>
              </w:tc>
              <w:tc>
                <w:tcPr>
                  <w:tcW w:w="543" w:type="pct"/>
                  <w:tcBorders>
                    <w:tl2br w:val="nil"/>
                    <w:tr2bl w:val="nil"/>
                  </w:tcBorders>
                  <w:noWrap w:val="0"/>
                  <w:vAlign w:val="center"/>
                </w:tcPr>
                <w:p w14:paraId="3C1F0F1F">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常温</w:t>
                  </w:r>
                </w:p>
              </w:tc>
              <w:tc>
                <w:tcPr>
                  <w:tcW w:w="558" w:type="pct"/>
                  <w:tcBorders>
                    <w:tl2br w:val="nil"/>
                    <w:tr2bl w:val="nil"/>
                  </w:tcBorders>
                  <w:noWrap w:val="0"/>
                  <w:vAlign w:val="center"/>
                </w:tcPr>
                <w:p w14:paraId="566E08A5">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一般排放口</w:t>
                  </w:r>
                </w:p>
              </w:tc>
            </w:tr>
            <w:tr w14:paraId="54E0C5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tcBorders>
                    <w:tl2br w:val="nil"/>
                    <w:tr2bl w:val="nil"/>
                  </w:tcBorders>
                  <w:shd w:val="clear" w:color="auto" w:fill="auto"/>
                  <w:noWrap w:val="0"/>
                  <w:vAlign w:val="center"/>
                </w:tcPr>
                <w:p w14:paraId="40B09A3B">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DA</w:t>
                  </w:r>
                  <w:r>
                    <w:rPr>
                      <w:rFonts w:ascii="Times New Roman" w:hAnsi="Times New Roman" w:eastAsia="宋体" w:cs="Times New Roman"/>
                      <w:color w:val="000000" w:themeColor="text1"/>
                      <w:spacing w:val="8"/>
                      <w:sz w:val="21"/>
                      <w:szCs w:val="21"/>
                      <w14:textFill>
                        <w14:solidFill>
                          <w14:schemeClr w14:val="tx1"/>
                        </w14:solidFill>
                      </w14:textFill>
                    </w:rPr>
                    <w:t>00</w:t>
                  </w:r>
                  <w:r>
                    <w:rPr>
                      <w:rFonts w:hint="eastAsia" w:cs="Times New Roman"/>
                      <w:color w:val="000000" w:themeColor="text1"/>
                      <w:spacing w:val="8"/>
                      <w:sz w:val="21"/>
                      <w:szCs w:val="21"/>
                      <w:lang w:val="en-US" w:eastAsia="zh-CN"/>
                      <w14:textFill>
                        <w14:solidFill>
                          <w14:schemeClr w14:val="tx1"/>
                        </w14:solidFill>
                      </w14:textFill>
                    </w:rPr>
                    <w:t>9</w:t>
                  </w:r>
                </w:p>
              </w:tc>
              <w:tc>
                <w:tcPr>
                  <w:tcW w:w="1207" w:type="pct"/>
                  <w:tcBorders>
                    <w:tl2br w:val="nil"/>
                    <w:tr2bl w:val="nil"/>
                  </w:tcBorders>
                  <w:shd w:val="clear" w:color="auto" w:fill="auto"/>
                  <w:noWrap w:val="0"/>
                  <w:vAlign w:val="center"/>
                </w:tcPr>
                <w:p w14:paraId="1677396C">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cs="宋体"/>
                      <w:color w:val="000000" w:themeColor="text1"/>
                      <w:spacing w:val="-4"/>
                      <w:kern w:val="0"/>
                      <w:sz w:val="21"/>
                      <w:szCs w:val="22"/>
                      <w:lang w:val="en-US" w:eastAsia="zh-CN" w:bidi="ar"/>
                      <w14:textFill>
                        <w14:solidFill>
                          <w14:schemeClr w14:val="tx1"/>
                        </w14:solidFill>
                      </w14:textFill>
                    </w:rPr>
                    <w:t>3#厂房</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喷胶/喷漆废气及烘干</w:t>
                  </w:r>
                  <w:r>
                    <w:rPr>
                      <w:rFonts w:hint="eastAsia" w:ascii="Times New Roman" w:hAnsi="Times New Roman" w:cs="Times New Roman"/>
                      <w:color w:val="000000" w:themeColor="text1"/>
                      <w:kern w:val="18"/>
                      <w:sz w:val="21"/>
                      <w:szCs w:val="21"/>
                      <w:lang w:val="en-US" w:eastAsia="zh-CN"/>
                      <w14:textFill>
                        <w14:solidFill>
                          <w14:schemeClr w14:val="tx1"/>
                        </w14:solidFill>
                      </w14:textFill>
                    </w:rPr>
                    <w:t>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废气</w:t>
                  </w:r>
                </w:p>
              </w:tc>
              <w:tc>
                <w:tcPr>
                  <w:tcW w:w="991" w:type="pct"/>
                  <w:tcBorders>
                    <w:tl2br w:val="nil"/>
                    <w:tr2bl w:val="nil"/>
                  </w:tcBorders>
                  <w:shd w:val="clear" w:color="auto" w:fill="auto"/>
                  <w:noWrap w:val="0"/>
                  <w:vAlign w:val="center"/>
                </w:tcPr>
                <w:p w14:paraId="4C1C4B0C">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default" w:ascii="Times New Roman" w:hAnsi="Times New Roman" w:cs="Times New Roman"/>
                      <w:color w:val="000000" w:themeColor="text1"/>
                      <w:spacing w:val="6"/>
                      <w:sz w:val="21"/>
                      <w:szCs w:val="21"/>
                      <w:lang w:val="en-US" w:eastAsia="zh-CN"/>
                      <w14:textFill>
                        <w14:solidFill>
                          <w14:schemeClr w14:val="tx1"/>
                        </w14:solidFill>
                      </w14:textFill>
                    </w:rPr>
                    <w:t>非甲烷总烃</w:t>
                  </w:r>
                  <w:r>
                    <w:rPr>
                      <w:rFonts w:hint="eastAsia" w:ascii="Times New Roman" w:hAnsi="Times New Roman" w:cs="Times New Roman"/>
                      <w:color w:val="000000" w:themeColor="text1"/>
                      <w:spacing w:val="6"/>
                      <w:sz w:val="21"/>
                      <w:szCs w:val="21"/>
                      <w:lang w:val="en-US" w:eastAsia="zh-CN"/>
                      <w14:textFill>
                        <w14:solidFill>
                          <w14:schemeClr w14:val="tx1"/>
                        </w14:solidFill>
                      </w14:textFill>
                    </w:rPr>
                    <w:t>、二甲苯、乙酸丁酯、</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SO</w:t>
                  </w:r>
                  <w:r>
                    <w:rPr>
                      <w:rFonts w:hint="default" w:ascii="Times New Roman" w:hAnsi="Times New Roman" w:cs="Times New Roman"/>
                      <w:color w:val="000000" w:themeColor="text1"/>
                      <w:spacing w:val="6"/>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、NO</w:t>
                  </w:r>
                  <w:r>
                    <w:rPr>
                      <w:rFonts w:hint="default" w:ascii="Times New Roman" w:hAnsi="Times New Roman" w:cs="Times New Roman"/>
                      <w:color w:val="000000" w:themeColor="text1"/>
                      <w:spacing w:val="6"/>
                      <w:sz w:val="21"/>
                      <w:szCs w:val="21"/>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、颗粒物</w:t>
                  </w:r>
                </w:p>
              </w:tc>
              <w:tc>
                <w:tcPr>
                  <w:tcW w:w="525" w:type="pct"/>
                  <w:tcBorders>
                    <w:tl2br w:val="nil"/>
                    <w:tr2bl w:val="nil"/>
                  </w:tcBorders>
                  <w:shd w:val="clear" w:color="auto" w:fill="auto"/>
                  <w:noWrap w:val="0"/>
                  <w:vAlign w:val="center"/>
                </w:tcPr>
                <w:p w14:paraId="45CE3891">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22</w:t>
                  </w:r>
                </w:p>
              </w:tc>
              <w:tc>
                <w:tcPr>
                  <w:tcW w:w="655" w:type="pct"/>
                  <w:tcBorders>
                    <w:tl2br w:val="nil"/>
                    <w:tr2bl w:val="nil"/>
                  </w:tcBorders>
                  <w:shd w:val="clear" w:color="auto" w:fill="auto"/>
                  <w:noWrap w:val="0"/>
                  <w:vAlign w:val="center"/>
                </w:tcPr>
                <w:p w14:paraId="0C5D5826">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0.</w:t>
                  </w:r>
                  <w:r>
                    <w:rPr>
                      <w:rFonts w:hint="eastAsia" w:ascii="Times New Roman" w:hAnsi="Times New Roman" w:cs="宋体"/>
                      <w:color w:val="000000" w:themeColor="text1"/>
                      <w:spacing w:val="-4"/>
                      <w:kern w:val="0"/>
                      <w:sz w:val="21"/>
                      <w:szCs w:val="22"/>
                      <w:lang w:val="en-US" w:eastAsia="zh-CN" w:bidi="ar"/>
                      <w14:textFill>
                        <w14:solidFill>
                          <w14:schemeClr w14:val="tx1"/>
                        </w14:solidFill>
                      </w14:textFill>
                    </w:rPr>
                    <w:t>5</w:t>
                  </w:r>
                </w:p>
              </w:tc>
              <w:tc>
                <w:tcPr>
                  <w:tcW w:w="543" w:type="pct"/>
                  <w:tcBorders>
                    <w:tl2br w:val="nil"/>
                    <w:tr2bl w:val="nil"/>
                  </w:tcBorders>
                  <w:shd w:val="clear" w:color="auto" w:fill="auto"/>
                  <w:noWrap w:val="0"/>
                  <w:vAlign w:val="center"/>
                </w:tcPr>
                <w:p w14:paraId="0E3E5245">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常温</w:t>
                  </w:r>
                </w:p>
              </w:tc>
              <w:tc>
                <w:tcPr>
                  <w:tcW w:w="558" w:type="pct"/>
                  <w:tcBorders>
                    <w:tl2br w:val="nil"/>
                    <w:tr2bl w:val="nil"/>
                  </w:tcBorders>
                  <w:shd w:val="clear" w:color="auto" w:fill="auto"/>
                  <w:noWrap w:val="0"/>
                  <w:vAlign w:val="center"/>
                </w:tcPr>
                <w:p w14:paraId="551A2228">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pPr>
                  <w:r>
                    <w:rPr>
                      <w:rFonts w:hint="eastAsia" w:ascii="Times New Roman" w:hAnsi="Times New Roman" w:eastAsia="宋体" w:cs="宋体"/>
                      <w:color w:val="000000" w:themeColor="text1"/>
                      <w:spacing w:val="-4"/>
                      <w:kern w:val="0"/>
                      <w:sz w:val="21"/>
                      <w:szCs w:val="22"/>
                      <w:lang w:val="en-US" w:eastAsia="zh-CN" w:bidi="ar"/>
                      <w14:textFill>
                        <w14:solidFill>
                          <w14:schemeClr w14:val="tx1"/>
                        </w14:solidFill>
                      </w14:textFill>
                    </w:rPr>
                    <w:t>一般排放口</w:t>
                  </w:r>
                </w:p>
              </w:tc>
            </w:tr>
          </w:tbl>
          <w:p w14:paraId="1D5CE9EC">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ascii="Times New Roman" w:hAnsi="Times New Roman" w:eastAsia="宋体" w:cs="Times New Roman"/>
                <w:b/>
                <w:color w:val="000000" w:themeColor="text1"/>
                <w:kern w:val="0"/>
                <w:sz w:val="24"/>
                <w14:textFill>
                  <w14:solidFill>
                    <w14:schemeClr w14:val="tx1"/>
                  </w14:solidFill>
                </w14:textFill>
              </w:rPr>
            </w:pPr>
            <w:r>
              <w:rPr>
                <w:rFonts w:hint="eastAsia" w:ascii="Times New Roman" w:hAnsi="Times New Roman" w:eastAsia="宋体" w:cs="Times New Roman"/>
                <w:b/>
                <w:color w:val="000000" w:themeColor="text1"/>
                <w:kern w:val="0"/>
                <w:sz w:val="24"/>
                <w:lang w:val="en-US" w:eastAsia="zh-CN"/>
                <w14:textFill>
                  <w14:solidFill>
                    <w14:schemeClr w14:val="tx1"/>
                  </w14:solidFill>
                </w14:textFill>
              </w:rPr>
              <w:t>4.2.4</w:t>
            </w:r>
            <w:r>
              <w:rPr>
                <w:rFonts w:hint="eastAsia" w:ascii="Times New Roman" w:hAnsi="Times New Roman" w:eastAsia="宋体" w:cs="Times New Roman"/>
                <w:b/>
                <w:color w:val="000000" w:themeColor="text1"/>
                <w:kern w:val="0"/>
                <w:sz w:val="24"/>
                <w14:textFill>
                  <w14:solidFill>
                    <w14:schemeClr w14:val="tx1"/>
                  </w14:solidFill>
                </w14:textFill>
              </w:rPr>
              <w:t>环境防护距离分析</w:t>
            </w:r>
          </w:p>
          <w:p w14:paraId="39EFBD00">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根据《建设项目环境影响报告表编制技术指南(污染影响类)(试行)》(</w:t>
            </w:r>
            <w:r>
              <w:rPr>
                <w:bCs/>
                <w:color w:val="000000" w:themeColor="text1"/>
                <w:sz w:val="24"/>
                <w:lang w:val="zh-CN"/>
                <w14:textFill>
                  <w14:solidFill>
                    <w14:schemeClr w14:val="tx1"/>
                  </w14:solidFill>
                </w14:textFill>
              </w:rPr>
              <w:t>环办环评〔2020〕33号</w:t>
            </w:r>
            <w:r>
              <w:rPr>
                <w:rFonts w:hint="eastAsia"/>
                <w:bCs/>
                <w:color w:val="000000" w:themeColor="text1"/>
                <w:sz w:val="24"/>
                <w14:textFill>
                  <w14:solidFill>
                    <w14:schemeClr w14:val="tx1"/>
                  </w14:solidFill>
                </w14:textFill>
              </w:rPr>
              <w:t>)要求可知，目前不对项目</w:t>
            </w:r>
            <w:r>
              <w:rPr>
                <w:bCs/>
                <w:color w:val="000000" w:themeColor="text1"/>
                <w:sz w:val="24"/>
                <w14:textFill>
                  <w14:solidFill>
                    <w14:schemeClr w14:val="tx1"/>
                  </w14:solidFill>
                </w14:textFill>
              </w:rPr>
              <w:t>大气环境防护距离及卫生防护</w:t>
            </w:r>
            <w:r>
              <w:rPr>
                <w:rFonts w:hint="eastAsia"/>
                <w:bCs/>
                <w:color w:val="000000" w:themeColor="text1"/>
                <w:sz w:val="24"/>
                <w14:textFill>
                  <w14:solidFill>
                    <w14:schemeClr w14:val="tx1"/>
                  </w14:solidFill>
                </w14:textFill>
              </w:rPr>
              <w:t>距离进行要求。</w:t>
            </w:r>
            <w:r>
              <w:rPr>
                <w:b/>
                <w:bCs/>
                <w:color w:val="000000" w:themeColor="text1"/>
                <w:sz w:val="24"/>
                <w:szCs w:val="22"/>
                <w14:textFill>
                  <w14:solidFill>
                    <w14:schemeClr w14:val="tx1"/>
                  </w14:solidFill>
                </w14:textFill>
              </w:rPr>
              <w:t>根据环境影响评价网(</w:t>
            </w:r>
            <w:r>
              <w:rPr>
                <w:b/>
                <w:bCs/>
                <w:color w:val="000000" w:themeColor="text1"/>
                <w:sz w:val="24"/>
                <w:szCs w:val="22"/>
                <w:lang w:val="zh-CN"/>
                <w14:textFill>
                  <w14:solidFill>
                    <w14:schemeClr w14:val="tx1"/>
                  </w14:solidFill>
                </w14:textFill>
              </w:rPr>
              <w:t>生态环境部环境工程评估中心</w:t>
            </w:r>
            <w:r>
              <w:rPr>
                <w:b/>
                <w:bCs/>
                <w:color w:val="000000" w:themeColor="text1"/>
                <w:sz w:val="24"/>
                <w:szCs w:val="22"/>
                <w14:textFill>
                  <w14:solidFill>
                    <w14:schemeClr w14:val="tx1"/>
                  </w14:solidFill>
                </w14:textFill>
              </w:rPr>
              <w:t>)关于</w:t>
            </w:r>
            <w:r>
              <w:rPr>
                <w:b/>
                <w:bCs/>
                <w:color w:val="000000" w:themeColor="text1"/>
                <w:sz w:val="24"/>
                <w:szCs w:val="22"/>
                <w:lang w:val="zh-CN"/>
                <w14:textFill>
                  <w14:solidFill>
                    <w14:schemeClr w14:val="tx1"/>
                  </w14:solidFill>
                </w14:textFill>
              </w:rPr>
              <w:t>《建设项目环境影响报告表》内容、格式及编制技术指南常见问题解答：</w:t>
            </w:r>
            <w:r>
              <w:rPr>
                <w:rFonts w:hint="eastAsia"/>
                <w:b/>
                <w:bCs/>
                <w:color w:val="000000" w:themeColor="text1"/>
                <w:sz w:val="24"/>
                <w:szCs w:val="22"/>
                <w:lang w:val="zh-CN"/>
                <w14:textFill>
                  <w14:solidFill>
                    <w14:schemeClr w14:val="tx1"/>
                  </w14:solidFill>
                </w14:textFill>
              </w:rPr>
              <w:t>“</w:t>
            </w:r>
            <w:r>
              <w:rPr>
                <w:color w:val="000000" w:themeColor="text1"/>
                <w:sz w:val="24"/>
                <w:shd w:val="clear" w:color="auto" w:fill="FFFFFF"/>
                <w14:textFill>
                  <w14:solidFill>
                    <w14:schemeClr w14:val="tx1"/>
                  </w14:solidFill>
                </w14:textFill>
              </w:rPr>
              <w:t>《建设项目环境影响评价技术导则 总纲》(HJ2.1-2016)未对卫生防护距离提出评价要求，建设项目环境影响报告表编制技术指南(以下简称技术指南)不</w:t>
            </w:r>
            <w:r>
              <w:rPr>
                <w:rFonts w:hint="eastAsia"/>
                <w:color w:val="000000" w:themeColor="text1"/>
                <w:sz w:val="24"/>
                <w:shd w:val="clear" w:color="auto" w:fill="FFFFFF"/>
                <w14:textFill>
                  <w14:solidFill>
                    <w14:schemeClr w14:val="tx1"/>
                  </w14:solidFill>
                </w14:textFill>
              </w:rPr>
              <w:t>作要求</w:t>
            </w:r>
            <w:r>
              <w:rPr>
                <w:color w:val="000000" w:themeColor="text1"/>
                <w:sz w:val="24"/>
                <w:shd w:val="clear" w:color="auto" w:fill="FFFFFF"/>
                <w14:textFill>
                  <w14:solidFill>
                    <w14:schemeClr w14:val="tx1"/>
                  </w14:solidFill>
                </w14:textFill>
              </w:rPr>
              <w:t>。对于判定为需要开展大气专项评价的建设项目，根据《环境影响评价技术导则 大气环境》(HJ2.2-2018)需要计算大气环境防护距离的，应按要求计算</w:t>
            </w:r>
            <w:r>
              <w:rPr>
                <w:rFonts w:hint="eastAsia"/>
                <w:color w:val="000000" w:themeColor="text1"/>
                <w:sz w:val="24"/>
                <w:shd w:val="clear" w:color="auto" w:fill="FFFFFF"/>
                <w:lang w:eastAsia="zh-CN"/>
                <w14:textFill>
                  <w14:solidFill>
                    <w14:schemeClr w14:val="tx1"/>
                  </w14:solidFill>
                </w14:textFill>
              </w:rPr>
              <w:t>”</w:t>
            </w:r>
            <w:r>
              <w:rPr>
                <w:color w:val="000000" w:themeColor="text1"/>
                <w:sz w:val="24"/>
                <w:shd w:val="clear" w:color="auto" w:fill="FFFFFF"/>
                <w14:textFill>
                  <w14:solidFill>
                    <w14:schemeClr w14:val="tx1"/>
                  </w14:solidFill>
                </w14:textFill>
              </w:rPr>
              <w:t>。本项目不涉及大气专项评价，因此，</w:t>
            </w:r>
            <w:r>
              <w:rPr>
                <w:bCs/>
                <w:color w:val="000000" w:themeColor="text1"/>
                <w:sz w:val="24"/>
                <w14:textFill>
                  <w14:solidFill>
                    <w14:schemeClr w14:val="tx1"/>
                  </w14:solidFill>
                </w14:textFill>
              </w:rPr>
              <w:t>在企业落实有效的废气收集、处理措施的前提下，本项目可不设置环境防护距离。</w:t>
            </w:r>
          </w:p>
          <w:p w14:paraId="6ACFFD2A">
            <w:pPr>
              <w:adjustRightInd w:val="0"/>
              <w:snapToGrid w:val="0"/>
              <w:spacing w:line="360" w:lineRule="auto"/>
              <w:rPr>
                <w:rFonts w:ascii="Times New Roman" w:hAnsi="Times New Roman"/>
                <w:b/>
                <w:color w:val="000000" w:themeColor="text1"/>
                <w:kern w:val="0"/>
                <w:sz w:val="24"/>
                <w14:textFill>
                  <w14:solidFill>
                    <w14:schemeClr w14:val="tx1"/>
                  </w14:solidFill>
                </w14:textFill>
              </w:rPr>
            </w:pPr>
            <w:r>
              <w:rPr>
                <w:rFonts w:ascii="Times New Roman" w:hAnsi="Times New Roman"/>
                <w:b/>
                <w:color w:val="000000" w:themeColor="text1"/>
                <w:kern w:val="0"/>
                <w:sz w:val="24"/>
                <w14:textFill>
                  <w14:solidFill>
                    <w14:schemeClr w14:val="tx1"/>
                  </w14:solidFill>
                </w14:textFill>
              </w:rPr>
              <w:t>4.</w:t>
            </w:r>
            <w:r>
              <w:rPr>
                <w:rFonts w:hint="eastAsia" w:ascii="Times New Roman" w:hAnsi="Times New Roman"/>
                <w:b/>
                <w:color w:val="000000" w:themeColor="text1"/>
                <w:kern w:val="0"/>
                <w:sz w:val="24"/>
                <w:lang w:val="en-US" w:eastAsia="zh-CN"/>
                <w14:textFill>
                  <w14:solidFill>
                    <w14:schemeClr w14:val="tx1"/>
                  </w14:solidFill>
                </w14:textFill>
              </w:rPr>
              <w:t>2</w:t>
            </w:r>
            <w:r>
              <w:rPr>
                <w:rFonts w:ascii="Times New Roman" w:hAnsi="Times New Roman"/>
                <w:b/>
                <w:color w:val="000000" w:themeColor="text1"/>
                <w:kern w:val="0"/>
                <w:sz w:val="24"/>
                <w14:textFill>
                  <w14:solidFill>
                    <w14:schemeClr w14:val="tx1"/>
                  </w14:solidFill>
                </w14:textFill>
              </w:rPr>
              <w:t>.</w:t>
            </w:r>
            <w:r>
              <w:rPr>
                <w:rFonts w:hint="eastAsia" w:ascii="Times New Roman" w:hAnsi="Times New Roman"/>
                <w:b/>
                <w:color w:val="000000" w:themeColor="text1"/>
                <w:kern w:val="0"/>
                <w:sz w:val="24"/>
                <w:lang w:val="en-US" w:eastAsia="zh-CN"/>
                <w14:textFill>
                  <w14:solidFill>
                    <w14:schemeClr w14:val="tx1"/>
                  </w14:solidFill>
                </w14:textFill>
              </w:rPr>
              <w:t>5</w:t>
            </w:r>
            <w:r>
              <w:rPr>
                <w:rFonts w:ascii="Times New Roman" w:hAnsi="Times New Roman"/>
                <w:b/>
                <w:color w:val="000000" w:themeColor="text1"/>
                <w:kern w:val="0"/>
                <w:sz w:val="24"/>
                <w14:textFill>
                  <w14:solidFill>
                    <w14:schemeClr w14:val="tx1"/>
                  </w14:solidFill>
                </w14:textFill>
              </w:rPr>
              <w:t>自行监测计划</w:t>
            </w:r>
          </w:p>
          <w:p w14:paraId="3614F43C">
            <w:pPr>
              <w:pStyle w:val="76"/>
              <w:adjustRightInd w:val="0"/>
              <w:snapToGrid w:val="0"/>
              <w:ind w:firstLine="480"/>
              <w:rPr>
                <w:rFonts w:ascii="Times New Roman" w:hAnsi="Times New Roman"/>
                <w:color w:val="000000" w:themeColor="text1"/>
                <w14:textFill>
                  <w14:solidFill>
                    <w14:schemeClr w14:val="tx1"/>
                  </w14:solidFill>
                </w14:textFill>
              </w:rPr>
            </w:pPr>
            <w:r>
              <w:rPr>
                <w:rFonts w:hint="eastAsia" w:ascii="Times New Roman" w:hAnsi="Times New Roman" w:eastAsia="宋体" w:cs="Times New Roman"/>
                <w:bCs/>
                <w:color w:val="000000" w:themeColor="text1"/>
                <w:lang w:val="en-US" w:eastAsia="zh-CN"/>
                <w14:textFill>
                  <w14:solidFill>
                    <w14:schemeClr w14:val="tx1"/>
                  </w14:solidFill>
                </w14:textFill>
              </w:rPr>
              <w:t>本评价根据《排污单位自行监测技术指南 总则》（</w:t>
            </w:r>
            <w:r>
              <w:rPr>
                <w:rFonts w:hint="default" w:ascii="Times New Roman" w:hAnsi="Times New Roman" w:eastAsia="宋体" w:cs="Times New Roman"/>
                <w:bCs/>
                <w:color w:val="000000" w:themeColor="text1"/>
                <w:lang w:val="en-US" w:eastAsia="zh-CN"/>
                <w14:textFill>
                  <w14:solidFill>
                    <w14:schemeClr w14:val="tx1"/>
                  </w14:solidFill>
                </w14:textFill>
              </w:rPr>
              <w:t>HJ 819-2017</w:t>
            </w:r>
            <w:r>
              <w:rPr>
                <w:rFonts w:hint="eastAsia" w:ascii="Times New Roman" w:hAnsi="Times New Roman" w:eastAsia="宋体" w:cs="Times New Roman"/>
                <w:bCs/>
                <w:color w:val="000000" w:themeColor="text1"/>
                <w:lang w:val="en-US" w:eastAsia="zh-CN"/>
                <w14:textFill>
                  <w14:solidFill>
                    <w14:schemeClr w14:val="tx1"/>
                  </w14:solidFill>
                </w14:textFill>
              </w:rPr>
              <w:t>）、《排污单位自行监测技术指南 涂装》（</w:t>
            </w:r>
            <w:r>
              <w:rPr>
                <w:rFonts w:hint="default" w:ascii="Times New Roman" w:hAnsi="Times New Roman" w:eastAsia="宋体" w:cs="Times New Roman"/>
                <w:bCs/>
                <w:color w:val="000000" w:themeColor="text1"/>
                <w:lang w:val="en-US" w:eastAsia="zh-CN"/>
                <w14:textFill>
                  <w14:solidFill>
                    <w14:schemeClr w14:val="tx1"/>
                  </w14:solidFill>
                </w14:textFill>
              </w:rPr>
              <w:t>HJ 1086-2020</w:t>
            </w:r>
            <w:r>
              <w:rPr>
                <w:rFonts w:hint="eastAsia" w:ascii="Times New Roman" w:hAnsi="Times New Roman" w:eastAsia="宋体" w:cs="Times New Roman"/>
                <w:bCs/>
                <w:color w:val="000000" w:themeColor="text1"/>
                <w:lang w:val="en-US" w:eastAsia="zh-CN"/>
                <w14:textFill>
                  <w14:solidFill>
                    <w14:schemeClr w14:val="tx1"/>
                  </w14:solidFill>
                </w14:textFill>
              </w:rPr>
              <w:t>）制定项目废气监测计划</w:t>
            </w:r>
            <w:r>
              <w:rPr>
                <w:rFonts w:hint="eastAsia" w:ascii="Times New Roman" w:hAnsi="Times New Roman"/>
                <w:bCs/>
                <w:color w:val="000000" w:themeColor="text1"/>
                <w14:textFill>
                  <w14:solidFill>
                    <w14:schemeClr w14:val="tx1"/>
                  </w14:solidFill>
                </w14:textFill>
              </w:rPr>
              <w:t>，具体详见表4.</w:t>
            </w:r>
            <w:r>
              <w:rPr>
                <w:rFonts w:hint="eastAsia" w:ascii="Times New Roman" w:hAnsi="Times New Roman"/>
                <w:bCs/>
                <w:color w:val="000000" w:themeColor="text1"/>
                <w:lang w:val="en-US" w:eastAsia="zh-CN"/>
                <w14:textFill>
                  <w14:solidFill>
                    <w14:schemeClr w14:val="tx1"/>
                  </w14:solidFill>
                </w14:textFill>
              </w:rPr>
              <w:t>2-</w:t>
            </w:r>
            <w:r>
              <w:rPr>
                <w:rFonts w:hint="eastAsia"/>
                <w:bCs/>
                <w:color w:val="000000" w:themeColor="text1"/>
                <w:lang w:val="en-US" w:eastAsia="zh-CN"/>
                <w14:textFill>
                  <w14:solidFill>
                    <w14:schemeClr w14:val="tx1"/>
                  </w14:solidFill>
                </w14:textFill>
              </w:rPr>
              <w:t>10</w:t>
            </w:r>
            <w:r>
              <w:rPr>
                <w:rFonts w:hint="eastAsia" w:ascii="Times New Roman" w:hAnsi="Times New Roman"/>
                <w:bCs/>
                <w:color w:val="000000" w:themeColor="text1"/>
                <w14:textFill>
                  <w14:solidFill>
                    <w14:schemeClr w14:val="tx1"/>
                  </w14:solidFill>
                </w14:textFill>
              </w:rPr>
              <w:t>。</w:t>
            </w:r>
          </w:p>
          <w:p w14:paraId="2C439144">
            <w:pPr>
              <w:widowControl/>
              <w:spacing w:before="120" w:beforeLines="50" w:line="240" w:lineRule="auto"/>
              <w:jc w:val="cente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表4.2-</w:t>
            </w:r>
            <w:r>
              <w:rPr>
                <w:rFonts w:hint="eastAsia" w:cs="Times New Roman"/>
                <w:b/>
                <w:bCs/>
                <w:color w:val="000000" w:themeColor="text1"/>
                <w:kern w:val="0"/>
                <w:sz w:val="24"/>
                <w:lang w:val="en-US" w:eastAsia="zh-CN" w:bidi="ar"/>
                <w14:textFill>
                  <w14:solidFill>
                    <w14:schemeClr w14:val="tx1"/>
                  </w14:solidFill>
                </w14:textFill>
              </w:rPr>
              <w:t>10</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 xml:space="preserve">  项目废气自行监测计划</w:t>
            </w:r>
          </w:p>
          <w:tbl>
            <w:tblPr>
              <w:tblStyle w:val="30"/>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2066"/>
              <w:gridCol w:w="4159"/>
              <w:gridCol w:w="1057"/>
              <w:gridCol w:w="896"/>
            </w:tblGrid>
            <w:tr w14:paraId="742C9B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2" w:type="pct"/>
                  <w:noWrap w:val="0"/>
                  <w:vAlign w:val="center"/>
                </w:tcPr>
                <w:p w14:paraId="73006214">
                  <w:pPr>
                    <w:adjustRightInd w:val="0"/>
                    <w:snapToGrid w:val="0"/>
                    <w:spacing w:line="340" w:lineRule="exact"/>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类别</w:t>
                  </w:r>
                </w:p>
              </w:tc>
              <w:tc>
                <w:tcPr>
                  <w:tcW w:w="1171" w:type="pct"/>
                  <w:noWrap w:val="0"/>
                  <w:vAlign w:val="center"/>
                </w:tcPr>
                <w:p w14:paraId="20E04B1E">
                  <w:pPr>
                    <w:adjustRightInd w:val="0"/>
                    <w:snapToGrid w:val="0"/>
                    <w:spacing w:line="340" w:lineRule="exact"/>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监测点位</w:t>
                  </w:r>
                </w:p>
              </w:tc>
              <w:tc>
                <w:tcPr>
                  <w:tcW w:w="2358" w:type="pct"/>
                  <w:noWrap w:val="0"/>
                  <w:vAlign w:val="center"/>
                </w:tcPr>
                <w:p w14:paraId="21C80E75">
                  <w:pPr>
                    <w:adjustRightInd w:val="0"/>
                    <w:snapToGrid w:val="0"/>
                    <w:spacing w:line="340" w:lineRule="exact"/>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监测因子</w:t>
                  </w:r>
                </w:p>
              </w:tc>
              <w:tc>
                <w:tcPr>
                  <w:tcW w:w="599" w:type="pct"/>
                  <w:noWrap w:val="0"/>
                  <w:vAlign w:val="center"/>
                </w:tcPr>
                <w:p w14:paraId="4A008E16">
                  <w:pPr>
                    <w:adjustRightInd w:val="0"/>
                    <w:snapToGrid w:val="0"/>
                    <w:spacing w:line="340" w:lineRule="exact"/>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监测频次</w:t>
                  </w:r>
                </w:p>
              </w:tc>
              <w:tc>
                <w:tcPr>
                  <w:tcW w:w="508" w:type="pct"/>
                  <w:noWrap w:val="0"/>
                  <w:vAlign w:val="center"/>
                </w:tcPr>
                <w:p w14:paraId="3BA6E4FD">
                  <w:pPr>
                    <w:adjustRightInd w:val="0"/>
                    <w:snapToGrid w:val="0"/>
                    <w:spacing w:line="340" w:lineRule="exact"/>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备注</w:t>
                  </w:r>
                </w:p>
              </w:tc>
            </w:tr>
            <w:tr w14:paraId="67A80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2" w:type="pct"/>
                  <w:vMerge w:val="restart"/>
                  <w:noWrap w:val="0"/>
                  <w:vAlign w:val="center"/>
                </w:tcPr>
                <w:p w14:paraId="148AA259">
                  <w:pPr>
                    <w:adjustRightInd w:val="0"/>
                    <w:snapToGrid w:val="0"/>
                    <w:spacing w:line="3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废气</w:t>
                  </w:r>
                </w:p>
              </w:tc>
              <w:tc>
                <w:tcPr>
                  <w:tcW w:w="1171" w:type="pct"/>
                  <w:shd w:val="clear" w:color="auto" w:fill="auto"/>
                  <w:noWrap w:val="0"/>
                  <w:vAlign w:val="center"/>
                </w:tcPr>
                <w:p w14:paraId="18F10EAE">
                  <w:pPr>
                    <w:adjustRightInd w:val="0"/>
                    <w:snapToGrid w:val="0"/>
                    <w:spacing w:line="3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DA002</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排气筒出口</w:t>
                  </w:r>
                </w:p>
              </w:tc>
              <w:tc>
                <w:tcPr>
                  <w:tcW w:w="2358" w:type="pct"/>
                  <w:shd w:val="clear" w:color="auto" w:fill="auto"/>
                  <w:noWrap w:val="0"/>
                  <w:vAlign w:val="center"/>
                </w:tcPr>
                <w:p w14:paraId="33F5A20B">
                  <w:pPr>
                    <w:pStyle w:val="81"/>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textAlignment w:val="auto"/>
                    <w:rPr>
                      <w:rFonts w:hint="default" w:ascii="Times New Roman" w:hAnsi="Times New Roman" w:eastAsia="宋体" w:cs="Times New Roman"/>
                      <w:bCs/>
                      <w:color w:val="000000" w:themeColor="text1"/>
                      <w:kern w:val="0"/>
                      <w:sz w:val="21"/>
                      <w:szCs w:val="21"/>
                      <w:lang w:val="en-US" w:eastAsia="zh-CN" w:bidi="he-IL"/>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非甲烷总烃</w:t>
                  </w:r>
                  <w:r>
                    <w:rPr>
                      <w:rFonts w:hint="eastAsia" w:ascii="Times New Roman" w:hAnsi="Times New Roman" w:cs="Times New Roman"/>
                      <w:color w:val="000000" w:themeColor="text1"/>
                      <w:spacing w:val="6"/>
                      <w:sz w:val="21"/>
                      <w:szCs w:val="21"/>
                      <w:lang w:val="en-US" w:eastAsia="zh-CN"/>
                      <w14:textFill>
                        <w14:solidFill>
                          <w14:schemeClr w14:val="tx1"/>
                        </w14:solidFill>
                      </w14:textFill>
                    </w:rPr>
                    <w:t>、二甲苯、</w:t>
                  </w:r>
                  <w:r>
                    <w:rPr>
                      <w:rFonts w:hint="default" w:ascii="Times New Roman" w:hAnsi="Times New Roman" w:cs="Times New Roman"/>
                      <w:b w:val="0"/>
                      <w:bCs/>
                      <w:color w:val="000000" w:themeColor="text1"/>
                      <w:sz w:val="21"/>
                      <w:szCs w:val="21"/>
                      <w14:textFill>
                        <w14:solidFill>
                          <w14:schemeClr w14:val="tx1"/>
                        </w14:solidFill>
                      </w14:textFill>
                    </w:rPr>
                    <w:t>颗粒物、二氧化硫、氮氧化物、林格曼黑度</w:t>
                  </w:r>
                </w:p>
              </w:tc>
              <w:tc>
                <w:tcPr>
                  <w:tcW w:w="599" w:type="pct"/>
                  <w:shd w:val="clear" w:color="auto" w:fill="auto"/>
                  <w:noWrap w:val="0"/>
                  <w:vAlign w:val="center"/>
                </w:tcPr>
                <w:p w14:paraId="3ABF7B33">
                  <w:pPr>
                    <w:adjustRightInd w:val="0"/>
                    <w:snapToGrid w:val="0"/>
                    <w:spacing w:line="3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1次</w:t>
                  </w:r>
                  <w:r>
                    <w:rPr>
                      <w:rFonts w:ascii="Times New Roman" w:hAnsi="Times New Roman" w:eastAsia="宋体" w:cs="Times New Roman"/>
                      <w:color w:val="000000" w:themeColor="text1"/>
                      <w:szCs w:val="21"/>
                      <w14:textFill>
                        <w14:solidFill>
                          <w14:schemeClr w14:val="tx1"/>
                        </w14:solidFill>
                      </w14:textFill>
                    </w:rPr>
                    <w:t>/年</w:t>
                  </w:r>
                </w:p>
              </w:tc>
              <w:tc>
                <w:tcPr>
                  <w:tcW w:w="508" w:type="pct"/>
                  <w:shd w:val="clear" w:color="auto" w:fill="auto"/>
                  <w:noWrap w:val="0"/>
                  <w:vAlign w:val="center"/>
                </w:tcPr>
                <w:p w14:paraId="14ABCD4D">
                  <w:pPr>
                    <w:adjustRightInd w:val="0"/>
                    <w:snapToGrid w:val="0"/>
                    <w:spacing w:line="3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已制定</w:t>
                  </w:r>
                </w:p>
              </w:tc>
            </w:tr>
            <w:tr w14:paraId="07C68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2" w:type="pct"/>
                  <w:vMerge w:val="continue"/>
                  <w:noWrap w:val="0"/>
                  <w:vAlign w:val="center"/>
                </w:tcPr>
                <w:p w14:paraId="5E71D556">
                  <w:pPr>
                    <w:adjustRightInd w:val="0"/>
                    <w:snapToGrid w:val="0"/>
                    <w:spacing w:line="3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171" w:type="pct"/>
                  <w:shd w:val="clear" w:color="auto" w:fill="auto"/>
                  <w:noWrap w:val="0"/>
                  <w:vAlign w:val="center"/>
                </w:tcPr>
                <w:p w14:paraId="3A23F599">
                  <w:pPr>
                    <w:adjustRightInd w:val="0"/>
                    <w:snapToGrid w:val="0"/>
                    <w:spacing w:line="34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DA003</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排气筒出口</w:t>
                  </w:r>
                </w:p>
              </w:tc>
              <w:tc>
                <w:tcPr>
                  <w:tcW w:w="2358" w:type="pct"/>
                  <w:shd w:val="clear" w:color="auto" w:fill="auto"/>
                  <w:noWrap w:val="0"/>
                  <w:vAlign w:val="center"/>
                </w:tcPr>
                <w:p w14:paraId="050E1F14">
                  <w:pPr>
                    <w:pStyle w:val="81"/>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textAlignment w:val="auto"/>
                    <w:rPr>
                      <w:rFonts w:hint="default" w:ascii="Times New Roman" w:hAnsi="Times New Roman" w:eastAsia="宋体" w:cs="Times New Roman"/>
                      <w:bCs/>
                      <w:color w:val="000000" w:themeColor="text1"/>
                      <w:kern w:val="0"/>
                      <w:sz w:val="21"/>
                      <w:szCs w:val="21"/>
                      <w:lang w:val="en-US" w:eastAsia="zh-CN" w:bidi="he-IL"/>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氮氧化物</w:t>
                  </w:r>
                </w:p>
              </w:tc>
              <w:tc>
                <w:tcPr>
                  <w:tcW w:w="599" w:type="pct"/>
                  <w:shd w:val="clear" w:color="auto" w:fill="auto"/>
                  <w:noWrap w:val="0"/>
                  <w:vAlign w:val="center"/>
                </w:tcPr>
                <w:p w14:paraId="23D27A71">
                  <w:pPr>
                    <w:adjustRightInd w:val="0"/>
                    <w:snapToGrid w:val="0"/>
                    <w:spacing w:line="34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1次</w:t>
                  </w:r>
                  <w:r>
                    <w:rPr>
                      <w:rFonts w:ascii="Times New Roman" w:hAnsi="Times New Roman" w:eastAsia="宋体" w:cs="Times New Roman"/>
                      <w:color w:val="000000" w:themeColor="text1"/>
                      <w:szCs w:val="21"/>
                      <w14:textFill>
                        <w14:solidFill>
                          <w14:schemeClr w14:val="tx1"/>
                        </w14:solidFill>
                      </w14:textFill>
                    </w:rPr>
                    <w:t>/年</w:t>
                  </w:r>
                </w:p>
              </w:tc>
              <w:tc>
                <w:tcPr>
                  <w:tcW w:w="508" w:type="pct"/>
                  <w:shd w:val="clear" w:color="auto" w:fill="auto"/>
                  <w:noWrap w:val="0"/>
                  <w:vAlign w:val="center"/>
                </w:tcPr>
                <w:p w14:paraId="635ED5FD">
                  <w:pPr>
                    <w:adjustRightInd w:val="0"/>
                    <w:snapToGrid w:val="0"/>
                    <w:spacing w:line="3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14:paraId="6F392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2" w:type="pct"/>
                  <w:vMerge w:val="continue"/>
                  <w:noWrap w:val="0"/>
                  <w:vAlign w:val="center"/>
                </w:tcPr>
                <w:p w14:paraId="7073F1BD">
                  <w:pPr>
                    <w:adjustRightInd w:val="0"/>
                    <w:snapToGrid w:val="0"/>
                    <w:spacing w:line="340" w:lineRule="exact"/>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171" w:type="pct"/>
                  <w:noWrap w:val="0"/>
                  <w:vAlign w:val="center"/>
                </w:tcPr>
                <w:p w14:paraId="1F088A0D">
                  <w:pPr>
                    <w:adjustRightInd w:val="0"/>
                    <w:snapToGrid w:val="0"/>
                    <w:spacing w:line="34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w:t>
                  </w:r>
                  <w:r>
                    <w:rPr>
                      <w:rFonts w:hint="eastAsia"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排气筒出口</w:t>
                  </w:r>
                </w:p>
              </w:tc>
              <w:tc>
                <w:tcPr>
                  <w:tcW w:w="2358" w:type="pct"/>
                  <w:noWrap w:val="0"/>
                  <w:vAlign w:val="center"/>
                </w:tcPr>
                <w:p w14:paraId="1D74EB17">
                  <w:pPr>
                    <w:pStyle w:val="81"/>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textAlignment w:val="auto"/>
                    <w:rPr>
                      <w:rFonts w:hint="default" w:ascii="Times New Roman" w:hAnsi="Times New Roman" w:eastAsia="宋体" w:cs="Times New Roman"/>
                      <w:bCs/>
                      <w:color w:val="000000" w:themeColor="text1"/>
                      <w:kern w:val="0"/>
                      <w:sz w:val="21"/>
                      <w:szCs w:val="21"/>
                      <w:lang w:val="en-US" w:eastAsia="zh-CN" w:bidi="he-IL"/>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颗粒物、</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非甲烷总烃</w:t>
                  </w:r>
                  <w:r>
                    <w:rPr>
                      <w:rFonts w:hint="eastAsia" w:ascii="Times New Roman" w:hAnsi="Times New Roman" w:cs="Times New Roman"/>
                      <w:color w:val="000000" w:themeColor="text1"/>
                      <w:spacing w:val="6"/>
                      <w:sz w:val="21"/>
                      <w:szCs w:val="21"/>
                      <w:lang w:val="en-US" w:eastAsia="zh-CN"/>
                      <w14:textFill>
                        <w14:solidFill>
                          <w14:schemeClr w14:val="tx1"/>
                        </w14:solidFill>
                      </w14:textFill>
                    </w:rPr>
                    <w:t>、甲苯</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14:textFill>
                        <w14:solidFill>
                          <w14:schemeClr w14:val="tx1"/>
                        </w14:solidFill>
                      </w14:textFill>
                    </w:rPr>
                    <w:t>二氧化硫、氮氧化物、林格曼黑度</w:t>
                  </w:r>
                </w:p>
              </w:tc>
              <w:tc>
                <w:tcPr>
                  <w:tcW w:w="599" w:type="pct"/>
                  <w:noWrap w:val="0"/>
                  <w:vAlign w:val="center"/>
                </w:tcPr>
                <w:p w14:paraId="331D8F8F">
                  <w:pPr>
                    <w:adjustRightInd w:val="0"/>
                    <w:snapToGrid w:val="0"/>
                    <w:spacing w:line="3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1次</w:t>
                  </w:r>
                  <w:r>
                    <w:rPr>
                      <w:rFonts w:ascii="Times New Roman" w:hAnsi="Times New Roman" w:eastAsia="宋体" w:cs="Times New Roman"/>
                      <w:color w:val="000000" w:themeColor="text1"/>
                      <w:szCs w:val="21"/>
                      <w14:textFill>
                        <w14:solidFill>
                          <w14:schemeClr w14:val="tx1"/>
                        </w14:solidFill>
                      </w14:textFill>
                    </w:rPr>
                    <w:t>/年</w:t>
                  </w:r>
                </w:p>
              </w:tc>
              <w:tc>
                <w:tcPr>
                  <w:tcW w:w="508" w:type="pct"/>
                  <w:noWrap w:val="0"/>
                  <w:vAlign w:val="center"/>
                </w:tcPr>
                <w:p w14:paraId="29DDF16E">
                  <w:pPr>
                    <w:adjustRightInd w:val="0"/>
                    <w:snapToGrid w:val="0"/>
                    <w:spacing w:line="3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14:paraId="69AD3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2" w:type="pct"/>
                  <w:vMerge w:val="continue"/>
                  <w:noWrap w:val="0"/>
                  <w:vAlign w:val="center"/>
                </w:tcPr>
                <w:p w14:paraId="452331D9">
                  <w:pPr>
                    <w:adjustRightInd w:val="0"/>
                    <w:snapToGrid w:val="0"/>
                    <w:spacing w:line="3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171" w:type="pct"/>
                  <w:noWrap w:val="0"/>
                  <w:vAlign w:val="center"/>
                </w:tcPr>
                <w:p w14:paraId="2A33073F">
                  <w:pPr>
                    <w:adjustRightInd w:val="0"/>
                    <w:snapToGrid w:val="0"/>
                    <w:spacing w:line="3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w:t>
                  </w:r>
                  <w:r>
                    <w:rPr>
                      <w:rFonts w:hint="eastAsia" w:cs="Times New Roman"/>
                      <w:color w:val="000000" w:themeColor="text1"/>
                      <w:sz w:val="21"/>
                      <w:szCs w:val="21"/>
                      <w:lang w:val="en-US" w:eastAsia="zh-CN"/>
                      <w14:textFill>
                        <w14:solidFill>
                          <w14:schemeClr w14:val="tx1"/>
                        </w14:solidFill>
                      </w14:textFill>
                    </w:rPr>
                    <w:t>5</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排气筒出口</w:t>
                  </w:r>
                </w:p>
              </w:tc>
              <w:tc>
                <w:tcPr>
                  <w:tcW w:w="2358" w:type="pct"/>
                  <w:noWrap w:val="0"/>
                  <w:vAlign w:val="center"/>
                </w:tcPr>
                <w:p w14:paraId="2FEAB5F4">
                  <w:pPr>
                    <w:pStyle w:val="81"/>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颗粒物、</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非甲烷总烃、</w:t>
                  </w:r>
                  <w:r>
                    <w:rPr>
                      <w:rFonts w:hint="default" w:ascii="Times New Roman" w:hAnsi="Times New Roman" w:cs="Times New Roman"/>
                      <w:b w:val="0"/>
                      <w:bCs/>
                      <w:color w:val="000000" w:themeColor="text1"/>
                      <w:sz w:val="21"/>
                      <w:szCs w:val="21"/>
                      <w14:textFill>
                        <w14:solidFill>
                          <w14:schemeClr w14:val="tx1"/>
                        </w14:solidFill>
                      </w14:textFill>
                    </w:rPr>
                    <w:t>二氧化硫、氮氧化物、林格曼黑度</w:t>
                  </w:r>
                </w:p>
              </w:tc>
              <w:tc>
                <w:tcPr>
                  <w:tcW w:w="599" w:type="pct"/>
                  <w:noWrap w:val="0"/>
                  <w:vAlign w:val="center"/>
                </w:tcPr>
                <w:p w14:paraId="06025272">
                  <w:pPr>
                    <w:adjustRightInd w:val="0"/>
                    <w:snapToGrid w:val="0"/>
                    <w:spacing w:line="340" w:lineRule="exact"/>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1次</w:t>
                  </w:r>
                  <w:r>
                    <w:rPr>
                      <w:rFonts w:ascii="Times New Roman" w:hAnsi="Times New Roman" w:eastAsia="宋体" w:cs="Times New Roman"/>
                      <w:color w:val="000000" w:themeColor="text1"/>
                      <w:szCs w:val="21"/>
                      <w14:textFill>
                        <w14:solidFill>
                          <w14:schemeClr w14:val="tx1"/>
                        </w14:solidFill>
                      </w14:textFill>
                    </w:rPr>
                    <w:t>/年</w:t>
                  </w:r>
                </w:p>
              </w:tc>
              <w:tc>
                <w:tcPr>
                  <w:tcW w:w="508" w:type="pct"/>
                  <w:noWrap w:val="0"/>
                  <w:vAlign w:val="center"/>
                </w:tcPr>
                <w:p w14:paraId="082702E7">
                  <w:pPr>
                    <w:adjustRightInd w:val="0"/>
                    <w:snapToGrid w:val="0"/>
                    <w:spacing w:line="3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14:paraId="402A2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2" w:type="pct"/>
                  <w:vMerge w:val="continue"/>
                  <w:noWrap w:val="0"/>
                  <w:vAlign w:val="center"/>
                </w:tcPr>
                <w:p w14:paraId="57DCA573">
                  <w:pPr>
                    <w:adjustRightInd w:val="0"/>
                    <w:snapToGrid w:val="0"/>
                    <w:spacing w:line="3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171" w:type="pct"/>
                  <w:noWrap w:val="0"/>
                  <w:vAlign w:val="center"/>
                </w:tcPr>
                <w:p w14:paraId="730A5000">
                  <w:pPr>
                    <w:adjustRightInd w:val="0"/>
                    <w:snapToGrid w:val="0"/>
                    <w:spacing w:line="34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w:t>
                  </w:r>
                  <w:r>
                    <w:rPr>
                      <w:rFonts w:hint="eastAsia" w:cs="Times New Roman"/>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排气筒出口</w:t>
                  </w:r>
                </w:p>
              </w:tc>
              <w:tc>
                <w:tcPr>
                  <w:tcW w:w="2358" w:type="pct"/>
                  <w:noWrap w:val="0"/>
                  <w:vAlign w:val="center"/>
                </w:tcPr>
                <w:p w14:paraId="66C626D1">
                  <w:pPr>
                    <w:adjustRightInd w:val="0"/>
                    <w:snapToGrid w:val="0"/>
                    <w:spacing w:line="3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颗粒物、二氧化硫、氮氧化物、林格曼黑度</w:t>
                  </w:r>
                </w:p>
              </w:tc>
              <w:tc>
                <w:tcPr>
                  <w:tcW w:w="599" w:type="pct"/>
                  <w:noWrap w:val="0"/>
                  <w:vAlign w:val="center"/>
                </w:tcPr>
                <w:p w14:paraId="5AFD2235">
                  <w:pPr>
                    <w:adjustRightInd w:val="0"/>
                    <w:snapToGrid w:val="0"/>
                    <w:spacing w:line="340" w:lineRule="exact"/>
                    <w:jc w:val="center"/>
                    <w:rPr>
                      <w:rFonts w:hint="eastAsia"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1次</w:t>
                  </w:r>
                  <w:r>
                    <w:rPr>
                      <w:rFonts w:ascii="Times New Roman" w:hAnsi="Times New Roman" w:eastAsia="宋体" w:cs="Times New Roman"/>
                      <w:color w:val="000000" w:themeColor="text1"/>
                      <w:szCs w:val="21"/>
                      <w14:textFill>
                        <w14:solidFill>
                          <w14:schemeClr w14:val="tx1"/>
                        </w14:solidFill>
                      </w14:textFill>
                    </w:rPr>
                    <w:t>/年</w:t>
                  </w:r>
                </w:p>
              </w:tc>
              <w:tc>
                <w:tcPr>
                  <w:tcW w:w="508" w:type="pct"/>
                  <w:noWrap w:val="0"/>
                  <w:vAlign w:val="center"/>
                </w:tcPr>
                <w:p w14:paraId="62FBFDD4">
                  <w:pPr>
                    <w:adjustRightInd w:val="0"/>
                    <w:snapToGrid w:val="0"/>
                    <w:spacing w:line="3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14:paraId="120C4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2" w:type="pct"/>
                  <w:vMerge w:val="continue"/>
                  <w:noWrap w:val="0"/>
                  <w:vAlign w:val="center"/>
                </w:tcPr>
                <w:p w14:paraId="5864D236">
                  <w:pPr>
                    <w:adjustRightInd w:val="0"/>
                    <w:snapToGrid w:val="0"/>
                    <w:spacing w:line="3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171" w:type="pct"/>
                  <w:noWrap w:val="0"/>
                  <w:vAlign w:val="center"/>
                </w:tcPr>
                <w:p w14:paraId="39DE0788">
                  <w:pPr>
                    <w:adjustRightInd w:val="0"/>
                    <w:snapToGrid w:val="0"/>
                    <w:spacing w:line="34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w:t>
                  </w:r>
                  <w:r>
                    <w:rPr>
                      <w:rFonts w:hint="eastAsia" w:cs="Times New Roman"/>
                      <w:color w:val="000000" w:themeColor="text1"/>
                      <w:sz w:val="21"/>
                      <w:szCs w:val="21"/>
                      <w:lang w:val="en-US" w:eastAsia="zh-CN"/>
                      <w14:textFill>
                        <w14:solidFill>
                          <w14:schemeClr w14:val="tx1"/>
                        </w14:solidFill>
                      </w14:textFill>
                    </w:rPr>
                    <w:t>7</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排气筒出口</w:t>
                  </w:r>
                </w:p>
              </w:tc>
              <w:tc>
                <w:tcPr>
                  <w:tcW w:w="2358" w:type="pct"/>
                  <w:noWrap w:val="0"/>
                  <w:vAlign w:val="center"/>
                </w:tcPr>
                <w:p w14:paraId="6BF70C4B">
                  <w:pPr>
                    <w:adjustRightInd w:val="0"/>
                    <w:snapToGrid w:val="0"/>
                    <w:spacing w:line="340" w:lineRule="exac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颗粒物</w:t>
                  </w:r>
                </w:p>
              </w:tc>
              <w:tc>
                <w:tcPr>
                  <w:tcW w:w="599" w:type="pct"/>
                  <w:noWrap w:val="0"/>
                  <w:vAlign w:val="center"/>
                </w:tcPr>
                <w:p w14:paraId="6E843093">
                  <w:pPr>
                    <w:adjustRightInd w:val="0"/>
                    <w:snapToGrid w:val="0"/>
                    <w:spacing w:line="3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1次</w:t>
                  </w:r>
                  <w:r>
                    <w:rPr>
                      <w:rFonts w:ascii="Times New Roman" w:hAnsi="Times New Roman" w:eastAsia="宋体" w:cs="Times New Roman"/>
                      <w:color w:val="000000" w:themeColor="text1"/>
                      <w:szCs w:val="21"/>
                      <w14:textFill>
                        <w14:solidFill>
                          <w14:schemeClr w14:val="tx1"/>
                        </w14:solidFill>
                      </w14:textFill>
                    </w:rPr>
                    <w:t>/年</w:t>
                  </w:r>
                </w:p>
              </w:tc>
              <w:tc>
                <w:tcPr>
                  <w:tcW w:w="508" w:type="pct"/>
                  <w:noWrap w:val="0"/>
                  <w:vAlign w:val="center"/>
                </w:tcPr>
                <w:p w14:paraId="4F3F6425">
                  <w:pPr>
                    <w:adjustRightInd w:val="0"/>
                    <w:snapToGrid w:val="0"/>
                    <w:spacing w:line="3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14:paraId="5ABB9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2" w:type="pct"/>
                  <w:vMerge w:val="continue"/>
                  <w:noWrap w:val="0"/>
                  <w:vAlign w:val="center"/>
                </w:tcPr>
                <w:p w14:paraId="7942F485">
                  <w:pPr>
                    <w:adjustRightInd w:val="0"/>
                    <w:snapToGrid w:val="0"/>
                    <w:spacing w:line="3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171" w:type="pct"/>
                  <w:noWrap w:val="0"/>
                  <w:vAlign w:val="center"/>
                </w:tcPr>
                <w:p w14:paraId="49F7996F">
                  <w:pPr>
                    <w:adjustRightInd w:val="0"/>
                    <w:snapToGrid w:val="0"/>
                    <w:spacing w:line="34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w:t>
                  </w:r>
                  <w:r>
                    <w:rPr>
                      <w:rFonts w:hint="eastAsia" w:cs="Times New Roman"/>
                      <w:color w:val="000000" w:themeColor="text1"/>
                      <w:sz w:val="21"/>
                      <w:szCs w:val="21"/>
                      <w:lang w:val="en-US" w:eastAsia="zh-CN"/>
                      <w14:textFill>
                        <w14:solidFill>
                          <w14:schemeClr w14:val="tx1"/>
                        </w14:solidFill>
                      </w14:textFill>
                    </w:rPr>
                    <w:t>8</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排气筒出口</w:t>
                  </w:r>
                </w:p>
              </w:tc>
              <w:tc>
                <w:tcPr>
                  <w:tcW w:w="2358" w:type="pct"/>
                  <w:noWrap w:val="0"/>
                  <w:vAlign w:val="center"/>
                </w:tcPr>
                <w:p w14:paraId="5A5665F7">
                  <w:pPr>
                    <w:adjustRightInd w:val="0"/>
                    <w:snapToGrid w:val="0"/>
                    <w:spacing w:line="340" w:lineRule="exact"/>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颗粒物</w:t>
                  </w:r>
                </w:p>
              </w:tc>
              <w:tc>
                <w:tcPr>
                  <w:tcW w:w="599" w:type="pct"/>
                  <w:noWrap w:val="0"/>
                  <w:vAlign w:val="center"/>
                </w:tcPr>
                <w:p w14:paraId="18E75D6B">
                  <w:pPr>
                    <w:adjustRightInd w:val="0"/>
                    <w:snapToGrid w:val="0"/>
                    <w:spacing w:line="3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1次</w:t>
                  </w:r>
                  <w:r>
                    <w:rPr>
                      <w:rFonts w:ascii="Times New Roman" w:hAnsi="Times New Roman" w:eastAsia="宋体" w:cs="Times New Roman"/>
                      <w:color w:val="000000" w:themeColor="text1"/>
                      <w:szCs w:val="21"/>
                      <w14:textFill>
                        <w14:solidFill>
                          <w14:schemeClr w14:val="tx1"/>
                        </w14:solidFill>
                      </w14:textFill>
                    </w:rPr>
                    <w:t>/年</w:t>
                  </w:r>
                </w:p>
              </w:tc>
              <w:tc>
                <w:tcPr>
                  <w:tcW w:w="508" w:type="pct"/>
                  <w:noWrap w:val="0"/>
                  <w:vAlign w:val="center"/>
                </w:tcPr>
                <w:p w14:paraId="090A43DF">
                  <w:pPr>
                    <w:adjustRightInd w:val="0"/>
                    <w:snapToGrid w:val="0"/>
                    <w:spacing w:line="3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14:paraId="0DB35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2" w:type="pct"/>
                  <w:vMerge w:val="continue"/>
                  <w:noWrap w:val="0"/>
                  <w:vAlign w:val="center"/>
                </w:tcPr>
                <w:p w14:paraId="7A0CC611">
                  <w:pPr>
                    <w:adjustRightInd w:val="0"/>
                    <w:snapToGrid w:val="0"/>
                    <w:spacing w:line="3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171" w:type="pct"/>
                  <w:shd w:val="clear" w:color="auto" w:fill="auto"/>
                  <w:noWrap w:val="0"/>
                  <w:vAlign w:val="center"/>
                </w:tcPr>
                <w:p w14:paraId="2061F5D0">
                  <w:pPr>
                    <w:adjustRightInd w:val="0"/>
                    <w:snapToGrid w:val="0"/>
                    <w:spacing w:line="34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w:t>
                  </w:r>
                  <w:r>
                    <w:rPr>
                      <w:rFonts w:hint="eastAsia" w:cs="Times New Roman"/>
                      <w:color w:val="000000" w:themeColor="text1"/>
                      <w:sz w:val="21"/>
                      <w:szCs w:val="21"/>
                      <w:lang w:val="en-US" w:eastAsia="zh-CN"/>
                      <w14:textFill>
                        <w14:solidFill>
                          <w14:schemeClr w14:val="tx1"/>
                        </w14:solidFill>
                      </w14:textFill>
                    </w:rPr>
                    <w:t>9</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排气筒出口</w:t>
                  </w:r>
                </w:p>
              </w:tc>
              <w:tc>
                <w:tcPr>
                  <w:tcW w:w="2358" w:type="pct"/>
                  <w:shd w:val="clear" w:color="auto" w:fill="auto"/>
                  <w:noWrap w:val="0"/>
                  <w:vAlign w:val="center"/>
                </w:tcPr>
                <w:p w14:paraId="59A4373F">
                  <w:pPr>
                    <w:pStyle w:val="81"/>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textAlignment w:val="auto"/>
                    <w:rPr>
                      <w:rFonts w:hint="eastAsia" w:ascii="Times New Roman" w:hAnsi="Times New Roman" w:eastAsia="宋体" w:cs="Times New Roman"/>
                      <w:bCs/>
                      <w:color w:val="000000" w:themeColor="text1"/>
                      <w:kern w:val="0"/>
                      <w:sz w:val="21"/>
                      <w:szCs w:val="21"/>
                      <w:lang w:val="en-US" w:eastAsia="zh-CN" w:bidi="he-IL"/>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非甲烷总烃</w:t>
                  </w:r>
                  <w:r>
                    <w:rPr>
                      <w:rFonts w:hint="eastAsia" w:ascii="Times New Roman" w:hAnsi="Times New Roman" w:cs="Times New Roman"/>
                      <w:color w:val="000000" w:themeColor="text1"/>
                      <w:spacing w:val="6"/>
                      <w:sz w:val="21"/>
                      <w:szCs w:val="21"/>
                      <w:lang w:val="en-US" w:eastAsia="zh-CN"/>
                      <w14:textFill>
                        <w14:solidFill>
                          <w14:schemeClr w14:val="tx1"/>
                        </w14:solidFill>
                      </w14:textFill>
                    </w:rPr>
                    <w:t>、二甲苯、</w:t>
                  </w:r>
                  <w:r>
                    <w:rPr>
                      <w:rFonts w:hint="default" w:ascii="Times New Roman" w:hAnsi="Times New Roman" w:cs="Times New Roman"/>
                      <w:b w:val="0"/>
                      <w:bCs/>
                      <w:color w:val="000000" w:themeColor="text1"/>
                      <w:sz w:val="21"/>
                      <w:szCs w:val="21"/>
                      <w14:textFill>
                        <w14:solidFill>
                          <w14:schemeClr w14:val="tx1"/>
                        </w14:solidFill>
                      </w14:textFill>
                    </w:rPr>
                    <w:t>颗粒物、二氧化硫、氮氧化物、林格曼黑度</w:t>
                  </w:r>
                  <w:r>
                    <w:rPr>
                      <w:rFonts w:hint="eastAsia" w:cs="Times New Roman"/>
                      <w:b w:val="0"/>
                      <w:bCs/>
                      <w:color w:val="000000" w:themeColor="text1"/>
                      <w:sz w:val="21"/>
                      <w:szCs w:val="21"/>
                      <w:lang w:eastAsia="zh-CN"/>
                      <w14:textFill>
                        <w14:solidFill>
                          <w14:schemeClr w14:val="tx1"/>
                        </w14:solidFill>
                      </w14:textFill>
                    </w:rPr>
                    <w:t>、</w:t>
                  </w:r>
                  <w:r>
                    <w:rPr>
                      <w:rFonts w:hint="eastAsia" w:cs="Times New Roman"/>
                      <w:color w:val="000000" w:themeColor="text1"/>
                      <w:spacing w:val="6"/>
                      <w:sz w:val="21"/>
                      <w:szCs w:val="21"/>
                      <w:lang w:val="en-US" w:eastAsia="zh-CN"/>
                      <w14:textFill>
                        <w14:solidFill>
                          <w14:schemeClr w14:val="tx1"/>
                        </w14:solidFill>
                      </w14:textFill>
                    </w:rPr>
                    <w:t>乙酸丁酯</w:t>
                  </w:r>
                </w:p>
              </w:tc>
              <w:tc>
                <w:tcPr>
                  <w:tcW w:w="599" w:type="pct"/>
                  <w:shd w:val="clear" w:color="auto" w:fill="auto"/>
                  <w:noWrap w:val="0"/>
                  <w:vAlign w:val="center"/>
                </w:tcPr>
                <w:p w14:paraId="0E7036C1">
                  <w:pPr>
                    <w:adjustRightInd w:val="0"/>
                    <w:snapToGrid w:val="0"/>
                    <w:spacing w:line="34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1次</w:t>
                  </w:r>
                  <w:r>
                    <w:rPr>
                      <w:rFonts w:ascii="Times New Roman" w:hAnsi="Times New Roman" w:eastAsia="宋体" w:cs="Times New Roman"/>
                      <w:color w:val="000000" w:themeColor="text1"/>
                      <w:szCs w:val="21"/>
                      <w14:textFill>
                        <w14:solidFill>
                          <w14:schemeClr w14:val="tx1"/>
                        </w14:solidFill>
                      </w14:textFill>
                    </w:rPr>
                    <w:t>/年</w:t>
                  </w:r>
                </w:p>
              </w:tc>
              <w:tc>
                <w:tcPr>
                  <w:tcW w:w="508" w:type="pct"/>
                  <w:shd w:val="clear" w:color="auto" w:fill="auto"/>
                  <w:noWrap w:val="0"/>
                  <w:vAlign w:val="center"/>
                </w:tcPr>
                <w:p w14:paraId="779A391B">
                  <w:pPr>
                    <w:adjustRightInd w:val="0"/>
                    <w:snapToGrid w:val="0"/>
                    <w:spacing w:line="34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14:paraId="0EE12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2" w:type="pct"/>
                  <w:vMerge w:val="continue"/>
                  <w:noWrap w:val="0"/>
                  <w:vAlign w:val="center"/>
                </w:tcPr>
                <w:p w14:paraId="2FE47EB5">
                  <w:pPr>
                    <w:adjustRightInd w:val="0"/>
                    <w:snapToGrid w:val="0"/>
                    <w:spacing w:line="3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171" w:type="pct"/>
                  <w:vMerge w:val="restart"/>
                  <w:noWrap w:val="0"/>
                  <w:vAlign w:val="center"/>
                </w:tcPr>
                <w:p w14:paraId="1825C96D">
                  <w:pPr>
                    <w:adjustRightInd w:val="0"/>
                    <w:snapToGrid w:val="0"/>
                    <w:spacing w:line="34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厂界(上风向1个点位、下风向3个点位)</w:t>
                  </w:r>
                </w:p>
              </w:tc>
              <w:tc>
                <w:tcPr>
                  <w:tcW w:w="2358" w:type="pct"/>
                  <w:noWrap w:val="0"/>
                  <w:vAlign w:val="center"/>
                </w:tcPr>
                <w:p w14:paraId="0C569771">
                  <w:pPr>
                    <w:adjustRightInd w:val="0"/>
                    <w:snapToGrid w:val="0"/>
                    <w:spacing w:line="3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非甲烷总烃、颗粒物</w:t>
                  </w:r>
                  <w:r>
                    <w:rPr>
                      <w:rFonts w:hint="eastAsia" w:ascii="Times New Roman" w:hAnsi="Times New Roman" w:cs="Times New Roman"/>
                      <w:color w:val="000000" w:themeColor="text1"/>
                      <w:spacing w:val="6"/>
                      <w:sz w:val="21"/>
                      <w:szCs w:val="21"/>
                      <w:lang w:val="en-US" w:eastAsia="zh-CN"/>
                      <w14:textFill>
                        <w14:solidFill>
                          <w14:schemeClr w14:val="tx1"/>
                        </w14:solidFill>
                      </w14:textFill>
                    </w:rPr>
                    <w:t>、二甲苯</w:t>
                  </w:r>
                  <w:r>
                    <w:rPr>
                      <w:rFonts w:hint="eastAsia" w:cs="Times New Roman"/>
                      <w:color w:val="000000" w:themeColor="text1"/>
                      <w:spacing w:val="6"/>
                      <w:sz w:val="21"/>
                      <w:szCs w:val="21"/>
                      <w:lang w:val="en-US" w:eastAsia="zh-CN"/>
                      <w14:textFill>
                        <w14:solidFill>
                          <w14:schemeClr w14:val="tx1"/>
                        </w14:solidFill>
                      </w14:textFill>
                    </w:rPr>
                    <w:t>、甲苯</w:t>
                  </w:r>
                </w:p>
              </w:tc>
              <w:tc>
                <w:tcPr>
                  <w:tcW w:w="599" w:type="pct"/>
                  <w:noWrap w:val="0"/>
                  <w:vAlign w:val="center"/>
                </w:tcPr>
                <w:p w14:paraId="4B62848C">
                  <w:pPr>
                    <w:adjustRightInd w:val="0"/>
                    <w:snapToGrid w:val="0"/>
                    <w:spacing w:line="3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1次</w:t>
                  </w: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半年</w:t>
                  </w:r>
                </w:p>
              </w:tc>
              <w:tc>
                <w:tcPr>
                  <w:tcW w:w="508" w:type="pct"/>
                  <w:noWrap w:val="0"/>
                  <w:vAlign w:val="center"/>
                </w:tcPr>
                <w:p w14:paraId="094BCE2A">
                  <w:pPr>
                    <w:adjustRightInd w:val="0"/>
                    <w:snapToGrid w:val="0"/>
                    <w:spacing w:line="3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已制定</w:t>
                  </w:r>
                </w:p>
              </w:tc>
            </w:tr>
            <w:tr w14:paraId="01E9B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2" w:type="pct"/>
                  <w:vMerge w:val="continue"/>
                  <w:noWrap w:val="0"/>
                  <w:vAlign w:val="center"/>
                </w:tcPr>
                <w:p w14:paraId="37750E28">
                  <w:pPr>
                    <w:adjustRightInd w:val="0"/>
                    <w:snapToGrid w:val="0"/>
                    <w:spacing w:line="3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171" w:type="pct"/>
                  <w:vMerge w:val="continue"/>
                  <w:noWrap w:val="0"/>
                  <w:vAlign w:val="center"/>
                </w:tcPr>
                <w:p w14:paraId="15DB9E02">
                  <w:pPr>
                    <w:adjustRightInd w:val="0"/>
                    <w:snapToGrid w:val="0"/>
                    <w:spacing w:line="3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2358" w:type="pct"/>
                  <w:noWrap w:val="0"/>
                  <w:vAlign w:val="center"/>
                </w:tcPr>
                <w:p w14:paraId="2A10E8F6">
                  <w:pPr>
                    <w:adjustRightInd w:val="0"/>
                    <w:snapToGrid w:val="0"/>
                    <w:spacing w:line="3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氮氧化物</w:t>
                  </w:r>
                </w:p>
              </w:tc>
              <w:tc>
                <w:tcPr>
                  <w:tcW w:w="599" w:type="pct"/>
                  <w:noWrap w:val="0"/>
                  <w:vAlign w:val="center"/>
                </w:tcPr>
                <w:p w14:paraId="33A9CB01">
                  <w:pPr>
                    <w:adjustRightInd w:val="0"/>
                    <w:snapToGrid w:val="0"/>
                    <w:spacing w:line="3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1次</w:t>
                  </w: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半年</w:t>
                  </w:r>
                </w:p>
              </w:tc>
              <w:tc>
                <w:tcPr>
                  <w:tcW w:w="508" w:type="pct"/>
                  <w:noWrap w:val="0"/>
                  <w:vAlign w:val="center"/>
                </w:tcPr>
                <w:p w14:paraId="2EB33FB1">
                  <w:pPr>
                    <w:adjustRightInd w:val="0"/>
                    <w:snapToGrid w:val="0"/>
                    <w:spacing w:line="3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14:paraId="3D228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62" w:type="pct"/>
                  <w:vMerge w:val="continue"/>
                  <w:noWrap w:val="0"/>
                  <w:vAlign w:val="top"/>
                </w:tcPr>
                <w:p w14:paraId="04503835">
                  <w:pPr>
                    <w:adjustRightInd w:val="0"/>
                    <w:snapToGrid w:val="0"/>
                    <w:spacing w:line="340" w:lineRule="exact"/>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1171" w:type="pct"/>
                  <w:noWrap w:val="0"/>
                  <w:vAlign w:val="center"/>
                </w:tcPr>
                <w:p w14:paraId="50F20519">
                  <w:pPr>
                    <w:adjustRightInd w:val="0"/>
                    <w:snapToGrid w:val="0"/>
                    <w:spacing w:line="34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厂区内（3个点位）</w:t>
                  </w:r>
                </w:p>
              </w:tc>
              <w:tc>
                <w:tcPr>
                  <w:tcW w:w="2358" w:type="pct"/>
                  <w:noWrap w:val="0"/>
                  <w:vAlign w:val="center"/>
                </w:tcPr>
                <w:p w14:paraId="7BE4E88D">
                  <w:pPr>
                    <w:adjustRightInd w:val="0"/>
                    <w:snapToGrid w:val="0"/>
                    <w:spacing w:line="3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非甲烷总烃</w:t>
                  </w:r>
                </w:p>
              </w:tc>
              <w:tc>
                <w:tcPr>
                  <w:tcW w:w="599" w:type="pct"/>
                  <w:noWrap w:val="0"/>
                  <w:vAlign w:val="center"/>
                </w:tcPr>
                <w:p w14:paraId="36790102">
                  <w:pPr>
                    <w:adjustRightInd w:val="0"/>
                    <w:snapToGrid w:val="0"/>
                    <w:spacing w:line="3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1次/半年</w:t>
                  </w:r>
                </w:p>
              </w:tc>
              <w:tc>
                <w:tcPr>
                  <w:tcW w:w="508" w:type="pct"/>
                  <w:noWrap w:val="0"/>
                  <w:vAlign w:val="center"/>
                </w:tcPr>
                <w:p w14:paraId="4B344679">
                  <w:pPr>
                    <w:adjustRightInd w:val="0"/>
                    <w:snapToGrid w:val="0"/>
                    <w:spacing w:line="340" w:lineRule="exact"/>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bl>
          <w:p w14:paraId="49242105">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jc w:val="both"/>
              <w:textAlignment w:val="auto"/>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4.</w:t>
            </w:r>
            <w:r>
              <w:rPr>
                <w:rFonts w:hint="eastAsia" w:ascii="Times New Roman" w:hAnsi="Times New Roman" w:eastAsia="宋体" w:cs="Times New Roman"/>
                <w:b/>
                <w:bCs w:val="0"/>
                <w:color w:val="000000" w:themeColor="text1"/>
                <w:sz w:val="28"/>
                <w:szCs w:val="28"/>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8"/>
                <w:szCs w:val="28"/>
                <w14:textFill>
                  <w14:solidFill>
                    <w14:schemeClr w14:val="tx1"/>
                  </w14:solidFill>
                </w14:textFill>
              </w:rPr>
              <w:t>运营期</w:t>
            </w:r>
            <w:r>
              <w:rPr>
                <w:rFonts w:hint="default" w:ascii="Times New Roman" w:hAnsi="Times New Roman" w:eastAsia="宋体" w:cs="Times New Roman"/>
                <w:b/>
                <w:bCs w:val="0"/>
                <w:color w:val="000000" w:themeColor="text1"/>
                <w:sz w:val="28"/>
                <w:szCs w:val="28"/>
                <w:lang w:eastAsia="zh-CN"/>
                <w14:textFill>
                  <w14:solidFill>
                    <w14:schemeClr w14:val="tx1"/>
                  </w14:solidFill>
                </w14:textFill>
              </w:rPr>
              <w:t>水</w:t>
            </w:r>
            <w:r>
              <w:rPr>
                <w:rFonts w:hint="default" w:ascii="Times New Roman" w:hAnsi="Times New Roman" w:eastAsia="宋体" w:cs="Times New Roman"/>
                <w:b/>
                <w:bCs w:val="0"/>
                <w:color w:val="000000" w:themeColor="text1"/>
                <w:sz w:val="28"/>
                <w:szCs w:val="28"/>
                <w14:textFill>
                  <w14:solidFill>
                    <w14:schemeClr w14:val="tx1"/>
                  </w14:solidFill>
                </w14:textFill>
              </w:rPr>
              <w:t>环境影响分析和污染防治措施</w:t>
            </w:r>
          </w:p>
          <w:p w14:paraId="586C18E8">
            <w:pPr>
              <w:keepNext/>
              <w:keepLines w:val="0"/>
              <w:pageBreakBefore w:val="0"/>
              <w:widowControl w:val="0"/>
              <w:kinsoku/>
              <w:wordWrap/>
              <w:overflowPunct w:val="0"/>
              <w:topLinePunct w:val="0"/>
              <w:autoSpaceDE/>
              <w:autoSpaceDN/>
              <w:bidi w:val="0"/>
              <w:adjustRightInd w:val="0"/>
              <w:snapToGrid w:val="0"/>
              <w:spacing w:before="0" w:after="0" w:line="360" w:lineRule="auto"/>
              <w:ind w:left="431" w:hanging="431"/>
              <w:textAlignment w:val="auto"/>
              <w:outlineLvl w:val="9"/>
              <w:rPr>
                <w:rFonts w:hint="default" w:ascii="Times New Roman" w:hAnsi="Times New Roman" w:eastAsia="宋体" w:cs="Times New Roman"/>
                <w:b/>
                <w:bCs w:val="0"/>
                <w:color w:val="000000" w:themeColor="text1"/>
                <w:kern w:val="0"/>
                <w:sz w:val="24"/>
                <w14:textFill>
                  <w14:solidFill>
                    <w14:schemeClr w14:val="tx1"/>
                  </w14:solidFill>
                </w14:textFill>
              </w:rPr>
            </w:pPr>
            <w:r>
              <w:rPr>
                <w:rFonts w:hint="default" w:ascii="Times New Roman" w:hAnsi="Times New Roman" w:eastAsia="宋体" w:cs="Times New Roman"/>
                <w:b/>
                <w:bCs w:val="0"/>
                <w:color w:val="000000" w:themeColor="text1"/>
                <w:kern w:val="0"/>
                <w:sz w:val="24"/>
                <w:lang w:val="en-US" w:eastAsia="zh-CN"/>
                <w14:textFill>
                  <w14:solidFill>
                    <w14:schemeClr w14:val="tx1"/>
                  </w14:solidFill>
                </w14:textFill>
              </w:rPr>
              <w:t>4.</w:t>
            </w:r>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b/>
                <w:bCs w:val="0"/>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b/>
                <w:bCs w:val="0"/>
                <w:color w:val="000000" w:themeColor="text1"/>
                <w:kern w:val="0"/>
                <w:sz w:val="24"/>
                <w14:textFill>
                  <w14:solidFill>
                    <w14:schemeClr w14:val="tx1"/>
                  </w14:solidFill>
                </w14:textFill>
              </w:rPr>
              <w:t>运营期废</w:t>
            </w:r>
            <w:r>
              <w:rPr>
                <w:rFonts w:hint="eastAsia" w:ascii="Times New Roman" w:hAnsi="Times New Roman" w:eastAsia="宋体" w:cs="Times New Roman"/>
                <w:b/>
                <w:bCs w:val="0"/>
                <w:color w:val="000000" w:themeColor="text1"/>
                <w:kern w:val="0"/>
                <w:sz w:val="24"/>
                <w:lang w:val="en-US" w:eastAsia="zh-CN"/>
                <w14:textFill>
                  <w14:solidFill>
                    <w14:schemeClr w14:val="tx1"/>
                  </w14:solidFill>
                </w14:textFill>
              </w:rPr>
              <w:t>水</w:t>
            </w:r>
            <w:r>
              <w:rPr>
                <w:rFonts w:hint="default" w:ascii="Times New Roman" w:hAnsi="Times New Roman" w:eastAsia="宋体" w:cs="Times New Roman"/>
                <w:b/>
                <w:bCs w:val="0"/>
                <w:color w:val="000000" w:themeColor="text1"/>
                <w:kern w:val="0"/>
                <w:sz w:val="24"/>
                <w14:textFill>
                  <w14:solidFill>
                    <w14:schemeClr w14:val="tx1"/>
                  </w14:solidFill>
                </w14:textFill>
              </w:rPr>
              <w:t>源强核算</w:t>
            </w:r>
          </w:p>
          <w:p w14:paraId="02884534">
            <w:pPr>
              <w:keepNext/>
              <w:keepLines w:val="0"/>
              <w:pageBreakBefore w:val="0"/>
              <w:widowControl w:val="0"/>
              <w:kinsoku/>
              <w:wordWrap/>
              <w:overflowPunct w:val="0"/>
              <w:topLinePunct w:val="0"/>
              <w:autoSpaceDE/>
              <w:autoSpaceDN/>
              <w:bidi w:val="0"/>
              <w:adjustRightInd w:val="0"/>
              <w:snapToGrid w:val="0"/>
              <w:spacing w:before="157" w:beforeLines="50" w:after="0" w:line="360" w:lineRule="auto"/>
              <w:ind w:firstLine="480" w:firstLineChars="200"/>
              <w:jc w:val="both"/>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（1）生产废水</w:t>
            </w:r>
          </w:p>
          <w:p w14:paraId="4E6CE15B">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bottom"/>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生产废水包括电泳生产线废水、</w:t>
            </w:r>
            <w:r>
              <w:rPr>
                <w:rFonts w:hint="eastAsia" w:cs="Times New Roman"/>
                <w:color w:val="000000" w:themeColor="text1"/>
                <w:kern w:val="2"/>
                <w:sz w:val="24"/>
                <w:szCs w:val="24"/>
                <w:lang w:val="en-US" w:eastAsia="zh-CN" w:bidi="ar-SA"/>
                <w14:textFill>
                  <w14:solidFill>
                    <w14:schemeClr w14:val="tx1"/>
                  </w14:solidFill>
                </w14:textFill>
              </w:rPr>
              <w:t>钝化生产线、</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碱液喷淋塔废水等，其中电泳线废水包括脱脂清洗废水、表调废水、磷化清洗废水、电泳清洗废水等，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水质指标参考《汽车工业污染防治可行技术指南》（HJ 1181-2021）表 E.2，同时参考《化学沉淀/人工快渗工艺处理酸洗磷化废水》(中国给水排水)，2011年8月27日第27卷16期，酸洗磷化废水主要污染因子产生浓度分别为磷酸盐：</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0mg/L，Zn</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mg/L。</w:t>
            </w:r>
          </w:p>
          <w:p w14:paraId="3901BAC7">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bottom"/>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p>
          <w:p w14:paraId="18877578">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bottom"/>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p>
          <w:p w14:paraId="0BA5193F">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bottom"/>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p>
          <w:p w14:paraId="19C1EADC">
            <w:pPr>
              <w:widowControl/>
              <w:spacing w:before="120" w:beforeLines="50" w:line="240" w:lineRule="auto"/>
              <w:jc w:val="cente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表4.3-1  电泳线各类生产废水水质指标一览表</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1197"/>
              <w:gridCol w:w="798"/>
              <w:gridCol w:w="798"/>
              <w:gridCol w:w="1008"/>
              <w:gridCol w:w="1052"/>
              <w:gridCol w:w="843"/>
              <w:gridCol w:w="1659"/>
            </w:tblGrid>
            <w:tr w14:paraId="23A01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Merge w:val="restart"/>
                  <w:tcBorders>
                    <w:tl2br w:val="nil"/>
                    <w:tr2bl w:val="nil"/>
                  </w:tcBorders>
                  <w:noWrap w:val="0"/>
                  <w:vAlign w:val="center"/>
                </w:tcPr>
                <w:p w14:paraId="6903655B">
                  <w:pPr>
                    <w:pStyle w:val="132"/>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olor w:val="000000" w:themeColor="text1"/>
                      <w:spacing w:val="7"/>
                      <w:sz w:val="21"/>
                      <w:szCs w:val="21"/>
                      <w:lang w:val="en-US" w:eastAsia="zh-CN"/>
                      <w14:textFill>
                        <w14:solidFill>
                          <w14:schemeClr w14:val="tx1"/>
                        </w14:solidFill>
                      </w14:textFill>
                    </w:rPr>
                  </w:pPr>
                  <w:r>
                    <w:rPr>
                      <w:rFonts w:hint="eastAsia" w:ascii="Times New Roman" w:hAnsi="Times New Roman" w:eastAsia="宋体"/>
                      <w:color w:val="000000" w:themeColor="text1"/>
                      <w:spacing w:val="7"/>
                      <w:sz w:val="21"/>
                      <w:szCs w:val="21"/>
                      <w:lang w:val="en-US" w:eastAsia="zh-CN"/>
                      <w14:textFill>
                        <w14:solidFill>
                          <w14:schemeClr w14:val="tx1"/>
                        </w14:solidFill>
                      </w14:textFill>
                    </w:rPr>
                    <w:t>废水种类</w:t>
                  </w:r>
                </w:p>
              </w:tc>
              <w:tc>
                <w:tcPr>
                  <w:tcW w:w="679" w:type="pct"/>
                  <w:vMerge w:val="restart"/>
                  <w:tcBorders>
                    <w:tl2br w:val="nil"/>
                    <w:tr2bl w:val="nil"/>
                  </w:tcBorders>
                  <w:noWrap w:val="0"/>
                  <w:vAlign w:val="center"/>
                </w:tcPr>
                <w:p w14:paraId="6E941EAB">
                  <w:pPr>
                    <w:pStyle w:val="132"/>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olor w:val="000000" w:themeColor="text1"/>
                      <w:spacing w:val="7"/>
                      <w:sz w:val="21"/>
                      <w:szCs w:val="21"/>
                      <w:lang w:val="en-US" w:eastAsia="zh-CN"/>
                      <w14:textFill>
                        <w14:solidFill>
                          <w14:schemeClr w14:val="tx1"/>
                        </w14:solidFill>
                      </w14:textFill>
                    </w:rPr>
                  </w:pPr>
                  <w:r>
                    <w:rPr>
                      <w:rFonts w:hint="eastAsia" w:ascii="Times New Roman" w:hAnsi="Times New Roman" w:eastAsia="宋体"/>
                      <w:color w:val="000000" w:themeColor="text1"/>
                      <w:spacing w:val="7"/>
                      <w:sz w:val="21"/>
                      <w:szCs w:val="21"/>
                      <w:lang w:val="en-US" w:eastAsia="zh-CN"/>
                      <w14:textFill>
                        <w14:solidFill>
                          <w14:schemeClr w14:val="tx1"/>
                        </w14:solidFill>
                      </w14:textFill>
                    </w:rPr>
                    <w:t>废水量</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21"/>
                      <w:szCs w:val="21"/>
                      <w:u w:val="none"/>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/a）</w:t>
                  </w:r>
                </w:p>
              </w:tc>
              <w:tc>
                <w:tcPr>
                  <w:tcW w:w="3489" w:type="pct"/>
                  <w:gridSpan w:val="6"/>
                  <w:tcBorders>
                    <w:tl2br w:val="nil"/>
                    <w:tr2bl w:val="nil"/>
                  </w:tcBorders>
                  <w:noWrap w:val="0"/>
                  <w:vAlign w:val="center"/>
                </w:tcPr>
                <w:p w14:paraId="326B1E92">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产生浓度（mg/L，pH除外）</w:t>
                  </w:r>
                </w:p>
              </w:tc>
            </w:tr>
            <w:tr w14:paraId="2758A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vMerge w:val="continue"/>
                  <w:tcBorders>
                    <w:tl2br w:val="nil"/>
                    <w:tr2bl w:val="nil"/>
                  </w:tcBorders>
                  <w:noWrap w:val="0"/>
                  <w:vAlign w:val="center"/>
                </w:tcPr>
                <w:p w14:paraId="036AAD7D">
                  <w:pPr>
                    <w:pStyle w:val="132"/>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olor w:val="000000" w:themeColor="text1"/>
                      <w:spacing w:val="7"/>
                      <w:sz w:val="21"/>
                      <w:szCs w:val="21"/>
                      <w:lang w:val="en-US" w:eastAsia="zh-CN"/>
                      <w14:textFill>
                        <w14:solidFill>
                          <w14:schemeClr w14:val="tx1"/>
                        </w14:solidFill>
                      </w14:textFill>
                    </w:rPr>
                  </w:pPr>
                </w:p>
              </w:tc>
              <w:tc>
                <w:tcPr>
                  <w:tcW w:w="679" w:type="pct"/>
                  <w:vMerge w:val="continue"/>
                  <w:tcBorders>
                    <w:tl2br w:val="nil"/>
                    <w:tr2bl w:val="nil"/>
                  </w:tcBorders>
                  <w:noWrap w:val="0"/>
                  <w:vAlign w:val="center"/>
                </w:tcPr>
                <w:p w14:paraId="3DD2B126">
                  <w:pPr>
                    <w:pStyle w:val="132"/>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olor w:val="000000" w:themeColor="text1"/>
                      <w:spacing w:val="7"/>
                      <w:sz w:val="21"/>
                      <w:szCs w:val="21"/>
                      <w:lang w:val="en-US" w:eastAsia="zh-CN"/>
                      <w14:textFill>
                        <w14:solidFill>
                          <w14:schemeClr w14:val="tx1"/>
                        </w14:solidFill>
                      </w14:textFill>
                    </w:rPr>
                  </w:pPr>
                </w:p>
              </w:tc>
              <w:tc>
                <w:tcPr>
                  <w:tcW w:w="452" w:type="pct"/>
                  <w:tcBorders>
                    <w:tl2br w:val="nil"/>
                    <w:tr2bl w:val="nil"/>
                  </w:tcBorders>
                  <w:noWrap w:val="0"/>
                  <w:vAlign w:val="center"/>
                </w:tcPr>
                <w:p w14:paraId="1AC26DD8">
                  <w:pPr>
                    <w:pStyle w:val="132"/>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pH</w:t>
                  </w:r>
                </w:p>
              </w:tc>
              <w:tc>
                <w:tcPr>
                  <w:tcW w:w="452" w:type="pct"/>
                  <w:tcBorders>
                    <w:tl2br w:val="nil"/>
                    <w:tr2bl w:val="nil"/>
                  </w:tcBorders>
                  <w:noWrap w:val="0"/>
                  <w:vAlign w:val="center"/>
                </w:tcPr>
                <w:p w14:paraId="266C9473">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ascii="Times New Roman" w:hAnsi="Times New Roman" w:eastAsia="宋体" w:cs="Times New Roman"/>
                      <w:color w:val="000000" w:themeColor="text1"/>
                      <w:spacing w:val="3"/>
                      <w:sz w:val="21"/>
                      <w:szCs w:val="21"/>
                      <w14:textFill>
                        <w14:solidFill>
                          <w14:schemeClr w14:val="tx1"/>
                        </w14:solidFill>
                      </w14:textFill>
                    </w:rPr>
                    <w:t>COD</w:t>
                  </w:r>
                </w:p>
              </w:tc>
              <w:tc>
                <w:tcPr>
                  <w:tcW w:w="571" w:type="pct"/>
                  <w:tcBorders>
                    <w:tl2br w:val="nil"/>
                    <w:tr2bl w:val="nil"/>
                  </w:tcBorders>
                  <w:noWrap w:val="0"/>
                  <w:vAlign w:val="center"/>
                </w:tcPr>
                <w:p w14:paraId="57F1E4C3">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石油类</w:t>
                  </w:r>
                </w:p>
              </w:tc>
              <w:tc>
                <w:tcPr>
                  <w:tcW w:w="596" w:type="pct"/>
                  <w:tcBorders>
                    <w:tl2br w:val="nil"/>
                    <w:tr2bl w:val="nil"/>
                  </w:tcBorders>
                  <w:noWrap w:val="0"/>
                  <w:vAlign w:val="center"/>
                </w:tcPr>
                <w:p w14:paraId="68AE22FE">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磷酸盐（以P计）</w:t>
                  </w:r>
                </w:p>
              </w:tc>
              <w:tc>
                <w:tcPr>
                  <w:tcW w:w="478" w:type="pct"/>
                  <w:tcBorders>
                    <w:tl2br w:val="nil"/>
                    <w:tr2bl w:val="nil"/>
                  </w:tcBorders>
                  <w:noWrap w:val="0"/>
                  <w:vAlign w:val="center"/>
                </w:tcPr>
                <w:p w14:paraId="02A7343B">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总锌</w:t>
                  </w:r>
                </w:p>
              </w:tc>
              <w:tc>
                <w:tcPr>
                  <w:tcW w:w="939" w:type="pct"/>
                  <w:tcBorders>
                    <w:tl2br w:val="nil"/>
                    <w:tr2bl w:val="nil"/>
                  </w:tcBorders>
                  <w:noWrap w:val="0"/>
                  <w:vAlign w:val="center"/>
                </w:tcPr>
                <w:p w14:paraId="239AE09F">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氟化物</w:t>
                  </w:r>
                </w:p>
              </w:tc>
            </w:tr>
            <w:tr w14:paraId="0B930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tcBorders>
                    <w:tl2br w:val="nil"/>
                    <w:tr2bl w:val="nil"/>
                  </w:tcBorders>
                  <w:noWrap w:val="0"/>
                  <w:vAlign w:val="center"/>
                </w:tcPr>
                <w:p w14:paraId="1BC06C17">
                  <w:pPr>
                    <w:pStyle w:val="87"/>
                    <w:keepNext w:val="0"/>
                    <w:keepLines w:val="0"/>
                    <w:pageBreakBefore w:val="0"/>
                    <w:kinsoku/>
                    <w:wordWrap/>
                    <w:overflowPunct/>
                    <w:topLinePunct w:val="0"/>
                    <w:autoSpaceDE/>
                    <w:autoSpaceDN/>
                    <w:bidi w:val="0"/>
                    <w:adjustRightInd/>
                    <w:snapToGrid/>
                    <w:spacing w:before="0" w:line="240" w:lineRule="auto"/>
                    <w:ind w:left="0" w:right="0" w:right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热水洗废水</w:t>
                  </w:r>
                </w:p>
              </w:tc>
              <w:tc>
                <w:tcPr>
                  <w:tcW w:w="1209" w:type="dxa"/>
                  <w:tcBorders>
                    <w:tl2br w:val="nil"/>
                    <w:tr2bl w:val="nil"/>
                  </w:tcBorders>
                  <w:noWrap w:val="0"/>
                  <w:vAlign w:val="center"/>
                </w:tcPr>
                <w:p w14:paraId="62FBD2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150.88</w:t>
                  </w:r>
                </w:p>
              </w:tc>
              <w:tc>
                <w:tcPr>
                  <w:tcW w:w="805" w:type="dxa"/>
                  <w:tcBorders>
                    <w:tl2br w:val="nil"/>
                    <w:tr2bl w:val="nil"/>
                  </w:tcBorders>
                  <w:noWrap w:val="0"/>
                  <w:vAlign w:val="center"/>
                </w:tcPr>
                <w:p w14:paraId="45C3107E">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8~10</w:t>
                  </w:r>
                </w:p>
              </w:tc>
              <w:tc>
                <w:tcPr>
                  <w:tcW w:w="805" w:type="dxa"/>
                  <w:tcBorders>
                    <w:tl2br w:val="nil"/>
                    <w:tr2bl w:val="nil"/>
                  </w:tcBorders>
                  <w:noWrap w:val="0"/>
                  <w:vAlign w:val="center"/>
                </w:tcPr>
                <w:p w14:paraId="3D240D37">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1250</w:t>
                  </w:r>
                </w:p>
              </w:tc>
              <w:tc>
                <w:tcPr>
                  <w:tcW w:w="1017" w:type="dxa"/>
                  <w:tcBorders>
                    <w:tl2br w:val="nil"/>
                    <w:tr2bl w:val="nil"/>
                  </w:tcBorders>
                  <w:noWrap w:val="0"/>
                  <w:vAlign w:val="center"/>
                </w:tcPr>
                <w:p w14:paraId="6C0C1512">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1061" w:type="dxa"/>
                  <w:tcBorders>
                    <w:tl2br w:val="nil"/>
                    <w:tr2bl w:val="nil"/>
                  </w:tcBorders>
                  <w:noWrap w:val="0"/>
                  <w:vAlign w:val="center"/>
                </w:tcPr>
                <w:p w14:paraId="0F6E2CF2">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851" w:type="dxa"/>
                  <w:tcBorders>
                    <w:tl2br w:val="nil"/>
                    <w:tr2bl w:val="nil"/>
                  </w:tcBorders>
                  <w:noWrap w:val="0"/>
                  <w:vAlign w:val="center"/>
                </w:tcPr>
                <w:p w14:paraId="6C638144">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1672" w:type="dxa"/>
                  <w:tcBorders>
                    <w:tl2br w:val="nil"/>
                    <w:tr2bl w:val="nil"/>
                  </w:tcBorders>
                  <w:noWrap w:val="0"/>
                  <w:vAlign w:val="center"/>
                </w:tcPr>
                <w:p w14:paraId="0858A3DE">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4C31F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tcBorders>
                    <w:tl2br w:val="nil"/>
                    <w:tr2bl w:val="nil"/>
                  </w:tcBorders>
                  <w:noWrap w:val="0"/>
                  <w:vAlign w:val="center"/>
                </w:tcPr>
                <w:p w14:paraId="0A1FC0E8">
                  <w:pPr>
                    <w:pStyle w:val="87"/>
                    <w:keepNext w:val="0"/>
                    <w:keepLines w:val="0"/>
                    <w:pageBreakBefore w:val="0"/>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脱脂清洗</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废水</w:t>
                  </w:r>
                </w:p>
              </w:tc>
              <w:tc>
                <w:tcPr>
                  <w:tcW w:w="1209" w:type="dxa"/>
                  <w:tcBorders>
                    <w:tl2br w:val="nil"/>
                    <w:tr2bl w:val="nil"/>
                  </w:tcBorders>
                  <w:noWrap w:val="0"/>
                  <w:vAlign w:val="center"/>
                </w:tcPr>
                <w:p w14:paraId="3CC33EF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2210.32</w:t>
                  </w:r>
                </w:p>
              </w:tc>
              <w:tc>
                <w:tcPr>
                  <w:tcW w:w="805" w:type="dxa"/>
                  <w:tcBorders>
                    <w:tl2br w:val="nil"/>
                    <w:tr2bl w:val="nil"/>
                  </w:tcBorders>
                  <w:noWrap w:val="0"/>
                  <w:vAlign w:val="center"/>
                </w:tcPr>
                <w:p w14:paraId="7C6323EE">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8~10</w:t>
                  </w:r>
                </w:p>
              </w:tc>
              <w:tc>
                <w:tcPr>
                  <w:tcW w:w="805" w:type="dxa"/>
                  <w:tcBorders>
                    <w:tl2br w:val="nil"/>
                    <w:tr2bl w:val="nil"/>
                  </w:tcBorders>
                  <w:noWrap w:val="0"/>
                  <w:vAlign w:val="center"/>
                </w:tcPr>
                <w:p w14:paraId="39D30740">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w:t>
                  </w:r>
                </w:p>
              </w:tc>
              <w:tc>
                <w:tcPr>
                  <w:tcW w:w="1017" w:type="dxa"/>
                  <w:tcBorders>
                    <w:tl2br w:val="nil"/>
                    <w:tr2bl w:val="nil"/>
                  </w:tcBorders>
                  <w:noWrap w:val="0"/>
                  <w:vAlign w:val="center"/>
                </w:tcPr>
                <w:p w14:paraId="2B5D6BB0">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1061" w:type="dxa"/>
                  <w:tcBorders>
                    <w:tl2br w:val="nil"/>
                    <w:tr2bl w:val="nil"/>
                  </w:tcBorders>
                  <w:noWrap w:val="0"/>
                  <w:vAlign w:val="center"/>
                </w:tcPr>
                <w:p w14:paraId="32B57770">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851" w:type="dxa"/>
                  <w:tcBorders>
                    <w:tl2br w:val="nil"/>
                    <w:tr2bl w:val="nil"/>
                  </w:tcBorders>
                  <w:noWrap w:val="0"/>
                  <w:vAlign w:val="center"/>
                </w:tcPr>
                <w:p w14:paraId="767BDC38">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1672" w:type="dxa"/>
                  <w:tcBorders>
                    <w:tl2br w:val="nil"/>
                    <w:tr2bl w:val="nil"/>
                  </w:tcBorders>
                  <w:noWrap w:val="0"/>
                  <w:vAlign w:val="center"/>
                </w:tcPr>
                <w:p w14:paraId="638850B4">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62B34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tcBorders>
                    <w:tl2br w:val="nil"/>
                    <w:tr2bl w:val="nil"/>
                  </w:tcBorders>
                  <w:noWrap w:val="0"/>
                  <w:vAlign w:val="center"/>
                </w:tcPr>
                <w:p w14:paraId="061954D2">
                  <w:pPr>
                    <w:pStyle w:val="87"/>
                    <w:keepNext w:val="0"/>
                    <w:keepLines w:val="0"/>
                    <w:pageBreakBefore w:val="0"/>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表调废水</w:t>
                  </w:r>
                </w:p>
              </w:tc>
              <w:tc>
                <w:tcPr>
                  <w:tcW w:w="1209" w:type="dxa"/>
                  <w:tcBorders>
                    <w:tl2br w:val="nil"/>
                    <w:tr2bl w:val="nil"/>
                  </w:tcBorders>
                  <w:noWrap w:val="0"/>
                  <w:vAlign w:val="center"/>
                </w:tcPr>
                <w:p w14:paraId="21E4F6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152.16</w:t>
                  </w:r>
                </w:p>
              </w:tc>
              <w:tc>
                <w:tcPr>
                  <w:tcW w:w="805" w:type="dxa"/>
                  <w:tcBorders>
                    <w:tl2br w:val="nil"/>
                    <w:tr2bl w:val="nil"/>
                  </w:tcBorders>
                  <w:noWrap w:val="0"/>
                  <w:vAlign w:val="center"/>
                </w:tcPr>
                <w:p w14:paraId="7E72C94A">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7~9</w:t>
                  </w:r>
                </w:p>
              </w:tc>
              <w:tc>
                <w:tcPr>
                  <w:tcW w:w="805" w:type="dxa"/>
                  <w:tcBorders>
                    <w:tl2br w:val="nil"/>
                    <w:tr2bl w:val="nil"/>
                  </w:tcBorders>
                  <w:noWrap w:val="0"/>
                  <w:vAlign w:val="center"/>
                </w:tcPr>
                <w:p w14:paraId="328A615F">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1017" w:type="dxa"/>
                  <w:tcBorders>
                    <w:tl2br w:val="nil"/>
                    <w:tr2bl w:val="nil"/>
                  </w:tcBorders>
                  <w:noWrap w:val="0"/>
                  <w:vAlign w:val="center"/>
                </w:tcPr>
                <w:p w14:paraId="407A0EBC">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1061" w:type="dxa"/>
                  <w:tcBorders>
                    <w:tl2br w:val="nil"/>
                    <w:tr2bl w:val="nil"/>
                  </w:tcBorders>
                  <w:noWrap w:val="0"/>
                  <w:vAlign w:val="center"/>
                </w:tcPr>
                <w:p w14:paraId="62B4C767">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w:t>
                  </w:r>
                </w:p>
              </w:tc>
              <w:tc>
                <w:tcPr>
                  <w:tcW w:w="851" w:type="dxa"/>
                  <w:tcBorders>
                    <w:tl2br w:val="nil"/>
                    <w:tr2bl w:val="nil"/>
                  </w:tcBorders>
                  <w:noWrap w:val="0"/>
                  <w:vAlign w:val="center"/>
                </w:tcPr>
                <w:p w14:paraId="1D0E67B0">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1672" w:type="dxa"/>
                  <w:tcBorders>
                    <w:tl2br w:val="nil"/>
                    <w:tr2bl w:val="nil"/>
                  </w:tcBorders>
                  <w:noWrap w:val="0"/>
                  <w:vAlign w:val="center"/>
                </w:tcPr>
                <w:p w14:paraId="2786600D">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73702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tcBorders>
                    <w:tl2br w:val="nil"/>
                    <w:tr2bl w:val="nil"/>
                  </w:tcBorders>
                  <w:noWrap w:val="0"/>
                  <w:vAlign w:val="center"/>
                </w:tcPr>
                <w:p w14:paraId="7F79FE4F">
                  <w:pPr>
                    <w:pStyle w:val="87"/>
                    <w:keepNext w:val="0"/>
                    <w:keepLines w:val="0"/>
                    <w:pageBreakBefore w:val="0"/>
                    <w:kinsoku/>
                    <w:wordWrap/>
                    <w:overflowPunct/>
                    <w:topLinePunct w:val="0"/>
                    <w:autoSpaceDE/>
                    <w:autoSpaceDN/>
                    <w:bidi w:val="0"/>
                    <w:adjustRightInd/>
                    <w:snapToGrid/>
                    <w:spacing w:before="0" w:line="240" w:lineRule="auto"/>
                    <w:ind w:left="0" w:right="0" w:right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磷化清洗</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废水</w:t>
                  </w:r>
                </w:p>
              </w:tc>
              <w:tc>
                <w:tcPr>
                  <w:tcW w:w="1209" w:type="dxa"/>
                  <w:tcBorders>
                    <w:tl2br w:val="nil"/>
                    <w:tr2bl w:val="nil"/>
                  </w:tcBorders>
                  <w:noWrap w:val="0"/>
                  <w:vAlign w:val="center"/>
                </w:tcPr>
                <w:p w14:paraId="4A1307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3307.92</w:t>
                  </w:r>
                </w:p>
              </w:tc>
              <w:tc>
                <w:tcPr>
                  <w:tcW w:w="805" w:type="dxa"/>
                  <w:tcBorders>
                    <w:tl2br w:val="nil"/>
                    <w:tr2bl w:val="nil"/>
                  </w:tcBorders>
                  <w:noWrap w:val="0"/>
                  <w:vAlign w:val="center"/>
                </w:tcPr>
                <w:p w14:paraId="66D6F2A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6~7</w:t>
                  </w:r>
                </w:p>
              </w:tc>
              <w:tc>
                <w:tcPr>
                  <w:tcW w:w="805" w:type="dxa"/>
                  <w:tcBorders>
                    <w:tl2br w:val="nil"/>
                    <w:tr2bl w:val="nil"/>
                  </w:tcBorders>
                  <w:noWrap w:val="0"/>
                  <w:vAlign w:val="center"/>
                </w:tcPr>
                <w:p w14:paraId="364B9447">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1017" w:type="dxa"/>
                  <w:tcBorders>
                    <w:tl2br w:val="nil"/>
                    <w:tr2bl w:val="nil"/>
                  </w:tcBorders>
                  <w:noWrap w:val="0"/>
                  <w:vAlign w:val="center"/>
                </w:tcPr>
                <w:p w14:paraId="12CA5282">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1061" w:type="dxa"/>
                  <w:tcBorders>
                    <w:tl2br w:val="nil"/>
                    <w:tr2bl w:val="nil"/>
                  </w:tcBorders>
                  <w:noWrap w:val="0"/>
                  <w:vAlign w:val="center"/>
                </w:tcPr>
                <w:p w14:paraId="6F7BC1D2">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851" w:type="dxa"/>
                  <w:tcBorders>
                    <w:tl2br w:val="nil"/>
                    <w:tr2bl w:val="nil"/>
                  </w:tcBorders>
                  <w:noWrap w:val="0"/>
                  <w:vAlign w:val="center"/>
                </w:tcPr>
                <w:p w14:paraId="5F92C5C7">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1672" w:type="dxa"/>
                  <w:tcBorders>
                    <w:tl2br w:val="nil"/>
                    <w:tr2bl w:val="nil"/>
                  </w:tcBorders>
                  <w:noWrap w:val="0"/>
                  <w:vAlign w:val="center"/>
                </w:tcPr>
                <w:p w14:paraId="7DBBC742">
                  <w:pPr>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52070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tcBorders>
                    <w:tl2br w:val="nil"/>
                    <w:tr2bl w:val="nil"/>
                  </w:tcBorders>
                  <w:noWrap w:val="0"/>
                  <w:vAlign w:val="center"/>
                </w:tcPr>
                <w:p w14:paraId="72A15C03">
                  <w:pPr>
                    <w:pStyle w:val="87"/>
                    <w:keepNext w:val="0"/>
                    <w:keepLines w:val="0"/>
                    <w:pageBreakBefore w:val="0"/>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宋体"/>
                      <w:color w:val="000000" w:themeColor="text1"/>
                      <w:spacing w:val="-2"/>
                      <w:sz w:val="21"/>
                      <w:szCs w:val="21"/>
                      <w:lang w:val="en-US" w:eastAsia="zh-CN"/>
                      <w14:textFill>
                        <w14:solidFill>
                          <w14:schemeClr w14:val="tx1"/>
                        </w14:solidFill>
                      </w14:textFill>
                    </w:rPr>
                    <w:t>电泳清洗废水</w:t>
                  </w:r>
                </w:p>
              </w:tc>
              <w:tc>
                <w:tcPr>
                  <w:tcW w:w="1209" w:type="dxa"/>
                  <w:tcBorders>
                    <w:tl2br w:val="nil"/>
                    <w:tr2bl w:val="nil"/>
                  </w:tcBorders>
                  <w:noWrap w:val="0"/>
                  <w:vAlign w:val="center"/>
                </w:tcPr>
                <w:p w14:paraId="703D2E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2210.32</w:t>
                  </w:r>
                </w:p>
              </w:tc>
              <w:tc>
                <w:tcPr>
                  <w:tcW w:w="805" w:type="dxa"/>
                  <w:tcBorders>
                    <w:tl2br w:val="nil"/>
                    <w:tr2bl w:val="nil"/>
                  </w:tcBorders>
                  <w:noWrap w:val="0"/>
                  <w:vAlign w:val="center"/>
                </w:tcPr>
                <w:p w14:paraId="3B878B9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6~7</w:t>
                  </w:r>
                </w:p>
              </w:tc>
              <w:tc>
                <w:tcPr>
                  <w:tcW w:w="805" w:type="dxa"/>
                  <w:tcBorders>
                    <w:tl2br w:val="nil"/>
                    <w:tr2bl w:val="nil"/>
                  </w:tcBorders>
                  <w:noWrap w:val="0"/>
                  <w:vAlign w:val="center"/>
                </w:tcPr>
                <w:p w14:paraId="0AD4FAB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w:t>
                  </w:r>
                </w:p>
              </w:tc>
              <w:tc>
                <w:tcPr>
                  <w:tcW w:w="1017" w:type="dxa"/>
                  <w:tcBorders>
                    <w:tl2br w:val="nil"/>
                    <w:tr2bl w:val="nil"/>
                  </w:tcBorders>
                  <w:noWrap w:val="0"/>
                  <w:vAlign w:val="center"/>
                </w:tcPr>
                <w:p w14:paraId="60104410">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1061" w:type="dxa"/>
                  <w:tcBorders>
                    <w:tl2br w:val="nil"/>
                    <w:tr2bl w:val="nil"/>
                  </w:tcBorders>
                  <w:noWrap w:val="0"/>
                  <w:vAlign w:val="center"/>
                </w:tcPr>
                <w:p w14:paraId="0BD17DB8">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851" w:type="dxa"/>
                  <w:tcBorders>
                    <w:tl2br w:val="nil"/>
                    <w:tr2bl w:val="nil"/>
                  </w:tcBorders>
                  <w:noWrap w:val="0"/>
                  <w:vAlign w:val="center"/>
                </w:tcPr>
                <w:p w14:paraId="6A81A14C">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1672" w:type="dxa"/>
                  <w:tcBorders>
                    <w:tl2br w:val="nil"/>
                    <w:tr2bl w:val="nil"/>
                  </w:tcBorders>
                  <w:noWrap w:val="0"/>
                  <w:vAlign w:val="center"/>
                </w:tcPr>
                <w:p w14:paraId="40E8D0B1">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44A57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tcBorders>
                    <w:tl2br w:val="nil"/>
                    <w:tr2bl w:val="nil"/>
                  </w:tcBorders>
                  <w:noWrap w:val="0"/>
                  <w:vAlign w:val="center"/>
                </w:tcPr>
                <w:p w14:paraId="6A2CCE48">
                  <w:pPr>
                    <w:pStyle w:val="87"/>
                    <w:keepNext w:val="0"/>
                    <w:keepLines w:val="0"/>
                    <w:pageBreakBefore w:val="0"/>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2"/>
                      <w:sz w:val="21"/>
                      <w:szCs w:val="21"/>
                      <w:lang w:val="en-US" w:eastAsia="zh-CN"/>
                      <w14:textFill>
                        <w14:solidFill>
                          <w14:schemeClr w14:val="tx1"/>
                        </w14:solidFill>
                      </w14:textFill>
                    </w:rPr>
                  </w:pPr>
                  <w:r>
                    <w:rPr>
                      <w:rFonts w:hint="eastAsia" w:ascii="Times New Roman" w:hAnsi="Times New Roman" w:cs="宋体"/>
                      <w:color w:val="000000" w:themeColor="text1"/>
                      <w:spacing w:val="-2"/>
                      <w:sz w:val="21"/>
                      <w:szCs w:val="21"/>
                      <w:lang w:val="en-US" w:eastAsia="zh-CN"/>
                      <w14:textFill>
                        <w14:solidFill>
                          <w14:schemeClr w14:val="tx1"/>
                        </w14:solidFill>
                      </w14:textFill>
                    </w:rPr>
                    <w:t>脱漆清洗废水</w:t>
                  </w:r>
                </w:p>
              </w:tc>
              <w:tc>
                <w:tcPr>
                  <w:tcW w:w="1209" w:type="dxa"/>
                  <w:tcBorders>
                    <w:tl2br w:val="nil"/>
                    <w:tr2bl w:val="nil"/>
                  </w:tcBorders>
                  <w:noWrap w:val="0"/>
                  <w:vAlign w:val="center"/>
                </w:tcPr>
                <w:p w14:paraId="6F3204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1350</w:t>
                  </w:r>
                </w:p>
              </w:tc>
              <w:tc>
                <w:tcPr>
                  <w:tcW w:w="805" w:type="dxa"/>
                  <w:tcBorders>
                    <w:tl2br w:val="nil"/>
                    <w:tr2bl w:val="nil"/>
                  </w:tcBorders>
                  <w:shd w:val="clear" w:color="auto" w:fill="auto"/>
                  <w:noWrap w:val="0"/>
                  <w:vAlign w:val="center"/>
                </w:tcPr>
                <w:p w14:paraId="6AC981FB">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6~7</w:t>
                  </w:r>
                </w:p>
              </w:tc>
              <w:tc>
                <w:tcPr>
                  <w:tcW w:w="805" w:type="dxa"/>
                  <w:tcBorders>
                    <w:tl2br w:val="nil"/>
                    <w:tr2bl w:val="nil"/>
                  </w:tcBorders>
                  <w:shd w:val="clear" w:color="auto" w:fill="auto"/>
                  <w:noWrap w:val="0"/>
                  <w:vAlign w:val="center"/>
                </w:tcPr>
                <w:p w14:paraId="459007EC">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w:t>
                  </w:r>
                </w:p>
              </w:tc>
              <w:tc>
                <w:tcPr>
                  <w:tcW w:w="1017" w:type="dxa"/>
                  <w:tcBorders>
                    <w:tl2br w:val="nil"/>
                    <w:tr2bl w:val="nil"/>
                  </w:tcBorders>
                  <w:shd w:val="clear" w:color="auto" w:fill="auto"/>
                  <w:noWrap w:val="0"/>
                  <w:vAlign w:val="center"/>
                </w:tcPr>
                <w:p w14:paraId="7E3C16C7">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1061" w:type="dxa"/>
                  <w:tcBorders>
                    <w:tl2br w:val="nil"/>
                    <w:tr2bl w:val="nil"/>
                  </w:tcBorders>
                  <w:shd w:val="clear" w:color="auto" w:fill="auto"/>
                  <w:noWrap w:val="0"/>
                  <w:vAlign w:val="center"/>
                </w:tcPr>
                <w:p w14:paraId="14E9511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851" w:type="dxa"/>
                  <w:tcBorders>
                    <w:tl2br w:val="nil"/>
                    <w:tr2bl w:val="nil"/>
                  </w:tcBorders>
                  <w:noWrap w:val="0"/>
                  <w:vAlign w:val="center"/>
                </w:tcPr>
                <w:p w14:paraId="1BF06798">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1672" w:type="dxa"/>
                  <w:tcBorders>
                    <w:tl2br w:val="nil"/>
                    <w:tr2bl w:val="nil"/>
                  </w:tcBorders>
                  <w:noWrap w:val="0"/>
                  <w:vAlign w:val="center"/>
                </w:tcPr>
                <w:p w14:paraId="1E6D22D7">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r>
            <w:tr w14:paraId="1D942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tcBorders>
                    <w:tl2br w:val="nil"/>
                    <w:tr2bl w:val="nil"/>
                  </w:tcBorders>
                  <w:noWrap w:val="0"/>
                  <w:vAlign w:val="center"/>
                </w:tcPr>
                <w:p w14:paraId="57358A2E">
                  <w:pPr>
                    <w:pStyle w:val="87"/>
                    <w:keepNext w:val="0"/>
                    <w:keepLines w:val="0"/>
                    <w:pageBreakBefore w:val="0"/>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cs="宋体"/>
                      <w:color w:val="000000" w:themeColor="text1"/>
                      <w:spacing w:val="-2"/>
                      <w:sz w:val="21"/>
                      <w:szCs w:val="21"/>
                      <w:lang w:val="en-US" w:eastAsia="zh-CN"/>
                      <w14:textFill>
                        <w14:solidFill>
                          <w14:schemeClr w14:val="tx1"/>
                        </w14:solidFill>
                      </w14:textFill>
                    </w:rPr>
                  </w:pPr>
                  <w:r>
                    <w:rPr>
                      <w:rFonts w:hint="eastAsia" w:ascii="Times New Roman" w:hAnsi="Times New Roman" w:cs="宋体"/>
                      <w:color w:val="000000" w:themeColor="text1"/>
                      <w:spacing w:val="-2"/>
                      <w:sz w:val="21"/>
                      <w:szCs w:val="21"/>
                      <w:lang w:val="en-US" w:eastAsia="zh-CN"/>
                      <w14:textFill>
                        <w14:solidFill>
                          <w14:schemeClr w14:val="tx1"/>
                        </w14:solidFill>
                      </w14:textFill>
                    </w:rPr>
                    <w:t>钝化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清洗</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废水</w:t>
                  </w:r>
                </w:p>
              </w:tc>
              <w:tc>
                <w:tcPr>
                  <w:tcW w:w="1209" w:type="dxa"/>
                  <w:tcBorders>
                    <w:tl2br w:val="nil"/>
                    <w:tr2bl w:val="nil"/>
                  </w:tcBorders>
                  <w:noWrap w:val="0"/>
                  <w:vAlign w:val="center"/>
                </w:tcPr>
                <w:p w14:paraId="42E0CB0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920.4</w:t>
                  </w:r>
                </w:p>
              </w:tc>
              <w:tc>
                <w:tcPr>
                  <w:tcW w:w="805" w:type="dxa"/>
                  <w:tcBorders>
                    <w:tl2br w:val="nil"/>
                    <w:tr2bl w:val="nil"/>
                  </w:tcBorders>
                  <w:shd w:val="clear" w:color="auto" w:fill="auto"/>
                  <w:noWrap w:val="0"/>
                  <w:vAlign w:val="center"/>
                </w:tcPr>
                <w:p w14:paraId="47C234AC">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6~7</w:t>
                  </w:r>
                </w:p>
              </w:tc>
              <w:tc>
                <w:tcPr>
                  <w:tcW w:w="805" w:type="dxa"/>
                  <w:tcBorders>
                    <w:tl2br w:val="nil"/>
                    <w:tr2bl w:val="nil"/>
                  </w:tcBorders>
                  <w:shd w:val="clear" w:color="auto" w:fill="auto"/>
                  <w:noWrap w:val="0"/>
                  <w:vAlign w:val="center"/>
                </w:tcPr>
                <w:p w14:paraId="7A38C512">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1017" w:type="dxa"/>
                  <w:tcBorders>
                    <w:tl2br w:val="nil"/>
                    <w:tr2bl w:val="nil"/>
                  </w:tcBorders>
                  <w:shd w:val="clear" w:color="auto" w:fill="auto"/>
                  <w:noWrap w:val="0"/>
                  <w:vAlign w:val="center"/>
                </w:tcPr>
                <w:p w14:paraId="7E3C2E90">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1061" w:type="dxa"/>
                  <w:tcBorders>
                    <w:tl2br w:val="nil"/>
                    <w:tr2bl w:val="nil"/>
                  </w:tcBorders>
                  <w:shd w:val="clear" w:color="auto" w:fill="auto"/>
                  <w:noWrap w:val="0"/>
                  <w:vAlign w:val="center"/>
                </w:tcPr>
                <w:p w14:paraId="579B9C7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851" w:type="dxa"/>
                  <w:tcBorders>
                    <w:tl2br w:val="nil"/>
                    <w:tr2bl w:val="nil"/>
                  </w:tcBorders>
                  <w:noWrap w:val="0"/>
                  <w:vAlign w:val="center"/>
                </w:tcPr>
                <w:p w14:paraId="1CE8546C">
                  <w:pPr>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1672" w:type="dxa"/>
                  <w:tcBorders>
                    <w:tl2br w:val="nil"/>
                    <w:tr2bl w:val="nil"/>
                  </w:tcBorders>
                  <w:noWrap w:val="0"/>
                  <w:vAlign w:val="center"/>
                </w:tcPr>
                <w:p w14:paraId="7B1DD0F8">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r>
            <w:tr w14:paraId="1062F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tcBorders>
                    <w:tl2br w:val="nil"/>
                    <w:tr2bl w:val="nil"/>
                  </w:tcBorders>
                  <w:noWrap w:val="0"/>
                  <w:vAlign w:val="center"/>
                </w:tcPr>
                <w:p w14:paraId="12FCC559">
                  <w:pPr>
                    <w:pStyle w:val="87"/>
                    <w:keepNext w:val="0"/>
                    <w:keepLines w:val="0"/>
                    <w:pageBreakBefore w:val="0"/>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2"/>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2"/>
                      <w:sz w:val="21"/>
                      <w:szCs w:val="21"/>
                      <w:lang w:val="en-US" w:eastAsia="zh-CN"/>
                      <w14:textFill>
                        <w14:solidFill>
                          <w14:schemeClr w14:val="tx1"/>
                        </w14:solidFill>
                      </w14:textFill>
                    </w:rPr>
                    <w:t>合计</w:t>
                  </w:r>
                </w:p>
              </w:tc>
              <w:tc>
                <w:tcPr>
                  <w:tcW w:w="1209" w:type="dxa"/>
                  <w:tcBorders>
                    <w:tl2br w:val="nil"/>
                    <w:tr2bl w:val="nil"/>
                  </w:tcBorders>
                  <w:noWrap w:val="0"/>
                  <w:vAlign w:val="center"/>
                </w:tcPr>
                <w:p w14:paraId="5D2203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10302</w:t>
                  </w:r>
                </w:p>
              </w:tc>
              <w:tc>
                <w:tcPr>
                  <w:tcW w:w="805" w:type="dxa"/>
                  <w:tcBorders>
                    <w:tl2br w:val="nil"/>
                    <w:tr2bl w:val="nil"/>
                  </w:tcBorders>
                  <w:noWrap w:val="0"/>
                  <w:vAlign w:val="center"/>
                </w:tcPr>
                <w:p w14:paraId="30178D52">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6~9</w:t>
                  </w:r>
                </w:p>
              </w:tc>
              <w:tc>
                <w:tcPr>
                  <w:tcW w:w="805" w:type="dxa"/>
                  <w:tcBorders>
                    <w:tl2br w:val="nil"/>
                    <w:tr2bl w:val="nil"/>
                  </w:tcBorders>
                  <w:noWrap w:val="0"/>
                  <w:vAlign w:val="center"/>
                </w:tcPr>
                <w:p w14:paraId="6758C334">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928.12 </w:t>
                  </w:r>
                </w:p>
              </w:tc>
              <w:tc>
                <w:tcPr>
                  <w:tcW w:w="1017" w:type="dxa"/>
                  <w:tcBorders>
                    <w:tl2br w:val="nil"/>
                    <w:tr2bl w:val="nil"/>
                  </w:tcBorders>
                  <w:noWrap w:val="0"/>
                  <w:vAlign w:val="center"/>
                </w:tcPr>
                <w:p w14:paraId="0B8F6FFE">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11.83 </w:t>
                  </w:r>
                </w:p>
              </w:tc>
              <w:tc>
                <w:tcPr>
                  <w:tcW w:w="1061" w:type="dxa"/>
                  <w:tcBorders>
                    <w:tl2br w:val="nil"/>
                    <w:tr2bl w:val="nil"/>
                  </w:tcBorders>
                  <w:noWrap w:val="0"/>
                  <w:vAlign w:val="center"/>
                </w:tcPr>
                <w:p w14:paraId="59AE2DB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53.60 </w:t>
                  </w:r>
                </w:p>
              </w:tc>
              <w:tc>
                <w:tcPr>
                  <w:tcW w:w="851" w:type="dxa"/>
                  <w:tcBorders>
                    <w:tl2br w:val="nil"/>
                    <w:tr2bl w:val="nil"/>
                  </w:tcBorders>
                  <w:noWrap w:val="0"/>
                  <w:vAlign w:val="center"/>
                </w:tcPr>
                <w:p w14:paraId="4F064981">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6.42 </w:t>
                  </w:r>
                </w:p>
              </w:tc>
              <w:tc>
                <w:tcPr>
                  <w:tcW w:w="1672" w:type="dxa"/>
                  <w:tcBorders>
                    <w:tl2br w:val="nil"/>
                    <w:tr2bl w:val="nil"/>
                  </w:tcBorders>
                  <w:noWrap w:val="0"/>
                  <w:vAlign w:val="center"/>
                </w:tcPr>
                <w:p w14:paraId="0C895CFB">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4.47 </w:t>
                  </w:r>
                </w:p>
              </w:tc>
            </w:tr>
          </w:tbl>
          <w:p w14:paraId="33F81604">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line="360" w:lineRule="auto"/>
              <w:ind w:leftChars="0" w:firstLine="480" w:firstLineChars="200"/>
              <w:textAlignment w:val="bottom"/>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为了解其他污染因子浓度情况，评价收集了《福州术立智能科技有限公司年产10万套汽车金属零配件涂装生产线项目竣工环境保护验收监测报告》进行分析，术立公司污水处理站进、出口监测数据如下表所示。</w:t>
            </w:r>
          </w:p>
          <w:p w14:paraId="1F86AE91">
            <w:pPr>
              <w:widowControl/>
              <w:spacing w:before="120" w:beforeLines="50" w:line="240" w:lineRule="auto"/>
              <w:jc w:val="cente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表</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4.3-</w:t>
            </w:r>
            <w:r>
              <w:rPr>
                <w:rFonts w:hint="eastAsia" w:cs="Times New Roman"/>
                <w:b/>
                <w:bCs/>
                <w:color w:val="000000" w:themeColor="text1"/>
                <w:kern w:val="0"/>
                <w:sz w:val="24"/>
                <w:lang w:val="en-US" w:eastAsia="zh-CN" w:bidi="ar"/>
                <w14:textFill>
                  <w14:solidFill>
                    <w14:schemeClr w14:val="tx1"/>
                  </w14:solidFill>
                </w14:textFill>
              </w:rPr>
              <w:t>2</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 xml:space="preserve"> </w:t>
            </w:r>
            <w:r>
              <w:rPr>
                <w:rFonts w:hint="eastAsia" w:cs="Times New Roman"/>
                <w:b/>
                <w:bCs/>
                <w:color w:val="000000" w:themeColor="text1"/>
                <w:kern w:val="0"/>
                <w:sz w:val="24"/>
                <w:lang w:val="en-US" w:eastAsia="zh-CN" w:bidi="ar"/>
                <w14:textFill>
                  <w14:solidFill>
                    <w14:schemeClr w14:val="tx1"/>
                  </w14:solidFill>
                </w14:textFill>
              </w:rPr>
              <w:t>术立公司</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污水处理站</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验收监测结果及去除效率分析</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表</w:t>
            </w:r>
          </w:p>
          <w:p w14:paraId="37AD7DA0">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line="360" w:lineRule="auto"/>
              <w:ind w:leftChars="0" w:firstLine="480" w:firstLineChars="200"/>
              <w:jc w:val="center"/>
              <w:textAlignment w:val="bottom"/>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68A5B948">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line="360" w:lineRule="auto"/>
              <w:ind w:leftChars="0" w:firstLine="480" w:firstLineChars="200"/>
              <w:textAlignment w:val="bottom"/>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结合表4.3-1和</w:t>
            </w:r>
            <w:r>
              <w:rPr>
                <w:rFonts w:hint="eastAsia" w:cs="Times New Roman"/>
                <w:color w:val="000000" w:themeColor="text1"/>
                <w:kern w:val="2"/>
                <w:sz w:val="24"/>
                <w:szCs w:val="24"/>
                <w:lang w:val="en-US" w:eastAsia="zh-CN" w:bidi="ar-SA"/>
                <w14:textFill>
                  <w14:solidFill>
                    <w14:schemeClr w14:val="tx1"/>
                  </w14:solidFill>
                </w14:textFill>
              </w:rPr>
              <w:t>表4.3-2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监测数据</w:t>
            </w:r>
            <w:r>
              <w:rPr>
                <w:rFonts w:hint="eastAsia" w:cs="Times New Roman"/>
                <w:color w:val="000000" w:themeColor="text1"/>
                <w:kern w:val="2"/>
                <w:sz w:val="24"/>
                <w:szCs w:val="24"/>
                <w:lang w:val="en-US" w:eastAsia="zh-CN" w:bidi="ar-SA"/>
                <w14:textFill>
                  <w14:solidFill>
                    <w14:schemeClr w14:val="tx1"/>
                  </w14:solidFill>
                </w14:textFill>
              </w:rPr>
              <w:t>、企业近年自行监测报告</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，最终确认本项目生产废水水质情况如下表4.3-3。</w:t>
            </w:r>
          </w:p>
          <w:p w14:paraId="11BDB7B4">
            <w:pPr>
              <w:widowControl/>
              <w:spacing w:before="120" w:beforeLines="50" w:line="240" w:lineRule="auto"/>
              <w:jc w:val="cente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表4.3-3  本项目生产废水水质指标一览表</w:t>
            </w:r>
          </w:p>
          <w:tbl>
            <w:tblPr>
              <w:tblStyle w:val="31"/>
              <w:tblW w:w="89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904"/>
              <w:gridCol w:w="608"/>
              <w:gridCol w:w="741"/>
              <w:gridCol w:w="674"/>
              <w:gridCol w:w="647"/>
              <w:gridCol w:w="750"/>
              <w:gridCol w:w="578"/>
              <w:gridCol w:w="1033"/>
              <w:gridCol w:w="531"/>
              <w:gridCol w:w="633"/>
              <w:gridCol w:w="703"/>
            </w:tblGrid>
            <w:tr w14:paraId="7EB9B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vMerge w:val="restart"/>
                  <w:tcBorders>
                    <w:tl2br w:val="nil"/>
                    <w:tr2bl w:val="nil"/>
                  </w:tcBorders>
                  <w:noWrap w:val="0"/>
                  <w:vAlign w:val="center"/>
                </w:tcPr>
                <w:p w14:paraId="4F9B7D22">
                  <w:pPr>
                    <w:pStyle w:val="132"/>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ascii="Times New Roman" w:hAnsi="Times New Roman" w:eastAsia="宋体"/>
                      <w:color w:val="000000" w:themeColor="text1"/>
                      <w:spacing w:val="7"/>
                      <w:sz w:val="18"/>
                      <w:szCs w:val="18"/>
                      <w14:textFill>
                        <w14:solidFill>
                          <w14:schemeClr w14:val="tx1"/>
                        </w14:solidFill>
                      </w14:textFill>
                    </w:rPr>
                    <w:t>废水</w:t>
                  </w:r>
                  <w:r>
                    <w:rPr>
                      <w:rFonts w:hint="eastAsia" w:ascii="Times New Roman" w:hAnsi="Times New Roman" w:eastAsia="宋体"/>
                      <w:color w:val="000000" w:themeColor="text1"/>
                      <w:spacing w:val="7"/>
                      <w:sz w:val="18"/>
                      <w:szCs w:val="18"/>
                      <w:lang w:val="en-US" w:eastAsia="zh-CN"/>
                      <w14:textFill>
                        <w14:solidFill>
                          <w14:schemeClr w14:val="tx1"/>
                        </w14:solidFill>
                      </w14:textFill>
                    </w:rPr>
                    <w:t>种类</w:t>
                  </w:r>
                </w:p>
              </w:tc>
              <w:tc>
                <w:tcPr>
                  <w:tcW w:w="504" w:type="pct"/>
                  <w:vMerge w:val="restart"/>
                  <w:tcBorders>
                    <w:tl2br w:val="nil"/>
                    <w:tr2bl w:val="nil"/>
                  </w:tcBorders>
                  <w:noWrap w:val="0"/>
                  <w:vAlign w:val="center"/>
                </w:tcPr>
                <w:p w14:paraId="0BF71F27">
                  <w:pPr>
                    <w:pStyle w:val="132"/>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000000" w:themeColor="text1"/>
                      <w:spacing w:val="7"/>
                      <w:sz w:val="18"/>
                      <w:szCs w:val="18"/>
                      <w14:textFill>
                        <w14:solidFill>
                          <w14:schemeClr w14:val="tx1"/>
                        </w14:solidFill>
                      </w14:textFill>
                    </w:rPr>
                  </w:pPr>
                  <w:r>
                    <w:rPr>
                      <w:rFonts w:hint="eastAsia" w:ascii="Times New Roman" w:hAnsi="Times New Roman" w:eastAsia="宋体"/>
                      <w:color w:val="000000" w:themeColor="text1"/>
                      <w:spacing w:val="7"/>
                      <w:sz w:val="18"/>
                      <w:szCs w:val="18"/>
                      <w:lang w:val="en-US" w:eastAsia="zh-CN"/>
                      <w14:textFill>
                        <w14:solidFill>
                          <w14:schemeClr w14:val="tx1"/>
                        </w14:solidFill>
                      </w14:textFill>
                    </w:rPr>
                    <w:t>废水量</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w:t>
                  </w:r>
                  <w:r>
                    <w:rPr>
                      <w:rFonts w:hint="default" w:ascii="Times New Roman" w:hAnsi="Times New Roman" w:eastAsia="宋体" w:cs="Times New Roman"/>
                      <w:i w:val="0"/>
                      <w:iCs w:val="0"/>
                      <w:color w:val="000000" w:themeColor="text1"/>
                      <w:kern w:val="0"/>
                      <w:sz w:val="18"/>
                      <w:szCs w:val="18"/>
                      <w:u w:val="none"/>
                      <w:vertAlign w:val="super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/a）</w:t>
                  </w:r>
                </w:p>
              </w:tc>
              <w:tc>
                <w:tcPr>
                  <w:tcW w:w="3846" w:type="pct"/>
                  <w:gridSpan w:val="10"/>
                  <w:tcBorders>
                    <w:tl2br w:val="nil"/>
                    <w:tr2bl w:val="nil"/>
                  </w:tcBorders>
                  <w:noWrap w:val="0"/>
                  <w:vAlign w:val="center"/>
                </w:tcPr>
                <w:p w14:paraId="59A69A21">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产生浓度（mg/L，pH除外）</w:t>
                  </w:r>
                </w:p>
              </w:tc>
            </w:tr>
            <w:tr w14:paraId="2F2C5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vMerge w:val="continue"/>
                  <w:tcBorders>
                    <w:tl2br w:val="nil"/>
                    <w:tr2bl w:val="nil"/>
                  </w:tcBorders>
                  <w:noWrap w:val="0"/>
                  <w:vAlign w:val="center"/>
                </w:tcPr>
                <w:p w14:paraId="1DCF77C3">
                  <w:pPr>
                    <w:pStyle w:val="132"/>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000000" w:themeColor="text1"/>
                      <w:spacing w:val="7"/>
                      <w:sz w:val="18"/>
                      <w:szCs w:val="18"/>
                      <w14:textFill>
                        <w14:solidFill>
                          <w14:schemeClr w14:val="tx1"/>
                        </w14:solidFill>
                      </w14:textFill>
                    </w:rPr>
                  </w:pPr>
                </w:p>
              </w:tc>
              <w:tc>
                <w:tcPr>
                  <w:tcW w:w="504" w:type="pct"/>
                  <w:vMerge w:val="continue"/>
                  <w:tcBorders>
                    <w:tl2br w:val="nil"/>
                    <w:tr2bl w:val="nil"/>
                  </w:tcBorders>
                  <w:noWrap w:val="0"/>
                  <w:vAlign w:val="center"/>
                </w:tcPr>
                <w:p w14:paraId="1C267AB9">
                  <w:pPr>
                    <w:pStyle w:val="132"/>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000000" w:themeColor="text1"/>
                      <w:spacing w:val="7"/>
                      <w:sz w:val="18"/>
                      <w:szCs w:val="18"/>
                      <w14:textFill>
                        <w14:solidFill>
                          <w14:schemeClr w14:val="tx1"/>
                        </w14:solidFill>
                      </w14:textFill>
                    </w:rPr>
                  </w:pPr>
                </w:p>
              </w:tc>
              <w:tc>
                <w:tcPr>
                  <w:tcW w:w="339" w:type="pct"/>
                  <w:tcBorders>
                    <w:tl2br w:val="nil"/>
                    <w:tr2bl w:val="nil"/>
                  </w:tcBorders>
                  <w:noWrap w:val="0"/>
                  <w:vAlign w:val="center"/>
                </w:tcPr>
                <w:p w14:paraId="4CD94DAF">
                  <w:pPr>
                    <w:pStyle w:val="132"/>
                    <w:keepNext w:val="0"/>
                    <w:keepLines w:val="0"/>
                    <w:pageBreakBefore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pH</w:t>
                  </w:r>
                </w:p>
              </w:tc>
              <w:tc>
                <w:tcPr>
                  <w:tcW w:w="413" w:type="pct"/>
                  <w:tcBorders>
                    <w:tl2br w:val="nil"/>
                    <w:tr2bl w:val="nil"/>
                  </w:tcBorders>
                  <w:noWrap w:val="0"/>
                  <w:vAlign w:val="center"/>
                </w:tcPr>
                <w:p w14:paraId="28DBE976">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ascii="Times New Roman" w:hAnsi="Times New Roman" w:eastAsia="宋体" w:cs="Times New Roman"/>
                      <w:color w:val="000000" w:themeColor="text1"/>
                      <w:spacing w:val="3"/>
                      <w:sz w:val="18"/>
                      <w:szCs w:val="18"/>
                      <w14:textFill>
                        <w14:solidFill>
                          <w14:schemeClr w14:val="tx1"/>
                        </w14:solidFill>
                      </w14:textFill>
                    </w:rPr>
                    <w:t>COD</w:t>
                  </w:r>
                </w:p>
              </w:tc>
              <w:tc>
                <w:tcPr>
                  <w:tcW w:w="376" w:type="pct"/>
                  <w:tcBorders>
                    <w:tl2br w:val="nil"/>
                    <w:tr2bl w:val="nil"/>
                  </w:tcBorders>
                  <w:noWrap w:val="0"/>
                  <w:vAlign w:val="center"/>
                </w:tcPr>
                <w:p w14:paraId="788D048B">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ascii="Times New Roman" w:hAnsi="Times New Roman" w:eastAsia="宋体" w:cs="Times New Roman"/>
                      <w:color w:val="000000" w:themeColor="text1"/>
                      <w:spacing w:val="5"/>
                      <w:sz w:val="18"/>
                      <w:szCs w:val="18"/>
                      <w14:textFill>
                        <w14:solidFill>
                          <w14:schemeClr w14:val="tx1"/>
                        </w14:solidFill>
                      </w14:textFill>
                    </w:rPr>
                    <w:t>BOD</w:t>
                  </w:r>
                  <w:r>
                    <w:rPr>
                      <w:rFonts w:ascii="Times New Roman" w:hAnsi="Times New Roman" w:eastAsia="宋体" w:cs="Times New Roman"/>
                      <w:color w:val="000000" w:themeColor="text1"/>
                      <w:spacing w:val="5"/>
                      <w:position w:val="-1"/>
                      <w:sz w:val="18"/>
                      <w:szCs w:val="18"/>
                      <w:vertAlign w:val="subscript"/>
                      <w14:textFill>
                        <w14:solidFill>
                          <w14:schemeClr w14:val="tx1"/>
                        </w14:solidFill>
                      </w14:textFill>
                    </w:rPr>
                    <w:t>5</w:t>
                  </w:r>
                </w:p>
              </w:tc>
              <w:tc>
                <w:tcPr>
                  <w:tcW w:w="361" w:type="pct"/>
                  <w:tcBorders>
                    <w:tl2br w:val="nil"/>
                    <w:tr2bl w:val="nil"/>
                  </w:tcBorders>
                  <w:noWrap w:val="0"/>
                  <w:vAlign w:val="center"/>
                </w:tcPr>
                <w:p w14:paraId="2DB3ED72">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ascii="Times New Roman" w:hAnsi="Times New Roman" w:eastAsia="宋体" w:cs="Times New Roman"/>
                      <w:color w:val="000000" w:themeColor="text1"/>
                      <w:spacing w:val="-3"/>
                      <w:sz w:val="18"/>
                      <w:szCs w:val="18"/>
                      <w14:textFill>
                        <w14:solidFill>
                          <w14:schemeClr w14:val="tx1"/>
                        </w14:solidFill>
                      </w14:textFill>
                    </w:rPr>
                    <w:t>SS</w:t>
                  </w:r>
                </w:p>
              </w:tc>
              <w:tc>
                <w:tcPr>
                  <w:tcW w:w="418" w:type="pct"/>
                  <w:tcBorders>
                    <w:tl2br w:val="nil"/>
                    <w:tr2bl w:val="nil"/>
                  </w:tcBorders>
                  <w:noWrap w:val="0"/>
                  <w:vAlign w:val="center"/>
                </w:tcPr>
                <w:p w14:paraId="6D9FFB47">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NH</w:t>
                  </w:r>
                  <w:r>
                    <w:rPr>
                      <w:rFonts w:ascii="Times New Roman" w:hAnsi="Times New Roman" w:eastAsia="宋体" w:cs="Times New Roman"/>
                      <w:color w:val="000000" w:themeColor="text1"/>
                      <w:spacing w:val="9"/>
                      <w:sz w:val="18"/>
                      <w:szCs w:val="18"/>
                      <w:vertAlign w:val="subscript"/>
                      <w14:textFill>
                        <w14:solidFill>
                          <w14:schemeClr w14:val="tx1"/>
                        </w14:solidFill>
                      </w14:textFill>
                    </w:rPr>
                    <w:t>3</w:t>
                  </w:r>
                  <w:r>
                    <w:rPr>
                      <w:rFonts w:ascii="Times New Roman" w:hAnsi="Times New Roman" w:eastAsia="宋体" w:cs="Times New Roman"/>
                      <w:color w:val="000000" w:themeColor="text1"/>
                      <w:spacing w:val="9"/>
                      <w:sz w:val="18"/>
                      <w:szCs w:val="18"/>
                      <w14:textFill>
                        <w14:solidFill>
                          <w14:schemeClr w14:val="tx1"/>
                        </w14:solidFill>
                      </w14:textFill>
                    </w:rPr>
                    <w:t>-N</w:t>
                  </w:r>
                </w:p>
              </w:tc>
              <w:tc>
                <w:tcPr>
                  <w:tcW w:w="322" w:type="pct"/>
                  <w:tcBorders>
                    <w:tl2br w:val="nil"/>
                    <w:tr2bl w:val="nil"/>
                  </w:tcBorders>
                  <w:noWrap w:val="0"/>
                  <w:vAlign w:val="center"/>
                </w:tcPr>
                <w:p w14:paraId="7F43A048">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石油类</w:t>
                  </w:r>
                </w:p>
              </w:tc>
              <w:tc>
                <w:tcPr>
                  <w:tcW w:w="576" w:type="pct"/>
                  <w:tcBorders>
                    <w:tl2br w:val="nil"/>
                    <w:tr2bl w:val="nil"/>
                  </w:tcBorders>
                  <w:noWrap w:val="0"/>
                  <w:vAlign w:val="center"/>
                </w:tcPr>
                <w:p w14:paraId="2903ED9A">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磷酸盐（以P计）</w:t>
                  </w:r>
                </w:p>
              </w:tc>
              <w:tc>
                <w:tcPr>
                  <w:tcW w:w="296" w:type="pct"/>
                  <w:tcBorders>
                    <w:tl2br w:val="nil"/>
                    <w:tr2bl w:val="nil"/>
                  </w:tcBorders>
                  <w:noWrap w:val="0"/>
                  <w:vAlign w:val="center"/>
                </w:tcPr>
                <w:p w14:paraId="624F227A">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总锌</w:t>
                  </w:r>
                </w:p>
              </w:tc>
              <w:tc>
                <w:tcPr>
                  <w:tcW w:w="353" w:type="pct"/>
                  <w:tcBorders>
                    <w:tl2br w:val="nil"/>
                    <w:tr2bl w:val="nil"/>
                  </w:tcBorders>
                  <w:noWrap w:val="0"/>
                  <w:vAlign w:val="center"/>
                </w:tcPr>
                <w:p w14:paraId="08AC4BD5">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LAS</w:t>
                  </w:r>
                </w:p>
              </w:tc>
              <w:tc>
                <w:tcPr>
                  <w:tcW w:w="388" w:type="pct"/>
                  <w:tcBorders>
                    <w:tl2br w:val="nil"/>
                    <w:tr2bl w:val="nil"/>
                  </w:tcBorders>
                  <w:noWrap w:val="0"/>
                  <w:vAlign w:val="center"/>
                </w:tcPr>
                <w:p w14:paraId="0BF6BF5D">
                  <w:pPr>
                    <w:keepNext w:val="0"/>
                    <w:keepLines w:val="0"/>
                    <w:pageBreakBefore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氟化物</w:t>
                  </w:r>
                </w:p>
              </w:tc>
            </w:tr>
            <w:tr w14:paraId="50BB4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tcBorders>
                    <w:tl2br w:val="nil"/>
                    <w:tr2bl w:val="nil"/>
                  </w:tcBorders>
                  <w:noWrap w:val="0"/>
                  <w:vAlign w:val="center"/>
                </w:tcPr>
                <w:p w14:paraId="6FC8994E">
                  <w:pPr>
                    <w:pStyle w:val="87"/>
                    <w:keepNext w:val="0"/>
                    <w:keepLines w:val="0"/>
                    <w:pageBreakBefore w:val="0"/>
                    <w:kinsoku/>
                    <w:wordWrap/>
                    <w:overflowPunct/>
                    <w:topLinePunct w:val="0"/>
                    <w:autoSpaceDE/>
                    <w:autoSpaceDN/>
                    <w:bidi w:val="0"/>
                    <w:adjustRightInd/>
                    <w:snapToGrid/>
                    <w:spacing w:before="0" w:line="240" w:lineRule="auto"/>
                    <w:ind w:left="0" w:right="0" w:rightChars="0"/>
                    <w:jc w:val="center"/>
                    <w:textAlignment w:val="auto"/>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cs="Times New Roman"/>
                      <w:color w:val="000000" w:themeColor="text1"/>
                      <w:spacing w:val="0"/>
                      <w:sz w:val="18"/>
                      <w:szCs w:val="18"/>
                      <w:highlight w:val="none"/>
                      <w:lang w:val="en-US" w:eastAsia="zh-CN"/>
                      <w14:textFill>
                        <w14:solidFill>
                          <w14:schemeClr w14:val="tx1"/>
                        </w14:solidFill>
                      </w14:textFill>
                    </w:rPr>
                    <w:t>综合生产废水</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酸洗、钝化、电泳</w:t>
                  </w:r>
                  <w:r>
                    <w:rPr>
                      <w:rFonts w:hint="eastAsia"/>
                      <w:color w:val="000000" w:themeColor="text1"/>
                      <w:sz w:val="18"/>
                      <w:szCs w:val="18"/>
                      <w:lang w:eastAsia="zh-CN"/>
                      <w14:textFill>
                        <w14:solidFill>
                          <w14:schemeClr w14:val="tx1"/>
                        </w14:solidFill>
                      </w14:textFill>
                    </w:rPr>
                    <w:t>）</w:t>
                  </w:r>
                </w:p>
              </w:tc>
              <w:tc>
                <w:tcPr>
                  <w:tcW w:w="504" w:type="pct"/>
                  <w:tcBorders>
                    <w:tl2br w:val="nil"/>
                    <w:tr2bl w:val="nil"/>
                  </w:tcBorders>
                  <w:noWrap w:val="0"/>
                  <w:vAlign w:val="center"/>
                </w:tcPr>
                <w:p w14:paraId="496B68A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10302</w:t>
                  </w:r>
                </w:p>
              </w:tc>
              <w:tc>
                <w:tcPr>
                  <w:tcW w:w="339" w:type="pct"/>
                  <w:tcBorders>
                    <w:tl2br w:val="nil"/>
                    <w:tr2bl w:val="nil"/>
                  </w:tcBorders>
                  <w:noWrap w:val="0"/>
                  <w:vAlign w:val="center"/>
                </w:tcPr>
                <w:p w14:paraId="7A74062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6~9</w:t>
                  </w:r>
                </w:p>
              </w:tc>
              <w:tc>
                <w:tcPr>
                  <w:tcW w:w="413" w:type="pct"/>
                  <w:tcBorders>
                    <w:tl2br w:val="nil"/>
                    <w:tr2bl w:val="nil"/>
                  </w:tcBorders>
                  <w:noWrap w:val="0"/>
                  <w:vAlign w:val="center"/>
                </w:tcPr>
                <w:p w14:paraId="1C29BAF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980</w:t>
                  </w:r>
                </w:p>
              </w:tc>
              <w:tc>
                <w:tcPr>
                  <w:tcW w:w="376" w:type="pct"/>
                  <w:tcBorders>
                    <w:tl2br w:val="nil"/>
                    <w:tr2bl w:val="nil"/>
                  </w:tcBorders>
                  <w:noWrap w:val="0"/>
                  <w:vAlign w:val="center"/>
                </w:tcPr>
                <w:p w14:paraId="503A27F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250</w:t>
                  </w:r>
                </w:p>
              </w:tc>
              <w:tc>
                <w:tcPr>
                  <w:tcW w:w="361" w:type="pct"/>
                  <w:tcBorders>
                    <w:tl2br w:val="nil"/>
                    <w:tr2bl w:val="nil"/>
                  </w:tcBorders>
                  <w:noWrap w:val="0"/>
                  <w:vAlign w:val="center"/>
                </w:tcPr>
                <w:p w14:paraId="22E67C1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180</w:t>
                  </w:r>
                </w:p>
              </w:tc>
              <w:tc>
                <w:tcPr>
                  <w:tcW w:w="418" w:type="pct"/>
                  <w:tcBorders>
                    <w:tl2br w:val="nil"/>
                    <w:tr2bl w:val="nil"/>
                  </w:tcBorders>
                  <w:noWrap w:val="0"/>
                  <w:vAlign w:val="center"/>
                </w:tcPr>
                <w:p w14:paraId="1B76DB9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15</w:t>
                  </w:r>
                </w:p>
              </w:tc>
              <w:tc>
                <w:tcPr>
                  <w:tcW w:w="322" w:type="pct"/>
                  <w:tcBorders>
                    <w:tl2br w:val="nil"/>
                    <w:tr2bl w:val="nil"/>
                  </w:tcBorders>
                  <w:noWrap w:val="0"/>
                  <w:vAlign w:val="center"/>
                </w:tcPr>
                <w:p w14:paraId="1662107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15</w:t>
                  </w:r>
                </w:p>
              </w:tc>
              <w:tc>
                <w:tcPr>
                  <w:tcW w:w="576" w:type="pct"/>
                  <w:tcBorders>
                    <w:tl2br w:val="nil"/>
                    <w:tr2bl w:val="nil"/>
                  </w:tcBorders>
                  <w:noWrap w:val="0"/>
                  <w:vAlign w:val="center"/>
                </w:tcPr>
                <w:p w14:paraId="0B4833C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53.6</w:t>
                  </w:r>
                </w:p>
              </w:tc>
              <w:tc>
                <w:tcPr>
                  <w:tcW w:w="296" w:type="pct"/>
                  <w:tcBorders>
                    <w:tl2br w:val="nil"/>
                    <w:tr2bl w:val="nil"/>
                  </w:tcBorders>
                  <w:noWrap w:val="0"/>
                  <w:vAlign w:val="center"/>
                </w:tcPr>
                <w:p w14:paraId="409F4A8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6.42</w:t>
                  </w:r>
                </w:p>
              </w:tc>
              <w:tc>
                <w:tcPr>
                  <w:tcW w:w="353" w:type="pct"/>
                  <w:tcBorders>
                    <w:tl2br w:val="nil"/>
                    <w:tr2bl w:val="nil"/>
                  </w:tcBorders>
                  <w:noWrap w:val="0"/>
                  <w:vAlign w:val="center"/>
                </w:tcPr>
                <w:p w14:paraId="5CCB43D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cs="Times New Roman"/>
                      <w:color w:val="000000" w:themeColor="text1"/>
                      <w:kern w:val="2"/>
                      <w:sz w:val="18"/>
                      <w:szCs w:val="18"/>
                      <w:vertAlign w:val="baseline"/>
                      <w:lang w:val="en-US" w:eastAsia="zh-CN" w:bidi="ar-SA"/>
                      <w14:textFill>
                        <w14:solidFill>
                          <w14:schemeClr w14:val="tx1"/>
                        </w14:solidFill>
                      </w14:textFill>
                    </w:rPr>
                    <w:t>5.0</w:t>
                  </w:r>
                </w:p>
              </w:tc>
              <w:tc>
                <w:tcPr>
                  <w:tcW w:w="388" w:type="pct"/>
                  <w:tcBorders>
                    <w:tl2br w:val="nil"/>
                    <w:tr2bl w:val="nil"/>
                  </w:tcBorders>
                  <w:noWrap w:val="0"/>
                  <w:vAlign w:val="center"/>
                </w:tcPr>
                <w:p w14:paraId="3D8A569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4.5</w:t>
                  </w:r>
                </w:p>
              </w:tc>
            </w:tr>
            <w:tr w14:paraId="680B7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tcBorders>
                    <w:tl2br w:val="nil"/>
                    <w:tr2bl w:val="nil"/>
                  </w:tcBorders>
                  <w:noWrap w:val="0"/>
                  <w:vAlign w:val="center"/>
                </w:tcPr>
                <w:p w14:paraId="099F4AF6">
                  <w:pPr>
                    <w:pStyle w:val="87"/>
                    <w:keepNext w:val="0"/>
                    <w:keepLines w:val="0"/>
                    <w:pageBreakBefore w:val="0"/>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喷淋塔废水</w:t>
                  </w:r>
                </w:p>
              </w:tc>
              <w:tc>
                <w:tcPr>
                  <w:tcW w:w="504" w:type="pct"/>
                  <w:tcBorders>
                    <w:tl2br w:val="nil"/>
                    <w:tr2bl w:val="nil"/>
                  </w:tcBorders>
                  <w:noWrap w:val="0"/>
                  <w:vAlign w:val="center"/>
                </w:tcPr>
                <w:p w14:paraId="2C10376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100</w:t>
                  </w:r>
                </w:p>
              </w:tc>
              <w:tc>
                <w:tcPr>
                  <w:tcW w:w="339" w:type="pct"/>
                  <w:tcBorders>
                    <w:tl2br w:val="nil"/>
                    <w:tr2bl w:val="nil"/>
                  </w:tcBorders>
                  <w:noWrap w:val="0"/>
                  <w:vAlign w:val="center"/>
                </w:tcPr>
                <w:p w14:paraId="0EC013D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6~9</w:t>
                  </w:r>
                </w:p>
              </w:tc>
              <w:tc>
                <w:tcPr>
                  <w:tcW w:w="413" w:type="pct"/>
                  <w:tcBorders>
                    <w:tl2br w:val="nil"/>
                    <w:tr2bl w:val="nil"/>
                  </w:tcBorders>
                  <w:noWrap w:val="0"/>
                  <w:vAlign w:val="center"/>
                </w:tcPr>
                <w:p w14:paraId="32FABCB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300</w:t>
                  </w:r>
                </w:p>
              </w:tc>
              <w:tc>
                <w:tcPr>
                  <w:tcW w:w="376" w:type="pct"/>
                  <w:tcBorders>
                    <w:tl2br w:val="nil"/>
                    <w:tr2bl w:val="nil"/>
                  </w:tcBorders>
                  <w:noWrap w:val="0"/>
                  <w:vAlign w:val="center"/>
                </w:tcPr>
                <w:p w14:paraId="72F0A35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250</w:t>
                  </w:r>
                </w:p>
              </w:tc>
              <w:tc>
                <w:tcPr>
                  <w:tcW w:w="361" w:type="pct"/>
                  <w:tcBorders>
                    <w:tl2br w:val="nil"/>
                    <w:tr2bl w:val="nil"/>
                  </w:tcBorders>
                  <w:noWrap w:val="0"/>
                  <w:vAlign w:val="center"/>
                </w:tcPr>
                <w:p w14:paraId="0ACBE0D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120</w:t>
                  </w:r>
                </w:p>
              </w:tc>
              <w:tc>
                <w:tcPr>
                  <w:tcW w:w="418" w:type="pct"/>
                  <w:tcBorders>
                    <w:tl2br w:val="nil"/>
                    <w:tr2bl w:val="nil"/>
                  </w:tcBorders>
                  <w:noWrap w:val="0"/>
                  <w:vAlign w:val="center"/>
                </w:tcPr>
                <w:p w14:paraId="40B69DA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15</w:t>
                  </w:r>
                </w:p>
              </w:tc>
              <w:tc>
                <w:tcPr>
                  <w:tcW w:w="322" w:type="pct"/>
                  <w:tcBorders>
                    <w:tl2br w:val="nil"/>
                    <w:tr2bl w:val="nil"/>
                  </w:tcBorders>
                  <w:noWrap w:val="0"/>
                  <w:vAlign w:val="center"/>
                </w:tcPr>
                <w:p w14:paraId="70014C6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0.17</w:t>
                  </w:r>
                </w:p>
              </w:tc>
              <w:tc>
                <w:tcPr>
                  <w:tcW w:w="576" w:type="pct"/>
                  <w:tcBorders>
                    <w:tl2br w:val="nil"/>
                    <w:tr2bl w:val="nil"/>
                  </w:tcBorders>
                  <w:noWrap w:val="0"/>
                  <w:vAlign w:val="center"/>
                </w:tcPr>
                <w:p w14:paraId="0198336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25</w:t>
                  </w:r>
                </w:p>
              </w:tc>
              <w:tc>
                <w:tcPr>
                  <w:tcW w:w="296" w:type="pct"/>
                  <w:tcBorders>
                    <w:tl2br w:val="nil"/>
                    <w:tr2bl w:val="nil"/>
                  </w:tcBorders>
                  <w:noWrap w:val="0"/>
                  <w:vAlign w:val="center"/>
                </w:tcPr>
                <w:p w14:paraId="3F6D983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1.5</w:t>
                  </w:r>
                </w:p>
              </w:tc>
              <w:tc>
                <w:tcPr>
                  <w:tcW w:w="353" w:type="pct"/>
                  <w:tcBorders>
                    <w:tl2br w:val="nil"/>
                    <w:tr2bl w:val="nil"/>
                  </w:tcBorders>
                  <w:noWrap w:val="0"/>
                  <w:vAlign w:val="center"/>
                </w:tcPr>
                <w:p w14:paraId="3D278BE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0.</w:t>
                  </w:r>
                  <w:r>
                    <w:rPr>
                      <w:rFonts w:hint="eastAsia" w:cs="Times New Roman"/>
                      <w:color w:val="000000" w:themeColor="text1"/>
                      <w:kern w:val="2"/>
                      <w:sz w:val="18"/>
                      <w:szCs w:val="18"/>
                      <w:vertAlign w:val="baseline"/>
                      <w:lang w:val="en-US" w:eastAsia="zh-CN" w:bidi="ar-SA"/>
                      <w14:textFill>
                        <w14:solidFill>
                          <w14:schemeClr w14:val="tx1"/>
                        </w14:solidFill>
                      </w14:textFill>
                    </w:rPr>
                    <w:t>2</w:t>
                  </w:r>
                </w:p>
              </w:tc>
              <w:tc>
                <w:tcPr>
                  <w:tcW w:w="388" w:type="pct"/>
                  <w:tcBorders>
                    <w:tl2br w:val="nil"/>
                    <w:tr2bl w:val="nil"/>
                  </w:tcBorders>
                  <w:noWrap w:val="0"/>
                  <w:vAlign w:val="center"/>
                </w:tcPr>
                <w:p w14:paraId="0A386CA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1</w:t>
                  </w:r>
                </w:p>
              </w:tc>
            </w:tr>
            <w:tr w14:paraId="788F5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tcBorders>
                    <w:tl2br w:val="nil"/>
                    <w:tr2bl w:val="nil"/>
                  </w:tcBorders>
                  <w:noWrap w:val="0"/>
                  <w:vAlign w:val="center"/>
                </w:tcPr>
                <w:p w14:paraId="69DB55CE">
                  <w:pPr>
                    <w:pStyle w:val="87"/>
                    <w:keepNext w:val="0"/>
                    <w:keepLines w:val="0"/>
                    <w:pageBreakBefore w:val="0"/>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合计</w:t>
                  </w:r>
                </w:p>
              </w:tc>
              <w:tc>
                <w:tcPr>
                  <w:tcW w:w="504" w:type="pct"/>
                  <w:tcBorders>
                    <w:tl2br w:val="nil"/>
                    <w:tr2bl w:val="nil"/>
                  </w:tcBorders>
                  <w:noWrap w:val="0"/>
                  <w:vAlign w:val="center"/>
                </w:tcPr>
                <w:p w14:paraId="1C7F39F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10402</w:t>
                  </w:r>
                </w:p>
              </w:tc>
              <w:tc>
                <w:tcPr>
                  <w:tcW w:w="339" w:type="pct"/>
                  <w:tcBorders>
                    <w:tl2br w:val="nil"/>
                    <w:tr2bl w:val="nil"/>
                  </w:tcBorders>
                  <w:noWrap w:val="0"/>
                  <w:vAlign w:val="center"/>
                </w:tcPr>
                <w:p w14:paraId="7A8F555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6~9</w:t>
                  </w:r>
                </w:p>
              </w:tc>
              <w:tc>
                <w:tcPr>
                  <w:tcW w:w="741" w:type="dxa"/>
                  <w:tcBorders>
                    <w:tl2br w:val="nil"/>
                    <w:tr2bl w:val="nil"/>
                  </w:tcBorders>
                  <w:noWrap w:val="0"/>
                  <w:vAlign w:val="center"/>
                </w:tcPr>
                <w:p w14:paraId="6B5098D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973.46 </w:t>
                  </w:r>
                </w:p>
              </w:tc>
              <w:tc>
                <w:tcPr>
                  <w:tcW w:w="675" w:type="dxa"/>
                  <w:tcBorders>
                    <w:tl2br w:val="nil"/>
                    <w:tr2bl w:val="nil"/>
                  </w:tcBorders>
                  <w:noWrap w:val="0"/>
                  <w:vAlign w:val="center"/>
                </w:tcPr>
                <w:p w14:paraId="526AF0B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250.00 </w:t>
                  </w:r>
                </w:p>
              </w:tc>
              <w:tc>
                <w:tcPr>
                  <w:tcW w:w="647" w:type="dxa"/>
                  <w:tcBorders>
                    <w:tl2br w:val="nil"/>
                    <w:tr2bl w:val="nil"/>
                  </w:tcBorders>
                  <w:noWrap w:val="0"/>
                  <w:vAlign w:val="center"/>
                </w:tcPr>
                <w:p w14:paraId="4275E0D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179.42 </w:t>
                  </w:r>
                </w:p>
              </w:tc>
              <w:tc>
                <w:tcPr>
                  <w:tcW w:w="751" w:type="dxa"/>
                  <w:tcBorders>
                    <w:tl2br w:val="nil"/>
                    <w:tr2bl w:val="nil"/>
                  </w:tcBorders>
                  <w:noWrap w:val="0"/>
                  <w:vAlign w:val="center"/>
                </w:tcPr>
                <w:p w14:paraId="46C338F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15.00 </w:t>
                  </w:r>
                </w:p>
              </w:tc>
              <w:tc>
                <w:tcPr>
                  <w:tcW w:w="578" w:type="dxa"/>
                  <w:tcBorders>
                    <w:tl2br w:val="nil"/>
                    <w:tr2bl w:val="nil"/>
                  </w:tcBorders>
                  <w:noWrap w:val="0"/>
                  <w:vAlign w:val="center"/>
                </w:tcPr>
                <w:p w14:paraId="2576A7B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14.86 </w:t>
                  </w:r>
                </w:p>
              </w:tc>
              <w:tc>
                <w:tcPr>
                  <w:tcW w:w="1033" w:type="dxa"/>
                  <w:tcBorders>
                    <w:tl2br w:val="nil"/>
                    <w:tr2bl w:val="nil"/>
                  </w:tcBorders>
                  <w:noWrap w:val="0"/>
                  <w:vAlign w:val="center"/>
                </w:tcPr>
                <w:p w14:paraId="7309EB8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53.33 </w:t>
                  </w:r>
                </w:p>
              </w:tc>
              <w:tc>
                <w:tcPr>
                  <w:tcW w:w="531" w:type="dxa"/>
                  <w:tcBorders>
                    <w:tl2br w:val="nil"/>
                    <w:tr2bl w:val="nil"/>
                  </w:tcBorders>
                  <w:noWrap w:val="0"/>
                  <w:vAlign w:val="center"/>
                </w:tcPr>
                <w:p w14:paraId="699AF56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6.37 </w:t>
                  </w:r>
                </w:p>
              </w:tc>
              <w:tc>
                <w:tcPr>
                  <w:tcW w:w="633" w:type="dxa"/>
                  <w:tcBorders>
                    <w:tl2br w:val="nil"/>
                    <w:tr2bl w:val="nil"/>
                  </w:tcBorders>
                  <w:noWrap w:val="0"/>
                  <w:vAlign w:val="center"/>
                </w:tcPr>
                <w:p w14:paraId="2467FCE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cs="Times New Roman"/>
                      <w:color w:val="000000" w:themeColor="text1"/>
                      <w:kern w:val="2"/>
                      <w:sz w:val="18"/>
                      <w:szCs w:val="18"/>
                      <w:vertAlign w:val="baseline"/>
                      <w:lang w:val="en-US" w:eastAsia="zh-CN" w:bidi="ar-SA"/>
                      <w14:textFill>
                        <w14:solidFill>
                          <w14:schemeClr w14:val="tx1"/>
                        </w14:solidFill>
                      </w14:textFill>
                    </w:rPr>
                    <w:t>4.95</w:t>
                  </w: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 </w:t>
                  </w:r>
                </w:p>
              </w:tc>
              <w:tc>
                <w:tcPr>
                  <w:tcW w:w="703" w:type="dxa"/>
                  <w:tcBorders>
                    <w:tl2br w:val="nil"/>
                    <w:tr2bl w:val="nil"/>
                  </w:tcBorders>
                  <w:noWrap w:val="0"/>
                  <w:vAlign w:val="center"/>
                </w:tcPr>
                <w:p w14:paraId="75A1B24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4.47 </w:t>
                  </w:r>
                </w:p>
              </w:tc>
            </w:tr>
          </w:tbl>
          <w:p w14:paraId="3E84FB05">
            <w:pPr>
              <w:widowControl/>
              <w:spacing w:before="120" w:beforeLines="50" w:line="240" w:lineRule="auto"/>
              <w:jc w:val="cente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表4.3-4   项目生产废水污染物产排情况一览表</w:t>
            </w:r>
          </w:p>
          <w:tbl>
            <w:tblPr>
              <w:tblStyle w:val="3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496"/>
              <w:gridCol w:w="794"/>
              <w:gridCol w:w="748"/>
              <w:gridCol w:w="688"/>
              <w:gridCol w:w="834"/>
              <w:gridCol w:w="688"/>
              <w:gridCol w:w="688"/>
              <w:gridCol w:w="688"/>
              <w:gridCol w:w="688"/>
              <w:gridCol w:w="701"/>
            </w:tblGrid>
            <w:tr w14:paraId="687ED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7" w:type="pct"/>
                  <w:vMerge w:val="restart"/>
                  <w:noWrap w:val="0"/>
                  <w:vAlign w:val="center"/>
                </w:tcPr>
                <w:p w14:paraId="17352237">
                  <w:pPr>
                    <w:adjustRightInd w:val="0"/>
                    <w:snapToGrid w:val="0"/>
                    <w:spacing w:line="32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废水量</w:t>
                  </w:r>
                </w:p>
              </w:tc>
              <w:tc>
                <w:tcPr>
                  <w:tcW w:w="848" w:type="pct"/>
                  <w:vMerge w:val="restart"/>
                  <w:noWrap w:val="0"/>
                  <w:vAlign w:val="center"/>
                </w:tcPr>
                <w:p w14:paraId="6E463CD2">
                  <w:pPr>
                    <w:adjustRightInd w:val="0"/>
                    <w:snapToGrid w:val="0"/>
                    <w:spacing w:line="32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产生</w:t>
                  </w:r>
                </w:p>
                <w:p w14:paraId="6E325918">
                  <w:pPr>
                    <w:adjustRightInd w:val="0"/>
                    <w:snapToGrid w:val="0"/>
                    <w:spacing w:line="32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情况</w:t>
                  </w:r>
                </w:p>
              </w:tc>
              <w:tc>
                <w:tcPr>
                  <w:tcW w:w="3694" w:type="pct"/>
                  <w:gridSpan w:val="9"/>
                  <w:noWrap w:val="0"/>
                  <w:vAlign w:val="center"/>
                </w:tcPr>
                <w:p w14:paraId="10792ECF">
                  <w:pPr>
                    <w:adjustRightInd w:val="0"/>
                    <w:snapToGrid w:val="0"/>
                    <w:spacing w:line="32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主要污染物</w:t>
                  </w:r>
                </w:p>
              </w:tc>
            </w:tr>
            <w:tr w14:paraId="245DD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7" w:type="pct"/>
                  <w:vMerge w:val="continue"/>
                  <w:noWrap w:val="0"/>
                  <w:vAlign w:val="center"/>
                </w:tcPr>
                <w:p w14:paraId="271A84CE">
                  <w:pPr>
                    <w:adjustRightInd w:val="0"/>
                    <w:snapToGrid w:val="0"/>
                    <w:spacing w:line="320" w:lineRule="exact"/>
                    <w:jc w:val="center"/>
                    <w:rPr>
                      <w:bCs/>
                      <w:color w:val="000000" w:themeColor="text1"/>
                      <w:sz w:val="18"/>
                      <w:szCs w:val="18"/>
                      <w14:textFill>
                        <w14:solidFill>
                          <w14:schemeClr w14:val="tx1"/>
                        </w14:solidFill>
                      </w14:textFill>
                    </w:rPr>
                  </w:pPr>
                </w:p>
              </w:tc>
              <w:tc>
                <w:tcPr>
                  <w:tcW w:w="848" w:type="pct"/>
                  <w:vMerge w:val="continue"/>
                  <w:noWrap w:val="0"/>
                  <w:vAlign w:val="center"/>
                </w:tcPr>
                <w:p w14:paraId="47B62174">
                  <w:pPr>
                    <w:adjustRightInd w:val="0"/>
                    <w:snapToGrid w:val="0"/>
                    <w:spacing w:line="320" w:lineRule="exact"/>
                    <w:jc w:val="center"/>
                    <w:rPr>
                      <w:bCs/>
                      <w:color w:val="000000" w:themeColor="text1"/>
                      <w:sz w:val="18"/>
                      <w:szCs w:val="18"/>
                      <w14:textFill>
                        <w14:solidFill>
                          <w14:schemeClr w14:val="tx1"/>
                        </w14:solidFill>
                      </w14:textFill>
                    </w:rPr>
                  </w:pPr>
                </w:p>
              </w:tc>
              <w:tc>
                <w:tcPr>
                  <w:tcW w:w="450" w:type="pct"/>
                  <w:noWrap w:val="0"/>
                  <w:vAlign w:val="center"/>
                </w:tcPr>
                <w:p w14:paraId="4E41007A">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cs="Times New Roman"/>
                      <w:bCs/>
                      <w:color w:val="000000" w:themeColor="text1"/>
                      <w:sz w:val="18"/>
                      <w:szCs w:val="18"/>
                      <w:lang w:val="en-US"/>
                      <w14:textFill>
                        <w14:solidFill>
                          <w14:schemeClr w14:val="tx1"/>
                        </w14:solidFill>
                      </w14:textFill>
                    </w:rPr>
                  </w:pPr>
                  <w:r>
                    <w:rPr>
                      <w:rFonts w:ascii="Times New Roman" w:hAnsi="Times New Roman" w:eastAsia="宋体" w:cs="Times New Roman"/>
                      <w:color w:val="000000" w:themeColor="text1"/>
                      <w:spacing w:val="3"/>
                      <w:sz w:val="18"/>
                      <w:szCs w:val="18"/>
                      <w14:textFill>
                        <w14:solidFill>
                          <w14:schemeClr w14:val="tx1"/>
                        </w14:solidFill>
                      </w14:textFill>
                    </w:rPr>
                    <w:t>COD</w:t>
                  </w:r>
                </w:p>
              </w:tc>
              <w:tc>
                <w:tcPr>
                  <w:tcW w:w="424" w:type="pct"/>
                  <w:noWrap w:val="0"/>
                  <w:vAlign w:val="center"/>
                </w:tcPr>
                <w:p w14:paraId="7191DFC1">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cs="Times New Roman"/>
                      <w:bCs/>
                      <w:color w:val="000000" w:themeColor="text1"/>
                      <w:sz w:val="18"/>
                      <w:szCs w:val="18"/>
                      <w:lang w:val="en-US"/>
                      <w14:textFill>
                        <w14:solidFill>
                          <w14:schemeClr w14:val="tx1"/>
                        </w14:solidFill>
                      </w14:textFill>
                    </w:rPr>
                  </w:pPr>
                  <w:r>
                    <w:rPr>
                      <w:rFonts w:ascii="Times New Roman" w:hAnsi="Times New Roman" w:eastAsia="宋体" w:cs="Times New Roman"/>
                      <w:color w:val="000000" w:themeColor="text1"/>
                      <w:spacing w:val="5"/>
                      <w:sz w:val="18"/>
                      <w:szCs w:val="18"/>
                      <w14:textFill>
                        <w14:solidFill>
                          <w14:schemeClr w14:val="tx1"/>
                        </w14:solidFill>
                      </w14:textFill>
                    </w:rPr>
                    <w:t>BOD</w:t>
                  </w:r>
                  <w:r>
                    <w:rPr>
                      <w:rFonts w:ascii="Times New Roman" w:hAnsi="Times New Roman" w:eastAsia="宋体" w:cs="Times New Roman"/>
                      <w:color w:val="000000" w:themeColor="text1"/>
                      <w:spacing w:val="5"/>
                      <w:position w:val="-1"/>
                      <w:sz w:val="18"/>
                      <w:szCs w:val="18"/>
                      <w:vertAlign w:val="subscript"/>
                      <w14:textFill>
                        <w14:solidFill>
                          <w14:schemeClr w14:val="tx1"/>
                        </w14:solidFill>
                      </w14:textFill>
                    </w:rPr>
                    <w:t>5</w:t>
                  </w:r>
                </w:p>
              </w:tc>
              <w:tc>
                <w:tcPr>
                  <w:tcW w:w="390" w:type="pct"/>
                  <w:noWrap w:val="0"/>
                  <w:vAlign w:val="center"/>
                </w:tcPr>
                <w:p w14:paraId="74F576E3">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cs="Times New Roman"/>
                      <w:bCs/>
                      <w:color w:val="000000" w:themeColor="text1"/>
                      <w:sz w:val="18"/>
                      <w:szCs w:val="18"/>
                      <w:lang w:val="en-US"/>
                      <w14:textFill>
                        <w14:solidFill>
                          <w14:schemeClr w14:val="tx1"/>
                        </w14:solidFill>
                      </w14:textFill>
                    </w:rPr>
                  </w:pPr>
                  <w:r>
                    <w:rPr>
                      <w:rFonts w:ascii="Times New Roman" w:hAnsi="Times New Roman" w:eastAsia="宋体" w:cs="Times New Roman"/>
                      <w:color w:val="000000" w:themeColor="text1"/>
                      <w:spacing w:val="-3"/>
                      <w:sz w:val="18"/>
                      <w:szCs w:val="18"/>
                      <w14:textFill>
                        <w14:solidFill>
                          <w14:schemeClr w14:val="tx1"/>
                        </w14:solidFill>
                      </w14:textFill>
                    </w:rPr>
                    <w:t>SS</w:t>
                  </w:r>
                </w:p>
              </w:tc>
              <w:tc>
                <w:tcPr>
                  <w:tcW w:w="473" w:type="pct"/>
                  <w:noWrap w:val="0"/>
                  <w:vAlign w:val="center"/>
                </w:tcPr>
                <w:p w14:paraId="112EB570">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cs="Times New Roman"/>
                      <w:bCs/>
                      <w:color w:val="000000" w:themeColor="text1"/>
                      <w:sz w:val="18"/>
                      <w:szCs w:val="18"/>
                      <w:lang w:val="en-US"/>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NH</w:t>
                  </w:r>
                  <w:r>
                    <w:rPr>
                      <w:rFonts w:ascii="Times New Roman" w:hAnsi="Times New Roman" w:eastAsia="宋体" w:cs="Times New Roman"/>
                      <w:color w:val="000000" w:themeColor="text1"/>
                      <w:spacing w:val="9"/>
                      <w:sz w:val="18"/>
                      <w:szCs w:val="18"/>
                      <w:vertAlign w:val="subscript"/>
                      <w14:textFill>
                        <w14:solidFill>
                          <w14:schemeClr w14:val="tx1"/>
                        </w14:solidFill>
                      </w14:textFill>
                    </w:rPr>
                    <w:t>3</w:t>
                  </w:r>
                  <w:r>
                    <w:rPr>
                      <w:rFonts w:ascii="Times New Roman" w:hAnsi="Times New Roman" w:eastAsia="宋体" w:cs="Times New Roman"/>
                      <w:color w:val="000000" w:themeColor="text1"/>
                      <w:spacing w:val="9"/>
                      <w:sz w:val="18"/>
                      <w:szCs w:val="18"/>
                      <w14:textFill>
                        <w14:solidFill>
                          <w14:schemeClr w14:val="tx1"/>
                        </w14:solidFill>
                      </w14:textFill>
                    </w:rPr>
                    <w:t>-N</w:t>
                  </w:r>
                </w:p>
              </w:tc>
              <w:tc>
                <w:tcPr>
                  <w:tcW w:w="390" w:type="pct"/>
                  <w:noWrap w:val="0"/>
                  <w:vAlign w:val="center"/>
                </w:tcPr>
                <w:p w14:paraId="30D402F9">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cs="Times New Roman"/>
                      <w:bCs/>
                      <w:color w:val="000000" w:themeColor="text1"/>
                      <w:sz w:val="18"/>
                      <w:szCs w:val="18"/>
                      <w:lang w:val="en-US"/>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石油类</w:t>
                  </w:r>
                </w:p>
              </w:tc>
              <w:tc>
                <w:tcPr>
                  <w:tcW w:w="390" w:type="pct"/>
                  <w:noWrap w:val="0"/>
                  <w:vAlign w:val="center"/>
                </w:tcPr>
                <w:p w14:paraId="7E569498">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cs="Times New Roman"/>
                      <w:color w:val="000000" w:themeColor="text1"/>
                      <w:sz w:val="18"/>
                      <w:szCs w:val="18"/>
                      <w:lang w:val="en-US"/>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磷酸盐（以P计）</w:t>
                  </w:r>
                </w:p>
              </w:tc>
              <w:tc>
                <w:tcPr>
                  <w:tcW w:w="390" w:type="pct"/>
                  <w:noWrap w:val="0"/>
                  <w:vAlign w:val="center"/>
                </w:tcPr>
                <w:p w14:paraId="10B6C9CD">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cs="Times New Roman"/>
                      <w:color w:val="000000" w:themeColor="text1"/>
                      <w:sz w:val="18"/>
                      <w:szCs w:val="18"/>
                      <w:lang w:val="en-US"/>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总锌</w:t>
                  </w:r>
                </w:p>
              </w:tc>
              <w:tc>
                <w:tcPr>
                  <w:tcW w:w="390" w:type="pct"/>
                  <w:noWrap w:val="0"/>
                  <w:vAlign w:val="center"/>
                </w:tcPr>
                <w:p w14:paraId="71E00757">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cs="Times New Roman"/>
                      <w:color w:val="000000" w:themeColor="text1"/>
                      <w:sz w:val="18"/>
                      <w:szCs w:val="18"/>
                      <w:lang w:val="en-US"/>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LAS</w:t>
                  </w:r>
                </w:p>
              </w:tc>
              <w:tc>
                <w:tcPr>
                  <w:tcW w:w="392" w:type="pct"/>
                  <w:noWrap w:val="0"/>
                  <w:vAlign w:val="center"/>
                </w:tcPr>
                <w:p w14:paraId="0D371AD0">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cs="Times New Roman"/>
                      <w:bCs/>
                      <w:color w:val="000000" w:themeColor="text1"/>
                      <w:sz w:val="18"/>
                      <w:szCs w:val="18"/>
                      <w:lang w:val="en-US"/>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氟化物</w:t>
                  </w:r>
                </w:p>
              </w:tc>
            </w:tr>
            <w:tr w14:paraId="1B6E2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7" w:type="pct"/>
                  <w:vMerge w:val="restart"/>
                  <w:noWrap w:val="0"/>
                  <w:vAlign w:val="center"/>
                </w:tcPr>
                <w:p w14:paraId="115C6BCA">
                  <w:pPr>
                    <w:adjustRightInd w:val="0"/>
                    <w:snapToGrid w:val="0"/>
                    <w:spacing w:line="320" w:lineRule="exact"/>
                    <w:jc w:val="center"/>
                    <w:rPr>
                      <w:rFonts w:hint="default" w:cs="宋体"/>
                      <w:color w:val="000000" w:themeColor="text1"/>
                      <w:sz w:val="18"/>
                      <w:szCs w:val="18"/>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生产废水</w:t>
                  </w:r>
                  <w:r>
                    <w:rPr>
                      <w:rFonts w:hint="eastAsia" w:cs="Times New Roman"/>
                      <w:color w:val="000000" w:themeColor="text1"/>
                      <w:spacing w:val="0"/>
                      <w:sz w:val="18"/>
                      <w:szCs w:val="18"/>
                      <w:highlight w:val="none"/>
                      <w:lang w:val="en-US" w:eastAsia="zh-CN"/>
                      <w14:textFill>
                        <w14:solidFill>
                          <w14:schemeClr w14:val="tx1"/>
                        </w14:solidFill>
                      </w14:textFill>
                    </w:rPr>
                    <w:t>10402</w:t>
                  </w:r>
                </w:p>
                <w:p w14:paraId="0AB87B8B">
                  <w:pPr>
                    <w:adjustRightInd w:val="0"/>
                    <w:snapToGrid w:val="0"/>
                    <w:spacing w:line="32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t/a</w:t>
                  </w:r>
                </w:p>
              </w:tc>
              <w:tc>
                <w:tcPr>
                  <w:tcW w:w="848" w:type="pct"/>
                  <w:noWrap w:val="0"/>
                  <w:vAlign w:val="center"/>
                </w:tcPr>
                <w:p w14:paraId="2BB56C94">
                  <w:pPr>
                    <w:adjustRightInd w:val="0"/>
                    <w:snapToGrid w:val="0"/>
                    <w:spacing w:line="320" w:lineRule="exact"/>
                    <w:jc w:val="center"/>
                    <w:rPr>
                      <w:bCs/>
                      <w:color w:val="000000" w:themeColor="text1"/>
                      <w:sz w:val="18"/>
                      <w:szCs w:val="18"/>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产生</w:t>
                  </w:r>
                  <w:r>
                    <w:rPr>
                      <w:bCs/>
                      <w:color w:val="000000" w:themeColor="text1"/>
                      <w:sz w:val="18"/>
                      <w:szCs w:val="18"/>
                      <w14:textFill>
                        <w14:solidFill>
                          <w14:schemeClr w14:val="tx1"/>
                        </w14:solidFill>
                      </w14:textFill>
                    </w:rPr>
                    <w:t>浓度(mg/L)</w:t>
                  </w:r>
                </w:p>
              </w:tc>
              <w:tc>
                <w:tcPr>
                  <w:tcW w:w="807" w:type="dxa"/>
                  <w:noWrap w:val="0"/>
                  <w:vAlign w:val="center"/>
                </w:tcPr>
                <w:p w14:paraId="3D0D997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973.46 </w:t>
                  </w:r>
                </w:p>
              </w:tc>
              <w:tc>
                <w:tcPr>
                  <w:tcW w:w="760" w:type="dxa"/>
                  <w:noWrap w:val="0"/>
                  <w:vAlign w:val="center"/>
                </w:tcPr>
                <w:p w14:paraId="394E523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250.00 </w:t>
                  </w:r>
                </w:p>
              </w:tc>
              <w:tc>
                <w:tcPr>
                  <w:tcW w:w="699" w:type="dxa"/>
                  <w:noWrap w:val="0"/>
                  <w:vAlign w:val="center"/>
                </w:tcPr>
                <w:p w14:paraId="6A37393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179.42 </w:t>
                  </w:r>
                </w:p>
              </w:tc>
              <w:tc>
                <w:tcPr>
                  <w:tcW w:w="848" w:type="dxa"/>
                  <w:noWrap w:val="0"/>
                  <w:vAlign w:val="center"/>
                </w:tcPr>
                <w:p w14:paraId="09AE1CC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15.00 </w:t>
                  </w:r>
                </w:p>
              </w:tc>
              <w:tc>
                <w:tcPr>
                  <w:tcW w:w="699" w:type="dxa"/>
                  <w:noWrap w:val="0"/>
                  <w:vAlign w:val="center"/>
                </w:tcPr>
                <w:p w14:paraId="0AF7868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14.86 </w:t>
                  </w:r>
                </w:p>
              </w:tc>
              <w:tc>
                <w:tcPr>
                  <w:tcW w:w="699" w:type="dxa"/>
                  <w:noWrap w:val="0"/>
                  <w:vAlign w:val="center"/>
                </w:tcPr>
                <w:p w14:paraId="4C708C3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53.33 </w:t>
                  </w:r>
                </w:p>
              </w:tc>
              <w:tc>
                <w:tcPr>
                  <w:tcW w:w="699" w:type="dxa"/>
                  <w:noWrap w:val="0"/>
                  <w:vAlign w:val="center"/>
                </w:tcPr>
                <w:p w14:paraId="57B8B2E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6.37 </w:t>
                  </w:r>
                </w:p>
              </w:tc>
              <w:tc>
                <w:tcPr>
                  <w:tcW w:w="699" w:type="dxa"/>
                  <w:noWrap w:val="0"/>
                  <w:vAlign w:val="center"/>
                </w:tcPr>
                <w:p w14:paraId="2BDF01C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cs="Times New Roman"/>
                      <w:color w:val="000000" w:themeColor="text1"/>
                      <w:kern w:val="2"/>
                      <w:sz w:val="18"/>
                      <w:szCs w:val="18"/>
                      <w:vertAlign w:val="baseline"/>
                      <w:lang w:val="en-US" w:eastAsia="zh-CN" w:bidi="ar-SA"/>
                      <w14:textFill>
                        <w14:solidFill>
                          <w14:schemeClr w14:val="tx1"/>
                        </w14:solidFill>
                      </w14:textFill>
                    </w:rPr>
                    <w:t>4.95</w:t>
                  </w: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 </w:t>
                  </w:r>
                </w:p>
              </w:tc>
              <w:tc>
                <w:tcPr>
                  <w:tcW w:w="712" w:type="dxa"/>
                  <w:noWrap w:val="0"/>
                  <w:vAlign w:val="center"/>
                </w:tcPr>
                <w:p w14:paraId="5C87680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outlineLvl w:val="9"/>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t xml:space="preserve">4.47 </w:t>
                  </w:r>
                </w:p>
              </w:tc>
            </w:tr>
            <w:tr w14:paraId="2614F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7" w:type="pct"/>
                  <w:vMerge w:val="continue"/>
                  <w:noWrap w:val="0"/>
                  <w:vAlign w:val="center"/>
                </w:tcPr>
                <w:p w14:paraId="2686A8A1">
                  <w:pPr>
                    <w:adjustRightInd w:val="0"/>
                    <w:snapToGrid w:val="0"/>
                    <w:spacing w:line="320" w:lineRule="exact"/>
                    <w:jc w:val="center"/>
                    <w:rPr>
                      <w:bCs/>
                      <w:color w:val="000000" w:themeColor="text1"/>
                      <w:sz w:val="18"/>
                      <w:szCs w:val="18"/>
                      <w14:textFill>
                        <w14:solidFill>
                          <w14:schemeClr w14:val="tx1"/>
                        </w14:solidFill>
                      </w14:textFill>
                    </w:rPr>
                  </w:pPr>
                </w:p>
              </w:tc>
              <w:tc>
                <w:tcPr>
                  <w:tcW w:w="848" w:type="pct"/>
                  <w:noWrap w:val="0"/>
                  <w:vAlign w:val="center"/>
                </w:tcPr>
                <w:p w14:paraId="5F215CD4">
                  <w:pPr>
                    <w:adjustRightInd w:val="0"/>
                    <w:snapToGrid w:val="0"/>
                    <w:spacing w:line="32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产生量(t/a)</w:t>
                  </w:r>
                </w:p>
              </w:tc>
              <w:tc>
                <w:tcPr>
                  <w:tcW w:w="450" w:type="pct"/>
                  <w:noWrap w:val="0"/>
                  <w:vAlign w:val="center"/>
                </w:tcPr>
                <w:p w14:paraId="12E5B434">
                  <w:pPr>
                    <w:keepNext w:val="0"/>
                    <w:keepLines w:val="0"/>
                    <w:widowControl/>
                    <w:suppressLineNumbers w:val="0"/>
                    <w:jc w:val="center"/>
                    <w:textAlignment w:val="center"/>
                    <w:rPr>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7.192 </w:t>
                  </w:r>
                </w:p>
              </w:tc>
              <w:tc>
                <w:tcPr>
                  <w:tcW w:w="424" w:type="pct"/>
                  <w:noWrap w:val="0"/>
                  <w:vAlign w:val="center"/>
                </w:tcPr>
                <w:p w14:paraId="119FB3D4">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1.503 </w:t>
                  </w:r>
                </w:p>
              </w:tc>
              <w:tc>
                <w:tcPr>
                  <w:tcW w:w="390" w:type="pct"/>
                  <w:noWrap w:val="0"/>
                  <w:vAlign w:val="center"/>
                </w:tcPr>
                <w:p w14:paraId="5B5AD26F">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1.086 </w:t>
                  </w:r>
                </w:p>
              </w:tc>
              <w:tc>
                <w:tcPr>
                  <w:tcW w:w="473" w:type="pct"/>
                  <w:noWrap w:val="0"/>
                  <w:vAlign w:val="center"/>
                </w:tcPr>
                <w:p w14:paraId="17BB3962">
                  <w:pPr>
                    <w:keepNext w:val="0"/>
                    <w:keepLines w:val="0"/>
                    <w:widowControl/>
                    <w:suppressLineNumbers w:val="0"/>
                    <w:jc w:val="center"/>
                    <w:textAlignment w:val="center"/>
                    <w:rPr>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0.160 </w:t>
                  </w:r>
                </w:p>
              </w:tc>
              <w:tc>
                <w:tcPr>
                  <w:tcW w:w="390" w:type="pct"/>
                  <w:noWrap w:val="0"/>
                  <w:vAlign w:val="center"/>
                </w:tcPr>
                <w:p w14:paraId="78FBC3E0">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0.134 </w:t>
                  </w:r>
                </w:p>
              </w:tc>
              <w:tc>
                <w:tcPr>
                  <w:tcW w:w="390" w:type="pct"/>
                  <w:noWrap w:val="0"/>
                  <w:vAlign w:val="center"/>
                </w:tcPr>
                <w:p w14:paraId="3A27583B">
                  <w:pPr>
                    <w:keepNext w:val="0"/>
                    <w:keepLines w:val="0"/>
                    <w:widowControl/>
                    <w:suppressLineNumbers w:val="0"/>
                    <w:jc w:val="center"/>
                    <w:textAlignment w:val="center"/>
                    <w:rPr>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0.282 </w:t>
                  </w:r>
                </w:p>
              </w:tc>
              <w:tc>
                <w:tcPr>
                  <w:tcW w:w="390" w:type="pct"/>
                  <w:noWrap w:val="0"/>
                  <w:vAlign w:val="center"/>
                </w:tcPr>
                <w:p w14:paraId="2707B5DC">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0.073 </w:t>
                  </w:r>
                </w:p>
              </w:tc>
              <w:tc>
                <w:tcPr>
                  <w:tcW w:w="390" w:type="pct"/>
                  <w:noWrap w:val="0"/>
                  <w:vAlign w:val="center"/>
                </w:tcPr>
                <w:p w14:paraId="026F71BA">
                  <w:pPr>
                    <w:keepNext w:val="0"/>
                    <w:keepLines w:val="0"/>
                    <w:widowControl/>
                    <w:suppressLineNumbers w:val="0"/>
                    <w:jc w:val="center"/>
                    <w:textAlignment w:val="center"/>
                    <w:rPr>
                      <w:rFonts w:hint="default"/>
                      <w:color w:val="000000" w:themeColor="text1"/>
                      <w:sz w:val="18"/>
                      <w:szCs w:val="18"/>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w:t>
                  </w:r>
                  <w:r>
                    <w:rPr>
                      <w:rFonts w:hint="eastAsia" w:cs="Times New Roman"/>
                      <w:i w:val="0"/>
                      <w:iCs w:val="0"/>
                      <w:color w:val="000000" w:themeColor="text1"/>
                      <w:kern w:val="0"/>
                      <w:sz w:val="18"/>
                      <w:szCs w:val="18"/>
                      <w:u w:val="none"/>
                      <w:lang w:val="en-US" w:eastAsia="zh-CN" w:bidi="ar"/>
                      <w14:textFill>
                        <w14:solidFill>
                          <w14:schemeClr w14:val="tx1"/>
                        </w14:solidFill>
                      </w14:textFill>
                    </w:rPr>
                    <w:t>51</w:t>
                  </w:r>
                </w:p>
              </w:tc>
              <w:tc>
                <w:tcPr>
                  <w:tcW w:w="392" w:type="pct"/>
                  <w:noWrap w:val="0"/>
                  <w:vAlign w:val="center"/>
                </w:tcPr>
                <w:p w14:paraId="40D24085">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0.009 </w:t>
                  </w:r>
                </w:p>
              </w:tc>
            </w:tr>
            <w:tr w14:paraId="1DF35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7" w:type="pct"/>
                  <w:vMerge w:val="continue"/>
                  <w:noWrap w:val="0"/>
                  <w:vAlign w:val="center"/>
                </w:tcPr>
                <w:p w14:paraId="3351BF4B">
                  <w:pPr>
                    <w:adjustRightInd w:val="0"/>
                    <w:snapToGrid w:val="0"/>
                    <w:spacing w:line="320" w:lineRule="exact"/>
                    <w:jc w:val="center"/>
                    <w:rPr>
                      <w:bCs/>
                      <w:color w:val="000000" w:themeColor="text1"/>
                      <w:sz w:val="18"/>
                      <w:szCs w:val="18"/>
                      <w14:textFill>
                        <w14:solidFill>
                          <w14:schemeClr w14:val="tx1"/>
                        </w14:solidFill>
                      </w14:textFill>
                    </w:rPr>
                  </w:pPr>
                </w:p>
              </w:tc>
              <w:tc>
                <w:tcPr>
                  <w:tcW w:w="848" w:type="pct"/>
                  <w:noWrap w:val="0"/>
                  <w:vAlign w:val="center"/>
                </w:tcPr>
                <w:p w14:paraId="17D7CFBB">
                  <w:pPr>
                    <w:adjustRightInd w:val="0"/>
                    <w:snapToGrid w:val="0"/>
                    <w:spacing w:line="32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处理设施</w:t>
                  </w:r>
                </w:p>
              </w:tc>
              <w:tc>
                <w:tcPr>
                  <w:tcW w:w="3694" w:type="pct"/>
                  <w:gridSpan w:val="9"/>
                  <w:noWrap w:val="0"/>
                  <w:vAlign w:val="center"/>
                </w:tcPr>
                <w:p w14:paraId="2C0B53C8">
                  <w:pPr>
                    <w:keepNext w:val="0"/>
                    <w:keepLines w:val="0"/>
                    <w:widowControl/>
                    <w:suppressLineNumbers w:val="0"/>
                    <w:jc w:val="center"/>
                    <w:textAlignment w:val="center"/>
                    <w:rPr>
                      <w:rFonts w:hint="eastAsia" w:cs="Times New Roman"/>
                      <w:b w:val="0"/>
                      <w:color w:val="000000" w:themeColor="text1"/>
                      <w:sz w:val="18"/>
                      <w:szCs w:val="18"/>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芬顿氧化→混凝→絮凝→沉淀</w:t>
                  </w:r>
                </w:p>
              </w:tc>
            </w:tr>
            <w:tr w14:paraId="4E760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7" w:type="pct"/>
                  <w:vMerge w:val="continue"/>
                  <w:noWrap w:val="0"/>
                  <w:vAlign w:val="center"/>
                </w:tcPr>
                <w:p w14:paraId="6A27DB1C">
                  <w:pPr>
                    <w:adjustRightInd w:val="0"/>
                    <w:snapToGrid w:val="0"/>
                    <w:spacing w:line="320" w:lineRule="exact"/>
                    <w:jc w:val="center"/>
                    <w:rPr>
                      <w:bCs/>
                      <w:color w:val="000000" w:themeColor="text1"/>
                      <w:sz w:val="18"/>
                      <w:szCs w:val="18"/>
                      <w14:textFill>
                        <w14:solidFill>
                          <w14:schemeClr w14:val="tx1"/>
                        </w14:solidFill>
                      </w14:textFill>
                    </w:rPr>
                  </w:pPr>
                </w:p>
              </w:tc>
              <w:tc>
                <w:tcPr>
                  <w:tcW w:w="848" w:type="pct"/>
                  <w:noWrap w:val="0"/>
                  <w:vAlign w:val="center"/>
                </w:tcPr>
                <w:p w14:paraId="32153D72">
                  <w:pPr>
                    <w:adjustRightInd w:val="0"/>
                    <w:snapToGrid w:val="0"/>
                    <w:spacing w:line="32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处理效率（%）</w:t>
                  </w:r>
                </w:p>
              </w:tc>
              <w:tc>
                <w:tcPr>
                  <w:tcW w:w="450" w:type="pct"/>
                  <w:noWrap w:val="0"/>
                  <w:vAlign w:val="center"/>
                </w:tcPr>
                <w:p w14:paraId="205867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70</w:t>
                  </w:r>
                </w:p>
              </w:tc>
              <w:tc>
                <w:tcPr>
                  <w:tcW w:w="424" w:type="pct"/>
                  <w:noWrap w:val="0"/>
                  <w:vAlign w:val="center"/>
                </w:tcPr>
                <w:p w14:paraId="7946B5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w:t>
                  </w:r>
                </w:p>
              </w:tc>
              <w:tc>
                <w:tcPr>
                  <w:tcW w:w="390" w:type="pct"/>
                  <w:noWrap w:val="0"/>
                  <w:vAlign w:val="center"/>
                </w:tcPr>
                <w:p w14:paraId="661B22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70</w:t>
                  </w:r>
                </w:p>
              </w:tc>
              <w:tc>
                <w:tcPr>
                  <w:tcW w:w="473" w:type="pct"/>
                  <w:noWrap w:val="0"/>
                  <w:vAlign w:val="center"/>
                </w:tcPr>
                <w:p w14:paraId="66F56F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w:t>
                  </w:r>
                </w:p>
              </w:tc>
              <w:tc>
                <w:tcPr>
                  <w:tcW w:w="390" w:type="pct"/>
                  <w:noWrap w:val="0"/>
                  <w:vAlign w:val="center"/>
                </w:tcPr>
                <w:p w14:paraId="7C3267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70</w:t>
                  </w:r>
                </w:p>
              </w:tc>
              <w:tc>
                <w:tcPr>
                  <w:tcW w:w="390" w:type="pct"/>
                  <w:noWrap w:val="0"/>
                  <w:vAlign w:val="center"/>
                </w:tcPr>
                <w:p w14:paraId="7F43AB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75</w:t>
                  </w:r>
                </w:p>
              </w:tc>
              <w:tc>
                <w:tcPr>
                  <w:tcW w:w="390" w:type="pct"/>
                  <w:noWrap w:val="0"/>
                  <w:vAlign w:val="center"/>
                </w:tcPr>
                <w:p w14:paraId="20E936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w:t>
                  </w:r>
                </w:p>
              </w:tc>
              <w:tc>
                <w:tcPr>
                  <w:tcW w:w="390" w:type="pct"/>
                  <w:noWrap w:val="0"/>
                  <w:vAlign w:val="center"/>
                </w:tcPr>
                <w:p w14:paraId="73492A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w:t>
                  </w:r>
                </w:p>
              </w:tc>
              <w:tc>
                <w:tcPr>
                  <w:tcW w:w="392" w:type="pct"/>
                  <w:noWrap w:val="0"/>
                  <w:vAlign w:val="center"/>
                </w:tcPr>
                <w:p w14:paraId="73820A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w:t>
                  </w:r>
                </w:p>
              </w:tc>
            </w:tr>
            <w:tr w14:paraId="03A16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7" w:type="pct"/>
                  <w:vMerge w:val="continue"/>
                  <w:noWrap w:val="0"/>
                  <w:vAlign w:val="center"/>
                </w:tcPr>
                <w:p w14:paraId="0E749301">
                  <w:pPr>
                    <w:adjustRightInd w:val="0"/>
                    <w:snapToGrid w:val="0"/>
                    <w:spacing w:line="320" w:lineRule="exact"/>
                    <w:jc w:val="center"/>
                    <w:rPr>
                      <w:bCs/>
                      <w:color w:val="000000" w:themeColor="text1"/>
                      <w:sz w:val="18"/>
                      <w:szCs w:val="18"/>
                      <w14:textFill>
                        <w14:solidFill>
                          <w14:schemeClr w14:val="tx1"/>
                        </w14:solidFill>
                      </w14:textFill>
                    </w:rPr>
                  </w:pPr>
                </w:p>
              </w:tc>
              <w:tc>
                <w:tcPr>
                  <w:tcW w:w="848" w:type="pct"/>
                  <w:noWrap w:val="0"/>
                  <w:vAlign w:val="center"/>
                </w:tcPr>
                <w:p w14:paraId="572460EE">
                  <w:pPr>
                    <w:adjustRightInd w:val="0"/>
                    <w:snapToGrid w:val="0"/>
                    <w:spacing w:line="320" w:lineRule="exact"/>
                    <w:jc w:val="center"/>
                    <w:rPr>
                      <w:bCs/>
                      <w:color w:val="000000" w:themeColor="text1"/>
                      <w:sz w:val="18"/>
                      <w:szCs w:val="18"/>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排放</w:t>
                  </w:r>
                  <w:r>
                    <w:rPr>
                      <w:bCs/>
                      <w:color w:val="000000" w:themeColor="text1"/>
                      <w:sz w:val="18"/>
                      <w:szCs w:val="18"/>
                      <w14:textFill>
                        <w14:solidFill>
                          <w14:schemeClr w14:val="tx1"/>
                        </w14:solidFill>
                      </w14:textFill>
                    </w:rPr>
                    <w:t>浓度(mg/L)</w:t>
                  </w:r>
                </w:p>
              </w:tc>
              <w:tc>
                <w:tcPr>
                  <w:tcW w:w="807" w:type="dxa"/>
                  <w:noWrap w:val="0"/>
                  <w:vAlign w:val="center"/>
                </w:tcPr>
                <w:p w14:paraId="2C7259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292.04 </w:t>
                  </w:r>
                </w:p>
              </w:tc>
              <w:tc>
                <w:tcPr>
                  <w:tcW w:w="760" w:type="dxa"/>
                  <w:noWrap w:val="0"/>
                  <w:vAlign w:val="center"/>
                </w:tcPr>
                <w:p w14:paraId="639597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100.00 </w:t>
                  </w:r>
                </w:p>
              </w:tc>
              <w:tc>
                <w:tcPr>
                  <w:tcW w:w="699" w:type="dxa"/>
                  <w:noWrap w:val="0"/>
                  <w:vAlign w:val="center"/>
                </w:tcPr>
                <w:p w14:paraId="7DD06D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53.83 </w:t>
                  </w:r>
                </w:p>
              </w:tc>
              <w:tc>
                <w:tcPr>
                  <w:tcW w:w="848" w:type="dxa"/>
                  <w:noWrap w:val="0"/>
                  <w:vAlign w:val="center"/>
                </w:tcPr>
                <w:p w14:paraId="59DE28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6.00 </w:t>
                  </w:r>
                </w:p>
              </w:tc>
              <w:tc>
                <w:tcPr>
                  <w:tcW w:w="699" w:type="dxa"/>
                  <w:noWrap w:val="0"/>
                  <w:vAlign w:val="center"/>
                </w:tcPr>
                <w:p w14:paraId="74D75E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4.46 </w:t>
                  </w:r>
                </w:p>
              </w:tc>
              <w:tc>
                <w:tcPr>
                  <w:tcW w:w="699" w:type="dxa"/>
                  <w:noWrap w:val="0"/>
                  <w:vAlign w:val="center"/>
                </w:tcPr>
                <w:p w14:paraId="2CA7AD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13.33 </w:t>
                  </w:r>
                </w:p>
              </w:tc>
              <w:tc>
                <w:tcPr>
                  <w:tcW w:w="699" w:type="dxa"/>
                  <w:noWrap w:val="0"/>
                  <w:vAlign w:val="center"/>
                </w:tcPr>
                <w:p w14:paraId="558D66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3.19 </w:t>
                  </w:r>
                </w:p>
              </w:tc>
              <w:tc>
                <w:tcPr>
                  <w:tcW w:w="699" w:type="dxa"/>
                  <w:noWrap w:val="0"/>
                  <w:vAlign w:val="center"/>
                </w:tcPr>
                <w:p w14:paraId="4589D3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3.96</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w:t>
                  </w:r>
                </w:p>
              </w:tc>
              <w:tc>
                <w:tcPr>
                  <w:tcW w:w="712" w:type="dxa"/>
                  <w:noWrap w:val="0"/>
                  <w:vAlign w:val="center"/>
                </w:tcPr>
                <w:p w14:paraId="593C37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3.58 </w:t>
                  </w:r>
                </w:p>
              </w:tc>
            </w:tr>
            <w:tr w14:paraId="305FC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57" w:type="pct"/>
                  <w:vMerge w:val="continue"/>
                  <w:noWrap w:val="0"/>
                  <w:vAlign w:val="center"/>
                </w:tcPr>
                <w:p w14:paraId="616F8783">
                  <w:pPr>
                    <w:adjustRightInd w:val="0"/>
                    <w:snapToGrid w:val="0"/>
                    <w:spacing w:line="320" w:lineRule="exact"/>
                    <w:jc w:val="center"/>
                    <w:rPr>
                      <w:color w:val="000000" w:themeColor="text1"/>
                      <w:sz w:val="18"/>
                      <w:szCs w:val="18"/>
                      <w14:textFill>
                        <w14:solidFill>
                          <w14:schemeClr w14:val="tx1"/>
                        </w14:solidFill>
                      </w14:textFill>
                    </w:rPr>
                  </w:pPr>
                </w:p>
              </w:tc>
              <w:tc>
                <w:tcPr>
                  <w:tcW w:w="848" w:type="pct"/>
                  <w:noWrap w:val="0"/>
                  <w:vAlign w:val="center"/>
                </w:tcPr>
                <w:p w14:paraId="0B15F1A3">
                  <w:pPr>
                    <w:adjustRightInd w:val="0"/>
                    <w:snapToGrid w:val="0"/>
                    <w:spacing w:line="320" w:lineRule="exact"/>
                    <w:jc w:val="center"/>
                    <w:rPr>
                      <w:bCs/>
                      <w:color w:val="000000" w:themeColor="text1"/>
                      <w:sz w:val="18"/>
                      <w:szCs w:val="18"/>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排放</w:t>
                  </w:r>
                  <w:r>
                    <w:rPr>
                      <w:bCs/>
                      <w:color w:val="000000" w:themeColor="text1"/>
                      <w:sz w:val="18"/>
                      <w:szCs w:val="18"/>
                      <w14:textFill>
                        <w14:solidFill>
                          <w14:schemeClr w14:val="tx1"/>
                        </w14:solidFill>
                      </w14:textFill>
                    </w:rPr>
                    <w:t>量(t/a)</w:t>
                  </w:r>
                </w:p>
              </w:tc>
              <w:tc>
                <w:tcPr>
                  <w:tcW w:w="807" w:type="dxa"/>
                  <w:noWrap w:val="0"/>
                  <w:vAlign w:val="center"/>
                </w:tcPr>
                <w:p w14:paraId="1823B6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3.038 </w:t>
                  </w:r>
                </w:p>
              </w:tc>
              <w:tc>
                <w:tcPr>
                  <w:tcW w:w="760" w:type="dxa"/>
                  <w:noWrap w:val="0"/>
                  <w:vAlign w:val="center"/>
                </w:tcPr>
                <w:p w14:paraId="0B06DD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1.040 </w:t>
                  </w:r>
                </w:p>
              </w:tc>
              <w:tc>
                <w:tcPr>
                  <w:tcW w:w="699" w:type="dxa"/>
                  <w:noWrap w:val="0"/>
                  <w:vAlign w:val="center"/>
                </w:tcPr>
                <w:p w14:paraId="525CF6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0.560 </w:t>
                  </w:r>
                </w:p>
              </w:tc>
              <w:tc>
                <w:tcPr>
                  <w:tcW w:w="848" w:type="dxa"/>
                  <w:noWrap w:val="0"/>
                  <w:vAlign w:val="center"/>
                </w:tcPr>
                <w:p w14:paraId="653EF3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0.062 </w:t>
                  </w:r>
                </w:p>
              </w:tc>
              <w:tc>
                <w:tcPr>
                  <w:tcW w:w="699" w:type="dxa"/>
                  <w:noWrap w:val="0"/>
                  <w:vAlign w:val="center"/>
                </w:tcPr>
                <w:p w14:paraId="487046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0.046 </w:t>
                  </w:r>
                </w:p>
              </w:tc>
              <w:tc>
                <w:tcPr>
                  <w:tcW w:w="699" w:type="dxa"/>
                  <w:noWrap w:val="0"/>
                  <w:vAlign w:val="center"/>
                </w:tcPr>
                <w:p w14:paraId="411E22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0.139 </w:t>
                  </w:r>
                </w:p>
              </w:tc>
              <w:tc>
                <w:tcPr>
                  <w:tcW w:w="699" w:type="dxa"/>
                  <w:noWrap w:val="0"/>
                  <w:vAlign w:val="center"/>
                </w:tcPr>
                <w:p w14:paraId="21EA84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0.033 </w:t>
                  </w:r>
                </w:p>
              </w:tc>
              <w:tc>
                <w:tcPr>
                  <w:tcW w:w="699" w:type="dxa"/>
                  <w:noWrap w:val="0"/>
                  <w:vAlign w:val="center"/>
                </w:tcPr>
                <w:p w14:paraId="3293F3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w:t>
                  </w:r>
                  <w:r>
                    <w:rPr>
                      <w:rFonts w:hint="eastAsia" w:cs="Times New Roman"/>
                      <w:i w:val="0"/>
                      <w:iCs w:val="0"/>
                      <w:color w:val="000000" w:themeColor="text1"/>
                      <w:kern w:val="0"/>
                      <w:sz w:val="18"/>
                      <w:szCs w:val="18"/>
                      <w:u w:val="none"/>
                      <w:lang w:val="en-US" w:eastAsia="zh-CN" w:bidi="ar"/>
                      <w14:textFill>
                        <w14:solidFill>
                          <w14:schemeClr w14:val="tx1"/>
                        </w14:solidFill>
                      </w14:textFill>
                    </w:rPr>
                    <w:t>41</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 </w:t>
                  </w:r>
                </w:p>
              </w:tc>
              <w:tc>
                <w:tcPr>
                  <w:tcW w:w="712" w:type="dxa"/>
                  <w:noWrap w:val="0"/>
                  <w:vAlign w:val="center"/>
                </w:tcPr>
                <w:p w14:paraId="4ABB49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0.037 </w:t>
                  </w:r>
                </w:p>
              </w:tc>
            </w:tr>
            <w:tr w14:paraId="1BB9F6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05" w:type="pct"/>
                  <w:gridSpan w:val="2"/>
                  <w:noWrap w:val="0"/>
                  <w:vAlign w:val="center"/>
                </w:tcPr>
                <w:p w14:paraId="4955616C">
                  <w:pPr>
                    <w:adjustRightInd w:val="0"/>
                    <w:snapToGrid w:val="0"/>
                    <w:spacing w:line="32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浓度限值</w:t>
                  </w:r>
                  <w:r>
                    <w:rPr>
                      <w:bCs/>
                      <w:color w:val="000000" w:themeColor="text1"/>
                      <w:sz w:val="18"/>
                      <w:szCs w:val="18"/>
                      <w14:textFill>
                        <w14:solidFill>
                          <w14:schemeClr w14:val="tx1"/>
                        </w14:solidFill>
                      </w14:textFill>
                    </w:rPr>
                    <w:t>(mg/L)</w:t>
                  </w:r>
                </w:p>
              </w:tc>
              <w:tc>
                <w:tcPr>
                  <w:tcW w:w="807" w:type="dxa"/>
                  <w:noWrap w:val="0"/>
                  <w:vAlign w:val="center"/>
                </w:tcPr>
                <w:p w14:paraId="56CF4415">
                  <w:pPr>
                    <w:keepNext w:val="0"/>
                    <w:keepLines w:val="0"/>
                    <w:widowControl/>
                    <w:suppressLineNumbers w:val="0"/>
                    <w:jc w:val="center"/>
                    <w:textAlignment w:val="center"/>
                    <w:rPr>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500</w:t>
                  </w:r>
                </w:p>
              </w:tc>
              <w:tc>
                <w:tcPr>
                  <w:tcW w:w="760" w:type="dxa"/>
                  <w:noWrap w:val="0"/>
                  <w:vAlign w:val="center"/>
                </w:tcPr>
                <w:p w14:paraId="163111D3">
                  <w:pPr>
                    <w:keepNext w:val="0"/>
                    <w:keepLines w:val="0"/>
                    <w:widowControl/>
                    <w:suppressLineNumbers w:val="0"/>
                    <w:jc w:val="center"/>
                    <w:textAlignment w:val="center"/>
                    <w:rPr>
                      <w:rFonts w:hint="default"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300</w:t>
                  </w:r>
                </w:p>
              </w:tc>
              <w:tc>
                <w:tcPr>
                  <w:tcW w:w="699" w:type="dxa"/>
                  <w:noWrap w:val="0"/>
                  <w:vAlign w:val="center"/>
                </w:tcPr>
                <w:p w14:paraId="7E3D1F60">
                  <w:pPr>
                    <w:keepNext w:val="0"/>
                    <w:keepLines w:val="0"/>
                    <w:widowControl/>
                    <w:suppressLineNumbers w:val="0"/>
                    <w:jc w:val="center"/>
                    <w:textAlignment w:val="center"/>
                    <w:rPr>
                      <w:rFonts w:hint="default"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400</w:t>
                  </w:r>
                </w:p>
              </w:tc>
              <w:tc>
                <w:tcPr>
                  <w:tcW w:w="848" w:type="dxa"/>
                  <w:noWrap w:val="0"/>
                  <w:vAlign w:val="center"/>
                </w:tcPr>
                <w:p w14:paraId="1E43D8B9">
                  <w:pPr>
                    <w:keepNext w:val="0"/>
                    <w:keepLines w:val="0"/>
                    <w:widowControl/>
                    <w:suppressLineNumbers w:val="0"/>
                    <w:jc w:val="center"/>
                    <w:textAlignment w:val="center"/>
                    <w:rPr>
                      <w:rFonts w:hint="default" w:eastAsia="宋体" w:cs="Times New Roman"/>
                      <w:b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45</w:t>
                  </w:r>
                </w:p>
              </w:tc>
              <w:tc>
                <w:tcPr>
                  <w:tcW w:w="699" w:type="dxa"/>
                  <w:noWrap w:val="0"/>
                  <w:vAlign w:val="center"/>
                </w:tcPr>
                <w:p w14:paraId="3FF8BC99">
                  <w:pPr>
                    <w:keepNext w:val="0"/>
                    <w:keepLines w:val="0"/>
                    <w:widowControl/>
                    <w:suppressLineNumbers w:val="0"/>
                    <w:jc w:val="center"/>
                    <w:textAlignment w:val="center"/>
                    <w:rPr>
                      <w:rFonts w:hint="default" w:eastAsia="宋体" w:cs="Times New Roman"/>
                      <w:b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w:t>
                  </w:r>
                </w:p>
              </w:tc>
              <w:tc>
                <w:tcPr>
                  <w:tcW w:w="699" w:type="dxa"/>
                  <w:noWrap w:val="0"/>
                  <w:vAlign w:val="center"/>
                </w:tcPr>
                <w:p w14:paraId="7A69DC14">
                  <w:pPr>
                    <w:keepNext w:val="0"/>
                    <w:keepLines w:val="0"/>
                    <w:widowControl/>
                    <w:suppressLineNumbers w:val="0"/>
                    <w:jc w:val="center"/>
                    <w:textAlignment w:val="center"/>
                    <w:rPr>
                      <w:rFonts w:hint="eastAsia" w:eastAsia="宋体" w:cs="Times New Roman"/>
                      <w:b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w:t>
                  </w:r>
                </w:p>
              </w:tc>
              <w:tc>
                <w:tcPr>
                  <w:tcW w:w="699" w:type="dxa"/>
                  <w:noWrap w:val="0"/>
                  <w:vAlign w:val="center"/>
                </w:tcPr>
                <w:p w14:paraId="27BD01B9">
                  <w:pPr>
                    <w:keepNext w:val="0"/>
                    <w:keepLines w:val="0"/>
                    <w:widowControl/>
                    <w:suppressLineNumbers w:val="0"/>
                    <w:jc w:val="center"/>
                    <w:textAlignment w:val="center"/>
                    <w:rPr>
                      <w:rFonts w:hint="default" w:eastAsia="宋体" w:cs="Times New Roman"/>
                      <w:b w:val="0"/>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w:t>
                  </w:r>
                </w:p>
              </w:tc>
              <w:tc>
                <w:tcPr>
                  <w:tcW w:w="699" w:type="dxa"/>
                  <w:noWrap w:val="0"/>
                  <w:vAlign w:val="center"/>
                </w:tcPr>
                <w:p w14:paraId="2EB4AB47">
                  <w:pPr>
                    <w:keepNext w:val="0"/>
                    <w:keepLines w:val="0"/>
                    <w:widowControl/>
                    <w:suppressLineNumbers w:val="0"/>
                    <w:jc w:val="center"/>
                    <w:textAlignment w:val="center"/>
                    <w:rPr>
                      <w:rFonts w:hint="default"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w:t>
                  </w:r>
                </w:p>
              </w:tc>
              <w:tc>
                <w:tcPr>
                  <w:tcW w:w="712" w:type="dxa"/>
                  <w:noWrap w:val="0"/>
                  <w:vAlign w:val="center"/>
                </w:tcPr>
                <w:p w14:paraId="52284A7A">
                  <w:pPr>
                    <w:keepNext w:val="0"/>
                    <w:keepLines w:val="0"/>
                    <w:widowControl/>
                    <w:suppressLineNumbers w:val="0"/>
                    <w:jc w:val="center"/>
                    <w:textAlignment w:val="center"/>
                    <w:rPr>
                      <w:rFonts w:hint="default" w:eastAsia="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w:t>
                  </w:r>
                </w:p>
              </w:tc>
            </w:tr>
          </w:tbl>
          <w:p w14:paraId="50951EFB">
            <w:pPr>
              <w:pStyle w:val="126"/>
              <w:keepNext w:val="0"/>
              <w:keepLines w:val="0"/>
              <w:pageBreakBefore w:val="0"/>
              <w:widowControl w:val="0"/>
              <w:numPr>
                <w:ilvl w:val="0"/>
                <w:numId w:val="0"/>
              </w:numPr>
              <w:tabs>
                <w:tab w:val="left" w:pos="1468"/>
              </w:tabs>
              <w:kinsoku/>
              <w:wordWrap/>
              <w:overflowPunct/>
              <w:topLinePunct w:val="0"/>
              <w:autoSpaceDE/>
              <w:autoSpaceDN/>
              <w:bidi w:val="0"/>
              <w:adjustRightInd/>
              <w:snapToGrid/>
              <w:spacing w:before="157" w:beforeLines="50" w:after="0"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eastAsia="宋体" w:cs="Times New Roman"/>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）生活污水</w:t>
            </w:r>
          </w:p>
          <w:p w14:paraId="13304205">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根据2.2.6章节计算结果，本项目拟</w:t>
            </w:r>
            <w:r>
              <w:rPr>
                <w:rFonts w:hint="eastAsia" w:cs="Times New Roman"/>
                <w:color w:val="000000" w:themeColor="text1"/>
                <w:kern w:val="2"/>
                <w:sz w:val="24"/>
                <w:szCs w:val="24"/>
                <w:lang w:val="en-US" w:eastAsia="zh-CN" w:bidi="ar-SA"/>
                <w14:textFill>
                  <w14:solidFill>
                    <w14:schemeClr w14:val="tx1"/>
                  </w14:solidFill>
                </w14:textFill>
              </w:rPr>
              <w:t>新增</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职工人数45人（包括生产人员、管理人员等），均不住厂，职工生活用水量约为2.25t/d（675t/a），排放系数取0.8，生活污水排放量约1.8t/d（540t/a）。</w:t>
            </w:r>
          </w:p>
          <w:p w14:paraId="006225A9">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both"/>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参考《排放源统计调查产排污核算方法和系数手册（2021版）》(公告2021年第 24 号)中</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生活污染源产排污系数手册</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，其他员工日常生活污水中各主要污染物浓度按COD：340mg/L，BOD</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：200mg/L，SS：220mg/L，NH</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-N：32.6mg/L计。项目生活污水经</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出租方</w:t>
            </w:r>
            <w:r>
              <w:rPr>
                <w:rFonts w:hint="default" w:ascii="Times New Roman" w:hAnsi="Times New Roman" w:cs="Times New Roman"/>
                <w:color w:val="000000" w:themeColor="text1"/>
                <w:sz w:val="24"/>
                <w:szCs w:val="24"/>
                <w:highlight w:val="none"/>
                <w14:textFill>
                  <w14:solidFill>
                    <w14:schemeClr w14:val="tx1"/>
                  </w14:solidFill>
                </w14:textFill>
              </w:rPr>
              <w:t>化粪池处理后，排入市政污水管网，进入</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福建青口海峡环保有限公司(青口新区污水处理厂)集中处理；</w:t>
            </w:r>
          </w:p>
          <w:p w14:paraId="550C0C02">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both"/>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宋体" w:hAnsi="宋体"/>
                <w:color w:val="000000" w:themeColor="text1"/>
                <w:sz w:val="24"/>
                <w14:textFill>
                  <w14:solidFill>
                    <w14:schemeClr w14:val="tx1"/>
                  </w14:solidFill>
                </w14:textFill>
              </w:rPr>
              <w:t>化粪池对</w:t>
            </w:r>
            <w:r>
              <w:rPr>
                <w:rFonts w:hint="eastAsia"/>
                <w:color w:val="000000" w:themeColor="text1"/>
                <w:sz w:val="24"/>
                <w14:textFill>
                  <w14:solidFill>
                    <w14:schemeClr w14:val="tx1"/>
                  </w14:solidFill>
                </w14:textFill>
              </w:rPr>
              <w:t>COD</w:t>
            </w:r>
            <w:r>
              <w:rPr>
                <w:rFonts w:ascii="宋体" w:hAnsi="宋体"/>
                <w:color w:val="000000" w:themeColor="text1"/>
                <w:sz w:val="24"/>
                <w14:textFill>
                  <w14:solidFill>
                    <w14:schemeClr w14:val="tx1"/>
                  </w14:solidFill>
                </w14:textFill>
              </w:rPr>
              <w:t>、</w:t>
            </w:r>
            <w:r>
              <w:rPr>
                <w:rFonts w:eastAsia="Times New Roman"/>
                <w:color w:val="000000" w:themeColor="text1"/>
                <w:sz w:val="24"/>
                <w14:textFill>
                  <w14:solidFill>
                    <w14:schemeClr w14:val="tx1"/>
                  </w14:solidFill>
                </w14:textFill>
              </w:rPr>
              <w:t>BOD</w:t>
            </w:r>
            <w:r>
              <w:rPr>
                <w:rFonts w:eastAsia="Times New Roman"/>
                <w:color w:val="000000" w:themeColor="text1"/>
                <w:sz w:val="24"/>
                <w:vertAlign w:val="subscript"/>
                <w14:textFill>
                  <w14:solidFill>
                    <w14:schemeClr w14:val="tx1"/>
                  </w14:solidFill>
                </w14:textFill>
              </w:rPr>
              <w:t>5</w:t>
            </w:r>
            <w:r>
              <w:rPr>
                <w:rFonts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w:t>
            </w:r>
            <w:r>
              <w:rPr>
                <w:rFonts w:ascii="宋体" w:hAnsi="宋体"/>
                <w:color w:val="000000" w:themeColor="text1"/>
                <w:sz w:val="24"/>
                <w14:textFill>
                  <w14:solidFill>
                    <w14:schemeClr w14:val="tx1"/>
                  </w14:solidFill>
                </w14:textFill>
              </w:rPr>
              <w:t>的去除率</w:t>
            </w:r>
            <w:r>
              <w:rPr>
                <w:color w:val="000000" w:themeColor="text1"/>
                <w:sz w:val="24"/>
                <w14:textFill>
                  <w14:solidFill>
                    <w14:schemeClr w14:val="tx1"/>
                  </w14:solidFill>
                </w14:textFill>
              </w:rPr>
              <w:t>参照</w:t>
            </w:r>
            <w:r>
              <w:rPr>
                <w:rFonts w:hint="eastAsia"/>
                <w:color w:val="000000" w:themeColor="text1"/>
                <w:sz w:val="24"/>
                <w14:textFill>
                  <w14:solidFill>
                    <w14:schemeClr w14:val="tx1"/>
                  </w14:solidFill>
                </w14:textFill>
              </w:rPr>
              <w:t>2019年4月生态环境部华南环境科学研究所发布的</w:t>
            </w:r>
            <w:r>
              <w:rPr>
                <w:color w:val="000000" w:themeColor="text1"/>
                <w:sz w:val="24"/>
                <w14:textFill>
                  <w14:solidFill>
                    <w14:schemeClr w14:val="tx1"/>
                  </w14:solidFill>
                </w14:textFill>
              </w:rPr>
              <w:t>《第二次全国污染源普查城镇</w:t>
            </w:r>
            <w:r>
              <w:rPr>
                <w:rFonts w:hint="eastAsia"/>
                <w:color w:val="000000" w:themeColor="text1"/>
                <w:sz w:val="24"/>
                <w14:textFill>
                  <w14:solidFill>
                    <w14:schemeClr w14:val="tx1"/>
                  </w14:solidFill>
                </w14:textFill>
              </w:rPr>
              <w:t>生活污染源产排污系数手册</w:t>
            </w:r>
            <w:r>
              <w:rPr>
                <w:color w:val="000000" w:themeColor="text1"/>
                <w:sz w:val="24"/>
                <w14:textFill>
                  <w14:solidFill>
                    <w14:schemeClr w14:val="tx1"/>
                  </w14:solidFill>
                </w14:textFill>
              </w:rPr>
              <w:t>》表6-4中</w:t>
            </w:r>
            <w:r>
              <w:rPr>
                <w:rFonts w:hint="eastAsia" w:eastAsia="宋体"/>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四区二类区生活污水</w:t>
            </w:r>
            <w:r>
              <w:rPr>
                <w:rFonts w:hint="eastAsia"/>
                <w:color w:val="000000" w:themeColor="text1"/>
                <w:sz w:val="24"/>
                <w14:textFill>
                  <w14:solidFill>
                    <w14:schemeClr w14:val="tx1"/>
                  </w14:solidFill>
                </w14:textFill>
              </w:rPr>
              <w:t>污染物产生及排放系数</w:t>
            </w:r>
            <w:r>
              <w:rPr>
                <w:rFonts w:hint="eastAsia" w:eastAsia="宋体"/>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，经</w:t>
            </w:r>
            <w:r>
              <w:rPr>
                <w:rFonts w:hint="eastAsia"/>
                <w:color w:val="000000" w:themeColor="text1"/>
                <w:sz w:val="24"/>
                <w14:textFill>
                  <w14:solidFill>
                    <w14:schemeClr w14:val="tx1"/>
                  </w14:solidFill>
                </w14:textFill>
              </w:rPr>
              <w:t>初级处理排放系数(</w:t>
            </w:r>
            <w:r>
              <w:rPr>
                <w:color w:val="000000" w:themeColor="text1"/>
                <w:sz w:val="24"/>
                <w14:textFill>
                  <w14:solidFill>
                    <w14:schemeClr w14:val="tx1"/>
                  </w14:solidFill>
                </w14:textFill>
              </w:rPr>
              <w:t>化粪池预处理后</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去除效率分别为19.3</w:t>
            </w:r>
            <w:r>
              <w:rPr>
                <w:rFonts w:eastAsia="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、12.7</w:t>
            </w:r>
            <w:r>
              <w:rPr>
                <w:rFonts w:eastAsia="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、0</w:t>
            </w:r>
            <w:r>
              <w:rPr>
                <w:rFonts w:eastAsia="Times New Roman"/>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rFonts w:eastAsia="Times New Roman"/>
                <w:color w:val="000000" w:themeColor="text1"/>
                <w:sz w:val="24"/>
                <w14:textFill>
                  <w14:solidFill>
                    <w14:schemeClr w14:val="tx1"/>
                  </w14:solidFill>
                </w14:textFill>
              </w:rPr>
              <w:t>SS</w:t>
            </w:r>
            <w:r>
              <w:rPr>
                <w:color w:val="000000" w:themeColor="text1"/>
                <w:sz w:val="24"/>
                <w14:textFill>
                  <w14:solidFill>
                    <w14:schemeClr w14:val="tx1"/>
                  </w14:solidFill>
                </w14:textFill>
              </w:rPr>
              <w:t>参照</w:t>
            </w:r>
            <w:r>
              <w:rPr>
                <w:rFonts w:hint="eastAsia"/>
                <w:color w:val="000000" w:themeColor="text1"/>
                <w:sz w:val="24"/>
                <w14:textFill>
                  <w14:solidFill>
                    <w14:schemeClr w14:val="tx1"/>
                  </w14:solidFill>
                </w14:textFill>
              </w:rPr>
              <w:t>原环境保护部发布的文件《</w:t>
            </w:r>
            <w:r>
              <w:rPr>
                <w:color w:val="000000" w:themeColor="text1"/>
                <w:sz w:val="24"/>
                <w14:textFill>
                  <w14:solidFill>
                    <w14:schemeClr w14:val="tx1"/>
                  </w14:solidFill>
                </w14:textFill>
              </w:rPr>
              <w:t>村镇生活污染防治最佳可行技术指南</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试行</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HJ-BAT-9</w:t>
            </w:r>
            <w:r>
              <w:rPr>
                <w:rFonts w:hint="eastAsia"/>
                <w:color w:val="000000" w:themeColor="text1"/>
                <w:sz w:val="24"/>
                <w14:textFill>
                  <w14:solidFill>
                    <w14:schemeClr w14:val="tx1"/>
                  </w14:solidFill>
                </w14:textFill>
              </w:rPr>
              <w:t>)中化粪池对</w:t>
            </w:r>
            <w:r>
              <w:rPr>
                <w:rFonts w:eastAsia="Times New Roman"/>
                <w:color w:val="000000" w:themeColor="text1"/>
                <w:sz w:val="24"/>
                <w14:textFill>
                  <w14:solidFill>
                    <w14:schemeClr w14:val="tx1"/>
                  </w14:solidFill>
                </w14:textFill>
              </w:rPr>
              <w:t>SS</w:t>
            </w:r>
            <w:r>
              <w:rPr>
                <w:color w:val="000000" w:themeColor="text1"/>
                <w:sz w:val="24"/>
                <w14:textFill>
                  <w14:solidFill>
                    <w14:schemeClr w14:val="tx1"/>
                  </w14:solidFill>
                </w14:textFill>
              </w:rPr>
              <w:t>的去除率为</w:t>
            </w:r>
            <w:r>
              <w:rPr>
                <w:rFonts w:hint="eastAsia"/>
                <w:color w:val="000000" w:themeColor="text1"/>
                <w:sz w:val="24"/>
                <w14:textFill>
                  <w14:solidFill>
                    <w14:schemeClr w14:val="tx1"/>
                  </w14:solidFill>
                </w14:textFill>
              </w:rPr>
              <w:t>60%~70</w:t>
            </w:r>
            <w:r>
              <w:rPr>
                <w:rFonts w:eastAsia="Times New Roman"/>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，本评价按60%计算</w:t>
            </w:r>
            <w:r>
              <w:rPr>
                <w:rFonts w:ascii="宋体" w:hAnsi="宋体"/>
                <w:color w:val="000000" w:themeColor="text1"/>
                <w:sz w:val="24"/>
                <w14:textFill>
                  <w14:solidFill>
                    <w14:schemeClr w14:val="tx1"/>
                  </w14:solidFill>
                </w14:textFill>
              </w:rPr>
              <w:t>。</w:t>
            </w:r>
          </w:p>
          <w:p w14:paraId="071AAFD1">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both"/>
              <w:textAlignment w:val="auto"/>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预测本项目生活污水中水质及排放源强见表4.3-5。</w:t>
            </w:r>
          </w:p>
          <w:p w14:paraId="60D932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表4.3-5  生活污水水质及各污染物排放源强情况表</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676"/>
              <w:gridCol w:w="1263"/>
              <w:gridCol w:w="1470"/>
              <w:gridCol w:w="1470"/>
              <w:gridCol w:w="1477"/>
            </w:tblGrid>
            <w:tr w14:paraId="1ADE7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Merge w:val="restart"/>
                  <w:tcBorders>
                    <w:tl2br w:val="nil"/>
                    <w:tr2bl w:val="nil"/>
                  </w:tcBorders>
                  <w:noWrap w:val="0"/>
                  <w:vAlign w:val="center"/>
                </w:tcPr>
                <w:p w14:paraId="721CD397">
                  <w:pPr>
                    <w:pStyle w:val="132"/>
                    <w:keepLines w:val="0"/>
                    <w:pageBreakBefore w:val="0"/>
                    <w:kinsoku/>
                    <w:wordWrap/>
                    <w:topLinePunct w:val="0"/>
                    <w:autoSpaceDE/>
                    <w:autoSpaceDN/>
                    <w:bidi w:val="0"/>
                    <w:spacing w:line="240" w:lineRule="auto"/>
                    <w:ind w:left="0" w:right="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废水量</w:t>
                  </w:r>
                </w:p>
              </w:tc>
              <w:tc>
                <w:tcPr>
                  <w:tcW w:w="950" w:type="pct"/>
                  <w:vMerge w:val="restart"/>
                  <w:tcBorders>
                    <w:tl2br w:val="nil"/>
                    <w:tr2bl w:val="nil"/>
                  </w:tcBorders>
                  <w:noWrap w:val="0"/>
                  <w:vAlign w:val="center"/>
                </w:tcPr>
                <w:p w14:paraId="25AF31DF">
                  <w:pPr>
                    <w:pStyle w:val="132"/>
                    <w:keepLines w:val="0"/>
                    <w:pageBreakBefore w:val="0"/>
                    <w:kinsoku/>
                    <w:wordWrap/>
                    <w:topLinePunct w:val="0"/>
                    <w:autoSpaceDE/>
                    <w:autoSpaceDN/>
                    <w:bidi w:val="0"/>
                    <w:spacing w:line="240" w:lineRule="auto"/>
                    <w:ind w:left="0" w:right="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项目</w:t>
                  </w:r>
                </w:p>
              </w:tc>
              <w:tc>
                <w:tcPr>
                  <w:tcW w:w="3219" w:type="pct"/>
                  <w:gridSpan w:val="4"/>
                  <w:tcBorders>
                    <w:tl2br w:val="nil"/>
                    <w:tr2bl w:val="nil"/>
                  </w:tcBorders>
                  <w:noWrap w:val="0"/>
                  <w:vAlign w:val="center"/>
                </w:tcPr>
                <w:p w14:paraId="4EAC239B">
                  <w:pPr>
                    <w:keepLines w:val="0"/>
                    <w:pageBreakBefore w:val="0"/>
                    <w:kinsoku/>
                    <w:wordWrap/>
                    <w:topLinePunct w:val="0"/>
                    <w:autoSpaceDE/>
                    <w:autoSpaceDN/>
                    <w:bidi w:val="0"/>
                    <w:spacing w:line="240" w:lineRule="auto"/>
                    <w:ind w:left="0" w:leftChars="0" w:right="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t>主要污染物</w:t>
                  </w:r>
                </w:p>
              </w:tc>
            </w:tr>
            <w:tr w14:paraId="12090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Merge w:val="continue"/>
                  <w:tcBorders>
                    <w:tl2br w:val="nil"/>
                    <w:tr2bl w:val="nil"/>
                  </w:tcBorders>
                  <w:noWrap w:val="0"/>
                  <w:vAlign w:val="center"/>
                </w:tcPr>
                <w:p w14:paraId="3B3514D1">
                  <w:pPr>
                    <w:pStyle w:val="132"/>
                    <w:keepLines w:val="0"/>
                    <w:pageBreakBefore w:val="0"/>
                    <w:kinsoku/>
                    <w:wordWrap/>
                    <w:topLinePunct w:val="0"/>
                    <w:autoSpaceDE/>
                    <w:autoSpaceDN/>
                    <w:bidi w:val="0"/>
                    <w:spacing w:line="240" w:lineRule="auto"/>
                    <w:ind w:left="0" w:right="0"/>
                    <w:jc w:val="center"/>
                    <w:textAlignment w:val="auto"/>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p>
              </w:tc>
              <w:tc>
                <w:tcPr>
                  <w:tcW w:w="950" w:type="pct"/>
                  <w:vMerge w:val="continue"/>
                  <w:tcBorders>
                    <w:tl2br w:val="nil"/>
                    <w:tr2bl w:val="nil"/>
                  </w:tcBorders>
                  <w:noWrap w:val="0"/>
                  <w:vAlign w:val="center"/>
                </w:tcPr>
                <w:p w14:paraId="6857E190">
                  <w:pPr>
                    <w:pStyle w:val="132"/>
                    <w:keepLines w:val="0"/>
                    <w:pageBreakBefore w:val="0"/>
                    <w:kinsoku/>
                    <w:wordWrap/>
                    <w:topLinePunct w:val="0"/>
                    <w:autoSpaceDE/>
                    <w:autoSpaceDN/>
                    <w:bidi w:val="0"/>
                    <w:spacing w:line="240" w:lineRule="auto"/>
                    <w:ind w:left="0" w:right="0"/>
                    <w:jc w:val="center"/>
                    <w:textAlignment w:val="auto"/>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p>
              </w:tc>
              <w:tc>
                <w:tcPr>
                  <w:tcW w:w="716" w:type="pct"/>
                  <w:tcBorders>
                    <w:tl2br w:val="nil"/>
                    <w:tr2bl w:val="nil"/>
                  </w:tcBorders>
                  <w:noWrap w:val="0"/>
                  <w:vAlign w:val="center"/>
                </w:tcPr>
                <w:p w14:paraId="051FD65F">
                  <w:pPr>
                    <w:keepLines w:val="0"/>
                    <w:pageBreakBefore w:val="0"/>
                    <w:kinsoku/>
                    <w:wordWrap/>
                    <w:topLinePunct w:val="0"/>
                    <w:autoSpaceDE/>
                    <w:autoSpaceDN/>
                    <w:bidi w:val="0"/>
                    <w:spacing w:line="240" w:lineRule="auto"/>
                    <w:ind w:left="0" w:leftChars="0" w:right="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COD</w:t>
                  </w:r>
                </w:p>
              </w:tc>
              <w:tc>
                <w:tcPr>
                  <w:tcW w:w="833" w:type="pct"/>
                  <w:tcBorders>
                    <w:tl2br w:val="nil"/>
                    <w:tr2bl w:val="nil"/>
                  </w:tcBorders>
                  <w:noWrap w:val="0"/>
                  <w:vAlign w:val="center"/>
                </w:tcPr>
                <w:p w14:paraId="5BAFAB69">
                  <w:pPr>
                    <w:keepLines w:val="0"/>
                    <w:pageBreakBefore w:val="0"/>
                    <w:kinsoku/>
                    <w:wordWrap/>
                    <w:topLinePunct w:val="0"/>
                    <w:autoSpaceDE/>
                    <w:autoSpaceDN/>
                    <w:bidi w:val="0"/>
                    <w:spacing w:line="240" w:lineRule="auto"/>
                    <w:ind w:left="0" w:leftChars="0" w:right="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BOD</w:t>
                  </w:r>
                  <w:r>
                    <w:rPr>
                      <w:rFonts w:hint="default" w:ascii="Times New Roman" w:hAnsi="Times New Roman" w:eastAsia="宋体" w:cs="Times New Roman"/>
                      <w:color w:val="000000" w:themeColor="text1"/>
                      <w:spacing w:val="0"/>
                      <w:position w:val="0"/>
                      <w:sz w:val="21"/>
                      <w:szCs w:val="21"/>
                      <w:vertAlign w:val="subscript"/>
                      <w14:textFill>
                        <w14:solidFill>
                          <w14:schemeClr w14:val="tx1"/>
                        </w14:solidFill>
                      </w14:textFill>
                    </w:rPr>
                    <w:t>5</w:t>
                  </w:r>
                </w:p>
              </w:tc>
              <w:tc>
                <w:tcPr>
                  <w:tcW w:w="833" w:type="pct"/>
                  <w:tcBorders>
                    <w:tl2br w:val="nil"/>
                    <w:tr2bl w:val="nil"/>
                  </w:tcBorders>
                  <w:noWrap w:val="0"/>
                  <w:vAlign w:val="center"/>
                </w:tcPr>
                <w:p w14:paraId="7BA2FB33">
                  <w:pPr>
                    <w:keepLines w:val="0"/>
                    <w:pageBreakBefore w:val="0"/>
                    <w:kinsoku/>
                    <w:wordWrap/>
                    <w:topLinePunct w:val="0"/>
                    <w:autoSpaceDE/>
                    <w:autoSpaceDN/>
                    <w:bidi w:val="0"/>
                    <w:spacing w:line="240" w:lineRule="auto"/>
                    <w:ind w:left="0" w:leftChars="0" w:right="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SS</w:t>
                  </w:r>
                </w:p>
              </w:tc>
              <w:tc>
                <w:tcPr>
                  <w:tcW w:w="836" w:type="pct"/>
                  <w:tcBorders>
                    <w:tl2br w:val="nil"/>
                    <w:tr2bl w:val="nil"/>
                  </w:tcBorders>
                  <w:noWrap w:val="0"/>
                  <w:vAlign w:val="center"/>
                </w:tcPr>
                <w:p w14:paraId="051EC877">
                  <w:pPr>
                    <w:keepLines w:val="0"/>
                    <w:pageBreakBefore w:val="0"/>
                    <w:kinsoku/>
                    <w:wordWrap/>
                    <w:topLinePunct w:val="0"/>
                    <w:autoSpaceDE/>
                    <w:autoSpaceDN/>
                    <w:bidi w:val="0"/>
                    <w:spacing w:line="240" w:lineRule="auto"/>
                    <w:ind w:left="0" w:leftChars="0" w:right="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NH</w:t>
                  </w:r>
                  <w:r>
                    <w:rPr>
                      <w:rFonts w:hint="default" w:ascii="Times New Roman" w:hAnsi="Times New Roman" w:eastAsia="宋体" w:cs="Times New Roman"/>
                      <w:color w:val="000000" w:themeColor="text1"/>
                      <w:spacing w:val="0"/>
                      <w:position w:val="0"/>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-N</w:t>
                  </w:r>
                </w:p>
              </w:tc>
            </w:tr>
            <w:tr w14:paraId="6F118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Merge w:val="restart"/>
                  <w:tcBorders>
                    <w:tl2br w:val="nil"/>
                    <w:tr2bl w:val="nil"/>
                  </w:tcBorders>
                  <w:noWrap w:val="0"/>
                  <w:vAlign w:val="center"/>
                </w:tcPr>
                <w:p w14:paraId="42431FE3">
                  <w:pPr>
                    <w:pStyle w:val="87"/>
                    <w:keepLines w:val="0"/>
                    <w:pageBreakBefore w:val="0"/>
                    <w:kinsoku/>
                    <w:wordWrap/>
                    <w:topLinePunct w:val="0"/>
                    <w:autoSpaceDE/>
                    <w:autoSpaceDN/>
                    <w:bidi w:val="0"/>
                    <w:spacing w:before="0" w:line="240" w:lineRule="auto"/>
                    <w:ind w:left="0" w:right="0" w:righ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生活污水(</w:t>
                  </w:r>
                  <w:r>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t>540</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t/a)</w:t>
                  </w:r>
                </w:p>
              </w:tc>
              <w:tc>
                <w:tcPr>
                  <w:tcW w:w="950" w:type="pct"/>
                  <w:tcBorders>
                    <w:tl2br w:val="nil"/>
                    <w:tr2bl w:val="nil"/>
                  </w:tcBorders>
                  <w:noWrap w:val="0"/>
                  <w:vAlign w:val="center"/>
                </w:tcPr>
                <w:p w14:paraId="58647AF0">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产生</w:t>
                  </w:r>
                  <w:r>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t>浓度</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(mg/L)</w:t>
                  </w:r>
                </w:p>
              </w:tc>
              <w:tc>
                <w:tcPr>
                  <w:tcW w:w="716" w:type="pct"/>
                  <w:tcBorders>
                    <w:tl2br w:val="nil"/>
                    <w:tr2bl w:val="nil"/>
                  </w:tcBorders>
                  <w:noWrap w:val="0"/>
                  <w:vAlign w:val="center"/>
                </w:tcPr>
                <w:p w14:paraId="6DFC9D48">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t>340</w:t>
                  </w:r>
                </w:p>
              </w:tc>
              <w:tc>
                <w:tcPr>
                  <w:tcW w:w="833" w:type="pct"/>
                  <w:tcBorders>
                    <w:tl2br w:val="nil"/>
                    <w:tr2bl w:val="nil"/>
                  </w:tcBorders>
                  <w:noWrap w:val="0"/>
                  <w:vAlign w:val="center"/>
                </w:tcPr>
                <w:p w14:paraId="25153CDD">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t>200</w:t>
                  </w:r>
                </w:p>
              </w:tc>
              <w:tc>
                <w:tcPr>
                  <w:tcW w:w="833" w:type="pct"/>
                  <w:tcBorders>
                    <w:tl2br w:val="nil"/>
                    <w:tr2bl w:val="nil"/>
                  </w:tcBorders>
                  <w:noWrap w:val="0"/>
                  <w:vAlign w:val="center"/>
                </w:tcPr>
                <w:p w14:paraId="4565E460">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t>220</w:t>
                  </w:r>
                </w:p>
              </w:tc>
              <w:tc>
                <w:tcPr>
                  <w:tcW w:w="836" w:type="pct"/>
                  <w:tcBorders>
                    <w:tl2br w:val="nil"/>
                    <w:tr2bl w:val="nil"/>
                  </w:tcBorders>
                  <w:noWrap w:val="0"/>
                  <w:vAlign w:val="center"/>
                </w:tcPr>
                <w:p w14:paraId="7D5CA1AD">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t>32.6</w:t>
                  </w:r>
                </w:p>
              </w:tc>
            </w:tr>
            <w:tr w14:paraId="098AB9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Merge w:val="continue"/>
                  <w:tcBorders>
                    <w:tl2br w:val="nil"/>
                    <w:tr2bl w:val="nil"/>
                  </w:tcBorders>
                  <w:noWrap w:val="0"/>
                  <w:vAlign w:val="center"/>
                </w:tcPr>
                <w:p w14:paraId="48A542D3">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p>
              </w:tc>
              <w:tc>
                <w:tcPr>
                  <w:tcW w:w="950" w:type="pct"/>
                  <w:tcBorders>
                    <w:tl2br w:val="nil"/>
                    <w:tr2bl w:val="nil"/>
                  </w:tcBorders>
                  <w:noWrap w:val="0"/>
                  <w:vAlign w:val="center"/>
                </w:tcPr>
                <w:p w14:paraId="58220B18">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产生量(t/a)</w:t>
                  </w:r>
                </w:p>
              </w:tc>
              <w:tc>
                <w:tcPr>
                  <w:tcW w:w="1263" w:type="dxa"/>
                  <w:tcBorders>
                    <w:tl2br w:val="nil"/>
                    <w:tr2bl w:val="nil"/>
                  </w:tcBorders>
                  <w:noWrap w:val="0"/>
                  <w:vAlign w:val="center"/>
                </w:tcPr>
                <w:p w14:paraId="65C0AA07">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0.184 </w:t>
                  </w:r>
                </w:p>
              </w:tc>
              <w:tc>
                <w:tcPr>
                  <w:tcW w:w="1470" w:type="dxa"/>
                  <w:tcBorders>
                    <w:tl2br w:val="nil"/>
                    <w:tr2bl w:val="nil"/>
                  </w:tcBorders>
                  <w:noWrap w:val="0"/>
                  <w:vAlign w:val="center"/>
                </w:tcPr>
                <w:p w14:paraId="4A0D5A25">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0.108 </w:t>
                  </w:r>
                </w:p>
              </w:tc>
              <w:tc>
                <w:tcPr>
                  <w:tcW w:w="1470" w:type="dxa"/>
                  <w:tcBorders>
                    <w:tl2br w:val="nil"/>
                    <w:tr2bl w:val="nil"/>
                  </w:tcBorders>
                  <w:noWrap w:val="0"/>
                  <w:vAlign w:val="center"/>
                </w:tcPr>
                <w:p w14:paraId="62FD8F78">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0.119 </w:t>
                  </w:r>
                </w:p>
              </w:tc>
              <w:tc>
                <w:tcPr>
                  <w:tcW w:w="1475" w:type="dxa"/>
                  <w:tcBorders>
                    <w:tl2br w:val="nil"/>
                    <w:tr2bl w:val="nil"/>
                  </w:tcBorders>
                  <w:noWrap w:val="0"/>
                  <w:vAlign w:val="center"/>
                </w:tcPr>
                <w:p w14:paraId="7B9A9F85">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0.018 </w:t>
                  </w:r>
                </w:p>
              </w:tc>
            </w:tr>
            <w:tr w14:paraId="7D464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Merge w:val="continue"/>
                  <w:tcBorders>
                    <w:tl2br w:val="nil"/>
                    <w:tr2bl w:val="nil"/>
                  </w:tcBorders>
                  <w:noWrap w:val="0"/>
                  <w:vAlign w:val="center"/>
                </w:tcPr>
                <w:p w14:paraId="77CE1E08">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p>
              </w:tc>
              <w:tc>
                <w:tcPr>
                  <w:tcW w:w="950" w:type="pct"/>
                  <w:tcBorders>
                    <w:tl2br w:val="nil"/>
                    <w:tr2bl w:val="nil"/>
                  </w:tcBorders>
                  <w:noWrap w:val="0"/>
                  <w:vAlign w:val="center"/>
                </w:tcPr>
                <w:p w14:paraId="07C68A39">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处理措施</w:t>
                  </w:r>
                </w:p>
              </w:tc>
              <w:tc>
                <w:tcPr>
                  <w:tcW w:w="3219" w:type="pct"/>
                  <w:gridSpan w:val="4"/>
                  <w:tcBorders>
                    <w:tl2br w:val="nil"/>
                    <w:tr2bl w:val="nil"/>
                  </w:tcBorders>
                  <w:noWrap w:val="0"/>
                  <w:vAlign w:val="center"/>
                </w:tcPr>
                <w:p w14:paraId="73D95BEA">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化粪池</w:t>
                  </w:r>
                </w:p>
              </w:tc>
            </w:tr>
            <w:tr w14:paraId="42848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Merge w:val="continue"/>
                  <w:tcBorders>
                    <w:tl2br w:val="nil"/>
                    <w:tr2bl w:val="nil"/>
                  </w:tcBorders>
                  <w:noWrap w:val="0"/>
                  <w:vAlign w:val="center"/>
                </w:tcPr>
                <w:p w14:paraId="6CE8E4B4">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p>
              </w:tc>
              <w:tc>
                <w:tcPr>
                  <w:tcW w:w="950" w:type="pct"/>
                  <w:tcBorders>
                    <w:tl2br w:val="nil"/>
                    <w:tr2bl w:val="nil"/>
                  </w:tcBorders>
                  <w:noWrap w:val="0"/>
                  <w:vAlign w:val="center"/>
                </w:tcPr>
                <w:p w14:paraId="214A293A">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去除效率(%)</w:t>
                  </w:r>
                </w:p>
              </w:tc>
              <w:tc>
                <w:tcPr>
                  <w:tcW w:w="1263" w:type="dxa"/>
                  <w:tcBorders>
                    <w:tl2br w:val="nil"/>
                    <w:tr2bl w:val="nil"/>
                  </w:tcBorders>
                  <w:noWrap w:val="0"/>
                  <w:vAlign w:val="center"/>
                </w:tcPr>
                <w:p w14:paraId="3D83A256">
                  <w:pPr>
                    <w:pStyle w:val="81"/>
                    <w:numPr>
                      <w:ilvl w:val="0"/>
                      <w:numId w:val="0"/>
                    </w:numPr>
                    <w:adjustRightInd w:val="0"/>
                    <w:snapToGrid w:val="0"/>
                    <w:spacing w:line="320" w:lineRule="exact"/>
                    <w:ind w:left="0" w:leftChars="0" w:firstLine="0" w:firstLineChars="0"/>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lang w:val="en-US"/>
                      <w14:textFill>
                        <w14:solidFill>
                          <w14:schemeClr w14:val="tx1"/>
                        </w14:solidFill>
                      </w14:textFill>
                    </w:rPr>
                    <w:t>19.3</w:t>
                  </w:r>
                </w:p>
              </w:tc>
              <w:tc>
                <w:tcPr>
                  <w:tcW w:w="1470" w:type="dxa"/>
                  <w:tcBorders>
                    <w:tl2br w:val="nil"/>
                    <w:tr2bl w:val="nil"/>
                  </w:tcBorders>
                  <w:noWrap w:val="0"/>
                  <w:vAlign w:val="center"/>
                </w:tcPr>
                <w:p w14:paraId="4265C0AA">
                  <w:pPr>
                    <w:pStyle w:val="81"/>
                    <w:numPr>
                      <w:ilvl w:val="0"/>
                      <w:numId w:val="0"/>
                    </w:numPr>
                    <w:adjustRightInd w:val="0"/>
                    <w:snapToGrid w:val="0"/>
                    <w:spacing w:line="320" w:lineRule="exact"/>
                    <w:ind w:left="0" w:leftChars="0" w:firstLine="0" w:firstLineChars="0"/>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14:textFill>
                        <w14:solidFill>
                          <w14:schemeClr w14:val="tx1"/>
                        </w14:solidFill>
                      </w14:textFill>
                    </w:rPr>
                    <w:t>12.7</w:t>
                  </w:r>
                </w:p>
              </w:tc>
              <w:tc>
                <w:tcPr>
                  <w:tcW w:w="1470" w:type="dxa"/>
                  <w:tcBorders>
                    <w:tl2br w:val="nil"/>
                    <w:tr2bl w:val="nil"/>
                  </w:tcBorders>
                  <w:noWrap w:val="0"/>
                  <w:vAlign w:val="center"/>
                </w:tcPr>
                <w:p w14:paraId="74E2D0D0">
                  <w:pPr>
                    <w:pStyle w:val="81"/>
                    <w:numPr>
                      <w:ilvl w:val="0"/>
                      <w:numId w:val="0"/>
                    </w:numPr>
                    <w:adjustRightInd w:val="0"/>
                    <w:snapToGrid w:val="0"/>
                    <w:spacing w:line="320" w:lineRule="exact"/>
                    <w:ind w:left="0" w:leftChars="0" w:firstLine="0" w:firstLineChars="0"/>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14:textFill>
                        <w14:solidFill>
                          <w14:schemeClr w14:val="tx1"/>
                        </w14:solidFill>
                      </w14:textFill>
                    </w:rPr>
                    <w:t>60</w:t>
                  </w:r>
                </w:p>
              </w:tc>
              <w:tc>
                <w:tcPr>
                  <w:tcW w:w="1475" w:type="dxa"/>
                  <w:tcBorders>
                    <w:tl2br w:val="nil"/>
                    <w:tr2bl w:val="nil"/>
                  </w:tcBorders>
                  <w:noWrap w:val="0"/>
                  <w:vAlign w:val="center"/>
                </w:tcPr>
                <w:p w14:paraId="513DFE5E">
                  <w:pPr>
                    <w:pStyle w:val="81"/>
                    <w:numPr>
                      <w:ilvl w:val="0"/>
                      <w:numId w:val="0"/>
                    </w:numPr>
                    <w:adjustRightInd w:val="0"/>
                    <w:snapToGrid w:val="0"/>
                    <w:spacing w:line="320" w:lineRule="exact"/>
                    <w:ind w:left="0" w:leftChars="0" w:firstLine="0" w:firstLineChars="0"/>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14:textFill>
                        <w14:solidFill>
                          <w14:schemeClr w14:val="tx1"/>
                        </w14:solidFill>
                      </w14:textFill>
                    </w:rPr>
                    <w:t>0</w:t>
                  </w:r>
                </w:p>
              </w:tc>
            </w:tr>
            <w:tr w14:paraId="36609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Merge w:val="continue"/>
                  <w:tcBorders>
                    <w:tl2br w:val="nil"/>
                    <w:tr2bl w:val="nil"/>
                  </w:tcBorders>
                  <w:noWrap w:val="0"/>
                  <w:vAlign w:val="center"/>
                </w:tcPr>
                <w:p w14:paraId="166A53BF">
                  <w:pPr>
                    <w:pStyle w:val="87"/>
                    <w:keepLines w:val="0"/>
                    <w:pageBreakBefore w:val="0"/>
                    <w:kinsoku/>
                    <w:wordWrap/>
                    <w:topLinePunct w:val="0"/>
                    <w:autoSpaceDE/>
                    <w:autoSpaceDN/>
                    <w:bidi w:val="0"/>
                    <w:spacing w:before="0" w:line="240" w:lineRule="auto"/>
                    <w:ind w:left="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p>
              </w:tc>
              <w:tc>
                <w:tcPr>
                  <w:tcW w:w="950" w:type="pct"/>
                  <w:tcBorders>
                    <w:tl2br w:val="nil"/>
                    <w:tr2bl w:val="nil"/>
                  </w:tcBorders>
                  <w:noWrap w:val="0"/>
                  <w:vAlign w:val="center"/>
                </w:tcPr>
                <w:p w14:paraId="7FFA9DF8">
                  <w:pPr>
                    <w:pStyle w:val="87"/>
                    <w:keepLines w:val="0"/>
                    <w:pageBreakBefore w:val="0"/>
                    <w:kinsoku/>
                    <w:wordWrap/>
                    <w:topLinePunct w:val="0"/>
                    <w:autoSpaceDE/>
                    <w:autoSpaceDN/>
                    <w:bidi w:val="0"/>
                    <w:spacing w:before="0" w:line="240" w:lineRule="auto"/>
                    <w:ind w:left="0" w:right="0" w:rightChars="0"/>
                    <w:jc w:val="center"/>
                    <w:textAlignment w:val="auto"/>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排放浓度(mg/L)</w:t>
                  </w:r>
                </w:p>
              </w:tc>
              <w:tc>
                <w:tcPr>
                  <w:tcW w:w="1263" w:type="dxa"/>
                  <w:tcBorders>
                    <w:tl2br w:val="nil"/>
                    <w:tr2bl w:val="nil"/>
                  </w:tcBorders>
                  <w:noWrap w:val="0"/>
                  <w:vAlign w:val="center"/>
                </w:tcPr>
                <w:p w14:paraId="1C0C10A3">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274.</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1470" w:type="dxa"/>
                  <w:tcBorders>
                    <w:tl2br w:val="nil"/>
                    <w:tr2bl w:val="nil"/>
                  </w:tcBorders>
                  <w:noWrap w:val="0"/>
                  <w:vAlign w:val="center"/>
                </w:tcPr>
                <w:p w14:paraId="254C42BD">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174.6</w:t>
                  </w:r>
                </w:p>
              </w:tc>
              <w:tc>
                <w:tcPr>
                  <w:tcW w:w="1470" w:type="dxa"/>
                  <w:tcBorders>
                    <w:tl2br w:val="nil"/>
                    <w:tr2bl w:val="nil"/>
                  </w:tcBorders>
                  <w:noWrap w:val="0"/>
                  <w:vAlign w:val="center"/>
                </w:tcPr>
                <w:p w14:paraId="72EE69E6">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88</w:t>
                  </w:r>
                </w:p>
              </w:tc>
              <w:tc>
                <w:tcPr>
                  <w:tcW w:w="1475" w:type="dxa"/>
                  <w:tcBorders>
                    <w:tl2br w:val="nil"/>
                    <w:tr2bl w:val="nil"/>
                  </w:tcBorders>
                  <w:noWrap w:val="0"/>
                  <w:vAlign w:val="center"/>
                </w:tcPr>
                <w:p w14:paraId="7703E680">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32.6</w:t>
                  </w:r>
                </w:p>
              </w:tc>
            </w:tr>
            <w:tr w14:paraId="4857D9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Merge w:val="continue"/>
                  <w:tcBorders>
                    <w:tl2br w:val="nil"/>
                    <w:tr2bl w:val="nil"/>
                  </w:tcBorders>
                  <w:noWrap w:val="0"/>
                  <w:vAlign w:val="center"/>
                </w:tcPr>
                <w:p w14:paraId="62B34B99">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p>
              </w:tc>
              <w:tc>
                <w:tcPr>
                  <w:tcW w:w="950" w:type="pct"/>
                  <w:tcBorders>
                    <w:tl2br w:val="nil"/>
                    <w:tr2bl w:val="nil"/>
                  </w:tcBorders>
                  <w:noWrap w:val="0"/>
                  <w:vAlign w:val="center"/>
                </w:tcPr>
                <w:p w14:paraId="726AB6A9">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排放量(t/a)</w:t>
                  </w:r>
                </w:p>
              </w:tc>
              <w:tc>
                <w:tcPr>
                  <w:tcW w:w="1263" w:type="dxa"/>
                  <w:tcBorders>
                    <w:tl2br w:val="nil"/>
                    <w:tr2bl w:val="nil"/>
                  </w:tcBorders>
                  <w:noWrap w:val="0"/>
                  <w:vAlign w:val="center"/>
                </w:tcPr>
                <w:p w14:paraId="647DD4A7">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0.148 </w:t>
                  </w:r>
                </w:p>
              </w:tc>
              <w:tc>
                <w:tcPr>
                  <w:tcW w:w="1470" w:type="dxa"/>
                  <w:tcBorders>
                    <w:tl2br w:val="nil"/>
                    <w:tr2bl w:val="nil"/>
                  </w:tcBorders>
                  <w:noWrap w:val="0"/>
                  <w:vAlign w:val="center"/>
                </w:tcPr>
                <w:p w14:paraId="617CFED0">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0.094 </w:t>
                  </w:r>
                </w:p>
              </w:tc>
              <w:tc>
                <w:tcPr>
                  <w:tcW w:w="1470" w:type="dxa"/>
                  <w:tcBorders>
                    <w:tl2br w:val="nil"/>
                    <w:tr2bl w:val="nil"/>
                  </w:tcBorders>
                  <w:noWrap w:val="0"/>
                  <w:vAlign w:val="center"/>
                </w:tcPr>
                <w:p w14:paraId="2219B07B">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0.048 </w:t>
                  </w:r>
                </w:p>
              </w:tc>
              <w:tc>
                <w:tcPr>
                  <w:tcW w:w="1475" w:type="dxa"/>
                  <w:tcBorders>
                    <w:tl2br w:val="nil"/>
                    <w:tr2bl w:val="nil"/>
                  </w:tcBorders>
                  <w:noWrap w:val="0"/>
                  <w:vAlign w:val="center"/>
                </w:tcPr>
                <w:p w14:paraId="0824CA9C">
                  <w:pPr>
                    <w:keepNext w:val="0"/>
                    <w:keepLines w:val="0"/>
                    <w:widowControl/>
                    <w:suppressLineNumbers w:val="0"/>
                    <w:jc w:val="center"/>
                    <w:textAlignment w:val="center"/>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0.018 </w:t>
                  </w:r>
                </w:p>
              </w:tc>
            </w:tr>
            <w:tr w14:paraId="05618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0" w:type="pct"/>
                  <w:gridSpan w:val="2"/>
                  <w:tcBorders>
                    <w:tl2br w:val="nil"/>
                    <w:tr2bl w:val="nil"/>
                  </w:tcBorders>
                  <w:noWrap w:val="0"/>
                  <w:vAlign w:val="center"/>
                </w:tcPr>
                <w:p w14:paraId="0AEFCF96">
                  <w:pPr>
                    <w:pStyle w:val="87"/>
                    <w:keepLines w:val="0"/>
                    <w:pageBreakBefore w:val="0"/>
                    <w:kinsoku/>
                    <w:wordWrap/>
                    <w:topLinePunct w:val="0"/>
                    <w:autoSpaceDE/>
                    <w:autoSpaceDN/>
                    <w:bidi w:val="0"/>
                    <w:spacing w:before="0" w:line="240" w:lineRule="auto"/>
                    <w:ind w:left="0" w:right="0" w:rightChars="0"/>
                    <w:jc w:val="center"/>
                    <w:textAlignment w:val="auto"/>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r>
                    <w:rPr>
                      <w:rFonts w:hint="default" w:ascii="Times New Roman" w:hAnsi="Times New Roman" w:eastAsia="宋体" w:cs="Times New Roman"/>
                      <w:bCs/>
                      <w:color w:val="000000" w:themeColor="text1"/>
                      <w:spacing w:val="0"/>
                      <w:position w:val="0"/>
                      <w:szCs w:val="21"/>
                      <w14:textFill>
                        <w14:solidFill>
                          <w14:schemeClr w14:val="tx1"/>
                        </w14:solidFill>
                      </w14:textFill>
                    </w:rPr>
                    <w:t>浓度限值(mg/L)</w:t>
                  </w:r>
                </w:p>
              </w:tc>
              <w:tc>
                <w:tcPr>
                  <w:tcW w:w="716" w:type="pct"/>
                  <w:tcBorders>
                    <w:tl2br w:val="nil"/>
                    <w:tr2bl w:val="nil"/>
                  </w:tcBorders>
                  <w:noWrap w:val="0"/>
                  <w:vAlign w:val="center"/>
                </w:tcPr>
                <w:p w14:paraId="1CEF25AC">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500</w:t>
                  </w:r>
                </w:p>
              </w:tc>
              <w:tc>
                <w:tcPr>
                  <w:tcW w:w="833" w:type="pct"/>
                  <w:tcBorders>
                    <w:tl2br w:val="nil"/>
                    <w:tr2bl w:val="nil"/>
                  </w:tcBorders>
                  <w:noWrap w:val="0"/>
                  <w:vAlign w:val="center"/>
                </w:tcPr>
                <w:p w14:paraId="5CEE5272">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300</w:t>
                  </w:r>
                </w:p>
              </w:tc>
              <w:tc>
                <w:tcPr>
                  <w:tcW w:w="833" w:type="pct"/>
                  <w:tcBorders>
                    <w:tl2br w:val="nil"/>
                    <w:tr2bl w:val="nil"/>
                  </w:tcBorders>
                  <w:noWrap w:val="0"/>
                  <w:vAlign w:val="center"/>
                </w:tcPr>
                <w:p w14:paraId="1B905DC2">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400</w:t>
                  </w:r>
                </w:p>
              </w:tc>
              <w:tc>
                <w:tcPr>
                  <w:tcW w:w="836" w:type="pct"/>
                  <w:tcBorders>
                    <w:tl2br w:val="nil"/>
                    <w:tr2bl w:val="nil"/>
                  </w:tcBorders>
                  <w:noWrap w:val="0"/>
                  <w:vAlign w:val="center"/>
                </w:tcPr>
                <w:p w14:paraId="792CD7A3">
                  <w:pPr>
                    <w:pStyle w:val="87"/>
                    <w:keepLines w:val="0"/>
                    <w:pageBreakBefore w:val="0"/>
                    <w:kinsoku/>
                    <w:wordWrap/>
                    <w:topLinePunct w:val="0"/>
                    <w:autoSpaceDE/>
                    <w:autoSpaceDN/>
                    <w:bidi w:val="0"/>
                    <w:spacing w:before="0" w:line="240" w:lineRule="auto"/>
                    <w:ind w:left="0" w:leftChars="0" w:right="0" w:rightChars="0"/>
                    <w:jc w:val="center"/>
                    <w:textAlignment w:val="auto"/>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45</w:t>
                  </w:r>
                </w:p>
              </w:tc>
            </w:tr>
          </w:tbl>
          <w:p w14:paraId="4D0D790F">
            <w:pPr>
              <w:pStyle w:val="2"/>
              <w:keepNext/>
              <w:keepLines w:val="0"/>
              <w:pageBreakBefore w:val="0"/>
              <w:widowControl w:val="0"/>
              <w:kinsoku/>
              <w:wordWrap/>
              <w:overflowPunct w:val="0"/>
              <w:topLinePunct w:val="0"/>
              <w:autoSpaceDE/>
              <w:autoSpaceDN/>
              <w:bidi w:val="0"/>
              <w:adjustRightInd w:val="0"/>
              <w:snapToGrid w:val="0"/>
              <w:spacing w:before="157" w:beforeLines="50" w:after="0" w:line="360" w:lineRule="auto"/>
              <w:ind w:left="431" w:hanging="431"/>
              <w:textAlignment w:val="auto"/>
              <w:rPr>
                <w:rFonts w:eastAsia="宋体"/>
                <w:bCs w:val="0"/>
                <w:color w:val="000000" w:themeColor="text1"/>
                <w:kern w:val="0"/>
                <w:sz w:val="24"/>
                <w14:textFill>
                  <w14:solidFill>
                    <w14:schemeClr w14:val="tx1"/>
                  </w14:solidFill>
                </w14:textFill>
              </w:rPr>
            </w:pPr>
            <w:bookmarkStart w:id="27" w:name="_Toc24150"/>
            <w:bookmarkStart w:id="28" w:name="_Toc25515"/>
            <w:bookmarkStart w:id="29" w:name="_Toc13753"/>
            <w:bookmarkStart w:id="30" w:name="_Toc23648"/>
            <w:bookmarkStart w:id="31" w:name="_Toc14591"/>
            <w:bookmarkStart w:id="32" w:name="_Toc10605"/>
            <w:r>
              <w:rPr>
                <w:rFonts w:eastAsia="宋体"/>
                <w:bCs w:val="0"/>
                <w:color w:val="000000" w:themeColor="text1"/>
                <w:kern w:val="0"/>
                <w:sz w:val="24"/>
                <w14:textFill>
                  <w14:solidFill>
                    <w14:schemeClr w14:val="tx1"/>
                  </w14:solidFill>
                </w14:textFill>
              </w:rPr>
              <w:t>4.</w:t>
            </w:r>
            <w:r>
              <w:rPr>
                <w:rFonts w:hint="eastAsia" w:eastAsia="宋体"/>
                <w:bCs w:val="0"/>
                <w:color w:val="000000" w:themeColor="text1"/>
                <w:kern w:val="0"/>
                <w:sz w:val="24"/>
                <w14:textFill>
                  <w14:solidFill>
                    <w14:schemeClr w14:val="tx1"/>
                  </w14:solidFill>
                </w14:textFill>
              </w:rPr>
              <w:t>3</w:t>
            </w:r>
            <w:r>
              <w:rPr>
                <w:rFonts w:eastAsia="宋体"/>
                <w:bCs w:val="0"/>
                <w:color w:val="000000" w:themeColor="text1"/>
                <w:kern w:val="0"/>
                <w:sz w:val="24"/>
                <w14:textFill>
                  <w14:solidFill>
                    <w14:schemeClr w14:val="tx1"/>
                  </w14:solidFill>
                </w14:textFill>
              </w:rPr>
              <w:t>.2运营期水环境影响及污染防治措施可行性分析</w:t>
            </w:r>
            <w:bookmarkEnd w:id="27"/>
            <w:bookmarkEnd w:id="28"/>
            <w:bookmarkEnd w:id="29"/>
            <w:bookmarkEnd w:id="30"/>
            <w:bookmarkEnd w:id="31"/>
            <w:bookmarkEnd w:id="32"/>
          </w:p>
          <w:p w14:paraId="4C44D554">
            <w:pPr>
              <w:widowControl/>
              <w:adjustRightInd w:val="0"/>
              <w:snapToGrid w:val="0"/>
              <w:spacing w:line="360" w:lineRule="auto"/>
              <w:jc w:val="left"/>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4.3.2.1 废水处理措施可行性分析</w:t>
            </w:r>
          </w:p>
          <w:p w14:paraId="4CE2FE2C">
            <w:pPr>
              <w:pStyle w:val="67"/>
              <w:ind w:firstLine="482"/>
              <w:rPr>
                <w:rFonts w:cs="Times New Roman"/>
                <w:b/>
                <w:bCs/>
                <w:color w:val="000000" w:themeColor="text1"/>
                <w:lang w:bidi="he-IL"/>
                <w14:textFill>
                  <w14:solidFill>
                    <w14:schemeClr w14:val="tx1"/>
                  </w14:solidFill>
                </w14:textFill>
              </w:rPr>
            </w:pPr>
            <w:r>
              <w:rPr>
                <w:rFonts w:hint="eastAsia" w:cs="Times New Roman"/>
                <w:b/>
                <w:bCs/>
                <w:color w:val="000000" w:themeColor="text1"/>
                <w:lang w:bidi="he-IL"/>
                <w14:textFill>
                  <w14:solidFill>
                    <w14:schemeClr w14:val="tx1"/>
                  </w14:solidFill>
                </w14:textFill>
              </w:rPr>
              <w:t>（1）生活污水处理可行性分析</w:t>
            </w:r>
          </w:p>
          <w:p w14:paraId="054DB507">
            <w:pPr>
              <w:pStyle w:val="67"/>
              <w:rPr>
                <w:rFonts w:hint="eastAsia" w:cs="Times New Roman"/>
                <w:color w:val="000000" w:themeColor="text1"/>
                <w:lang w:bidi="he-IL"/>
                <w14:textFill>
                  <w14:solidFill>
                    <w14:schemeClr w14:val="tx1"/>
                  </w14:solidFill>
                </w14:textFill>
              </w:rPr>
            </w:pPr>
            <w:r>
              <w:rPr>
                <w:rFonts w:hint="eastAsia" w:cs="Times New Roman"/>
                <w:color w:val="000000" w:themeColor="text1"/>
                <w:lang w:bidi="he-IL"/>
                <w14:textFill>
                  <w14:solidFill>
                    <w14:schemeClr w14:val="tx1"/>
                  </w14:solidFill>
                </w14:textFill>
              </w:rPr>
              <w:t>本项目生活污水依托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远洋(福建)阀门制造有限公司</w:t>
            </w:r>
            <w:r>
              <w:rPr>
                <w:rFonts w:hint="eastAsia" w:cs="Times New Roman"/>
                <w:color w:val="000000" w:themeColor="text1"/>
                <w:lang w:bidi="he-IL"/>
                <w14:textFill>
                  <w14:solidFill>
                    <w14:schemeClr w14:val="tx1"/>
                  </w14:solidFill>
                </w14:textFill>
              </w:rPr>
              <w:t>现有化粪池处理，化粪池采用三格化粪池，由相连的三个池子组成，中间由过粪管连通，主要是利用厌氧发酵、中层过粪和寄生虫卵比重大于一般混合液比重而易于沉淀的原理，以达到沉淀或杀灭粪便中寄生虫卵和肠道致病菌的目的，生活污水经化粪池处理后可以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青口新区污水处理厂</w:t>
            </w:r>
            <w:r>
              <w:rPr>
                <w:rFonts w:hint="eastAsia" w:cs="Times New Roman"/>
                <w:color w:val="000000" w:themeColor="text1"/>
                <w:lang w:bidi="he-IL"/>
                <w14:textFill>
                  <w14:solidFill>
                    <w14:schemeClr w14:val="tx1"/>
                  </w14:solidFill>
                </w14:textFill>
              </w:rPr>
              <w:t>纳管标准。</w:t>
            </w:r>
          </w:p>
          <w:p w14:paraId="7DA68F83">
            <w:pPr>
              <w:pStyle w:val="67"/>
              <w:ind w:firstLine="482"/>
              <w:rPr>
                <w:rFonts w:hint="default" w:ascii="Times New Roman" w:hAnsi="Times New Roman" w:eastAsia="宋体" w:cs="Times New Roman"/>
                <w:b w:val="0"/>
                <w:bCs w:val="0"/>
                <w:i w:val="0"/>
                <w:iCs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远洋公司</w:t>
            </w:r>
            <w:r>
              <w:rPr>
                <w:rFonts w:hint="eastAsia" w:cs="Times New Roman"/>
                <w:color w:val="000000" w:themeColor="text1"/>
                <w:lang w:bidi="he-IL"/>
                <w14:textFill>
                  <w14:solidFill>
                    <w14:schemeClr w14:val="tx1"/>
                  </w14:solidFill>
                </w14:textFill>
              </w:rPr>
              <w:t>现有</w:t>
            </w:r>
            <w:r>
              <w:rPr>
                <w:rFonts w:hint="eastAsia" w:cs="Times New Roman"/>
                <w:color w:val="000000" w:themeColor="text1"/>
                <w:lang w:val="en-US" w:eastAsia="zh-CN" w:bidi="he-IL"/>
                <w14:textFill>
                  <w14:solidFill>
                    <w14:schemeClr w14:val="tx1"/>
                  </w14:solidFill>
                </w14:textFill>
              </w:rPr>
              <w:t>4个10</w:t>
            </w:r>
            <w:r>
              <w:rPr>
                <w:rFonts w:hint="eastAsia" w:cs="Times New Roman"/>
                <w:color w:val="000000" w:themeColor="text1"/>
                <w:lang w:bidi="he-IL"/>
                <w14:textFill>
                  <w14:solidFill>
                    <w14:schemeClr w14:val="tx1"/>
                  </w14:solidFill>
                </w14:textFill>
              </w:rPr>
              <w:t>m</w:t>
            </w:r>
            <w:r>
              <w:rPr>
                <w:rFonts w:hint="eastAsia" w:cs="Times New Roman"/>
                <w:color w:val="000000" w:themeColor="text1"/>
                <w:vertAlign w:val="superscript"/>
                <w:lang w:bidi="he-IL"/>
                <w14:textFill>
                  <w14:solidFill>
                    <w14:schemeClr w14:val="tx1"/>
                  </w14:solidFill>
                </w14:textFill>
              </w:rPr>
              <w:t>3</w:t>
            </w:r>
            <w:r>
              <w:rPr>
                <w:rFonts w:hint="eastAsia" w:cs="Times New Roman"/>
                <w:color w:val="000000" w:themeColor="text1"/>
                <w:lang w:bidi="he-IL"/>
                <w14:textFill>
                  <w14:solidFill>
                    <w14:schemeClr w14:val="tx1"/>
                  </w14:solidFill>
                </w14:textFill>
              </w:rPr>
              <w:t>化粪池</w:t>
            </w:r>
            <w:r>
              <w:rPr>
                <w:rFonts w:hint="eastAsia" w:cs="Times New Roman"/>
                <w:color w:val="000000" w:themeColor="text1"/>
                <w:lang w:eastAsia="zh-CN" w:bidi="he-IL"/>
                <w14:textFill>
                  <w14:solidFill>
                    <w14:schemeClr w14:val="tx1"/>
                  </w14:solidFill>
                </w14:textFill>
              </w:rPr>
              <w:t>，</w:t>
            </w:r>
            <w:r>
              <w:rPr>
                <w:rFonts w:hint="eastAsia" w:cs="Times New Roman"/>
                <w:color w:val="000000" w:themeColor="text1"/>
                <w:lang w:val="en-US" w:eastAsia="zh-CN" w:bidi="he-IL"/>
                <w14:textFill>
                  <w14:solidFill>
                    <w14:schemeClr w14:val="tx1"/>
                  </w14:solidFill>
                </w14:textFill>
              </w:rPr>
              <w:t>容积共40</w:t>
            </w:r>
            <w:r>
              <w:rPr>
                <w:rFonts w:hint="eastAsia" w:cs="Times New Roman"/>
                <w:color w:val="000000" w:themeColor="text1"/>
                <w:lang w:bidi="he-IL"/>
                <w14:textFill>
                  <w14:solidFill>
                    <w14:schemeClr w14:val="tx1"/>
                  </w14:solidFill>
                </w14:textFill>
              </w:rPr>
              <w:t>m</w:t>
            </w:r>
            <w:r>
              <w:rPr>
                <w:rFonts w:hint="eastAsia" w:cs="Times New Roman"/>
                <w:color w:val="000000" w:themeColor="text1"/>
                <w:vertAlign w:val="superscript"/>
                <w:lang w:bidi="he-IL"/>
                <w14:textFill>
                  <w14:solidFill>
                    <w14:schemeClr w14:val="tx1"/>
                  </w14:solidFill>
                </w14:textFill>
              </w:rPr>
              <w:t>3</w:t>
            </w:r>
            <w:r>
              <w:rPr>
                <w:rFonts w:hint="eastAsia" w:cs="Times New Roman"/>
                <w:color w:val="000000" w:themeColor="text1"/>
                <w:lang w:bidi="he-IL"/>
                <w14:textFill>
                  <w14:solidFill>
                    <w14:schemeClr w14:val="tx1"/>
                  </w14:solidFill>
                </w14:textFill>
              </w:rPr>
              <w:t>，</w:t>
            </w:r>
            <w:r>
              <w:rPr>
                <w:rFonts w:hint="eastAsia" w:cs="Times New Roman"/>
                <w:color w:val="000000" w:themeColor="text1"/>
                <w:lang w:val="en-US" w:eastAsia="zh-CN" w:bidi="he-IL"/>
                <w14:textFill>
                  <w14:solidFill>
                    <w14:schemeClr w14:val="tx1"/>
                  </w14:solidFill>
                </w14:textFill>
              </w:rPr>
              <w:t>厂区现有</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福州术立新能源科技有限公司（现有工程）、福州朗贤术立新能源科技有限公司两家企业，根据两家公司的环评报告，生活污水排放量分别为2.25</w:t>
            </w:r>
            <w:r>
              <w:rPr>
                <w:rFonts w:hint="eastAsia" w:cs="Times New Roman"/>
                <w:color w:val="000000" w:themeColor="text1"/>
                <w:lang w:bidi="he-IL"/>
                <w14:textFill>
                  <w14:solidFill>
                    <w14:schemeClr w14:val="tx1"/>
                  </w14:solidFill>
                </w14:textFill>
              </w:rPr>
              <w:t>m</w:t>
            </w:r>
            <w:r>
              <w:rPr>
                <w:rFonts w:hint="eastAsia" w:cs="Times New Roman"/>
                <w:color w:val="000000" w:themeColor="text1"/>
                <w:vertAlign w:val="superscript"/>
                <w:lang w:bidi="he-IL"/>
                <w14:textFill>
                  <w14:solidFill>
                    <w14:schemeClr w14:val="tx1"/>
                  </w14:solidFill>
                </w14:textFill>
              </w:rPr>
              <w:t>3</w:t>
            </w:r>
            <w:r>
              <w:rPr>
                <w:rFonts w:hint="eastAsia" w:cs="Times New Roman"/>
                <w:color w:val="000000" w:themeColor="text1"/>
                <w:vertAlign w:val="baseline"/>
                <w:lang w:val="en-US" w:eastAsia="zh-CN" w:bidi="he-IL"/>
                <w14:textFill>
                  <w14:solidFill>
                    <w14:schemeClr w14:val="tx1"/>
                  </w14:solidFill>
                </w14:textFill>
              </w:rPr>
              <w:t>/d</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、1.8</w:t>
            </w:r>
            <w:r>
              <w:rPr>
                <w:rFonts w:hint="eastAsia" w:cs="Times New Roman"/>
                <w:color w:val="000000" w:themeColor="text1"/>
                <w:lang w:bidi="he-IL"/>
                <w14:textFill>
                  <w14:solidFill>
                    <w14:schemeClr w14:val="tx1"/>
                  </w14:solidFill>
                </w14:textFill>
              </w:rPr>
              <w:t>m</w:t>
            </w:r>
            <w:r>
              <w:rPr>
                <w:rFonts w:hint="eastAsia" w:cs="Times New Roman"/>
                <w:color w:val="000000" w:themeColor="text1"/>
                <w:vertAlign w:val="superscript"/>
                <w:lang w:bidi="he-IL"/>
                <w14:textFill>
                  <w14:solidFill>
                    <w14:schemeClr w14:val="tx1"/>
                  </w14:solidFill>
                </w14:textFill>
              </w:rPr>
              <w:t>3</w:t>
            </w:r>
            <w:r>
              <w:rPr>
                <w:rFonts w:hint="eastAsia" w:cs="Times New Roman"/>
                <w:color w:val="000000" w:themeColor="text1"/>
                <w:vertAlign w:val="baseline"/>
                <w:lang w:val="en-US" w:eastAsia="zh-CN" w:bidi="he-IL"/>
                <w14:textFill>
                  <w14:solidFill>
                    <w14:schemeClr w14:val="tx1"/>
                  </w14:solidFill>
                </w14:textFill>
              </w:rPr>
              <w:t>/d，</w:t>
            </w:r>
            <w:r>
              <w:rPr>
                <w:rFonts w:hint="eastAsia" w:cs="Times New Roman"/>
                <w:color w:val="000000" w:themeColor="text1"/>
                <w:lang w:bidi="he-IL"/>
                <w14:textFill>
                  <w14:solidFill>
                    <w14:schemeClr w14:val="tx1"/>
                  </w14:solidFill>
                </w14:textFill>
              </w:rPr>
              <w:t>本项目</w:t>
            </w:r>
            <w:r>
              <w:rPr>
                <w:rFonts w:hint="eastAsia" w:cs="Times New Roman"/>
                <w:color w:val="000000" w:themeColor="text1"/>
                <w:lang w:val="en-US" w:eastAsia="zh-CN" w:bidi="he-IL"/>
                <w14:textFill>
                  <w14:solidFill>
                    <w14:schemeClr w14:val="tx1"/>
                  </w14:solidFill>
                </w14:textFill>
              </w:rPr>
              <w:t>新增生活污水排放量1.8</w:t>
            </w:r>
            <w:r>
              <w:rPr>
                <w:rFonts w:hint="eastAsia" w:cs="Times New Roman"/>
                <w:color w:val="000000" w:themeColor="text1"/>
                <w:lang w:bidi="he-IL"/>
                <w14:textFill>
                  <w14:solidFill>
                    <w14:schemeClr w14:val="tx1"/>
                  </w14:solidFill>
                </w14:textFill>
              </w:rPr>
              <w:t>m</w:t>
            </w:r>
            <w:r>
              <w:rPr>
                <w:rFonts w:hint="eastAsia" w:cs="Times New Roman"/>
                <w:color w:val="000000" w:themeColor="text1"/>
                <w:vertAlign w:val="superscript"/>
                <w:lang w:bidi="he-IL"/>
                <w14:textFill>
                  <w14:solidFill>
                    <w14:schemeClr w14:val="tx1"/>
                  </w14:solidFill>
                </w14:textFill>
              </w:rPr>
              <w:t>3</w:t>
            </w:r>
            <w:r>
              <w:rPr>
                <w:rFonts w:hint="eastAsia" w:cs="Times New Roman"/>
                <w:color w:val="000000" w:themeColor="text1"/>
                <w:vertAlign w:val="baseline"/>
                <w:lang w:val="en-US" w:eastAsia="zh-CN" w:bidi="he-IL"/>
                <w14:textFill>
                  <w14:solidFill>
                    <w14:schemeClr w14:val="tx1"/>
                  </w14:solidFill>
                </w14:textFill>
              </w:rPr>
              <w:t>/d，因此远洋公司厂区范围内生活污水共计产生量5.85</w:t>
            </w:r>
            <w:r>
              <w:rPr>
                <w:rFonts w:hint="eastAsia" w:cs="Times New Roman"/>
                <w:color w:val="000000" w:themeColor="text1"/>
                <w:lang w:bidi="he-IL"/>
                <w14:textFill>
                  <w14:solidFill>
                    <w14:schemeClr w14:val="tx1"/>
                  </w14:solidFill>
                </w14:textFill>
              </w:rPr>
              <w:t>m</w:t>
            </w:r>
            <w:r>
              <w:rPr>
                <w:rFonts w:hint="eastAsia" w:cs="Times New Roman"/>
                <w:color w:val="000000" w:themeColor="text1"/>
                <w:vertAlign w:val="superscript"/>
                <w:lang w:bidi="he-IL"/>
                <w14:textFill>
                  <w14:solidFill>
                    <w14:schemeClr w14:val="tx1"/>
                  </w14:solidFill>
                </w14:textFill>
              </w:rPr>
              <w:t>3</w:t>
            </w:r>
            <w:r>
              <w:rPr>
                <w:rFonts w:hint="eastAsia" w:cs="Times New Roman"/>
                <w:color w:val="000000" w:themeColor="text1"/>
                <w:vertAlign w:val="baseline"/>
                <w:lang w:val="en-US" w:eastAsia="zh-CN" w:bidi="he-IL"/>
                <w14:textFill>
                  <w14:solidFill>
                    <w14:schemeClr w14:val="tx1"/>
                  </w14:solidFill>
                </w14:textFill>
              </w:rPr>
              <w:t>/d，现有化粪池容积可满足生活污水停留时间</w:t>
            </w:r>
            <w:r>
              <w:rPr>
                <w:rFonts w:cs="Times New Roman"/>
                <w:color w:val="000000" w:themeColor="text1"/>
                <w:lang w:bidi="he-IL"/>
                <w14:textFill>
                  <w14:solidFill>
                    <w14:schemeClr w14:val="tx1"/>
                  </w14:solidFill>
                </w14:textFill>
              </w:rPr>
              <w:t>不低于12h</w:t>
            </w:r>
            <w:r>
              <w:rPr>
                <w:rFonts w:hint="eastAsia" w:cs="Times New Roman"/>
                <w:color w:val="000000" w:themeColor="text1"/>
                <w:lang w:bidi="he-IL"/>
                <w14:textFill>
                  <w14:solidFill>
                    <w14:schemeClr w14:val="tx1"/>
                  </w14:solidFill>
                </w14:textFill>
              </w:rPr>
              <w:t>要求</w:t>
            </w:r>
            <w:r>
              <w:rPr>
                <w:rFonts w:hint="eastAsia" w:cs="Times New Roman"/>
                <w:color w:val="000000" w:themeColor="text1"/>
                <w:vertAlign w:val="baseline"/>
                <w:lang w:val="en-US" w:eastAsia="zh-CN" w:bidi="he-IL"/>
                <w14:textFill>
                  <w14:solidFill>
                    <w14:schemeClr w14:val="tx1"/>
                  </w14:solidFill>
                </w14:textFill>
              </w:rPr>
              <w:t>，</w:t>
            </w:r>
            <w:r>
              <w:rPr>
                <w:rFonts w:hint="eastAsia" w:ascii="Times New Roman" w:hAnsi="Times New Roman" w:eastAsia="宋体" w:cs="Times New Roman"/>
                <w:b w:val="0"/>
                <w:bCs w:val="0"/>
                <w:i w:val="0"/>
                <w:iCs w:val="0"/>
                <w:color w:val="000000" w:themeColor="text1"/>
                <w:kern w:val="0"/>
                <w:sz w:val="24"/>
                <w:szCs w:val="24"/>
                <w:highlight w:val="none"/>
                <w:lang w:val="en-US" w:eastAsia="zh-CN" w:bidi="ar"/>
                <w14:textFill>
                  <w14:solidFill>
                    <w14:schemeClr w14:val="tx1"/>
                  </w14:solidFill>
                </w14:textFill>
              </w:rPr>
              <w:t>可见</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远洋公司</w:t>
            </w:r>
            <w:r>
              <w:rPr>
                <w:rFonts w:hint="default" w:ascii="Times New Roman" w:hAnsi="Times New Roman" w:eastAsia="宋体" w:cs="Times New Roman"/>
                <w:b w:val="0"/>
                <w:bCs w:val="0"/>
                <w:i w:val="0"/>
                <w:iCs w:val="0"/>
                <w:color w:val="000000" w:themeColor="text1"/>
                <w:kern w:val="0"/>
                <w:sz w:val="24"/>
                <w:szCs w:val="24"/>
                <w:highlight w:val="none"/>
                <w:lang w:val="en-US" w:eastAsia="zh-CN" w:bidi="ar"/>
                <w14:textFill>
                  <w14:solidFill>
                    <w14:schemeClr w14:val="tx1"/>
                  </w14:solidFill>
                </w14:textFill>
              </w:rPr>
              <w:t>化粪池处理能力可满足本项目生活污水处理需求，且还有剩余容量抗负荷波动，因此项目生活污水依托出租方厂区内已建化粪池处理可行。</w:t>
            </w:r>
          </w:p>
          <w:p w14:paraId="2B6E3A60">
            <w:pPr>
              <w:pStyle w:val="67"/>
              <w:ind w:firstLine="482"/>
              <w:rPr>
                <w:rFonts w:cs="Times New Roman"/>
                <w:b/>
                <w:bCs/>
                <w:color w:val="000000" w:themeColor="text1"/>
                <w:lang w:bidi="he-IL"/>
                <w14:textFill>
                  <w14:solidFill>
                    <w14:schemeClr w14:val="tx1"/>
                  </w14:solidFill>
                </w14:textFill>
              </w:rPr>
            </w:pPr>
            <w:r>
              <w:rPr>
                <w:rFonts w:cs="Times New Roman"/>
                <w:b/>
                <w:bCs/>
                <w:color w:val="000000" w:themeColor="text1"/>
                <w:lang w:bidi="he-IL"/>
                <w14:textFill>
                  <w14:solidFill>
                    <w14:schemeClr w14:val="tx1"/>
                  </w14:solidFill>
                </w14:textFill>
              </w:rPr>
              <w:t>（</w:t>
            </w:r>
            <w:r>
              <w:rPr>
                <w:rFonts w:hint="eastAsia" w:cs="Times New Roman"/>
                <w:b/>
                <w:bCs/>
                <w:color w:val="000000" w:themeColor="text1"/>
                <w:lang w:bidi="he-IL"/>
                <w14:textFill>
                  <w14:solidFill>
                    <w14:schemeClr w14:val="tx1"/>
                  </w14:solidFill>
                </w14:textFill>
              </w:rPr>
              <w:t>2</w:t>
            </w:r>
            <w:r>
              <w:rPr>
                <w:rFonts w:cs="Times New Roman"/>
                <w:b/>
                <w:bCs/>
                <w:color w:val="000000" w:themeColor="text1"/>
                <w:lang w:bidi="he-IL"/>
                <w14:textFill>
                  <w14:solidFill>
                    <w14:schemeClr w14:val="tx1"/>
                  </w14:solidFill>
                </w14:textFill>
              </w:rPr>
              <w:t>）</w:t>
            </w:r>
            <w:r>
              <w:rPr>
                <w:rFonts w:hint="eastAsia" w:cs="Times New Roman"/>
                <w:b/>
                <w:bCs/>
                <w:color w:val="000000" w:themeColor="text1"/>
                <w:lang w:val="en-US" w:eastAsia="zh-CN" w:bidi="he-IL"/>
                <w14:textFill>
                  <w14:solidFill>
                    <w14:schemeClr w14:val="tx1"/>
                  </w14:solidFill>
                </w14:textFill>
              </w:rPr>
              <w:t>生产</w:t>
            </w:r>
            <w:r>
              <w:rPr>
                <w:rFonts w:hint="eastAsia" w:cs="Times New Roman"/>
                <w:b/>
                <w:bCs/>
                <w:color w:val="000000" w:themeColor="text1"/>
                <w:lang w:bidi="he-IL"/>
                <w14:textFill>
                  <w14:solidFill>
                    <w14:schemeClr w14:val="tx1"/>
                  </w14:solidFill>
                </w14:textFill>
              </w:rPr>
              <w:t>废水处理设施可行性分析</w:t>
            </w:r>
          </w:p>
          <w:p w14:paraId="599791C0">
            <w:pPr>
              <w:pStyle w:val="67"/>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eastAsia" w:cs="Times New Roman"/>
                <w:color w:val="000000" w:themeColor="text1"/>
                <w:lang w:val="en-US" w:eastAsia="zh-CN" w:bidi="he-IL"/>
                <w14:textFill>
                  <w14:solidFill>
                    <w14:schemeClr w14:val="tx1"/>
                  </w14:solidFill>
                </w14:textFill>
              </w:rPr>
              <w:t>本项目生产废水</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排入</w:t>
            </w:r>
            <w:r>
              <w:rPr>
                <w:rFonts w:hint="eastAsia" w:ascii="Times New Roman" w:hAnsi="Times New Roman" w:eastAsia="宋体" w:cs="Times New Roman"/>
                <w:color w:val="000000" w:themeColor="text1"/>
                <w:lang w:val="en-US" w:eastAsia="zh-CN" w:bidi="he-IL"/>
                <w14:textFill>
                  <w14:solidFill>
                    <w14:schemeClr w14:val="tx1"/>
                  </w14:solidFill>
                </w14:textFill>
              </w:rPr>
              <w:t>自建废水处理设施处理，根据《</w:t>
            </w:r>
            <w:r>
              <w:rPr>
                <w:rFonts w:hint="eastAsia" w:ascii="Times New Roman" w:hAnsi="Times New Roman" w:eastAsia="宋体" w:cs="Times New Roman"/>
                <w:color w:val="000000" w:themeColor="text1"/>
                <w:lang w:bidi="he-IL"/>
                <w14:textFill>
                  <w14:solidFill>
                    <w14:schemeClr w14:val="tx1"/>
                  </w14:solidFill>
                </w14:textFill>
              </w:rPr>
              <w:t>术立智能科技有限公司污水处理工程</w:t>
            </w:r>
            <w:r>
              <w:rPr>
                <w:rFonts w:hint="eastAsia" w:ascii="Times New Roman" w:hAnsi="Times New Roman" w:eastAsia="宋体" w:cs="Times New Roman"/>
                <w:color w:val="000000" w:themeColor="text1"/>
                <w:lang w:val="en-US" w:eastAsia="zh-CN" w:bidi="he-IL"/>
                <w14:textFill>
                  <w14:solidFill>
                    <w14:schemeClr w14:val="tx1"/>
                  </w14:solidFill>
                </w14:textFill>
              </w:rPr>
              <w:t>工艺设计方案》（</w:t>
            </w:r>
            <w:r>
              <w:rPr>
                <w:rFonts w:hint="eastAsia" w:cs="Times New Roman"/>
                <w:color w:val="000000" w:themeColor="text1"/>
                <w:lang w:val="en-US" w:eastAsia="zh-CN" w:bidi="he-IL"/>
                <w14:textFill>
                  <w14:solidFill>
                    <w14:schemeClr w14:val="tx1"/>
                  </w14:solidFill>
                </w14:textFill>
              </w:rPr>
              <w:t>现有</w:t>
            </w:r>
            <w:r>
              <w:rPr>
                <w:rFonts w:hint="eastAsia" w:ascii="Times New Roman" w:hAnsi="Times New Roman" w:eastAsia="宋体" w:cs="Times New Roman"/>
                <w:color w:val="000000" w:themeColor="text1"/>
                <w:lang w:val="en-US" w:eastAsia="zh-CN" w:bidi="he-IL"/>
                <w14:textFill>
                  <w14:solidFill>
                    <w14:schemeClr w14:val="tx1"/>
                  </w14:solidFill>
                </w14:textFill>
              </w:rPr>
              <w:t>）</w:t>
            </w:r>
            <w:r>
              <w:rPr>
                <w:rFonts w:hint="eastAsia" w:cs="Times New Roman"/>
                <w:color w:val="000000" w:themeColor="text1"/>
                <w:lang w:val="en-US" w:eastAsia="zh-CN" w:bidi="he-IL"/>
                <w14:textFill>
                  <w14:solidFill>
                    <w14:schemeClr w14:val="tx1"/>
                  </w14:solidFill>
                </w14:textFill>
              </w:rPr>
              <w:t>及后续废水处理设施改造方案</w:t>
            </w:r>
            <w:r>
              <w:rPr>
                <w:rFonts w:hint="eastAsia" w:ascii="Times New Roman" w:hAnsi="Times New Roman" w:eastAsia="宋体" w:cs="Times New Roman"/>
                <w:color w:val="000000" w:themeColor="text1"/>
                <w:lang w:val="en-US" w:eastAsia="zh-CN" w:bidi="he-IL"/>
                <w14:textFill>
                  <w14:solidFill>
                    <w14:schemeClr w14:val="tx1"/>
                  </w14:solidFill>
                </w14:textFill>
              </w:rPr>
              <w:t>，</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福州术立新能源科技有限公司</w:t>
            </w:r>
            <w:r>
              <w:rPr>
                <w:rFonts w:hint="eastAsia" w:ascii="Times New Roman" w:hAnsi="Times New Roman" w:eastAsia="宋体" w:cs="Times New Roman"/>
                <w:color w:val="000000" w:themeColor="text1"/>
                <w:lang w:val="en-US" w:eastAsia="zh-CN" w:bidi="he-IL"/>
                <w14:textFill>
                  <w14:solidFill>
                    <w14:schemeClr w14:val="tx1"/>
                  </w14:solidFill>
                </w14:textFill>
              </w:rPr>
              <w:t>现有</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废水处理设施处理规模为4t/h，</w:t>
            </w:r>
            <w:r>
              <w:rPr>
                <w:rFonts w:hint="eastAsia" w:eastAsia="宋体" w:cs="Times New Roman"/>
                <w:color w:val="000000" w:themeColor="text1"/>
                <w:szCs w:val="24"/>
                <w:lang w:val="en-US" w:eastAsia="zh-CN" w:bidi="he-IL"/>
                <w14:textFill>
                  <w14:solidFill>
                    <w14:schemeClr w14:val="tx1"/>
                  </w14:solidFill>
                </w14:textFill>
              </w:rPr>
              <w:t>处理工艺为</w:t>
            </w:r>
            <w:r>
              <w:rPr>
                <w:rFonts w:hint="eastAsia" w:eastAsia="宋体" w:cs="Times New Roman"/>
                <w:color w:val="000000" w:themeColor="text1"/>
                <w:szCs w:val="24"/>
                <w:lang w:eastAsia="zh-CN" w:bidi="he-IL"/>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催化氧化（芬顿）+混凝+絮凝+沉淀</w:t>
            </w:r>
            <w:r>
              <w:rPr>
                <w:rFonts w:hint="eastAsia" w:cs="Times New Roman"/>
                <w:color w:val="000000" w:themeColor="text1"/>
                <w:szCs w:val="24"/>
                <w:lang w:eastAsia="zh-CN" w:bidi="he-IL"/>
                <w14:textFill>
                  <w14:solidFill>
                    <w14:schemeClr w14:val="tx1"/>
                  </w14:solidFill>
                </w14:textFill>
              </w:rPr>
              <w:t>”</w:t>
            </w:r>
            <w:r>
              <w:rPr>
                <w:rFonts w:hint="eastAsia" w:cs="Times New Roman"/>
                <w:color w:val="000000" w:themeColor="text1"/>
                <w:lang w:bidi="he-IL"/>
                <w14:textFill>
                  <w14:solidFill>
                    <w14:schemeClr w14:val="tx1"/>
                  </w14:solidFill>
                </w14:textFill>
              </w:rPr>
              <w:t>，</w:t>
            </w:r>
            <w:r>
              <w:rPr>
                <w:rFonts w:hint="eastAsia" w:cs="Times New Roman"/>
                <w:color w:val="000000" w:themeColor="text1"/>
                <w:lang w:val="en-US" w:eastAsia="zh-CN" w:bidi="he-IL"/>
                <w14:textFill>
                  <w14:solidFill>
                    <w14:schemeClr w14:val="tx1"/>
                  </w14:solidFill>
                </w14:textFill>
              </w:rPr>
              <w:t>改造后工艺不变，增加一套成套污水处理设施，</w:t>
            </w:r>
            <w:r>
              <w:rPr>
                <w:rFonts w:hint="eastAsia" w:cs="Times New Roman"/>
                <w:color w:val="000000" w:themeColor="text1"/>
                <w:spacing w:val="0"/>
                <w:position w:val="0"/>
                <w:sz w:val="24"/>
                <w:szCs w:val="24"/>
                <w:highlight w:val="none"/>
                <w:lang w:val="en-US" w:eastAsia="zh-CN"/>
                <w14:textFill>
                  <w14:solidFill>
                    <w14:schemeClr w14:val="tx1"/>
                  </w14:solidFill>
                </w14:textFill>
              </w:rPr>
              <w:t>总</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废水处理规模为</w:t>
            </w:r>
            <w:r>
              <w:rPr>
                <w:rFonts w:hint="eastAsia" w:cs="Times New Roman"/>
                <w:color w:val="000000" w:themeColor="text1"/>
                <w:spacing w:val="0"/>
                <w:kern w:val="2"/>
                <w:position w:val="0"/>
                <w:sz w:val="24"/>
                <w:szCs w:val="24"/>
                <w:lang w:val="en-US" w:eastAsia="zh-CN" w:bidi="ar-SA"/>
                <w14:textFill>
                  <w14:solidFill>
                    <w14:schemeClr w14:val="tx1"/>
                  </w14:solidFill>
                </w14:textFill>
              </w:rPr>
              <w:t>14</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t/</w:t>
            </w:r>
            <w:r>
              <w:rPr>
                <w:rFonts w:hint="eastAsia" w:cs="Times New Roman"/>
                <w:color w:val="000000" w:themeColor="text1"/>
                <w:spacing w:val="0"/>
                <w:kern w:val="2"/>
                <w:position w:val="0"/>
                <w:sz w:val="24"/>
                <w:szCs w:val="24"/>
                <w:lang w:val="en-US" w:eastAsia="zh-CN" w:bidi="ar-SA"/>
                <w14:textFill>
                  <w14:solidFill>
                    <w14:schemeClr w14:val="tx1"/>
                  </w14:solidFill>
                </w14:textFill>
              </w:rPr>
              <w:t>h</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w:t>
            </w:r>
            <w:r>
              <w:rPr>
                <w:rFonts w:hint="eastAsia" w:eastAsia="宋体" w:cs="Times New Roman"/>
                <w:color w:val="000000" w:themeColor="text1"/>
                <w:szCs w:val="24"/>
                <w:lang w:val="en-US" w:eastAsia="zh-CN" w:bidi="he-IL"/>
                <w14:textFill>
                  <w14:solidFill>
                    <w14:schemeClr w14:val="tx1"/>
                  </w14:solidFill>
                </w14:textFill>
              </w:rPr>
              <w:t>处理工艺为</w:t>
            </w:r>
            <w:r>
              <w:rPr>
                <w:rFonts w:hint="eastAsia" w:eastAsia="宋体" w:cs="Times New Roman"/>
                <w:color w:val="000000" w:themeColor="text1"/>
                <w:szCs w:val="24"/>
                <w:lang w:eastAsia="zh-CN" w:bidi="he-IL"/>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芬顿氧化+混凝+絮凝+沉淀</w:t>
            </w:r>
            <w:r>
              <w:rPr>
                <w:rFonts w:hint="eastAsia" w:cs="Times New Roman"/>
                <w:color w:val="000000" w:themeColor="text1"/>
                <w:szCs w:val="24"/>
                <w:lang w:eastAsia="zh-CN" w:bidi="he-IL"/>
                <w14:textFill>
                  <w14:solidFill>
                    <w14:schemeClr w14:val="tx1"/>
                  </w14:solidFill>
                </w14:textFill>
              </w:rPr>
              <w:t>”</w:t>
            </w:r>
            <w:r>
              <w:rPr>
                <w:rFonts w:hint="eastAsia" w:cs="Times New Roman"/>
                <w:color w:val="000000" w:themeColor="text1"/>
                <w:lang w:bidi="he-IL"/>
                <w14:textFill>
                  <w14:solidFill>
                    <w14:schemeClr w14:val="tx1"/>
                  </w14:solidFill>
                </w14:textFill>
              </w:rPr>
              <w:t>工艺流程如下图所示：</w:t>
            </w:r>
          </w:p>
        </w:tc>
      </w:tr>
    </w:tbl>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
        <w:gridCol w:w="8916"/>
      </w:tblGrid>
      <w:tr w14:paraId="7107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1" w:hRule="atLeast"/>
        </w:trPr>
        <w:tc>
          <w:tcPr>
            <w:tcW w:w="451" w:type="dxa"/>
            <w:noWrap w:val="0"/>
            <w:vAlign w:val="top"/>
          </w:tcPr>
          <w:p w14:paraId="03CF2952">
            <w:pPr>
              <w:pStyle w:val="25"/>
              <w:jc w:val="center"/>
              <w:outlineLvl w:val="0"/>
              <w:rPr>
                <w:rFonts w:hint="default" w:ascii="Times New Roman" w:hAnsi="Times New Roman" w:eastAsia="黑体" w:cs="Times New Roman"/>
                <w:snapToGrid w:val="0"/>
                <w:color w:val="000000" w:themeColor="text1"/>
                <w:spacing w:val="0"/>
                <w:position w:val="0"/>
                <w:sz w:val="30"/>
                <w:szCs w:val="30"/>
                <w:highlight w:val="none"/>
                <w:vertAlign w:val="baseline"/>
                <w14:textFill>
                  <w14:solidFill>
                    <w14:schemeClr w14:val="tx1"/>
                  </w14:solidFill>
                </w14:textFill>
              </w:rPr>
            </w:pPr>
            <w:bookmarkStart w:id="33" w:name="_Toc13428"/>
          </w:p>
        </w:tc>
        <w:tc>
          <w:tcPr>
            <w:tcW w:w="8837" w:type="dxa"/>
            <w:noWrap w:val="0"/>
            <w:vAlign w:val="top"/>
          </w:tcPr>
          <w:p w14:paraId="7D20907F">
            <w:pPr>
              <w:pStyle w:val="67"/>
              <w:ind w:firstLine="0" w:firstLineChars="0"/>
              <w:jc w:val="center"/>
              <w:rPr>
                <w:rFonts w:hint="eastAsia" w:eastAsia="宋体" w:cs="Times New Roman"/>
                <w:color w:val="000000" w:themeColor="text1"/>
                <w:lang w:eastAsia="zh-CN" w:bidi="he-IL"/>
                <w14:textFill>
                  <w14:solidFill>
                    <w14:schemeClr w14:val="tx1"/>
                  </w14:solidFill>
                </w14:textFill>
              </w:rPr>
            </w:pPr>
            <w:r>
              <w:rPr>
                <w:rFonts w:hint="eastAsia" w:eastAsia="宋体" w:cs="Times New Roman"/>
                <w:color w:val="000000" w:themeColor="text1"/>
                <w:lang w:eastAsia="zh-CN" w:bidi="he-IL"/>
                <w14:textFill>
                  <w14:solidFill>
                    <w14:schemeClr w14:val="tx1"/>
                  </w14:solidFill>
                </w14:textFill>
              </w:rPr>
              <w:drawing>
                <wp:inline distT="0" distB="0" distL="114300" distR="114300">
                  <wp:extent cx="4249420" cy="4076700"/>
                  <wp:effectExtent l="0" t="0" r="5080" b="0"/>
                  <wp:docPr id="249" name="图片 249" descr="23123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2312312311"/>
                          <pic:cNvPicPr>
                            <a:picLocks noChangeAspect="1"/>
                          </pic:cNvPicPr>
                        </pic:nvPicPr>
                        <pic:blipFill>
                          <a:blip r:embed="rId15"/>
                          <a:srcRect b="5291"/>
                          <a:stretch>
                            <a:fillRect/>
                          </a:stretch>
                        </pic:blipFill>
                        <pic:spPr>
                          <a:xfrm>
                            <a:off x="0" y="0"/>
                            <a:ext cx="4249420" cy="4076700"/>
                          </a:xfrm>
                          <a:prstGeom prst="rect">
                            <a:avLst/>
                          </a:prstGeom>
                        </pic:spPr>
                      </pic:pic>
                    </a:graphicData>
                  </a:graphic>
                </wp:inline>
              </w:drawing>
            </w:r>
          </w:p>
          <w:p w14:paraId="08DEDB46">
            <w:pPr>
              <w:widowControl/>
              <w:spacing w:before="120" w:beforeLines="50" w:line="240" w:lineRule="auto"/>
              <w:jc w:val="cente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图4.3-1 福州术立新能源科技有限公司</w:t>
            </w:r>
            <w:r>
              <w:rPr>
                <w:rFonts w:hint="eastAsia" w:cs="Times New Roman"/>
                <w:b/>
                <w:bCs/>
                <w:color w:val="000000" w:themeColor="text1"/>
                <w:kern w:val="0"/>
                <w:sz w:val="24"/>
                <w:lang w:val="en-US" w:eastAsia="zh-CN" w:bidi="ar"/>
                <w14:textFill>
                  <w14:solidFill>
                    <w14:schemeClr w14:val="tx1"/>
                  </w14:solidFill>
                </w14:textFill>
              </w:rPr>
              <w:t>改造后</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废水处理设施工艺流程</w:t>
            </w:r>
          </w:p>
          <w:p w14:paraId="12865A9F">
            <w:pPr>
              <w:pStyle w:val="67"/>
              <w:ind w:firstLine="482"/>
              <w:rPr>
                <w:rFonts w:cs="Times New Roman"/>
                <w:color w:val="000000" w:themeColor="text1"/>
                <w:lang w:bidi="he-IL"/>
                <w14:textFill>
                  <w14:solidFill>
                    <w14:schemeClr w14:val="tx1"/>
                  </w14:solidFill>
                </w14:textFill>
              </w:rPr>
            </w:pPr>
            <w:r>
              <w:rPr>
                <w:rFonts w:hint="eastAsia" w:cs="Times New Roman"/>
                <w:b/>
                <w:bCs/>
                <w:color w:val="000000" w:themeColor="text1"/>
                <w:lang w:val="en-US" w:eastAsia="zh-CN" w:bidi="he-IL"/>
                <w14:textFill>
                  <w14:solidFill>
                    <w14:schemeClr w14:val="tx1"/>
                  </w14:solidFill>
                </w14:textFill>
              </w:rPr>
              <w:t>1</w:t>
            </w:r>
            <w:r>
              <w:rPr>
                <w:rFonts w:hint="eastAsia" w:cs="Times New Roman"/>
                <w:b/>
                <w:bCs/>
                <w:color w:val="000000" w:themeColor="text1"/>
                <w:lang w:bidi="he-IL"/>
                <w14:textFill>
                  <w14:solidFill>
                    <w14:schemeClr w14:val="tx1"/>
                  </w14:solidFill>
                </w14:textFill>
              </w:rPr>
              <w:t>）</w:t>
            </w:r>
            <w:r>
              <w:rPr>
                <w:rFonts w:hint="eastAsia" w:cs="Times New Roman"/>
                <w:b/>
                <w:bCs/>
                <w:color w:val="000000" w:themeColor="text1"/>
                <w:lang w:val="en-US" w:eastAsia="zh-CN" w:bidi="he-IL"/>
                <w14:textFill>
                  <w14:solidFill>
                    <w14:schemeClr w14:val="tx1"/>
                  </w14:solidFill>
                </w14:textFill>
              </w:rPr>
              <w:t>生产</w:t>
            </w:r>
            <w:r>
              <w:rPr>
                <w:rFonts w:hint="eastAsia" w:cs="Times New Roman"/>
                <w:b/>
                <w:bCs/>
                <w:color w:val="000000" w:themeColor="text1"/>
                <w:lang w:bidi="he-IL"/>
                <w14:textFill>
                  <w14:solidFill>
                    <w14:schemeClr w14:val="tx1"/>
                  </w14:solidFill>
                </w14:textFill>
              </w:rPr>
              <w:t>废水处理可行性分析</w:t>
            </w:r>
          </w:p>
          <w:p w14:paraId="17C72014">
            <w:pPr>
              <w:pStyle w:val="67"/>
              <w:rPr>
                <w:rFonts w:hint="eastAsia" w:cs="Times New Roman"/>
                <w:b/>
                <w:bCs/>
                <w:color w:val="000000" w:themeColor="text1"/>
                <w:lang w:bidi="he-IL"/>
                <w14:textFill>
                  <w14:solidFill>
                    <w14:schemeClr w14:val="tx1"/>
                  </w14:solidFill>
                </w14:textFill>
              </w:rPr>
            </w:pPr>
            <w:r>
              <w:rPr>
                <w:rFonts w:hint="eastAsia" w:cs="Times New Roman"/>
                <w:b/>
                <w:bCs/>
                <w:color w:val="000000" w:themeColor="text1"/>
                <w:lang w:bidi="he-IL"/>
                <w14:textFill>
                  <w14:solidFill>
                    <w14:schemeClr w14:val="tx1"/>
                  </w14:solidFill>
                </w14:textFill>
              </w:rPr>
              <w:t>流程说明：</w:t>
            </w:r>
          </w:p>
          <w:p w14:paraId="2AF405C3">
            <w:pPr>
              <w:pStyle w:val="67"/>
              <w:rPr>
                <w:rFonts w:hint="eastAsia" w:cs="Times New Roman"/>
                <w:color w:val="000000" w:themeColor="text1"/>
                <w:lang w:bidi="he-IL"/>
                <w14:textFill>
                  <w14:solidFill>
                    <w14:schemeClr w14:val="tx1"/>
                  </w14:solidFill>
                </w14:textFill>
              </w:rPr>
            </w:pPr>
            <w:r>
              <w:rPr>
                <w:rFonts w:hint="eastAsia" w:cs="Times New Roman"/>
                <w:color w:val="000000" w:themeColor="text1"/>
                <w:lang w:val="en-US" w:eastAsia="zh-CN" w:bidi="he-IL"/>
                <w14:textFill>
                  <w14:solidFill>
                    <w14:schemeClr w14:val="tx1"/>
                  </w14:solidFill>
                </w14:textFill>
              </w:rPr>
              <w:t>车间</w:t>
            </w:r>
            <w:r>
              <w:rPr>
                <w:rFonts w:hint="eastAsia" w:cs="Times New Roman"/>
                <w:color w:val="000000" w:themeColor="text1"/>
                <w:lang w:bidi="he-IL"/>
                <w14:textFill>
                  <w14:solidFill>
                    <w14:schemeClr w14:val="tx1"/>
                  </w14:solidFill>
                </w14:textFill>
              </w:rPr>
              <w:t>产生的各类</w:t>
            </w:r>
            <w:r>
              <w:rPr>
                <w:rFonts w:hint="eastAsia" w:cs="Times New Roman"/>
                <w:color w:val="000000" w:themeColor="text1"/>
                <w:lang w:val="en-US" w:eastAsia="zh-CN" w:bidi="he-IL"/>
                <w14:textFill>
                  <w14:solidFill>
                    <w14:schemeClr w14:val="tx1"/>
                  </w14:solidFill>
                </w14:textFill>
              </w:rPr>
              <w:t>生产</w:t>
            </w:r>
            <w:r>
              <w:rPr>
                <w:rFonts w:hint="eastAsia" w:cs="Times New Roman"/>
                <w:color w:val="000000" w:themeColor="text1"/>
                <w:lang w:bidi="he-IL"/>
                <w14:textFill>
                  <w14:solidFill>
                    <w14:schemeClr w14:val="tx1"/>
                  </w14:solidFill>
                </w14:textFill>
              </w:rPr>
              <w:t>废水经管道收集后首先进入调节池，调节水量、均化水质，当调节池中水量达到一定液位高度后，通过提升泵</w:t>
            </w:r>
            <w:r>
              <w:rPr>
                <w:rFonts w:hint="eastAsia" w:cs="Times New Roman"/>
                <w:color w:val="000000" w:themeColor="text1"/>
                <w:lang w:val="en-US" w:eastAsia="zh-CN" w:bidi="he-IL"/>
                <w14:textFill>
                  <w14:solidFill>
                    <w14:schemeClr w14:val="tx1"/>
                  </w14:solidFill>
                </w14:textFill>
              </w:rPr>
              <w:t>自动提升</w:t>
            </w:r>
            <w:r>
              <w:rPr>
                <w:rFonts w:hint="eastAsia" w:cs="Times New Roman"/>
                <w:color w:val="000000" w:themeColor="text1"/>
                <w:lang w:bidi="he-IL"/>
                <w14:textFill>
                  <w14:solidFill>
                    <w14:schemeClr w14:val="tx1"/>
                  </w14:solidFill>
                </w14:textFill>
              </w:rPr>
              <w:t>到</w:t>
            </w:r>
            <w:r>
              <w:rPr>
                <w:rFonts w:hint="eastAsia" w:cs="Times New Roman"/>
                <w:color w:val="000000" w:themeColor="text1"/>
                <w:lang w:val="en-US" w:eastAsia="zh-CN" w:bidi="he-IL"/>
                <w14:textFill>
                  <w14:solidFill>
                    <w14:schemeClr w14:val="tx1"/>
                  </w14:solidFill>
                </w14:textFill>
              </w:rPr>
              <w:t>氧</w:t>
            </w:r>
            <w:r>
              <w:rPr>
                <w:rFonts w:hint="eastAsia" w:ascii="Times New Roman" w:hAnsi="Times New Roman" w:eastAsia="宋体" w:cs="Times New Roman"/>
                <w:color w:val="000000" w:themeColor="text1"/>
                <w:lang w:val="en-US" w:eastAsia="zh-CN" w:bidi="he-IL"/>
                <w14:textFill>
                  <w14:solidFill>
                    <w14:schemeClr w14:val="tx1"/>
                  </w14:solidFill>
                </w14:textFill>
              </w:rPr>
              <w:t>化池</w:t>
            </w:r>
            <w:r>
              <w:rPr>
                <w:rFonts w:hint="eastAsia" w:ascii="Times New Roman" w:hAnsi="Times New Roman" w:eastAsia="宋体" w:cs="Times New Roman"/>
                <w:color w:val="000000" w:themeColor="text1"/>
                <w:lang w:bidi="he-IL"/>
                <w14:textFill>
                  <w14:solidFill>
                    <w14:schemeClr w14:val="tx1"/>
                  </w14:solidFill>
                </w14:textFill>
              </w:rPr>
              <w:t>处理。</w:t>
            </w:r>
            <w:r>
              <w:rPr>
                <w:rFonts w:hint="eastAsia" w:ascii="Times New Roman" w:hAnsi="Times New Roman" w:eastAsia="宋体" w:cs="Times New Roman"/>
                <w:color w:val="000000" w:themeColor="text1"/>
                <w:lang w:val="en-US" w:eastAsia="zh-CN" w:bidi="he-IL"/>
                <w14:textFill>
                  <w14:solidFill>
                    <w14:schemeClr w14:val="tx1"/>
                  </w14:solidFill>
                </w14:textFill>
              </w:rPr>
              <w:t>氧化池中添加芬顿试剂，</w:t>
            </w:r>
            <w:r>
              <w:rPr>
                <w:rFonts w:hint="eastAsia" w:ascii="Times New Roman" w:hAnsi="Times New Roman" w:eastAsia="宋体" w:cs="Times New Roman"/>
                <w:color w:val="000000" w:themeColor="text1"/>
                <w:lang w:bidi="he-IL"/>
                <w14:textFill>
                  <w14:solidFill>
                    <w14:schemeClr w14:val="tx1"/>
                  </w14:solidFill>
                </w14:textFill>
              </w:rPr>
              <w:t>它能生成强</w:t>
            </w:r>
            <w:r>
              <w:rPr>
                <w:rFonts w:hint="default" w:ascii="Times New Roman" w:hAnsi="Times New Roman" w:eastAsia="宋体" w:cs="Times New Roman"/>
                <w:color w:val="000000" w:themeColor="text1"/>
                <w:u w:val="none"/>
                <w:lang w:bidi="he-IL"/>
                <w14:textFill>
                  <w14:solidFill>
                    <w14:schemeClr w14:val="tx1"/>
                  </w14:solidFill>
                </w14:textFill>
              </w:rPr>
              <w:t>氧化性</w:t>
            </w:r>
            <w:r>
              <w:rPr>
                <w:rFonts w:hint="default" w:ascii="Times New Roman" w:hAnsi="Times New Roman" w:eastAsia="宋体" w:cs="Times New Roman"/>
                <w:color w:val="000000" w:themeColor="text1"/>
                <w:lang w:bidi="he-IL"/>
                <w14:textFill>
                  <w14:solidFill>
                    <w14:schemeClr w14:val="tx1"/>
                  </w14:solidFill>
                </w14:textFill>
              </w:rPr>
              <w:t>的</w:t>
            </w:r>
            <w:r>
              <w:rPr>
                <w:rFonts w:hint="default" w:ascii="Times New Roman" w:hAnsi="Times New Roman" w:eastAsia="宋体" w:cs="Times New Roman"/>
                <w:color w:val="000000" w:themeColor="text1"/>
                <w:u w:val="none"/>
                <w:lang w:bidi="he-IL"/>
                <w14:textFill>
                  <w14:solidFill>
                    <w14:schemeClr w14:val="tx1"/>
                  </w14:solidFill>
                </w14:textFill>
              </w:rPr>
              <w:t>羟基自由基</w:t>
            </w:r>
            <w:r>
              <w:rPr>
                <w:rFonts w:hint="default" w:ascii="Times New Roman" w:hAnsi="Times New Roman" w:eastAsia="宋体" w:cs="Times New Roman"/>
                <w:color w:val="000000" w:themeColor="text1"/>
                <w:lang w:bidi="he-IL"/>
                <w14:textFill>
                  <w14:solidFill>
                    <w14:schemeClr w14:val="tx1"/>
                  </w14:solidFill>
                </w14:textFill>
              </w:rPr>
              <w:t>，在</w:t>
            </w:r>
            <w:r>
              <w:rPr>
                <w:rFonts w:hint="eastAsia" w:ascii="Times New Roman" w:hAnsi="Times New Roman" w:eastAsia="宋体" w:cs="Times New Roman"/>
                <w:color w:val="000000" w:themeColor="text1"/>
                <w:lang w:val="en-US" w:eastAsia="zh-CN" w:bidi="he-IL"/>
                <w14:textFill>
                  <w14:solidFill>
                    <w14:schemeClr w14:val="tx1"/>
                  </w14:solidFill>
                </w14:textFill>
              </w:rPr>
              <w:t>废水</w:t>
            </w:r>
            <w:r>
              <w:rPr>
                <w:rFonts w:hint="default" w:ascii="Times New Roman" w:hAnsi="Times New Roman" w:eastAsia="宋体" w:cs="Times New Roman"/>
                <w:color w:val="000000" w:themeColor="text1"/>
                <w:lang w:bidi="he-IL"/>
                <w14:textFill>
                  <w14:solidFill>
                    <w14:schemeClr w14:val="tx1"/>
                  </w14:solidFill>
                </w14:textFill>
              </w:rPr>
              <w:t>中与难降解有机物生成有机自由基使之结构破坏，最终</w:t>
            </w:r>
            <w:r>
              <w:rPr>
                <w:rFonts w:hint="default" w:ascii="Times New Roman" w:hAnsi="Times New Roman" w:eastAsia="宋体" w:cs="Times New Roman"/>
                <w:color w:val="000000" w:themeColor="text1"/>
                <w:u w:val="none"/>
                <w:lang w:bidi="he-IL"/>
                <w14:textFill>
                  <w14:solidFill>
                    <w14:schemeClr w14:val="tx1"/>
                  </w14:solidFill>
                </w14:textFill>
              </w:rPr>
              <w:t>氧化分解</w:t>
            </w:r>
            <w:r>
              <w:rPr>
                <w:rFonts w:hint="eastAsia" w:ascii="Times New Roman" w:hAnsi="Times New Roman" w:eastAsia="宋体" w:cs="Times New Roman"/>
                <w:color w:val="000000" w:themeColor="text1"/>
                <w:u w:val="none"/>
                <w:lang w:eastAsia="zh-CN" w:bidi="he-IL"/>
                <w14:textFill>
                  <w14:solidFill>
                    <w14:schemeClr w14:val="tx1"/>
                  </w14:solidFill>
                </w14:textFill>
              </w:rPr>
              <w:t>，</w:t>
            </w:r>
            <w:r>
              <w:rPr>
                <w:rFonts w:hint="eastAsia" w:ascii="Times New Roman" w:hAnsi="Times New Roman" w:eastAsia="宋体" w:cs="Times New Roman"/>
                <w:color w:val="000000" w:themeColor="text1"/>
                <w:u w:val="none"/>
                <w:lang w:val="en-US" w:eastAsia="zh-CN" w:bidi="he-IL"/>
                <w14:textFill>
                  <w14:solidFill>
                    <w14:schemeClr w14:val="tx1"/>
                  </w14:solidFill>
                </w14:textFill>
              </w:rPr>
              <w:t>适用于难降解的有机物处理。经芬顿氧化处理后的废水，进入</w:t>
            </w:r>
            <w:r>
              <w:rPr>
                <w:rFonts w:hint="eastAsia" w:cs="Times New Roman"/>
                <w:color w:val="000000" w:themeColor="text1"/>
                <w:lang w:bidi="he-IL"/>
                <w14:textFill>
                  <w14:solidFill>
                    <w14:schemeClr w14:val="tx1"/>
                  </w14:solidFill>
                </w14:textFill>
              </w:rPr>
              <w:t>混凝沉淀池，</w:t>
            </w:r>
            <w:r>
              <w:rPr>
                <w:rFonts w:hint="eastAsia" w:cs="Times New Roman"/>
                <w:color w:val="000000" w:themeColor="text1"/>
                <w:lang w:val="en-US" w:eastAsia="zh-CN" w:bidi="he-IL"/>
                <w14:textFill>
                  <w14:solidFill>
                    <w14:schemeClr w14:val="tx1"/>
                  </w14:solidFill>
                </w14:textFill>
              </w:rPr>
              <w:t>通过</w:t>
            </w:r>
            <w:r>
              <w:rPr>
                <w:rFonts w:cs="Times New Roman"/>
                <w:color w:val="000000" w:themeColor="text1"/>
                <w:lang w:bidi="he-IL"/>
                <w14:textFill>
                  <w14:solidFill>
                    <w14:schemeClr w14:val="tx1"/>
                  </w14:solidFill>
                </w14:textFill>
              </w:rPr>
              <w:t>pH</w:t>
            </w:r>
            <w:r>
              <w:rPr>
                <w:rFonts w:hint="eastAsia" w:cs="Times New Roman"/>
                <w:color w:val="000000" w:themeColor="text1"/>
                <w:lang w:bidi="he-IL"/>
                <w14:textFill>
                  <w14:solidFill>
                    <w14:schemeClr w14:val="tx1"/>
                  </w14:solidFill>
                </w14:textFill>
              </w:rPr>
              <w:t>控制仪，利用计量泵准确投加碱性水溶液，调节</w:t>
            </w:r>
            <w:r>
              <w:rPr>
                <w:rFonts w:cs="Times New Roman"/>
                <w:color w:val="000000" w:themeColor="text1"/>
                <w:lang w:bidi="he-IL"/>
                <w14:textFill>
                  <w14:solidFill>
                    <w14:schemeClr w14:val="tx1"/>
                  </w14:solidFill>
                </w14:textFill>
              </w:rPr>
              <w:t>pH</w:t>
            </w:r>
            <w:r>
              <w:rPr>
                <w:rFonts w:hint="eastAsia" w:cs="Times New Roman"/>
                <w:color w:val="000000" w:themeColor="text1"/>
                <w:lang w:bidi="he-IL"/>
                <w14:textFill>
                  <w14:solidFill>
                    <w14:schemeClr w14:val="tx1"/>
                  </w14:solidFill>
                </w14:textFill>
              </w:rPr>
              <w:t>值至弱碱性，投加</w:t>
            </w:r>
            <w:r>
              <w:rPr>
                <w:rFonts w:cs="Times New Roman"/>
                <w:color w:val="000000" w:themeColor="text1"/>
                <w:lang w:bidi="he-IL"/>
                <w14:textFill>
                  <w14:solidFill>
                    <w14:schemeClr w14:val="tx1"/>
                  </w14:solidFill>
                </w14:textFill>
              </w:rPr>
              <w:t>PAC/PAM</w:t>
            </w:r>
            <w:r>
              <w:rPr>
                <w:rFonts w:hint="eastAsia" w:cs="Times New Roman"/>
                <w:color w:val="000000" w:themeColor="text1"/>
                <w:lang w:bidi="he-IL"/>
                <w14:textFill>
                  <w14:solidFill>
                    <w14:schemeClr w14:val="tx1"/>
                  </w14:solidFill>
                </w14:textFill>
              </w:rPr>
              <w:t>，使得废水中的污染物形成胶体颗粒物及微小悬浮物便于沉淀，出水进入沉淀</w:t>
            </w:r>
            <w:r>
              <w:rPr>
                <w:rFonts w:hint="eastAsia" w:cs="Times New Roman"/>
                <w:color w:val="000000" w:themeColor="text1"/>
                <w:lang w:val="en-US" w:eastAsia="zh-CN" w:bidi="he-IL"/>
                <w14:textFill>
                  <w14:solidFill>
                    <w14:schemeClr w14:val="tx1"/>
                  </w14:solidFill>
                </w14:textFill>
              </w:rPr>
              <w:t>池</w:t>
            </w:r>
            <w:r>
              <w:rPr>
                <w:rFonts w:hint="eastAsia" w:cs="Times New Roman"/>
                <w:color w:val="000000" w:themeColor="text1"/>
                <w:lang w:bidi="he-IL"/>
                <w14:textFill>
                  <w14:solidFill>
                    <w14:schemeClr w14:val="tx1"/>
                  </w14:solidFill>
                </w14:textFill>
              </w:rPr>
              <w:t>沉淀过滤后即可达标排放。</w:t>
            </w:r>
            <w:r>
              <w:rPr>
                <w:rFonts w:hint="eastAsia" w:ascii="宋体" w:hAnsi="宋体"/>
                <w:color w:val="000000" w:themeColor="text1"/>
                <w:sz w:val="24"/>
                <w14:textFill>
                  <w14:solidFill>
                    <w14:schemeClr w14:val="tx1"/>
                  </w14:solidFill>
                </w14:textFill>
              </w:rPr>
              <w:t>沉淀后的污泥排入污泥池进行压榨脱水处理。</w:t>
            </w:r>
          </w:p>
          <w:p w14:paraId="6EF58F39">
            <w:pPr>
              <w:pStyle w:val="67"/>
              <w:rPr>
                <w:rFonts w:hint="eastAsia" w:cs="Times New Roman"/>
                <w:b/>
                <w:bCs/>
                <w:color w:val="000000" w:themeColor="text1"/>
                <w:lang w:bidi="he-IL"/>
                <w14:textFill>
                  <w14:solidFill>
                    <w14:schemeClr w14:val="tx1"/>
                  </w14:solidFill>
                </w14:textFill>
              </w:rPr>
            </w:pPr>
            <w:r>
              <w:rPr>
                <w:rFonts w:hint="eastAsia" w:cs="Times New Roman"/>
                <w:b/>
                <w:bCs/>
                <w:color w:val="000000" w:themeColor="text1"/>
                <w:lang w:val="en-US" w:eastAsia="zh-CN" w:bidi="he-IL"/>
                <w14:textFill>
                  <w14:solidFill>
                    <w14:schemeClr w14:val="tx1"/>
                  </w14:solidFill>
                </w14:textFill>
              </w:rPr>
              <w:t>设计参数及说明</w:t>
            </w:r>
            <w:r>
              <w:rPr>
                <w:rFonts w:hint="eastAsia" w:cs="Times New Roman"/>
                <w:b/>
                <w:bCs/>
                <w:color w:val="000000" w:themeColor="text1"/>
                <w:lang w:bidi="he-IL"/>
                <w14:textFill>
                  <w14:solidFill>
                    <w14:schemeClr w14:val="tx1"/>
                  </w14:solidFill>
                </w14:textFill>
              </w:rPr>
              <w:t>：</w:t>
            </w:r>
          </w:p>
          <w:p w14:paraId="2643EBB6">
            <w:pPr>
              <w:pStyle w:val="67"/>
              <w:rPr>
                <w:rFonts w:hint="eastAsia" w:ascii="Times New Roman" w:hAnsi="Times New Roman" w:eastAsia="宋体" w:cs="Times New Roman"/>
                <w:color w:val="000000" w:themeColor="text1"/>
                <w:lang w:val="en-US" w:eastAsia="zh-CN" w:bidi="he-IL"/>
                <w14:textFill>
                  <w14:solidFill>
                    <w14:schemeClr w14:val="tx1"/>
                  </w14:solidFill>
                </w14:textFill>
              </w:rPr>
            </w:pPr>
            <w:bookmarkStart w:id="34" w:name="_Toc495090158"/>
            <w:r>
              <w:rPr>
                <w:rFonts w:hint="eastAsia" w:ascii="Times New Roman" w:hAnsi="Times New Roman" w:eastAsia="宋体" w:cs="Times New Roman"/>
                <w:color w:val="000000" w:themeColor="text1"/>
                <w:lang w:val="en-US" w:eastAsia="zh-CN" w:bidi="he-IL"/>
                <w14:textFill>
                  <w14:solidFill>
                    <w14:schemeClr w14:val="tx1"/>
                  </w14:solidFill>
                </w14:textFill>
              </w:rPr>
              <w:t>①</w:t>
            </w:r>
            <w:r>
              <w:rPr>
                <w:rFonts w:hint="eastAsia" w:ascii="Times New Roman" w:hAnsi="Times New Roman" w:eastAsia="宋体" w:cs="Times New Roman"/>
                <w:color w:val="000000" w:themeColor="text1"/>
                <w:highlight w:val="none"/>
                <w:lang w:val="en-US" w:eastAsia="zh-CN" w:bidi="he-IL"/>
                <w14:textFill>
                  <w14:solidFill>
                    <w14:schemeClr w14:val="tx1"/>
                  </w14:solidFill>
                </w14:textFill>
              </w:rPr>
              <w:t>综合调节池</w:t>
            </w:r>
            <w:bookmarkEnd w:id="34"/>
            <w:r>
              <w:rPr>
                <w:rFonts w:hint="eastAsia" w:cs="Times New Roman"/>
                <w:color w:val="000000" w:themeColor="text1"/>
                <w:highlight w:val="none"/>
                <w:lang w:val="en-US" w:eastAsia="zh-CN" w:bidi="he-IL"/>
                <w14:textFill>
                  <w14:solidFill>
                    <w14:schemeClr w14:val="tx1"/>
                  </w14:solidFill>
                </w14:textFill>
              </w:rPr>
              <w:t>（现有）</w:t>
            </w:r>
            <w:r>
              <w:rPr>
                <w:rFonts w:hint="eastAsia" w:ascii="Times New Roman" w:hAnsi="Times New Roman" w:eastAsia="宋体" w:cs="Times New Roman"/>
                <w:color w:val="000000" w:themeColor="text1"/>
                <w:highlight w:val="none"/>
                <w:lang w:val="en-US" w:eastAsia="zh-CN" w:bidi="he-IL"/>
                <w14:textFill>
                  <w14:solidFill>
                    <w14:schemeClr w14:val="tx1"/>
                  </w14:solidFill>
                </w14:textFill>
              </w:rPr>
              <w:t>：1座，50m</w:t>
            </w:r>
            <w:r>
              <w:rPr>
                <w:rFonts w:hint="eastAsia" w:ascii="Times New Roman" w:hAnsi="Times New Roman" w:eastAsia="宋体" w:cs="Times New Roman"/>
                <w:color w:val="000000" w:themeColor="text1"/>
                <w:highlight w:val="none"/>
                <w:vertAlign w:val="superscript"/>
                <w:lang w:val="en-US" w:eastAsia="zh-CN" w:bidi="he-IL"/>
                <w14:textFill>
                  <w14:solidFill>
                    <w14:schemeClr w14:val="tx1"/>
                  </w14:solidFill>
                </w14:textFill>
              </w:rPr>
              <w:t>3</w:t>
            </w:r>
            <w:r>
              <w:rPr>
                <w:rFonts w:hint="eastAsia" w:ascii="Times New Roman" w:hAnsi="Times New Roman" w:eastAsia="宋体" w:cs="Times New Roman"/>
                <w:color w:val="000000" w:themeColor="text1"/>
                <w:vertAlign w:val="baseline"/>
                <w:lang w:val="en-US" w:eastAsia="zh-CN" w:bidi="he-IL"/>
                <w14:textFill>
                  <w14:solidFill>
                    <w14:schemeClr w14:val="tx1"/>
                  </w14:solidFill>
                </w14:textFill>
              </w:rPr>
              <w:t>，</w:t>
            </w:r>
            <w:r>
              <w:rPr>
                <w:rFonts w:hint="eastAsia" w:ascii="Times New Roman" w:hAnsi="Times New Roman" w:eastAsia="宋体" w:cs="Times New Roman"/>
                <w:color w:val="000000" w:themeColor="text1"/>
                <w:lang w:val="en-US" w:eastAsia="zh-CN" w:bidi="he-IL"/>
                <w14:textFill>
                  <w14:solidFill>
                    <w14:schemeClr w14:val="tx1"/>
                  </w14:solidFill>
                </w14:textFill>
              </w:rPr>
              <w:t>含提升泵2台，型号40WQ6-8-0.55；</w:t>
            </w:r>
          </w:p>
          <w:p w14:paraId="4B6CE412">
            <w:pPr>
              <w:pStyle w:val="67"/>
              <w:rPr>
                <w:rFonts w:hint="default" w:ascii="Times New Roman" w:hAnsi="Times New Roman" w:eastAsia="宋体" w:cs="Times New Roman"/>
                <w:color w:val="000000" w:themeColor="text1"/>
                <w:lang w:val="en-US" w:eastAsia="zh-CN" w:bidi="he-IL"/>
                <w14:textFill>
                  <w14:solidFill>
                    <w14:schemeClr w14:val="tx1"/>
                  </w14:solidFill>
                </w14:textFill>
              </w:rPr>
            </w:pPr>
            <w:r>
              <w:rPr>
                <w:rFonts w:hint="eastAsia" w:ascii="Times New Roman" w:hAnsi="Times New Roman" w:eastAsia="宋体" w:cs="Times New Roman"/>
                <w:color w:val="000000" w:themeColor="text1"/>
                <w:lang w:val="en-US" w:eastAsia="zh-CN" w:bidi="he-IL"/>
                <w14:textFill>
                  <w14:solidFill>
                    <w14:schemeClr w14:val="tx1"/>
                  </w14:solidFill>
                </w14:textFill>
              </w:rPr>
              <w:t>②氧化池</w:t>
            </w:r>
            <w:r>
              <w:rPr>
                <w:rFonts w:hint="eastAsia" w:cs="Times New Roman"/>
                <w:color w:val="000000" w:themeColor="text1"/>
                <w:highlight w:val="none"/>
                <w:lang w:val="en-US" w:eastAsia="zh-CN" w:bidi="he-IL"/>
                <w14:textFill>
                  <w14:solidFill>
                    <w14:schemeClr w14:val="tx1"/>
                  </w14:solidFill>
                </w14:textFill>
              </w:rPr>
              <w:t>（现有）</w:t>
            </w:r>
            <w:r>
              <w:rPr>
                <w:rFonts w:hint="eastAsia" w:ascii="Times New Roman" w:hAnsi="Times New Roman" w:eastAsia="宋体" w:cs="Times New Roman"/>
                <w:color w:val="000000" w:themeColor="text1"/>
                <w:lang w:val="en-US" w:eastAsia="zh-CN" w:bidi="he-IL"/>
                <w14:textFill>
                  <w14:solidFill>
                    <w14:schemeClr w14:val="tx1"/>
                  </w14:solidFill>
                </w14:textFill>
              </w:rPr>
              <w:t>：1套，PE氧化桶2个（40m</w:t>
            </w:r>
            <w:r>
              <w:rPr>
                <w:rFonts w:hint="eastAsia" w:ascii="Times New Roman" w:hAnsi="Times New Roman" w:eastAsia="宋体" w:cs="Times New Roman"/>
                <w:color w:val="000000" w:themeColor="text1"/>
                <w:vertAlign w:val="superscript"/>
                <w:lang w:val="en-US" w:eastAsia="zh-CN" w:bidi="he-IL"/>
                <w14:textFill>
                  <w14:solidFill>
                    <w14:schemeClr w14:val="tx1"/>
                  </w14:solidFill>
                </w14:textFill>
              </w:rPr>
              <w:t>3</w:t>
            </w:r>
            <w:r>
              <w:rPr>
                <w:rFonts w:hint="eastAsia" w:ascii="Times New Roman" w:hAnsi="Times New Roman" w:eastAsia="宋体" w:cs="Times New Roman"/>
                <w:color w:val="000000" w:themeColor="text1"/>
                <w:lang w:val="en-US" w:eastAsia="zh-CN" w:bidi="he-IL"/>
                <w14:textFill>
                  <w14:solidFill>
                    <w14:schemeClr w14:val="tx1"/>
                  </w14:solidFill>
                </w14:textFill>
              </w:rPr>
              <w:t>），配套溶药桶2套、计量泵2台</w:t>
            </w:r>
            <w:bookmarkStart w:id="35" w:name="_Toc495090159"/>
            <w:r>
              <w:rPr>
                <w:rFonts w:hint="eastAsia" w:ascii="Times New Roman" w:hAnsi="Times New Roman" w:eastAsia="宋体" w:cs="Times New Roman"/>
                <w:color w:val="000000" w:themeColor="text1"/>
                <w:lang w:val="en-US" w:eastAsia="zh-CN" w:bidi="he-IL"/>
                <w14:textFill>
                  <w14:solidFill>
                    <w14:schemeClr w14:val="tx1"/>
                  </w14:solidFill>
                </w14:textFill>
              </w:rPr>
              <w:t>；</w:t>
            </w:r>
            <w:r>
              <w:rPr>
                <w:rFonts w:hint="eastAsia" w:cs="Times New Roman"/>
                <w:color w:val="000000" w:themeColor="text1"/>
                <w:lang w:val="en-US" w:eastAsia="zh-CN" w:bidi="he-IL"/>
                <w14:textFill>
                  <w14:solidFill>
                    <w14:schemeClr w14:val="tx1"/>
                  </w14:solidFill>
                </w14:textFill>
              </w:rPr>
              <w:t>新增沉淀池1套</w:t>
            </w:r>
            <w:r>
              <w:rPr>
                <w:rFonts w:hint="eastAsia" w:ascii="Times New Roman" w:hAnsi="Times New Roman" w:eastAsia="宋体" w:cs="Times New Roman"/>
                <w:color w:val="000000" w:themeColor="text1"/>
                <w:lang w:val="en-US" w:eastAsia="zh-CN" w:bidi="he-IL"/>
                <w14:textFill>
                  <w14:solidFill>
                    <w14:schemeClr w14:val="tx1"/>
                  </w14:solidFill>
                </w14:textFill>
              </w:rPr>
              <w:t>，总尺寸：L×B×D=6×2×2.5m。</w:t>
            </w:r>
          </w:p>
          <w:p w14:paraId="1AFD92DD">
            <w:pPr>
              <w:pStyle w:val="67"/>
              <w:rPr>
                <w:rFonts w:hint="eastAsia" w:ascii="Times New Roman" w:hAnsi="Times New Roman" w:eastAsia="宋体" w:cs="Times New Roman"/>
                <w:color w:val="000000" w:themeColor="text1"/>
                <w:lang w:val="en-US" w:eastAsia="zh-CN" w:bidi="he-IL"/>
                <w14:textFill>
                  <w14:solidFill>
                    <w14:schemeClr w14:val="tx1"/>
                  </w14:solidFill>
                </w14:textFill>
              </w:rPr>
            </w:pPr>
            <w:r>
              <w:rPr>
                <w:rFonts w:hint="eastAsia" w:ascii="Times New Roman" w:hAnsi="Times New Roman" w:eastAsia="宋体" w:cs="Times New Roman"/>
                <w:color w:val="000000" w:themeColor="text1"/>
                <w:lang w:val="en-US" w:eastAsia="zh-CN" w:bidi="he-IL"/>
                <w14:textFill>
                  <w14:solidFill>
                    <w14:schemeClr w14:val="tx1"/>
                  </w14:solidFill>
                </w14:textFill>
              </w:rPr>
              <w:t>③混凝沉淀池（成套</w:t>
            </w:r>
            <w:r>
              <w:rPr>
                <w:rFonts w:hint="eastAsia" w:cs="Times New Roman"/>
                <w:color w:val="000000" w:themeColor="text1"/>
                <w:highlight w:val="none"/>
                <w:lang w:val="en-US" w:eastAsia="zh-CN" w:bidi="he-IL"/>
                <w14:textFill>
                  <w14:solidFill>
                    <w14:schemeClr w14:val="tx1"/>
                  </w14:solidFill>
                </w14:textFill>
              </w:rPr>
              <w:t>，现有</w:t>
            </w:r>
            <w:r>
              <w:rPr>
                <w:rFonts w:hint="eastAsia" w:ascii="Times New Roman" w:hAnsi="Times New Roman" w:eastAsia="宋体" w:cs="Times New Roman"/>
                <w:color w:val="000000" w:themeColor="text1"/>
                <w:lang w:val="en-US" w:eastAsia="zh-CN" w:bidi="he-IL"/>
                <w14:textFill>
                  <w14:solidFill>
                    <w14:schemeClr w14:val="tx1"/>
                  </w14:solidFill>
                </w14:textFill>
              </w:rPr>
              <w:t>）</w:t>
            </w:r>
            <w:bookmarkEnd w:id="35"/>
            <w:r>
              <w:rPr>
                <w:rFonts w:hint="eastAsia" w:ascii="Times New Roman" w:hAnsi="Times New Roman" w:eastAsia="宋体" w:cs="Times New Roman"/>
                <w:color w:val="000000" w:themeColor="text1"/>
                <w:lang w:val="en-US" w:eastAsia="zh-CN" w:bidi="he-IL"/>
                <w14:textFill>
                  <w14:solidFill>
                    <w14:schemeClr w14:val="tx1"/>
                  </w14:solidFill>
                </w14:textFill>
              </w:rPr>
              <w:t>：1套，总尺寸：L×B×D=5.0×2.5×3.0m，混凝池L×B×D=1.0×1.5×2.0m，快混时间0.5h，絮凝时间0.2h，斜管沉淀池L×B×D=3.0×2.5×3.0m，表面负荷1.3m</w:t>
            </w:r>
            <w:r>
              <w:rPr>
                <w:rFonts w:hint="eastAsia" w:ascii="Times New Roman" w:hAnsi="Times New Roman" w:eastAsia="宋体" w:cs="Times New Roman"/>
                <w:color w:val="000000" w:themeColor="text1"/>
                <w:vertAlign w:val="superscript"/>
                <w:lang w:val="en-US" w:eastAsia="zh-CN" w:bidi="he-IL"/>
                <w14:textFill>
                  <w14:solidFill>
                    <w14:schemeClr w14:val="tx1"/>
                  </w14:solidFill>
                </w14:textFill>
              </w:rPr>
              <w:t>3</w:t>
            </w:r>
            <w:r>
              <w:rPr>
                <w:rFonts w:hint="eastAsia" w:ascii="Times New Roman" w:hAnsi="Times New Roman" w:eastAsia="宋体" w:cs="Times New Roman"/>
                <w:color w:val="000000" w:themeColor="text1"/>
                <w:lang w:val="en-US" w:eastAsia="zh-CN" w:bidi="he-IL"/>
                <w14:textFill>
                  <w14:solidFill>
                    <w14:schemeClr w14:val="tx1"/>
                  </w14:solidFill>
                </w14:textFill>
              </w:rPr>
              <w:t>/(m</w:t>
            </w:r>
            <w:r>
              <w:rPr>
                <w:rFonts w:hint="eastAsia" w:ascii="Times New Roman" w:hAnsi="Times New Roman" w:eastAsia="宋体" w:cs="Times New Roman"/>
                <w:color w:val="000000" w:themeColor="text1"/>
                <w:vertAlign w:val="superscript"/>
                <w:lang w:val="en-US" w:eastAsia="zh-CN" w:bidi="he-IL"/>
                <w14:textFill>
                  <w14:solidFill>
                    <w14:schemeClr w14:val="tx1"/>
                  </w14:solidFill>
                </w14:textFill>
              </w:rPr>
              <w:t>2</w:t>
            </w:r>
            <w:r>
              <w:rPr>
                <w:rFonts w:hint="eastAsia" w:ascii="Times New Roman" w:hAnsi="Times New Roman" w:eastAsia="宋体" w:cs="Times New Roman"/>
                <w:color w:val="000000" w:themeColor="text1"/>
                <w:lang w:val="en-US" w:eastAsia="zh-CN" w:bidi="he-IL"/>
                <w14:textFill>
                  <w14:solidFill>
                    <w14:schemeClr w14:val="tx1"/>
                  </w14:solidFill>
                </w14:textFill>
              </w:rPr>
              <w:t>.h)，配套溶药桶3套、计量泵3台、鼓风机1台</w:t>
            </w:r>
            <w:r>
              <w:rPr>
                <w:rFonts w:hint="eastAsia" w:cs="Times New Roman"/>
                <w:color w:val="000000" w:themeColor="text1"/>
                <w:lang w:val="en-US" w:eastAsia="zh-CN" w:bidi="he-IL"/>
                <w14:textFill>
                  <w14:solidFill>
                    <w14:schemeClr w14:val="tx1"/>
                  </w14:solidFill>
                </w14:textFill>
              </w:rPr>
              <w:t>，</w:t>
            </w:r>
            <w:r>
              <w:rPr>
                <w:rFonts w:hint="eastAsia" w:ascii="Times New Roman" w:hAnsi="Times New Roman" w:eastAsia="宋体" w:cs="Times New Roman"/>
                <w:color w:val="000000" w:themeColor="text1"/>
                <w:lang w:val="en-US" w:eastAsia="zh-CN" w:bidi="he-IL"/>
                <w14:textFill>
                  <w14:solidFill>
                    <w14:schemeClr w14:val="tx1"/>
                  </w14:solidFill>
                </w14:textFill>
              </w:rPr>
              <w:t>蜂窝斜管3m</w:t>
            </w:r>
            <w:r>
              <w:rPr>
                <w:rFonts w:hint="eastAsia" w:ascii="Times New Roman" w:hAnsi="Times New Roman" w:eastAsia="宋体" w:cs="Times New Roman"/>
                <w:color w:val="000000" w:themeColor="text1"/>
                <w:vertAlign w:val="superscript"/>
                <w:lang w:val="en-US" w:eastAsia="zh-CN" w:bidi="he-IL"/>
                <w14:textFill>
                  <w14:solidFill>
                    <w14:schemeClr w14:val="tx1"/>
                  </w14:solidFill>
                </w14:textFill>
              </w:rPr>
              <w:t>3</w:t>
            </w:r>
            <w:r>
              <w:rPr>
                <w:rFonts w:hint="eastAsia" w:ascii="Times New Roman" w:hAnsi="Times New Roman" w:eastAsia="宋体" w:cs="Times New Roman"/>
                <w:color w:val="000000" w:themeColor="text1"/>
                <w:vertAlign w:val="baseline"/>
                <w:lang w:val="en-US" w:eastAsia="zh-CN" w:bidi="he-IL"/>
                <w14:textFill>
                  <w14:solidFill>
                    <w14:schemeClr w14:val="tx1"/>
                  </w14:solidFill>
                </w14:textFill>
              </w:rPr>
              <w:t>，</w:t>
            </w:r>
            <w:r>
              <w:rPr>
                <w:rFonts w:hint="eastAsia" w:ascii="Times New Roman" w:hAnsi="Times New Roman" w:eastAsia="宋体" w:cs="Times New Roman"/>
                <w:color w:val="000000" w:themeColor="text1"/>
                <w:lang w:val="en-US" w:eastAsia="zh-CN" w:bidi="he-IL"/>
                <w14:textFill>
                  <w14:solidFill>
                    <w14:schemeClr w14:val="tx1"/>
                  </w14:solidFill>
                </w14:textFill>
              </w:rPr>
              <w:t>材质为碳钢，内部刷三道防氧煤沥青防腐；</w:t>
            </w:r>
          </w:p>
          <w:p w14:paraId="2DD2E1E0">
            <w:pPr>
              <w:pStyle w:val="67"/>
              <w:rPr>
                <w:rFonts w:hint="eastAsia" w:ascii="Times New Roman" w:hAnsi="Times New Roman" w:eastAsia="宋体" w:cs="Times New Roman"/>
                <w:color w:val="000000" w:themeColor="text1"/>
                <w:lang w:val="en-US" w:eastAsia="zh-CN" w:bidi="he-IL"/>
                <w14:textFill>
                  <w14:solidFill>
                    <w14:schemeClr w14:val="tx1"/>
                  </w14:solidFill>
                </w14:textFill>
              </w:rPr>
            </w:pPr>
            <w:bookmarkStart w:id="36" w:name="_Toc495090160"/>
            <w:r>
              <w:rPr>
                <w:rFonts w:hint="eastAsia" w:ascii="Times New Roman" w:hAnsi="Times New Roman" w:eastAsia="宋体" w:cs="Times New Roman"/>
                <w:color w:val="000000" w:themeColor="text1"/>
                <w:lang w:val="en-US" w:eastAsia="zh-CN" w:bidi="he-IL"/>
                <w14:textFill>
                  <w14:solidFill>
                    <w14:schemeClr w14:val="tx1"/>
                  </w14:solidFill>
                </w14:textFill>
              </w:rPr>
              <w:t>④混凝沉淀池（成套</w:t>
            </w:r>
            <w:r>
              <w:rPr>
                <w:rFonts w:hint="eastAsia" w:ascii="Times New Roman" w:hAnsi="Times New Roman" w:cs="Times New Roman"/>
                <w:color w:val="000000" w:themeColor="text1"/>
                <w:lang w:val="en-US" w:eastAsia="zh-CN" w:bidi="he-IL"/>
                <w14:textFill>
                  <w14:solidFill>
                    <w14:schemeClr w14:val="tx1"/>
                  </w14:solidFill>
                </w14:textFill>
              </w:rPr>
              <w:t>，新增，与现有并联运行</w:t>
            </w:r>
            <w:r>
              <w:rPr>
                <w:rFonts w:hint="eastAsia" w:ascii="Times New Roman" w:hAnsi="Times New Roman" w:eastAsia="宋体" w:cs="Times New Roman"/>
                <w:color w:val="000000" w:themeColor="text1"/>
                <w:lang w:val="en-US" w:eastAsia="zh-CN" w:bidi="he-IL"/>
                <w14:textFill>
                  <w14:solidFill>
                    <w14:schemeClr w14:val="tx1"/>
                  </w14:solidFill>
                </w14:textFill>
              </w:rPr>
              <w:t>）：1套，总尺寸：L×B×D=</w:t>
            </w:r>
            <w:r>
              <w:rPr>
                <w:rFonts w:hint="eastAsia" w:ascii="Times New Roman" w:hAnsi="Times New Roman" w:cs="Times New Roman"/>
                <w:color w:val="000000" w:themeColor="text1"/>
                <w:lang w:val="en-US" w:eastAsia="zh-CN" w:bidi="he-IL"/>
                <w14:textFill>
                  <w14:solidFill>
                    <w14:schemeClr w14:val="tx1"/>
                  </w14:solidFill>
                </w14:textFill>
              </w:rPr>
              <w:t>6</w:t>
            </w:r>
            <w:r>
              <w:rPr>
                <w:rFonts w:hint="eastAsia" w:ascii="Times New Roman" w:hAnsi="Times New Roman" w:eastAsia="宋体" w:cs="Times New Roman"/>
                <w:color w:val="000000" w:themeColor="text1"/>
                <w:lang w:val="en-US" w:eastAsia="zh-CN" w:bidi="he-IL"/>
                <w14:textFill>
                  <w14:solidFill>
                    <w14:schemeClr w14:val="tx1"/>
                  </w14:solidFill>
                </w14:textFill>
              </w:rPr>
              <w:t>.0×2.5×</w:t>
            </w:r>
            <w:r>
              <w:rPr>
                <w:rFonts w:hint="eastAsia" w:ascii="Times New Roman" w:hAnsi="Times New Roman" w:cs="Times New Roman"/>
                <w:color w:val="000000" w:themeColor="text1"/>
                <w:lang w:val="en-US" w:eastAsia="zh-CN" w:bidi="he-IL"/>
                <w14:textFill>
                  <w14:solidFill>
                    <w14:schemeClr w14:val="tx1"/>
                  </w14:solidFill>
                </w14:textFill>
              </w:rPr>
              <w:t>2.5</w:t>
            </w:r>
            <w:r>
              <w:rPr>
                <w:rFonts w:hint="eastAsia" w:ascii="Times New Roman" w:hAnsi="Times New Roman" w:eastAsia="宋体" w:cs="Times New Roman"/>
                <w:color w:val="000000" w:themeColor="text1"/>
                <w:lang w:val="en-US" w:eastAsia="zh-CN" w:bidi="he-IL"/>
                <w14:textFill>
                  <w14:solidFill>
                    <w14:schemeClr w14:val="tx1"/>
                  </w14:solidFill>
                </w14:textFill>
              </w:rPr>
              <w:t>m，混凝池L×B×D=1.0×</w:t>
            </w:r>
            <w:r>
              <w:rPr>
                <w:rFonts w:hint="eastAsia" w:ascii="Times New Roman" w:hAnsi="Times New Roman" w:cs="Times New Roman"/>
                <w:color w:val="000000" w:themeColor="text1"/>
                <w:lang w:val="en-US" w:eastAsia="zh-CN" w:bidi="he-IL"/>
                <w14:textFill>
                  <w14:solidFill>
                    <w14:schemeClr w14:val="tx1"/>
                  </w14:solidFill>
                </w14:textFill>
              </w:rPr>
              <w:t>2</w:t>
            </w:r>
            <w:r>
              <w:rPr>
                <w:rFonts w:hint="eastAsia" w:ascii="Times New Roman" w:hAnsi="Times New Roman" w:eastAsia="宋体" w:cs="Times New Roman"/>
                <w:color w:val="000000" w:themeColor="text1"/>
                <w:lang w:val="en-US" w:eastAsia="zh-CN" w:bidi="he-IL"/>
                <w14:textFill>
                  <w14:solidFill>
                    <w14:schemeClr w14:val="tx1"/>
                  </w14:solidFill>
                </w14:textFill>
              </w:rPr>
              <w:t>.</w:t>
            </w:r>
            <w:r>
              <w:rPr>
                <w:rFonts w:hint="eastAsia" w:ascii="Times New Roman" w:hAnsi="Times New Roman" w:cs="Times New Roman"/>
                <w:color w:val="000000" w:themeColor="text1"/>
                <w:lang w:val="en-US" w:eastAsia="zh-CN" w:bidi="he-IL"/>
                <w14:textFill>
                  <w14:solidFill>
                    <w14:schemeClr w14:val="tx1"/>
                  </w14:solidFill>
                </w14:textFill>
              </w:rPr>
              <w:t>0</w:t>
            </w:r>
            <w:r>
              <w:rPr>
                <w:rFonts w:hint="eastAsia" w:ascii="Times New Roman" w:hAnsi="Times New Roman" w:eastAsia="宋体" w:cs="Times New Roman"/>
                <w:color w:val="000000" w:themeColor="text1"/>
                <w:lang w:val="en-US" w:eastAsia="zh-CN" w:bidi="he-IL"/>
                <w14:textFill>
                  <w14:solidFill>
                    <w14:schemeClr w14:val="tx1"/>
                  </w14:solidFill>
                </w14:textFill>
              </w:rPr>
              <w:t>×2.0m，快混时间0.5h，絮凝时间0.2h，斜管沉淀池L×B×D=</w:t>
            </w:r>
            <w:r>
              <w:rPr>
                <w:rFonts w:hint="eastAsia" w:ascii="Times New Roman" w:hAnsi="Times New Roman" w:cs="Times New Roman"/>
                <w:color w:val="000000" w:themeColor="text1"/>
                <w:lang w:val="en-US" w:eastAsia="zh-CN" w:bidi="he-IL"/>
                <w14:textFill>
                  <w14:solidFill>
                    <w14:schemeClr w14:val="tx1"/>
                  </w14:solidFill>
                </w14:textFill>
              </w:rPr>
              <w:t>5</w:t>
            </w:r>
            <w:r>
              <w:rPr>
                <w:rFonts w:hint="eastAsia" w:ascii="Times New Roman" w:hAnsi="Times New Roman" w:eastAsia="宋体" w:cs="Times New Roman"/>
                <w:color w:val="000000" w:themeColor="text1"/>
                <w:lang w:val="en-US" w:eastAsia="zh-CN" w:bidi="he-IL"/>
                <w14:textFill>
                  <w14:solidFill>
                    <w14:schemeClr w14:val="tx1"/>
                  </w14:solidFill>
                </w14:textFill>
              </w:rPr>
              <w:t>.0×2.</w:t>
            </w:r>
            <w:r>
              <w:rPr>
                <w:rFonts w:hint="eastAsia" w:ascii="Times New Roman" w:hAnsi="Times New Roman" w:cs="Times New Roman"/>
                <w:color w:val="000000" w:themeColor="text1"/>
                <w:lang w:val="en-US" w:eastAsia="zh-CN" w:bidi="he-IL"/>
                <w14:textFill>
                  <w14:solidFill>
                    <w14:schemeClr w14:val="tx1"/>
                  </w14:solidFill>
                </w14:textFill>
              </w:rPr>
              <w:t>0</w:t>
            </w:r>
            <w:r>
              <w:rPr>
                <w:rFonts w:hint="eastAsia" w:ascii="Times New Roman" w:hAnsi="Times New Roman" w:eastAsia="宋体" w:cs="Times New Roman"/>
                <w:color w:val="000000" w:themeColor="text1"/>
                <w:lang w:val="en-US" w:eastAsia="zh-CN" w:bidi="he-IL"/>
                <w14:textFill>
                  <w14:solidFill>
                    <w14:schemeClr w14:val="tx1"/>
                  </w14:solidFill>
                </w14:textFill>
              </w:rPr>
              <w:t>×</w:t>
            </w:r>
            <w:r>
              <w:rPr>
                <w:rFonts w:hint="eastAsia" w:ascii="Times New Roman" w:hAnsi="Times New Roman" w:cs="Times New Roman"/>
                <w:color w:val="000000" w:themeColor="text1"/>
                <w:lang w:val="en-US" w:eastAsia="zh-CN" w:bidi="he-IL"/>
                <w14:textFill>
                  <w14:solidFill>
                    <w14:schemeClr w14:val="tx1"/>
                  </w14:solidFill>
                </w14:textFill>
              </w:rPr>
              <w:t>2.5</w:t>
            </w:r>
            <w:r>
              <w:rPr>
                <w:rFonts w:hint="eastAsia" w:ascii="Times New Roman" w:hAnsi="Times New Roman" w:eastAsia="宋体" w:cs="Times New Roman"/>
                <w:color w:val="000000" w:themeColor="text1"/>
                <w:lang w:val="en-US" w:eastAsia="zh-CN" w:bidi="he-IL"/>
                <w14:textFill>
                  <w14:solidFill>
                    <w14:schemeClr w14:val="tx1"/>
                  </w14:solidFill>
                </w14:textFill>
              </w:rPr>
              <w:t>m</w:t>
            </w:r>
            <w:r>
              <w:rPr>
                <w:rFonts w:hint="eastAsia" w:ascii="Times New Roman" w:hAnsi="Times New Roman" w:cs="Times New Roman"/>
                <w:color w:val="000000" w:themeColor="text1"/>
                <w:lang w:val="en-US" w:eastAsia="zh-CN" w:bidi="he-IL"/>
                <w14:textFill>
                  <w14:solidFill>
                    <w14:schemeClr w14:val="tx1"/>
                  </w14:solidFill>
                </w14:textFill>
              </w:rPr>
              <w:t>，</w:t>
            </w:r>
            <w:r>
              <w:rPr>
                <w:rFonts w:hint="eastAsia" w:ascii="Times New Roman" w:hAnsi="Times New Roman" w:eastAsia="宋体" w:cs="Times New Roman"/>
                <w:color w:val="000000" w:themeColor="text1"/>
                <w:lang w:val="en-US" w:eastAsia="zh-CN" w:bidi="he-IL"/>
                <w14:textFill>
                  <w14:solidFill>
                    <w14:schemeClr w14:val="tx1"/>
                  </w14:solidFill>
                </w14:textFill>
              </w:rPr>
              <w:t>采用碳钢制作，内部刷三道防氧煤沥青防腐；</w:t>
            </w:r>
          </w:p>
          <w:p w14:paraId="12A25051">
            <w:pPr>
              <w:pStyle w:val="67"/>
              <w:rPr>
                <w:rFonts w:hint="eastAsia" w:ascii="Times New Roman" w:hAnsi="Times New Roman" w:eastAsia="宋体" w:cs="Times New Roman"/>
                <w:color w:val="000000" w:themeColor="text1"/>
                <w:lang w:val="en-US" w:eastAsia="zh-CN" w:bidi="he-IL"/>
                <w14:textFill>
                  <w14:solidFill>
                    <w14:schemeClr w14:val="tx1"/>
                  </w14:solidFill>
                </w14:textFill>
              </w:rPr>
            </w:pPr>
            <w:r>
              <w:rPr>
                <w:rFonts w:hint="eastAsia" w:ascii="Times New Roman" w:hAnsi="Times New Roman" w:eastAsia="宋体" w:cs="Times New Roman"/>
                <w:color w:val="000000" w:themeColor="text1"/>
                <w:lang w:val="en-US" w:eastAsia="zh-CN" w:bidi="he-IL"/>
                <w14:textFill>
                  <w14:solidFill>
                    <w14:schemeClr w14:val="tx1"/>
                  </w14:solidFill>
                </w14:textFill>
              </w:rPr>
              <w:t>⑤污泥压滤机</w:t>
            </w:r>
            <w:bookmarkEnd w:id="36"/>
            <w:r>
              <w:rPr>
                <w:rFonts w:hint="eastAsia" w:cs="Times New Roman"/>
                <w:color w:val="000000" w:themeColor="text1"/>
                <w:highlight w:val="none"/>
                <w:lang w:val="en-US" w:eastAsia="zh-CN" w:bidi="he-IL"/>
                <w14:textFill>
                  <w14:solidFill>
                    <w14:schemeClr w14:val="tx1"/>
                  </w14:solidFill>
                </w14:textFill>
              </w:rPr>
              <w:t>（现有）</w:t>
            </w:r>
            <w:r>
              <w:rPr>
                <w:rFonts w:hint="eastAsia" w:ascii="Times New Roman" w:hAnsi="Times New Roman" w:eastAsia="宋体" w:cs="Times New Roman"/>
                <w:color w:val="000000" w:themeColor="text1"/>
                <w:lang w:val="en-US" w:eastAsia="zh-CN" w:bidi="he-IL"/>
                <w14:textFill>
                  <w14:solidFill>
                    <w14:schemeClr w14:val="tx1"/>
                  </w14:solidFill>
                </w14:textFill>
              </w:rPr>
              <w:t>：1套，液压式，过滤面积35m</w:t>
            </w:r>
            <w:r>
              <w:rPr>
                <w:rFonts w:hint="eastAsia" w:ascii="Times New Roman" w:hAnsi="Times New Roman" w:eastAsia="宋体" w:cs="Times New Roman"/>
                <w:color w:val="000000" w:themeColor="text1"/>
                <w:vertAlign w:val="superscript"/>
                <w:lang w:val="en-US" w:eastAsia="zh-CN" w:bidi="he-IL"/>
                <w14:textFill>
                  <w14:solidFill>
                    <w14:schemeClr w14:val="tx1"/>
                  </w14:solidFill>
                </w14:textFill>
              </w:rPr>
              <w:t>2</w:t>
            </w:r>
            <w:r>
              <w:rPr>
                <w:rFonts w:hint="eastAsia" w:ascii="Times New Roman" w:hAnsi="Times New Roman" w:eastAsia="宋体" w:cs="Times New Roman"/>
                <w:color w:val="000000" w:themeColor="text1"/>
                <w:vertAlign w:val="baseline"/>
                <w:lang w:val="en-US" w:eastAsia="zh-CN" w:bidi="he-IL"/>
                <w14:textFill>
                  <w14:solidFill>
                    <w14:schemeClr w14:val="tx1"/>
                  </w14:solidFill>
                </w14:textFill>
              </w:rPr>
              <w:t>，</w:t>
            </w:r>
            <w:r>
              <w:rPr>
                <w:rFonts w:hint="eastAsia" w:ascii="Times New Roman" w:hAnsi="Times New Roman" w:eastAsia="宋体" w:cs="Times New Roman"/>
                <w:color w:val="000000" w:themeColor="text1"/>
                <w:lang w:val="en-US" w:eastAsia="zh-CN" w:bidi="he-IL"/>
                <w14:textFill>
                  <w14:solidFill>
                    <w14:schemeClr w14:val="tx1"/>
                  </w14:solidFill>
                </w14:textFill>
              </w:rPr>
              <w:t>配套QBY-80隔膜泵1台；</w:t>
            </w:r>
          </w:p>
          <w:p w14:paraId="2F47CB08">
            <w:pPr>
              <w:pStyle w:val="67"/>
              <w:rPr>
                <w:rFonts w:hint="eastAsia" w:ascii="Times New Roman" w:hAnsi="Times New Roman" w:eastAsia="宋体" w:cs="Times New Roman"/>
                <w:color w:val="000000" w:themeColor="text1"/>
                <w:lang w:val="en-US" w:eastAsia="zh-CN" w:bidi="he-IL"/>
                <w14:textFill>
                  <w14:solidFill>
                    <w14:schemeClr w14:val="tx1"/>
                  </w14:solidFill>
                </w14:textFill>
              </w:rPr>
            </w:pPr>
            <w:bookmarkStart w:id="37" w:name="_Toc495090161"/>
            <w:r>
              <w:rPr>
                <w:rFonts w:hint="eastAsia" w:ascii="Times New Roman" w:hAnsi="Times New Roman" w:eastAsia="宋体" w:cs="Times New Roman"/>
                <w:color w:val="000000" w:themeColor="text1"/>
                <w:lang w:val="en-US" w:eastAsia="zh-CN" w:bidi="he-IL"/>
                <w14:textFill>
                  <w14:solidFill>
                    <w14:schemeClr w14:val="tx1"/>
                  </w14:solidFill>
                </w14:textFill>
              </w:rPr>
              <w:t>⑥标准排放口</w:t>
            </w:r>
            <w:bookmarkEnd w:id="37"/>
            <w:r>
              <w:rPr>
                <w:rFonts w:hint="eastAsia" w:cs="Times New Roman"/>
                <w:color w:val="000000" w:themeColor="text1"/>
                <w:highlight w:val="none"/>
                <w:lang w:val="en-US" w:eastAsia="zh-CN" w:bidi="he-IL"/>
                <w14:textFill>
                  <w14:solidFill>
                    <w14:schemeClr w14:val="tx1"/>
                  </w14:solidFill>
                </w14:textFill>
              </w:rPr>
              <w:t>（现有）</w:t>
            </w:r>
            <w:r>
              <w:rPr>
                <w:rFonts w:hint="eastAsia" w:ascii="Times New Roman" w:hAnsi="Times New Roman" w:eastAsia="宋体" w:cs="Times New Roman"/>
                <w:color w:val="000000" w:themeColor="text1"/>
                <w:lang w:val="en-US" w:eastAsia="zh-CN" w:bidi="he-IL"/>
                <w14:textFill>
                  <w14:solidFill>
                    <w14:schemeClr w14:val="tx1"/>
                  </w14:solidFill>
                </w14:textFill>
              </w:rPr>
              <w:t>：1座，尺寸B×L×H=0.5×1.5×0.5m，钢构；</w:t>
            </w:r>
          </w:p>
          <w:p w14:paraId="3331D208">
            <w:pPr>
              <w:pStyle w:val="67"/>
              <w:rPr>
                <w:rFonts w:hint="eastAsia" w:ascii="Times New Roman" w:hAnsi="Times New Roman" w:eastAsia="宋体" w:cs="Times New Roman"/>
                <w:color w:val="000000" w:themeColor="text1"/>
                <w:highlight w:val="none"/>
                <w:lang w:val="en-US" w:eastAsia="zh-CN" w:bidi="he-IL"/>
                <w14:textFill>
                  <w14:solidFill>
                    <w14:schemeClr w14:val="tx1"/>
                  </w14:solidFill>
                </w14:textFill>
              </w:rPr>
            </w:pPr>
            <w:bookmarkStart w:id="38" w:name="_Toc495090162"/>
            <w:r>
              <w:rPr>
                <w:rFonts w:hint="eastAsia" w:cs="Times New Roman"/>
                <w:color w:val="000000" w:themeColor="text1"/>
                <w:lang w:val="en-US" w:eastAsia="zh-CN" w:bidi="he-IL"/>
                <w14:textFill>
                  <w14:solidFill>
                    <w14:schemeClr w14:val="tx1"/>
                  </w14:solidFill>
                </w14:textFill>
              </w:rPr>
              <w:t>⑦</w:t>
            </w:r>
            <w:r>
              <w:rPr>
                <w:rFonts w:hint="eastAsia" w:ascii="Times New Roman" w:hAnsi="Times New Roman" w:eastAsia="宋体" w:cs="Times New Roman"/>
                <w:color w:val="000000" w:themeColor="text1"/>
                <w:highlight w:val="none"/>
                <w:lang w:val="en-US" w:eastAsia="zh-CN" w:bidi="he-IL"/>
                <w14:textFill>
                  <w14:solidFill>
                    <w14:schemeClr w14:val="tx1"/>
                  </w14:solidFill>
                </w14:textFill>
              </w:rPr>
              <w:t>贮泥池</w:t>
            </w:r>
            <w:bookmarkEnd w:id="38"/>
            <w:r>
              <w:rPr>
                <w:rFonts w:hint="eastAsia" w:cs="Times New Roman"/>
                <w:color w:val="000000" w:themeColor="text1"/>
                <w:highlight w:val="none"/>
                <w:lang w:val="en-US" w:eastAsia="zh-CN" w:bidi="he-IL"/>
                <w14:textFill>
                  <w14:solidFill>
                    <w14:schemeClr w14:val="tx1"/>
                  </w14:solidFill>
                </w14:textFill>
              </w:rPr>
              <w:t>（现有）</w:t>
            </w:r>
            <w:r>
              <w:rPr>
                <w:rFonts w:hint="eastAsia" w:ascii="Times New Roman" w:hAnsi="Times New Roman" w:eastAsia="宋体" w:cs="Times New Roman"/>
                <w:color w:val="000000" w:themeColor="text1"/>
                <w:highlight w:val="none"/>
                <w:lang w:val="en-US" w:eastAsia="zh-CN" w:bidi="he-IL"/>
                <w14:textFill>
                  <w14:solidFill>
                    <w14:schemeClr w14:val="tx1"/>
                  </w14:solidFill>
                </w14:textFill>
              </w:rPr>
              <w:t>：1座，10m</w:t>
            </w:r>
            <w:r>
              <w:rPr>
                <w:rFonts w:hint="eastAsia" w:ascii="Times New Roman" w:hAnsi="Times New Roman" w:eastAsia="宋体" w:cs="Times New Roman"/>
                <w:color w:val="000000" w:themeColor="text1"/>
                <w:highlight w:val="none"/>
                <w:vertAlign w:val="superscript"/>
                <w:lang w:val="en-US" w:eastAsia="zh-CN" w:bidi="he-IL"/>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bidi="he-IL"/>
                <w14:textFill>
                  <w14:solidFill>
                    <w14:schemeClr w14:val="tx1"/>
                  </w14:solidFill>
                </w14:textFill>
              </w:rPr>
              <w:t>。</w:t>
            </w:r>
          </w:p>
          <w:p w14:paraId="15B393BE">
            <w:pPr>
              <w:pStyle w:val="67"/>
              <w:rPr>
                <w:rFonts w:hint="default" w:eastAsia="宋体" w:cs="Times New Roman"/>
                <w:b/>
                <w:bCs/>
                <w:color w:val="000000" w:themeColor="text1"/>
                <w:lang w:val="en-US" w:eastAsia="zh-CN" w:bidi="he-IL"/>
                <w14:textFill>
                  <w14:solidFill>
                    <w14:schemeClr w14:val="tx1"/>
                  </w14:solidFill>
                </w14:textFill>
              </w:rPr>
            </w:pPr>
            <w:r>
              <w:rPr>
                <w:rFonts w:hint="eastAsia" w:cs="Times New Roman"/>
                <w:b/>
                <w:bCs/>
                <w:color w:val="000000" w:themeColor="text1"/>
                <w:lang w:val="en-US" w:eastAsia="zh-CN" w:bidi="he-IL"/>
                <w14:textFill>
                  <w14:solidFill>
                    <w14:schemeClr w14:val="tx1"/>
                  </w14:solidFill>
                </w14:textFill>
              </w:rPr>
              <w:t>2）生产废水依托可行性分析：</w:t>
            </w:r>
          </w:p>
          <w:p w14:paraId="0F7785E6">
            <w:pPr>
              <w:pStyle w:val="67"/>
              <w:rPr>
                <w:rFonts w:hint="eastAsia" w:eastAsia="宋体" w:cs="Times New Roman"/>
                <w:color w:val="000000" w:themeColor="text1"/>
                <w:lang w:val="en-US" w:eastAsia="zh-CN" w:bidi="he-IL"/>
                <w14:textFill>
                  <w14:solidFill>
                    <w14:schemeClr w14:val="tx1"/>
                  </w14:solidFill>
                </w14:textFill>
              </w:rPr>
            </w:pPr>
            <w:r>
              <w:rPr>
                <w:rFonts w:hint="eastAsia" w:cs="Times New Roman"/>
                <w:color w:val="000000" w:themeColor="text1"/>
                <w:lang w:val="en-US" w:eastAsia="zh-CN" w:bidi="he-IL"/>
                <w14:textFill>
                  <w14:solidFill>
                    <w14:schemeClr w14:val="tx1"/>
                  </w14:solidFill>
                </w14:textFill>
              </w:rPr>
              <w:t>①</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水量负荷</w:t>
            </w:r>
          </w:p>
          <w:p w14:paraId="2DB33301">
            <w:pPr>
              <w:pStyle w:val="67"/>
              <w:rPr>
                <w:rFonts w:hint="default" w:eastAsia="宋体" w:cs="Times New Roman"/>
                <w:color w:val="000000" w:themeColor="text1"/>
                <w:lang w:eastAsia="zh-CN" w:bidi="he-IL"/>
                <w14:textFill>
                  <w14:solidFill>
                    <w14:schemeClr w14:val="tx1"/>
                  </w14:solidFill>
                </w14:textFill>
              </w:rPr>
            </w:pPr>
            <w:r>
              <w:rPr>
                <w:rFonts w:hint="eastAsia" w:cs="Times New Roman"/>
                <w:color w:val="000000" w:themeColor="text1"/>
                <w:lang w:val="en-US" w:eastAsia="zh-CN" w:bidi="he-IL"/>
                <w14:textFill>
                  <w14:solidFill>
                    <w14:schemeClr w14:val="tx1"/>
                  </w14:solidFill>
                </w14:textFill>
              </w:rPr>
              <w:t>根据调查，目前</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福州术立新能源科技有限公司现有工程、</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福州朗贤术立新能源科技有限公司</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生产废水均排入</w:t>
            </w:r>
            <w:r>
              <w:rPr>
                <w:rFonts w:hint="eastAsia" w:cs="Times New Roman"/>
                <w:color w:val="000000" w:themeColor="text1"/>
                <w:spacing w:val="0"/>
                <w:kern w:val="2"/>
                <w:position w:val="0"/>
                <w:sz w:val="24"/>
                <w:szCs w:val="24"/>
                <w:lang w:val="en-US" w:eastAsia="zh-CN" w:bidi="ar-SA"/>
                <w14:textFill>
                  <w14:solidFill>
                    <w14:schemeClr w14:val="tx1"/>
                  </w14:solidFill>
                </w14:textFill>
              </w:rPr>
              <w:t>术立</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废水处理设施处理，该套设施</w:t>
            </w:r>
            <w:r>
              <w:rPr>
                <w:rFonts w:hint="eastAsia" w:cs="Times New Roman"/>
                <w:color w:val="000000" w:themeColor="text1"/>
                <w:spacing w:val="0"/>
                <w:kern w:val="2"/>
                <w:position w:val="0"/>
                <w:sz w:val="24"/>
                <w:szCs w:val="24"/>
                <w:lang w:val="en-US" w:eastAsia="zh-CN" w:bidi="ar-SA"/>
                <w14:textFill>
                  <w14:solidFill>
                    <w14:schemeClr w14:val="tx1"/>
                  </w14:solidFill>
                </w14:textFill>
              </w:rPr>
              <w:t>改造后</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设计处理能力</w:t>
            </w:r>
            <w:r>
              <w:rPr>
                <w:rFonts w:hint="eastAsia" w:cs="Times New Roman"/>
                <w:color w:val="000000" w:themeColor="text1"/>
                <w:spacing w:val="0"/>
                <w:kern w:val="2"/>
                <w:position w:val="0"/>
                <w:sz w:val="24"/>
                <w:szCs w:val="24"/>
                <w:lang w:val="en-US" w:eastAsia="zh-CN" w:bidi="ar-SA"/>
                <w14:textFill>
                  <w14:solidFill>
                    <w14:schemeClr w14:val="tx1"/>
                  </w14:solidFill>
                </w14:textFill>
              </w:rPr>
              <w:t>增加至14t</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w:t>
            </w:r>
            <w:r>
              <w:rPr>
                <w:rFonts w:hint="eastAsia" w:cs="Times New Roman"/>
                <w:color w:val="000000" w:themeColor="text1"/>
                <w:spacing w:val="0"/>
                <w:kern w:val="2"/>
                <w:position w:val="0"/>
                <w:sz w:val="24"/>
                <w:szCs w:val="24"/>
                <w:lang w:val="en-US" w:eastAsia="zh-CN" w:bidi="ar-SA"/>
                <w14:textFill>
                  <w14:solidFill>
                    <w14:schemeClr w14:val="tx1"/>
                  </w14:solidFill>
                </w14:textFill>
              </w:rPr>
              <w:t>h</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根据该公司的环评报告及实际生产情况，福州朗贤术立新能源科技有限公司</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平均日排水量约28.55t/d，本项目改扩建后全厂日均排水量</w:t>
            </w:r>
            <w:r>
              <w:rPr>
                <w:rFonts w:hint="eastAsia" w:cs="Times New Roman"/>
                <w:color w:val="000000" w:themeColor="text1"/>
                <w:spacing w:val="0"/>
                <w:position w:val="0"/>
                <w:sz w:val="24"/>
                <w:szCs w:val="24"/>
                <w:highlight w:val="none"/>
                <w:lang w:val="en-US" w:eastAsia="zh-CN"/>
                <w14:textFill>
                  <w14:solidFill>
                    <w14:schemeClr w14:val="tx1"/>
                  </w14:solidFill>
                </w14:textFill>
              </w:rPr>
              <w:t>34.67</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t/d（含现有工程），合计排水量</w:t>
            </w:r>
            <w:r>
              <w:rPr>
                <w:rFonts w:hint="eastAsia" w:cs="Times New Roman"/>
                <w:color w:val="000000" w:themeColor="text1"/>
                <w:spacing w:val="0"/>
                <w:position w:val="0"/>
                <w:sz w:val="24"/>
                <w:szCs w:val="24"/>
                <w:highlight w:val="none"/>
                <w:lang w:val="en-US" w:eastAsia="zh-CN"/>
                <w14:textFill>
                  <w14:solidFill>
                    <w14:schemeClr w14:val="tx1"/>
                  </w14:solidFill>
                </w14:textFill>
              </w:rPr>
              <w:t>63.22</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t/d</w:t>
            </w:r>
            <w:r>
              <w:rPr>
                <w:rFonts w:cs="Times New Roman"/>
                <w:color w:val="000000" w:themeColor="text1"/>
                <w:szCs w:val="24"/>
                <w:lang w:bidi="he-IL"/>
                <w14:textFill>
                  <w14:solidFill>
                    <w14:schemeClr w14:val="tx1"/>
                  </w14:solidFill>
                </w14:textFill>
              </w:rPr>
              <w:t>，</w:t>
            </w:r>
            <w:r>
              <w:rPr>
                <w:rFonts w:hint="eastAsia" w:cs="Times New Roman"/>
                <w:color w:val="000000" w:themeColor="text1"/>
                <w:szCs w:val="24"/>
                <w:lang w:val="en-US" w:eastAsia="zh-CN" w:bidi="he-IL"/>
                <w14:textFill>
                  <w14:solidFill>
                    <w14:schemeClr w14:val="tx1"/>
                  </w14:solidFill>
                </w14:textFill>
              </w:rPr>
              <w:t>污水站运行5小时即可处理完全，</w:t>
            </w:r>
            <w:r>
              <w:rPr>
                <w:rFonts w:hint="eastAsia" w:cs="Times New Roman"/>
                <w:color w:val="000000" w:themeColor="text1"/>
                <w:szCs w:val="24"/>
                <w:lang w:bidi="he-IL"/>
                <w14:textFill>
                  <w14:solidFill>
                    <w14:schemeClr w14:val="tx1"/>
                  </w14:solidFill>
                </w14:textFill>
              </w:rPr>
              <w:t>可见</w:t>
            </w:r>
            <w:r>
              <w:rPr>
                <w:rFonts w:hint="eastAsia" w:cs="Times New Roman"/>
                <w:color w:val="000000" w:themeColor="text1"/>
                <w:szCs w:val="24"/>
                <w:lang w:val="en-US" w:eastAsia="zh-CN" w:bidi="he-IL"/>
                <w14:textFill>
                  <w14:solidFill>
                    <w14:schemeClr w14:val="tx1"/>
                  </w14:solidFill>
                </w14:textFill>
              </w:rPr>
              <w:t>改造后</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废水处理设施</w:t>
            </w:r>
            <w:r>
              <w:rPr>
                <w:rFonts w:hint="eastAsia" w:cs="Times New Roman"/>
                <w:color w:val="000000" w:themeColor="text1"/>
                <w:szCs w:val="24"/>
                <w:lang w:bidi="he-IL"/>
                <w14:textFill>
                  <w14:solidFill>
                    <w14:schemeClr w14:val="tx1"/>
                  </w14:solidFill>
                </w14:textFill>
              </w:rPr>
              <w:t>设计处理能力</w:t>
            </w:r>
            <w:r>
              <w:rPr>
                <w:rFonts w:cs="Times New Roman"/>
                <w:color w:val="000000" w:themeColor="text1"/>
                <w:szCs w:val="24"/>
                <w:lang w:bidi="he-IL"/>
                <w14:textFill>
                  <w14:solidFill>
                    <w14:schemeClr w14:val="tx1"/>
                  </w14:solidFill>
                </w14:textFill>
              </w:rPr>
              <w:t>可满足</w:t>
            </w:r>
            <w:r>
              <w:rPr>
                <w:rFonts w:hint="eastAsia" w:cs="Times New Roman"/>
                <w:color w:val="000000" w:themeColor="text1"/>
                <w:szCs w:val="24"/>
                <w:lang w:val="en-US" w:eastAsia="zh-CN" w:bidi="he-IL"/>
                <w14:textFill>
                  <w14:solidFill>
                    <w14:schemeClr w14:val="tx1"/>
                  </w14:solidFill>
                </w14:textFill>
              </w:rPr>
              <w:t>两家企业</w:t>
            </w:r>
            <w:r>
              <w:rPr>
                <w:rFonts w:cs="Times New Roman"/>
                <w:color w:val="000000" w:themeColor="text1"/>
                <w:szCs w:val="24"/>
                <w:lang w:bidi="he-IL"/>
                <w14:textFill>
                  <w14:solidFill>
                    <w14:schemeClr w14:val="tx1"/>
                  </w14:solidFill>
                </w14:textFill>
              </w:rPr>
              <w:t>废水处理要求</w:t>
            </w:r>
            <w:r>
              <w:rPr>
                <w:rFonts w:hint="eastAsia" w:cs="Times New Roman"/>
                <w:color w:val="000000" w:themeColor="text1"/>
                <w:szCs w:val="24"/>
                <w:lang w:eastAsia="zh-CN" w:bidi="he-IL"/>
                <w14:textFill>
                  <w14:solidFill>
                    <w14:schemeClr w14:val="tx1"/>
                  </w14:solidFill>
                </w14:textFill>
              </w:rPr>
              <w:t>，</w:t>
            </w:r>
            <w:r>
              <w:rPr>
                <w:rFonts w:hint="default" w:ascii="Times New Roman" w:hAnsi="Times New Roman" w:eastAsia="宋体" w:cs="Times New Roman"/>
                <w:b w:val="0"/>
                <w:bCs w:val="0"/>
                <w:i w:val="0"/>
                <w:iCs w:val="0"/>
                <w:color w:val="000000" w:themeColor="text1"/>
                <w:kern w:val="0"/>
                <w:sz w:val="24"/>
                <w:szCs w:val="24"/>
                <w:highlight w:val="none"/>
                <w:lang w:val="en-US" w:eastAsia="zh-CN" w:bidi="ar"/>
                <w14:textFill>
                  <w14:solidFill>
                    <w14:schemeClr w14:val="tx1"/>
                  </w14:solidFill>
                </w14:textFill>
              </w:rPr>
              <w:t>且</w:t>
            </w:r>
            <w:r>
              <w:rPr>
                <w:rFonts w:hint="eastAsia" w:ascii="Times New Roman" w:hAnsi="Times New Roman" w:eastAsia="宋体" w:cs="Times New Roman"/>
                <w:b w:val="0"/>
                <w:bCs w:val="0"/>
                <w:i w:val="0"/>
                <w:iCs w:val="0"/>
                <w:color w:val="000000" w:themeColor="text1"/>
                <w:kern w:val="0"/>
                <w:sz w:val="24"/>
                <w:szCs w:val="24"/>
                <w:highlight w:val="none"/>
                <w:lang w:val="en-US" w:eastAsia="zh-CN" w:bidi="ar"/>
                <w14:textFill>
                  <w14:solidFill>
                    <w14:schemeClr w14:val="tx1"/>
                  </w14:solidFill>
                </w14:textFill>
              </w:rPr>
              <w:t>留有一定余量</w:t>
            </w:r>
            <w:r>
              <w:rPr>
                <w:rFonts w:cs="Times New Roman"/>
                <w:color w:val="000000" w:themeColor="text1"/>
                <w:szCs w:val="24"/>
                <w:lang w:bidi="he-IL"/>
                <w14:textFill>
                  <w14:solidFill>
                    <w14:schemeClr w14:val="tx1"/>
                  </w14:solidFill>
                </w14:textFill>
              </w:rPr>
              <w:t>。</w:t>
            </w:r>
          </w:p>
          <w:p w14:paraId="11FECD14">
            <w:pPr>
              <w:pStyle w:val="67"/>
              <w:rPr>
                <w:rFonts w:hint="eastAsia" w:eastAsia="宋体" w:cs="Times New Roman"/>
                <w:color w:val="000000" w:themeColor="text1"/>
                <w:lang w:val="en-US" w:eastAsia="zh-CN" w:bidi="he-IL"/>
                <w14:textFill>
                  <w14:solidFill>
                    <w14:schemeClr w14:val="tx1"/>
                  </w14:solidFill>
                </w14:textFill>
              </w:rPr>
            </w:pPr>
            <w:r>
              <w:rPr>
                <w:rFonts w:hint="eastAsia" w:cs="Times New Roman"/>
                <w:color w:val="000000" w:themeColor="text1"/>
                <w:lang w:val="en-US" w:eastAsia="zh-CN" w:bidi="he-IL"/>
                <w14:textFill>
                  <w14:solidFill>
                    <w14:schemeClr w14:val="tx1"/>
                  </w14:solidFill>
                </w14:textFill>
              </w:rPr>
              <w:t>②</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水质负荷</w:t>
            </w:r>
          </w:p>
          <w:p w14:paraId="22411527">
            <w:pPr>
              <w:pStyle w:val="67"/>
              <w:rPr>
                <w:rFonts w:hint="default" w:cs="Times New Roman"/>
                <w:color w:val="000000" w:themeColor="text1"/>
                <w:lang w:val="en-US" w:bidi="he-IL"/>
                <w14:textFill>
                  <w14:solidFill>
                    <w14:schemeClr w14:val="tx1"/>
                  </w14:solidFill>
                </w14:textFill>
              </w:rPr>
            </w:pP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福州朗贤术立新能源科技有限公司与本项目均为汽车配件加工企业，从事汽车金属零配件的涂装加工，</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福州朗贤术立新能源科技有限公司</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生产工艺包括前处理（含脱脂、表调、磷化）、电泳、喷塑等，生产废水</w:t>
            </w:r>
            <w:r>
              <w:rPr>
                <w:rFonts w:hint="eastAsia" w:cs="Times New Roman"/>
                <w:color w:val="000000" w:themeColor="text1"/>
                <w:spacing w:val="0"/>
                <w:position w:val="0"/>
                <w:sz w:val="24"/>
                <w:szCs w:val="24"/>
                <w:highlight w:val="none"/>
                <w:lang w:val="en-US" w:eastAsia="zh-CN"/>
                <w14:textFill>
                  <w14:solidFill>
                    <w14:schemeClr w14:val="tx1"/>
                  </w14:solidFill>
                </w14:textFill>
              </w:rPr>
              <w:t>与</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本项目废水种类一致，包括脱脂清洗废水、磷化清洗废水、电泳清洗废水、水喷淋塔废水等，从废水水质上看，两家公司的生产废水水质类似，因此采用同一套废水处理设施处理可行。</w:t>
            </w:r>
          </w:p>
          <w:p w14:paraId="51109069">
            <w:pPr>
              <w:pStyle w:val="67"/>
              <w:rPr>
                <w:rFonts w:hint="eastAsia" w:cs="Times New Roman"/>
                <w:color w:val="000000" w:themeColor="text1"/>
                <w:lang w:val="en-US" w:eastAsia="zh-CN" w:bidi="he-IL"/>
                <w14:textFill>
                  <w14:solidFill>
                    <w14:schemeClr w14:val="tx1"/>
                  </w14:solidFill>
                </w14:textFill>
              </w:rPr>
            </w:pPr>
            <w:r>
              <w:rPr>
                <w:rFonts w:hint="eastAsia" w:cs="Times New Roman"/>
                <w:color w:val="000000" w:themeColor="text1"/>
                <w:lang w:val="en-US" w:eastAsia="zh-CN" w:bidi="he-IL"/>
                <w14:textFill>
                  <w14:solidFill>
                    <w14:schemeClr w14:val="tx1"/>
                  </w14:solidFill>
                </w14:textFill>
              </w:rPr>
              <w:t>③达标排放可行性分析</w:t>
            </w:r>
          </w:p>
          <w:p w14:paraId="744F9828">
            <w:pPr>
              <w:pStyle w:val="67"/>
              <w:rPr>
                <w:rFonts w:hint="eastAsia" w:cs="Times New Roman"/>
                <w:color w:val="000000" w:themeColor="text1"/>
                <w:lang w:val="en-US" w:eastAsia="zh-CN" w:bidi="he-IL"/>
                <w14:textFill>
                  <w14:solidFill>
                    <w14:schemeClr w14:val="tx1"/>
                  </w14:solidFill>
                </w14:textFill>
              </w:rPr>
            </w:pPr>
            <w:r>
              <w:rPr>
                <w:rFonts w:hint="eastAsia" w:cs="Times New Roman"/>
                <w:color w:val="000000" w:themeColor="text1"/>
                <w:lang w:val="en-US" w:eastAsia="zh-CN" w:bidi="he-IL"/>
                <w14:textFill>
                  <w14:solidFill>
                    <w14:schemeClr w14:val="tx1"/>
                  </w14:solidFill>
                </w14:textFill>
              </w:rPr>
              <w:t>本次污水设施改造后工艺不变，增加一套成套污水处理设施</w:t>
            </w:r>
            <w:r>
              <w:rPr>
                <w:rFonts w:hint="eastAsia" w:ascii="Times New Roman" w:hAnsi="Times New Roman" w:cs="Times New Roman"/>
                <w:color w:val="000000" w:themeColor="text1"/>
                <w:lang w:val="en-US" w:eastAsia="zh-CN" w:bidi="he-IL"/>
                <w14:textFill>
                  <w14:solidFill>
                    <w14:schemeClr w14:val="tx1"/>
                  </w14:solidFill>
                </w14:textFill>
              </w:rPr>
              <w:t>与现有并联运行</w:t>
            </w:r>
            <w:r>
              <w:rPr>
                <w:rFonts w:hint="eastAsia" w:cs="Times New Roman"/>
                <w:color w:val="000000" w:themeColor="text1"/>
                <w:lang w:val="en-US" w:eastAsia="zh-CN" w:bidi="he-IL"/>
                <w14:textFill>
                  <w14:solidFill>
                    <w14:schemeClr w14:val="tx1"/>
                  </w14:solidFill>
                </w14:textFill>
              </w:rPr>
              <w:t>，改造后处理能力增加，处理效果和现有设施一致。根据《福州术立智能科技有限公司年产10万套汽车金属零配件涂装生产线项目竣工环境保护验收监测报告》，术立公司污水处理站进、出口监测数据如上表</w:t>
            </w:r>
            <w:r>
              <w:rPr>
                <w:rFonts w:hint="eastAsia" w:cs="Times New Roman"/>
                <w:color w:val="000000" w:themeColor="text1"/>
                <w:kern w:val="2"/>
                <w:sz w:val="24"/>
                <w:szCs w:val="24"/>
                <w:lang w:val="en-US" w:eastAsia="zh-CN" w:bidi="ar-SA"/>
                <w14:textFill>
                  <w14:solidFill>
                    <w14:schemeClr w14:val="tx1"/>
                  </w14:solidFill>
                </w14:textFill>
              </w:rPr>
              <w:t>4.3-2</w:t>
            </w:r>
            <w:r>
              <w:rPr>
                <w:rFonts w:hint="eastAsia" w:cs="Times New Roman"/>
                <w:color w:val="000000" w:themeColor="text1"/>
                <w:lang w:val="en-US" w:eastAsia="zh-CN" w:bidi="he-IL"/>
                <w14:textFill>
                  <w14:solidFill>
                    <w14:schemeClr w14:val="tx1"/>
                  </w14:solidFill>
                </w14:textFill>
              </w:rPr>
              <w:t>所示。</w:t>
            </w:r>
          </w:p>
          <w:p w14:paraId="163E86A9">
            <w:pPr>
              <w:pStyle w:val="67"/>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s="Times New Roman"/>
                <w:color w:val="000000" w:themeColor="text1"/>
                <w:lang w:bidi="he-IL"/>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根据表</w:t>
            </w:r>
            <w:r>
              <w:rPr>
                <w:rFonts w:hint="eastAsia" w:ascii="Times New Roman" w:hAnsi="Times New Roman" w:cs="Times New Roman"/>
                <w:color w:val="000000" w:themeColor="text1"/>
                <w:sz w:val="24"/>
                <w:szCs w:val="24"/>
                <w:lang w:val="en-US" w:eastAsia="zh-CN"/>
                <w14:textFill>
                  <w14:solidFill>
                    <w14:schemeClr w14:val="tx1"/>
                  </w14:solidFill>
                </w14:textFill>
              </w:rPr>
              <w:t>4.3-</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可知，</w:t>
            </w:r>
            <w:r>
              <w:rPr>
                <w:rFonts w:hint="eastAsia" w:cs="Times New Roman"/>
                <w:color w:val="000000" w:themeColor="text1"/>
                <w:lang w:val="en-US" w:eastAsia="zh-CN" w:bidi="he-IL"/>
                <w14:textFill>
                  <w14:solidFill>
                    <w14:schemeClr w14:val="tx1"/>
                  </w14:solidFill>
                </w14:textFill>
              </w:rPr>
              <w:t>现有工程废水处理设施对COD、BOD、SS、磷酸盐和总锌的去除效率均达到了90%以上，</w:t>
            </w:r>
            <w:r>
              <w:rPr>
                <w:rFonts w:hint="eastAsia" w:cs="Times New Roman"/>
                <w:color w:val="000000" w:themeColor="text1"/>
                <w:sz w:val="24"/>
                <w:szCs w:val="24"/>
                <w:lang w:val="en-US" w:eastAsia="zh-CN"/>
                <w14:textFill>
                  <w14:solidFill>
                    <w14:schemeClr w14:val="tx1"/>
                  </w14:solidFill>
                </w14:textFill>
              </w:rPr>
              <w:t>可满足项目废水处理要求，出水可达到</w:t>
            </w:r>
            <w:r>
              <w:rPr>
                <w:rFonts w:hint="default" w:ascii="Times New Roman" w:hAnsi="Times New Roman" w:cs="Times New Roman"/>
                <w:color w:val="000000" w:themeColor="text1"/>
                <w:sz w:val="24"/>
                <w:szCs w:val="24"/>
                <w14:textFill>
                  <w14:solidFill>
                    <w14:schemeClr w14:val="tx1"/>
                  </w14:solidFill>
                </w14:textFill>
              </w:rPr>
              <w:t>《污水综合排放标准》（GB8978-1996）三级标准</w:t>
            </w:r>
            <w:r>
              <w:rPr>
                <w:color w:val="000000" w:themeColor="text1"/>
                <w14:textFill>
                  <w14:solidFill>
                    <w14:schemeClr w14:val="tx1"/>
                  </w14:solidFill>
                </w14:textFill>
              </w:rPr>
              <w:t>及《污水排入城镇下水道水质标准》(GB/T 31962-2015)表1中B级标准限值</w:t>
            </w:r>
            <w:r>
              <w:rPr>
                <w:rFonts w:hint="eastAsia" w:cs="Times New Roman"/>
                <w:color w:val="000000" w:themeColor="text1"/>
                <w:lang w:bidi="he-IL"/>
                <w14:textFill>
                  <w14:solidFill>
                    <w14:schemeClr w14:val="tx1"/>
                  </w14:solidFill>
                </w14:textFill>
              </w:rPr>
              <w:t>，并满足</w:t>
            </w:r>
            <w:r>
              <w:rPr>
                <w:rFonts w:hint="eastAsia" w:cs="Times New Roman"/>
                <w:color w:val="000000" w:themeColor="text1"/>
                <w:lang w:val="en-US" w:eastAsia="zh-CN" w:bidi="he-IL"/>
                <w14:textFill>
                  <w14:solidFill>
                    <w14:schemeClr w14:val="tx1"/>
                  </w14:solidFill>
                </w14:textFill>
              </w:rPr>
              <w:t>青口新区</w:t>
            </w:r>
            <w:r>
              <w:rPr>
                <w:rFonts w:hint="eastAsia" w:cs="Times New Roman"/>
                <w:color w:val="000000" w:themeColor="text1"/>
                <w:lang w:bidi="he-IL"/>
                <w14:textFill>
                  <w14:solidFill>
                    <w14:schemeClr w14:val="tx1"/>
                  </w14:solidFill>
                </w14:textFill>
              </w:rPr>
              <w:t>污水处理厂进水要求</w:t>
            </w:r>
            <w:r>
              <w:rPr>
                <w:rFonts w:hint="default" w:ascii="Times New Roman" w:hAnsi="Times New Roman" w:cs="Times New Roman"/>
                <w:color w:val="000000" w:themeColor="text1"/>
                <w:sz w:val="24"/>
                <w:szCs w:val="24"/>
                <w14:textFill>
                  <w14:solidFill>
                    <w14:schemeClr w14:val="tx1"/>
                  </w14:solidFill>
                </w14:textFill>
              </w:rPr>
              <w:t>。</w:t>
            </w:r>
          </w:p>
          <w:p w14:paraId="67C9B1F1">
            <w:pPr>
              <w:pStyle w:val="67"/>
              <w:rPr>
                <w:rFonts w:hint="default" w:eastAsia="宋体" w:cs="Times New Roman"/>
                <w:color w:val="000000" w:themeColor="text1"/>
                <w:lang w:val="en-US" w:eastAsia="zh-CN" w:bidi="he-IL"/>
                <w14:textFill>
                  <w14:solidFill>
                    <w14:schemeClr w14:val="tx1"/>
                  </w14:solidFill>
                </w14:textFill>
              </w:rPr>
            </w:pPr>
            <w:r>
              <w:rPr>
                <w:rFonts w:hint="eastAsia" w:cs="Times New Roman"/>
                <w:color w:val="000000" w:themeColor="text1"/>
                <w:lang w:val="en-US" w:eastAsia="zh-CN" w:bidi="he-IL"/>
                <w14:textFill>
                  <w14:solidFill>
                    <w14:schemeClr w14:val="tx1"/>
                  </w14:solidFill>
                </w14:textFill>
              </w:rPr>
              <w:t>另外，评价收集了</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福州术立新能源科技有限公司近几年自行监测数据，部分自行监测报告见附件</w:t>
            </w:r>
            <w:r>
              <w:rPr>
                <w:rFonts w:hint="eastAsia" w:cs="Times New Roman"/>
                <w:color w:val="000000" w:themeColor="text1"/>
                <w:spacing w:val="0"/>
                <w:kern w:val="2"/>
                <w:position w:val="0"/>
                <w:sz w:val="24"/>
                <w:szCs w:val="24"/>
                <w:lang w:val="en-US" w:eastAsia="zh-CN" w:bidi="ar-SA"/>
                <w14:textFill>
                  <w14:solidFill>
                    <w14:schemeClr w14:val="tx1"/>
                  </w14:solidFill>
                </w14:textFill>
              </w:rPr>
              <w:t>九</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，监测数据见</w:t>
            </w:r>
            <w:r>
              <w:rPr>
                <w:rFonts w:hint="eastAsia" w:cs="Times New Roman"/>
                <w:color w:val="000000" w:themeColor="text1"/>
                <w:spacing w:val="0"/>
                <w:kern w:val="2"/>
                <w:position w:val="0"/>
                <w:sz w:val="24"/>
                <w:szCs w:val="24"/>
                <w:lang w:val="en-US" w:eastAsia="zh-CN" w:bidi="ar-SA"/>
                <w14:textFill>
                  <w14:solidFill>
                    <w14:schemeClr w14:val="tx1"/>
                  </w14:solidFill>
                </w14:textFill>
              </w:rPr>
              <w:t>上</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表</w:t>
            </w:r>
            <w:r>
              <w:rPr>
                <w:rFonts w:hint="eastAsia" w:cs="Times New Roman"/>
                <w:color w:val="000000" w:themeColor="text1"/>
                <w:spacing w:val="0"/>
                <w:kern w:val="2"/>
                <w:position w:val="0"/>
                <w:sz w:val="24"/>
                <w:szCs w:val="24"/>
                <w:lang w:val="en-US" w:eastAsia="zh-CN" w:bidi="ar-SA"/>
                <w14:textFill>
                  <w14:solidFill>
                    <w14:schemeClr w14:val="tx1"/>
                  </w14:solidFill>
                </w14:textFill>
              </w:rPr>
              <w:t>2.5-1</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w:t>
            </w:r>
            <w:r>
              <w:rPr>
                <w:rFonts w:hint="eastAsia" w:cs="Times New Roman"/>
                <w:color w:val="000000" w:themeColor="text1"/>
                <w:lang w:val="en-US" w:eastAsia="zh-CN" w:bidi="he-IL"/>
                <w14:textFill>
                  <w14:solidFill>
                    <w14:schemeClr w14:val="tx1"/>
                  </w14:solidFill>
                </w14:textFill>
              </w:rPr>
              <w:t>根据上表</w:t>
            </w:r>
            <w:r>
              <w:rPr>
                <w:rFonts w:hint="eastAsia" w:cs="Times New Roman"/>
                <w:color w:val="000000" w:themeColor="text1"/>
                <w:spacing w:val="0"/>
                <w:kern w:val="2"/>
                <w:position w:val="0"/>
                <w:sz w:val="24"/>
                <w:szCs w:val="24"/>
                <w:lang w:val="en-US" w:eastAsia="zh-CN" w:bidi="ar-SA"/>
                <w14:textFill>
                  <w14:solidFill>
                    <w14:schemeClr w14:val="tx1"/>
                  </w14:solidFill>
                </w14:textFill>
              </w:rPr>
              <w:t>2.5-1</w:t>
            </w:r>
            <w:r>
              <w:rPr>
                <w:rFonts w:hint="eastAsia" w:cs="Times New Roman"/>
                <w:color w:val="000000" w:themeColor="text1"/>
                <w:lang w:val="en-US" w:eastAsia="zh-CN" w:bidi="he-IL"/>
                <w14:textFill>
                  <w14:solidFill>
                    <w14:schemeClr w14:val="tx1"/>
                  </w14:solidFill>
                </w14:textFill>
              </w:rPr>
              <w:t>可知，近年来</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福州术立新能源科技有限公司废水处理设施运行良好，可做到稳定达标排放，</w:t>
            </w:r>
            <w:r>
              <w:rPr>
                <w:rFonts w:hint="eastAsia" w:cs="Times New Roman"/>
                <w:color w:val="000000" w:themeColor="text1"/>
                <w:sz w:val="24"/>
                <w:szCs w:val="24"/>
                <w:lang w:val="en-US" w:eastAsia="zh-CN"/>
                <w14:textFill>
                  <w14:solidFill>
                    <w14:schemeClr w14:val="tx1"/>
                  </w14:solidFill>
                </w14:textFill>
              </w:rPr>
              <w:t>改造后</w:t>
            </w:r>
            <w:r>
              <w:rPr>
                <w:rFonts w:hint="eastAsia" w:cs="Times New Roman"/>
                <w:color w:val="000000" w:themeColor="text1"/>
                <w:lang w:val="en-US" w:eastAsia="zh-CN" w:bidi="he-IL"/>
                <w14:textFill>
                  <w14:solidFill>
                    <w14:schemeClr w14:val="tx1"/>
                  </w14:solidFill>
                </w14:textFill>
              </w:rPr>
              <w:t>污水设施工艺不变，增加一套成套污水处理设施</w:t>
            </w:r>
            <w:r>
              <w:rPr>
                <w:rFonts w:hint="eastAsia" w:ascii="Times New Roman" w:hAnsi="Times New Roman" w:cs="Times New Roman"/>
                <w:color w:val="000000" w:themeColor="text1"/>
                <w:lang w:val="en-US" w:eastAsia="zh-CN" w:bidi="he-IL"/>
                <w14:textFill>
                  <w14:solidFill>
                    <w14:schemeClr w14:val="tx1"/>
                  </w14:solidFill>
                </w14:textFill>
              </w:rPr>
              <w:t>与现有并联运行</w:t>
            </w:r>
            <w:r>
              <w:rPr>
                <w:rFonts w:hint="eastAsia" w:cs="Times New Roman"/>
                <w:color w:val="000000" w:themeColor="text1"/>
                <w:lang w:val="en-US" w:eastAsia="zh-CN" w:bidi="he-IL"/>
                <w14:textFill>
                  <w14:solidFill>
                    <w14:schemeClr w14:val="tx1"/>
                  </w14:solidFill>
                </w14:textFill>
              </w:rPr>
              <w:t>，改造后处理能力增加，处理效果和现有设施一致</w:t>
            </w:r>
            <w:r>
              <w:rPr>
                <w:rFonts w:hint="eastAsia" w:cs="Times New Roman"/>
                <w:color w:val="000000" w:themeColor="text1"/>
                <w:sz w:val="24"/>
                <w:szCs w:val="24"/>
                <w:lang w:val="en-US" w:eastAsia="zh-CN"/>
                <w14:textFill>
                  <w14:solidFill>
                    <w14:schemeClr w14:val="tx1"/>
                  </w14:solidFill>
                </w14:textFill>
              </w:rPr>
              <w:t>。改造后的污水处理设施</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从废水水质、废水处理设施处理规模和处理工艺方面均可满足本项目生产废水处理要求，因此本项目生产废水</w:t>
            </w:r>
            <w:r>
              <w:rPr>
                <w:rFonts w:hint="eastAsia" w:cs="Times New Roman"/>
                <w:color w:val="000000" w:themeColor="text1"/>
                <w:spacing w:val="0"/>
                <w:kern w:val="2"/>
                <w:position w:val="0"/>
                <w:sz w:val="24"/>
                <w:szCs w:val="24"/>
                <w:lang w:val="en-US" w:eastAsia="zh-CN" w:bidi="ar-SA"/>
                <w14:textFill>
                  <w14:solidFill>
                    <w14:schemeClr w14:val="tx1"/>
                  </w14:solidFill>
                </w14:textFill>
              </w:rPr>
              <w:t>利用改造后</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废水处理设施处理可行。</w:t>
            </w:r>
          </w:p>
          <w:p w14:paraId="3A586D10">
            <w:pPr>
              <w:adjustRightInd w:val="0"/>
              <w:snapToGrid w:val="0"/>
              <w:spacing w:line="360" w:lineRule="auto"/>
              <w:rPr>
                <w:rFonts w:hint="eastAsia" w:ascii="Times New Roman" w:hAnsi="Times New Roman" w:eastAsia="宋体" w:cs="Times New Roman"/>
                <w:b/>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b/>
                <w:color w:val="000000" w:themeColor="text1"/>
                <w:spacing w:val="0"/>
                <w:kern w:val="0"/>
                <w:position w:val="0"/>
                <w:sz w:val="24"/>
                <w:lang w:val="en-US" w:eastAsia="zh-CN"/>
                <w14:textFill>
                  <w14:solidFill>
                    <w14:schemeClr w14:val="tx1"/>
                  </w14:solidFill>
                </w14:textFill>
              </w:rPr>
              <w:t>4.3.3项目废水纳入青口新区污水处理厂可行性分析</w:t>
            </w:r>
          </w:p>
          <w:p w14:paraId="4207F21A">
            <w:pPr>
              <w:pStyle w:val="96"/>
              <w:spacing w:line="360" w:lineRule="auto"/>
              <w:ind w:firstLine="480" w:firstLineChars="20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项目生活污水经出租方化粪池预处理后，生产废水经</w:t>
            </w:r>
            <w:r>
              <w:rPr>
                <w:rFonts w:hint="eastAsia" w:cs="Times New Roman"/>
                <w:color w:val="000000" w:themeColor="text1"/>
                <w:spacing w:val="0"/>
                <w:position w:val="0"/>
                <w:sz w:val="24"/>
                <w:lang w:val="en-US" w:eastAsia="zh-CN"/>
                <w14:textFill>
                  <w14:solidFill>
                    <w14:schemeClr w14:val="tx1"/>
                  </w14:solidFill>
                </w14:textFill>
              </w:rPr>
              <w:t>自建</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废水处理设施处理达标后分别排入市政污水管网，送往福建青口海峡环保有限公司(青口新区污水处理厂)进行处理达《污水综合排放标准》(GB8978-1996)表4三级标准(其中氨氮参照执行《污水排入城镇下水道水质标准》（GB/T31962-2015)表1中B级标准限值）后尾水排入陶江。根据《建设项目环境影响报告表编制技术指南(污染影响类)(试行)》(环办环评〔2020〕33号)要求，废水间接排放的建设项目应从处理能力、处理工艺、设计进出水水质等方面，分析依托集中青口新区污水处理厂的可行性。</w:t>
            </w:r>
          </w:p>
          <w:p w14:paraId="27047C62">
            <w:pPr>
              <w:pStyle w:val="96"/>
              <w:numPr>
                <w:ilvl w:val="0"/>
                <w:numId w:val="0"/>
              </w:numPr>
              <w:spacing w:line="360" w:lineRule="auto"/>
              <w:ind w:left="425" w:leftChars="0" w:hanging="425" w:firstLineChars="0"/>
              <w:rPr>
                <w:rFonts w:hint="eastAsia" w:ascii="Times New Roman" w:hAnsi="Times New Roman" w:eastAsia="宋体" w:cs="Times New Roman"/>
                <w:b/>
                <w:bCs/>
                <w:color w:val="000000" w:themeColor="text1"/>
                <w:spacing w:val="0"/>
                <w:positio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2"/>
                <w:position w:val="0"/>
                <w:sz w:val="24"/>
                <w:szCs w:val="24"/>
                <w:lang w:val="en-US" w:eastAsia="zh-CN" w:bidi="ar-SA"/>
                <w14:textFill>
                  <w14:solidFill>
                    <w14:schemeClr w14:val="tx1"/>
                  </w14:solidFill>
                </w14:textFill>
              </w:rPr>
              <w:t>1</w:t>
            </w:r>
            <w:r>
              <w:rPr>
                <w:rFonts w:hint="eastAsia" w:ascii="Times New Roman" w:hAnsi="Times New Roman" w:eastAsia="宋体" w:cs="Times New Roman"/>
                <w:b/>
                <w:bCs/>
                <w:color w:val="000000" w:themeColor="text1"/>
                <w:spacing w:val="0"/>
                <w:kern w:val="2"/>
                <w:position w:val="0"/>
                <w:sz w:val="24"/>
                <w:szCs w:val="24"/>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pacing w:val="0"/>
                <w:position w:val="0"/>
                <w:sz w:val="24"/>
                <w:lang w:val="en-US" w:eastAsia="zh-CN"/>
                <w14:textFill>
                  <w14:solidFill>
                    <w14:schemeClr w14:val="tx1"/>
                  </w14:solidFill>
                </w14:textFill>
              </w:rPr>
              <w:t>福建青口海峡环保有限公司(青口新区污水处理厂)基本情况</w:t>
            </w:r>
          </w:p>
          <w:p w14:paraId="10F49E5E">
            <w:pPr>
              <w:pStyle w:val="96"/>
              <w:spacing w:line="360" w:lineRule="auto"/>
              <w:ind w:firstLine="480" w:firstLineChars="20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①设计进出水水质</w:t>
            </w:r>
          </w:p>
          <w:p w14:paraId="72C0C8F4">
            <w:pPr>
              <w:pStyle w:val="96"/>
              <w:spacing w:line="360" w:lineRule="auto"/>
              <w:ind w:firstLine="480" w:firstLineChars="20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根据《福州青口新区环境工程(污水处理厂)环境影响报告书》及</w:t>
            </w:r>
            <w:r>
              <w:rPr>
                <w:rFonts w:hint="default" w:ascii="Times New Roman" w:hAnsi="Times New Roman" w:eastAsia="宋体" w:cs="Times New Roman"/>
                <w:color w:val="000000" w:themeColor="text1"/>
                <w:sz w:val="24"/>
                <w:shd w:val="clear" w:color="auto" w:fill="FFFFFF"/>
                <w:lang w:eastAsia="zh-CN"/>
                <w14:textFill>
                  <w14:solidFill>
                    <w14:schemeClr w14:val="tx1"/>
                  </w14:solidFill>
                </w14:textFill>
              </w:rPr>
              <w:t>扩能及提标改造方案</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可知，福建青口海峡环保有限公司(青口新区污水处理厂)进出水水质见表4.3-</w:t>
            </w:r>
            <w:r>
              <w:rPr>
                <w:rFonts w:hint="eastAsia" w:cs="Times New Roman"/>
                <w:color w:val="000000" w:themeColor="text1"/>
                <w:spacing w:val="0"/>
                <w:position w:val="0"/>
                <w:sz w:val="24"/>
                <w:lang w:val="en-US" w:eastAsia="zh-CN"/>
                <w14:textFill>
                  <w14:solidFill>
                    <w14:schemeClr w14:val="tx1"/>
                  </w14:solidFill>
                </w14:textFill>
              </w:rPr>
              <w:t>6</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w:t>
            </w:r>
          </w:p>
          <w:p w14:paraId="585FE9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表4.3-</w:t>
            </w:r>
            <w:r>
              <w:rPr>
                <w:rFonts w:hint="eastAsia" w:cs="Times New Roman"/>
                <w:b/>
                <w:bCs/>
                <w:color w:val="000000" w:themeColor="text1"/>
                <w:kern w:val="0"/>
                <w:sz w:val="24"/>
                <w:lang w:val="en-US" w:eastAsia="zh-CN" w:bidi="ar"/>
                <w14:textFill>
                  <w14:solidFill>
                    <w14:schemeClr w14:val="tx1"/>
                  </w14:solidFill>
                </w14:textFill>
              </w:rPr>
              <w:t>6</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 xml:space="preserve">  污水处理厂进出水水质标准(mg/LpH除外)</w:t>
            </w:r>
          </w:p>
          <w:tbl>
            <w:tblPr>
              <w:tblStyle w:val="30"/>
              <w:tblW w:w="499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067"/>
              <w:gridCol w:w="1400"/>
              <w:gridCol w:w="1124"/>
              <w:gridCol w:w="1046"/>
              <w:gridCol w:w="1086"/>
              <w:gridCol w:w="1057"/>
              <w:gridCol w:w="984"/>
              <w:gridCol w:w="903"/>
            </w:tblGrid>
            <w:tr w14:paraId="2B336F1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615" w:type="pct"/>
                  <w:tcBorders>
                    <w:left w:val="nil"/>
                    <w:bottom w:val="single" w:color="000000" w:sz="4" w:space="0"/>
                    <w:right w:val="single" w:color="000000" w:sz="4" w:space="0"/>
                  </w:tcBorders>
                  <w:noWrap w:val="0"/>
                  <w:vAlign w:val="top"/>
                </w:tcPr>
                <w:p w14:paraId="28C96ED5">
                  <w:pPr>
                    <w:pStyle w:val="87"/>
                    <w:spacing w:before="35"/>
                    <w:ind w:right="1"/>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水质指标</w:t>
                  </w:r>
                </w:p>
              </w:tc>
              <w:tc>
                <w:tcPr>
                  <w:tcW w:w="807" w:type="pct"/>
                  <w:tcBorders>
                    <w:left w:val="single" w:color="000000" w:sz="4" w:space="0"/>
                    <w:bottom w:val="single" w:color="000000" w:sz="4" w:space="0"/>
                    <w:right w:val="single" w:color="000000" w:sz="4" w:space="0"/>
                  </w:tcBorders>
                  <w:noWrap w:val="0"/>
                  <w:vAlign w:val="top"/>
                </w:tcPr>
                <w:p w14:paraId="2C0386B9">
                  <w:pPr>
                    <w:pStyle w:val="87"/>
                    <w:spacing w:before="49"/>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pH</w:t>
                  </w:r>
                </w:p>
              </w:tc>
              <w:tc>
                <w:tcPr>
                  <w:tcW w:w="648" w:type="pct"/>
                  <w:tcBorders>
                    <w:left w:val="single" w:color="000000" w:sz="4" w:space="0"/>
                    <w:bottom w:val="single" w:color="000000" w:sz="4" w:space="0"/>
                    <w:right w:val="single" w:color="000000" w:sz="4" w:space="0"/>
                  </w:tcBorders>
                  <w:noWrap w:val="0"/>
                  <w:vAlign w:val="top"/>
                </w:tcPr>
                <w:p w14:paraId="31C48B76">
                  <w:pPr>
                    <w:pStyle w:val="87"/>
                    <w:spacing w:before="49"/>
                    <w:ind w:right="1"/>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COD</w:t>
                  </w:r>
                </w:p>
              </w:tc>
              <w:tc>
                <w:tcPr>
                  <w:tcW w:w="603" w:type="pct"/>
                  <w:tcBorders>
                    <w:left w:val="single" w:color="000000" w:sz="4" w:space="0"/>
                    <w:bottom w:val="single" w:color="000000" w:sz="4" w:space="0"/>
                    <w:right w:val="single" w:color="000000" w:sz="4" w:space="0"/>
                  </w:tcBorders>
                  <w:noWrap w:val="0"/>
                  <w:vAlign w:val="top"/>
                </w:tcPr>
                <w:p w14:paraId="1600EEE8">
                  <w:pPr>
                    <w:pStyle w:val="87"/>
                    <w:spacing w:before="46"/>
                    <w:ind w:left="1" w:right="1"/>
                    <w:jc w:val="center"/>
                    <w:rPr>
                      <w:rFonts w:ascii="Times New Roman" w:hAnsi="Times New Roman"/>
                      <w:color w:val="000000" w:themeColor="text1"/>
                      <w:spacing w:val="0"/>
                      <w:position w:val="0"/>
                      <w:sz w:val="13"/>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BOD</w:t>
                  </w:r>
                  <w:r>
                    <w:rPr>
                      <w:rFonts w:ascii="Times New Roman" w:hAnsi="Times New Roman"/>
                      <w:color w:val="000000" w:themeColor="text1"/>
                      <w:spacing w:val="0"/>
                      <w:position w:val="0"/>
                      <w:sz w:val="13"/>
                      <w14:textFill>
                        <w14:solidFill>
                          <w14:schemeClr w14:val="tx1"/>
                        </w14:solidFill>
                      </w14:textFill>
                    </w:rPr>
                    <w:t>5</w:t>
                  </w:r>
                </w:p>
              </w:tc>
              <w:tc>
                <w:tcPr>
                  <w:tcW w:w="626" w:type="pct"/>
                  <w:tcBorders>
                    <w:left w:val="single" w:color="000000" w:sz="4" w:space="0"/>
                    <w:bottom w:val="single" w:color="000000" w:sz="4" w:space="0"/>
                    <w:right w:val="single" w:color="000000" w:sz="4" w:space="0"/>
                  </w:tcBorders>
                  <w:noWrap w:val="0"/>
                  <w:vAlign w:val="top"/>
                </w:tcPr>
                <w:p w14:paraId="3C29FFEB">
                  <w:pPr>
                    <w:pStyle w:val="87"/>
                    <w:spacing w:before="49"/>
                    <w:ind w:right="1"/>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SS</w:t>
                  </w:r>
                </w:p>
              </w:tc>
              <w:tc>
                <w:tcPr>
                  <w:tcW w:w="609" w:type="pct"/>
                  <w:tcBorders>
                    <w:left w:val="single" w:color="000000" w:sz="4" w:space="0"/>
                    <w:bottom w:val="single" w:color="000000" w:sz="4" w:space="0"/>
                    <w:right w:val="single" w:color="000000" w:sz="4" w:space="0"/>
                  </w:tcBorders>
                  <w:noWrap w:val="0"/>
                  <w:vAlign w:val="top"/>
                </w:tcPr>
                <w:p w14:paraId="41C1785E">
                  <w:pPr>
                    <w:pStyle w:val="87"/>
                    <w:spacing w:before="46"/>
                    <w:ind w:left="1" w:right="1"/>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NH</w:t>
                  </w:r>
                  <w:r>
                    <w:rPr>
                      <w:rFonts w:ascii="Times New Roman" w:hAnsi="Times New Roman"/>
                      <w:color w:val="000000" w:themeColor="text1"/>
                      <w:spacing w:val="0"/>
                      <w:position w:val="0"/>
                      <w:sz w:val="13"/>
                      <w14:textFill>
                        <w14:solidFill>
                          <w14:schemeClr w14:val="tx1"/>
                        </w14:solidFill>
                      </w14:textFill>
                    </w:rPr>
                    <w:t>3</w:t>
                  </w:r>
                  <w:r>
                    <w:rPr>
                      <w:rFonts w:ascii="Times New Roman" w:hAnsi="Times New Roman"/>
                      <w:color w:val="000000" w:themeColor="text1"/>
                      <w:spacing w:val="0"/>
                      <w:position w:val="0"/>
                      <w:sz w:val="21"/>
                      <w14:textFill>
                        <w14:solidFill>
                          <w14:schemeClr w14:val="tx1"/>
                        </w14:solidFill>
                      </w14:textFill>
                    </w:rPr>
                    <w:t>-N</w:t>
                  </w:r>
                </w:p>
              </w:tc>
              <w:tc>
                <w:tcPr>
                  <w:tcW w:w="567" w:type="pct"/>
                  <w:tcBorders>
                    <w:left w:val="single" w:color="000000" w:sz="4" w:space="0"/>
                    <w:bottom w:val="single" w:color="000000" w:sz="4" w:space="0"/>
                    <w:right w:val="single" w:color="000000" w:sz="4" w:space="0"/>
                  </w:tcBorders>
                  <w:noWrap w:val="0"/>
                  <w:vAlign w:val="top"/>
                </w:tcPr>
                <w:p w14:paraId="6A4BDD44">
                  <w:pPr>
                    <w:pStyle w:val="87"/>
                    <w:spacing w:before="49"/>
                    <w:ind w:left="1" w:right="1"/>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TN</w:t>
                  </w:r>
                </w:p>
              </w:tc>
              <w:tc>
                <w:tcPr>
                  <w:tcW w:w="520" w:type="pct"/>
                  <w:tcBorders>
                    <w:left w:val="single" w:color="000000" w:sz="4" w:space="0"/>
                    <w:bottom w:val="single" w:color="000000" w:sz="4" w:space="0"/>
                    <w:right w:val="nil"/>
                  </w:tcBorders>
                  <w:noWrap w:val="0"/>
                  <w:vAlign w:val="top"/>
                </w:tcPr>
                <w:p w14:paraId="5FDEF862">
                  <w:pPr>
                    <w:pStyle w:val="87"/>
                    <w:spacing w:before="49"/>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TP</w:t>
                  </w:r>
                </w:p>
              </w:tc>
            </w:tr>
            <w:tr w14:paraId="0C5DEE3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615" w:type="pct"/>
                  <w:tcBorders>
                    <w:top w:val="single" w:color="000000" w:sz="4" w:space="0"/>
                    <w:left w:val="nil"/>
                    <w:bottom w:val="single" w:color="000000" w:sz="4" w:space="0"/>
                    <w:right w:val="single" w:color="000000" w:sz="4" w:space="0"/>
                  </w:tcBorders>
                  <w:noWrap w:val="0"/>
                  <w:vAlign w:val="top"/>
                </w:tcPr>
                <w:p w14:paraId="5987EE7F">
                  <w:pPr>
                    <w:pStyle w:val="87"/>
                    <w:spacing w:before="33"/>
                    <w:ind w:right="1"/>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进水水质</w:t>
                  </w:r>
                </w:p>
              </w:tc>
              <w:tc>
                <w:tcPr>
                  <w:tcW w:w="807" w:type="pct"/>
                  <w:tcBorders>
                    <w:top w:val="single" w:color="000000" w:sz="4" w:space="0"/>
                    <w:left w:val="single" w:color="000000" w:sz="4" w:space="0"/>
                    <w:bottom w:val="single" w:color="000000" w:sz="4" w:space="0"/>
                    <w:right w:val="single" w:color="000000" w:sz="4" w:space="0"/>
                  </w:tcBorders>
                  <w:noWrap w:val="0"/>
                  <w:vAlign w:val="top"/>
                </w:tcPr>
                <w:p w14:paraId="0A742701">
                  <w:pPr>
                    <w:pStyle w:val="87"/>
                    <w:spacing w:before="33"/>
                    <w:jc w:val="center"/>
                    <w:rPr>
                      <w:rFonts w:ascii="Times New Roman" w:hAnsi="Times New Roman" w:eastAsia="Times New Roman"/>
                      <w:color w:val="000000" w:themeColor="text1"/>
                      <w:spacing w:val="0"/>
                      <w:position w:val="0"/>
                      <w:sz w:val="21"/>
                      <w14:textFill>
                        <w14:solidFill>
                          <w14:schemeClr w14:val="tx1"/>
                        </w14:solidFill>
                      </w14:textFill>
                    </w:rPr>
                  </w:pPr>
                  <w:r>
                    <w:rPr>
                      <w:rFonts w:ascii="Times New Roman" w:hAnsi="Times New Roman" w:eastAsia="Times New Roman"/>
                      <w:color w:val="000000" w:themeColor="text1"/>
                      <w:spacing w:val="0"/>
                      <w:position w:val="0"/>
                      <w:sz w:val="21"/>
                      <w14:textFill>
                        <w14:solidFill>
                          <w14:schemeClr w14:val="tx1"/>
                        </w14:solidFill>
                      </w14:textFill>
                    </w:rPr>
                    <w:t>6~9(</w:t>
                  </w:r>
                  <w:r>
                    <w:rPr>
                      <w:rFonts w:ascii="Times New Roman" w:hAnsi="Times New Roman"/>
                      <w:color w:val="000000" w:themeColor="text1"/>
                      <w:spacing w:val="0"/>
                      <w:position w:val="0"/>
                      <w:sz w:val="21"/>
                      <w14:textFill>
                        <w14:solidFill>
                          <w14:schemeClr w14:val="tx1"/>
                        </w14:solidFill>
                      </w14:textFill>
                    </w:rPr>
                    <w:t>无量纲</w:t>
                  </w:r>
                  <w:r>
                    <w:rPr>
                      <w:rFonts w:ascii="Times New Roman" w:hAnsi="Times New Roman" w:eastAsia="Times New Roman"/>
                      <w:color w:val="000000" w:themeColor="text1"/>
                      <w:spacing w:val="0"/>
                      <w:position w:val="0"/>
                      <w:sz w:val="21"/>
                      <w14:textFill>
                        <w14:solidFill>
                          <w14:schemeClr w14:val="tx1"/>
                        </w14:solidFill>
                      </w14:textFill>
                    </w:rPr>
                    <w:t>)</w:t>
                  </w:r>
                </w:p>
              </w:tc>
              <w:tc>
                <w:tcPr>
                  <w:tcW w:w="648" w:type="pct"/>
                  <w:tcBorders>
                    <w:top w:val="single" w:color="000000" w:sz="4" w:space="0"/>
                    <w:left w:val="single" w:color="000000" w:sz="4" w:space="0"/>
                    <w:bottom w:val="single" w:color="000000" w:sz="4" w:space="0"/>
                    <w:right w:val="single" w:color="000000" w:sz="4" w:space="0"/>
                  </w:tcBorders>
                  <w:noWrap w:val="0"/>
                  <w:vAlign w:val="top"/>
                </w:tcPr>
                <w:p w14:paraId="768072EC">
                  <w:pPr>
                    <w:pStyle w:val="87"/>
                    <w:spacing w:before="49"/>
                    <w:ind w:left="1" w:right="1"/>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≤300</w:t>
                  </w:r>
                </w:p>
              </w:tc>
              <w:tc>
                <w:tcPr>
                  <w:tcW w:w="603" w:type="pct"/>
                  <w:tcBorders>
                    <w:top w:val="single" w:color="000000" w:sz="4" w:space="0"/>
                    <w:left w:val="single" w:color="000000" w:sz="4" w:space="0"/>
                    <w:bottom w:val="single" w:color="000000" w:sz="4" w:space="0"/>
                    <w:right w:val="single" w:color="000000" w:sz="4" w:space="0"/>
                  </w:tcBorders>
                  <w:noWrap w:val="0"/>
                  <w:vAlign w:val="top"/>
                </w:tcPr>
                <w:p w14:paraId="095074C6">
                  <w:pPr>
                    <w:pStyle w:val="87"/>
                    <w:spacing w:before="49"/>
                    <w:ind w:left="2" w:right="1"/>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≤160</w:t>
                  </w:r>
                </w:p>
              </w:tc>
              <w:tc>
                <w:tcPr>
                  <w:tcW w:w="626" w:type="pct"/>
                  <w:tcBorders>
                    <w:top w:val="single" w:color="000000" w:sz="4" w:space="0"/>
                    <w:left w:val="single" w:color="000000" w:sz="4" w:space="0"/>
                    <w:bottom w:val="single" w:color="000000" w:sz="4" w:space="0"/>
                    <w:right w:val="single" w:color="000000" w:sz="4" w:space="0"/>
                  </w:tcBorders>
                  <w:noWrap w:val="0"/>
                  <w:vAlign w:val="top"/>
                </w:tcPr>
                <w:p w14:paraId="3C5985DB">
                  <w:pPr>
                    <w:pStyle w:val="87"/>
                    <w:spacing w:before="49"/>
                    <w:ind w:left="1" w:right="1"/>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≤200</w:t>
                  </w:r>
                </w:p>
              </w:tc>
              <w:tc>
                <w:tcPr>
                  <w:tcW w:w="609" w:type="pct"/>
                  <w:tcBorders>
                    <w:top w:val="single" w:color="000000" w:sz="4" w:space="0"/>
                    <w:left w:val="single" w:color="000000" w:sz="4" w:space="0"/>
                    <w:bottom w:val="single" w:color="000000" w:sz="4" w:space="0"/>
                    <w:right w:val="single" w:color="000000" w:sz="4" w:space="0"/>
                  </w:tcBorders>
                  <w:noWrap w:val="0"/>
                  <w:vAlign w:val="top"/>
                </w:tcPr>
                <w:p w14:paraId="305F342B">
                  <w:pPr>
                    <w:pStyle w:val="87"/>
                    <w:spacing w:before="49"/>
                    <w:ind w:right="1"/>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≤35</w:t>
                  </w:r>
                </w:p>
              </w:tc>
              <w:tc>
                <w:tcPr>
                  <w:tcW w:w="567" w:type="pct"/>
                  <w:tcBorders>
                    <w:top w:val="single" w:color="000000" w:sz="4" w:space="0"/>
                    <w:left w:val="single" w:color="000000" w:sz="4" w:space="0"/>
                    <w:bottom w:val="single" w:color="000000" w:sz="4" w:space="0"/>
                    <w:right w:val="single" w:color="000000" w:sz="4" w:space="0"/>
                  </w:tcBorders>
                  <w:noWrap w:val="0"/>
                  <w:vAlign w:val="top"/>
                </w:tcPr>
                <w:p w14:paraId="4B6553A3">
                  <w:pPr>
                    <w:pStyle w:val="87"/>
                    <w:spacing w:before="49"/>
                    <w:ind w:right="1"/>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≤40</w:t>
                  </w:r>
                </w:p>
              </w:tc>
              <w:tc>
                <w:tcPr>
                  <w:tcW w:w="520" w:type="pct"/>
                  <w:tcBorders>
                    <w:top w:val="single" w:color="000000" w:sz="4" w:space="0"/>
                    <w:left w:val="single" w:color="000000" w:sz="4" w:space="0"/>
                    <w:bottom w:val="single" w:color="000000" w:sz="4" w:space="0"/>
                    <w:right w:val="nil"/>
                  </w:tcBorders>
                  <w:noWrap w:val="0"/>
                  <w:vAlign w:val="top"/>
                </w:tcPr>
                <w:p w14:paraId="0CB3669E">
                  <w:pPr>
                    <w:pStyle w:val="87"/>
                    <w:spacing w:before="49"/>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≤4.5</w:t>
                  </w:r>
                </w:p>
              </w:tc>
            </w:tr>
            <w:tr w14:paraId="6EC6632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jc w:val="center"/>
              </w:trPr>
              <w:tc>
                <w:tcPr>
                  <w:tcW w:w="615" w:type="pct"/>
                  <w:tcBorders>
                    <w:top w:val="single" w:color="000000" w:sz="4" w:space="0"/>
                    <w:left w:val="nil"/>
                    <w:right w:val="single" w:color="000000" w:sz="4" w:space="0"/>
                  </w:tcBorders>
                  <w:noWrap w:val="0"/>
                  <w:vAlign w:val="top"/>
                </w:tcPr>
                <w:p w14:paraId="5AC1DA75">
                  <w:pPr>
                    <w:pStyle w:val="87"/>
                    <w:spacing w:before="33"/>
                    <w:ind w:right="1"/>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出水标准</w:t>
                  </w:r>
                </w:p>
              </w:tc>
              <w:tc>
                <w:tcPr>
                  <w:tcW w:w="807" w:type="pct"/>
                  <w:tcBorders>
                    <w:top w:val="single" w:color="000000" w:sz="4" w:space="0"/>
                    <w:left w:val="single" w:color="000000" w:sz="4" w:space="0"/>
                    <w:right w:val="single" w:color="000000" w:sz="4" w:space="0"/>
                  </w:tcBorders>
                  <w:noWrap w:val="0"/>
                  <w:vAlign w:val="top"/>
                </w:tcPr>
                <w:p w14:paraId="7B2BC590">
                  <w:pPr>
                    <w:pStyle w:val="87"/>
                    <w:spacing w:before="33"/>
                    <w:jc w:val="center"/>
                    <w:rPr>
                      <w:rFonts w:ascii="Times New Roman" w:hAnsi="Times New Roman" w:eastAsia="Times New Roman"/>
                      <w:color w:val="000000" w:themeColor="text1"/>
                      <w:spacing w:val="0"/>
                      <w:position w:val="0"/>
                      <w:sz w:val="21"/>
                      <w14:textFill>
                        <w14:solidFill>
                          <w14:schemeClr w14:val="tx1"/>
                        </w14:solidFill>
                      </w14:textFill>
                    </w:rPr>
                  </w:pPr>
                  <w:r>
                    <w:rPr>
                      <w:rFonts w:ascii="Times New Roman" w:hAnsi="Times New Roman" w:eastAsia="Times New Roman"/>
                      <w:color w:val="000000" w:themeColor="text1"/>
                      <w:spacing w:val="0"/>
                      <w:position w:val="0"/>
                      <w:sz w:val="21"/>
                      <w14:textFill>
                        <w14:solidFill>
                          <w14:schemeClr w14:val="tx1"/>
                        </w14:solidFill>
                      </w14:textFill>
                    </w:rPr>
                    <w:t>6~9(</w:t>
                  </w:r>
                  <w:r>
                    <w:rPr>
                      <w:rFonts w:ascii="Times New Roman" w:hAnsi="Times New Roman"/>
                      <w:color w:val="000000" w:themeColor="text1"/>
                      <w:spacing w:val="0"/>
                      <w:position w:val="0"/>
                      <w:sz w:val="21"/>
                      <w14:textFill>
                        <w14:solidFill>
                          <w14:schemeClr w14:val="tx1"/>
                        </w14:solidFill>
                      </w14:textFill>
                    </w:rPr>
                    <w:t>无量纲</w:t>
                  </w:r>
                  <w:r>
                    <w:rPr>
                      <w:rFonts w:ascii="Times New Roman" w:hAnsi="Times New Roman" w:eastAsia="Times New Roman"/>
                      <w:color w:val="000000" w:themeColor="text1"/>
                      <w:spacing w:val="0"/>
                      <w:position w:val="0"/>
                      <w:sz w:val="21"/>
                      <w14:textFill>
                        <w14:solidFill>
                          <w14:schemeClr w14:val="tx1"/>
                        </w14:solidFill>
                      </w14:textFill>
                    </w:rPr>
                    <w:t>)</w:t>
                  </w:r>
                </w:p>
              </w:tc>
              <w:tc>
                <w:tcPr>
                  <w:tcW w:w="648" w:type="pct"/>
                  <w:tcBorders>
                    <w:top w:val="single" w:color="000000" w:sz="4" w:space="0"/>
                    <w:left w:val="single" w:color="000000" w:sz="4" w:space="0"/>
                    <w:right w:val="single" w:color="000000" w:sz="4" w:space="0"/>
                  </w:tcBorders>
                  <w:noWrap w:val="0"/>
                  <w:vAlign w:val="top"/>
                </w:tcPr>
                <w:p w14:paraId="3EAEDBCC">
                  <w:pPr>
                    <w:pStyle w:val="87"/>
                    <w:spacing w:before="50"/>
                    <w:ind w:left="1" w:right="1"/>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w:t>
                  </w:r>
                  <w:r>
                    <w:rPr>
                      <w:rFonts w:hint="eastAsia" w:ascii="Times New Roman" w:hAnsi="Times New Roman"/>
                      <w:color w:val="000000" w:themeColor="text1"/>
                      <w:spacing w:val="0"/>
                      <w:position w:val="0"/>
                      <w:sz w:val="21"/>
                      <w:lang w:val="en-US" w:eastAsia="zh-CN"/>
                      <w14:textFill>
                        <w14:solidFill>
                          <w14:schemeClr w14:val="tx1"/>
                        </w14:solidFill>
                      </w14:textFill>
                    </w:rPr>
                    <w:t>5</w:t>
                  </w:r>
                  <w:r>
                    <w:rPr>
                      <w:rFonts w:ascii="Times New Roman" w:hAnsi="Times New Roman"/>
                      <w:color w:val="000000" w:themeColor="text1"/>
                      <w:spacing w:val="0"/>
                      <w:position w:val="0"/>
                      <w:sz w:val="21"/>
                      <w14:textFill>
                        <w14:solidFill>
                          <w14:schemeClr w14:val="tx1"/>
                        </w14:solidFill>
                      </w14:textFill>
                    </w:rPr>
                    <w:t>0</w:t>
                  </w:r>
                </w:p>
              </w:tc>
              <w:tc>
                <w:tcPr>
                  <w:tcW w:w="603" w:type="pct"/>
                  <w:tcBorders>
                    <w:top w:val="single" w:color="000000" w:sz="4" w:space="0"/>
                    <w:left w:val="single" w:color="000000" w:sz="4" w:space="0"/>
                    <w:right w:val="single" w:color="000000" w:sz="4" w:space="0"/>
                  </w:tcBorders>
                  <w:noWrap w:val="0"/>
                  <w:vAlign w:val="top"/>
                </w:tcPr>
                <w:p w14:paraId="19251DD0">
                  <w:pPr>
                    <w:pStyle w:val="87"/>
                    <w:spacing w:before="50"/>
                    <w:ind w:left="1" w:right="2"/>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w:t>
                  </w:r>
                  <w:r>
                    <w:rPr>
                      <w:rFonts w:hint="eastAsia" w:ascii="Times New Roman" w:hAnsi="Times New Roman"/>
                      <w:color w:val="000000" w:themeColor="text1"/>
                      <w:spacing w:val="0"/>
                      <w:position w:val="0"/>
                      <w:sz w:val="21"/>
                      <w:lang w:val="en-US" w:eastAsia="zh-CN"/>
                      <w14:textFill>
                        <w14:solidFill>
                          <w14:schemeClr w14:val="tx1"/>
                        </w14:solidFill>
                      </w14:textFill>
                    </w:rPr>
                    <w:t>1</w:t>
                  </w:r>
                  <w:r>
                    <w:rPr>
                      <w:rFonts w:ascii="Times New Roman" w:hAnsi="Times New Roman"/>
                      <w:color w:val="000000" w:themeColor="text1"/>
                      <w:spacing w:val="0"/>
                      <w:position w:val="0"/>
                      <w:sz w:val="21"/>
                      <w14:textFill>
                        <w14:solidFill>
                          <w14:schemeClr w14:val="tx1"/>
                        </w14:solidFill>
                      </w14:textFill>
                    </w:rPr>
                    <w:t>0</w:t>
                  </w:r>
                </w:p>
              </w:tc>
              <w:tc>
                <w:tcPr>
                  <w:tcW w:w="626" w:type="pct"/>
                  <w:tcBorders>
                    <w:top w:val="single" w:color="000000" w:sz="4" w:space="0"/>
                    <w:left w:val="single" w:color="000000" w:sz="4" w:space="0"/>
                    <w:right w:val="single" w:color="000000" w:sz="4" w:space="0"/>
                  </w:tcBorders>
                  <w:noWrap w:val="0"/>
                  <w:vAlign w:val="top"/>
                </w:tcPr>
                <w:p w14:paraId="5C63FDB5">
                  <w:pPr>
                    <w:pStyle w:val="87"/>
                    <w:spacing w:before="50"/>
                    <w:ind w:left="1" w:right="1"/>
                    <w:jc w:val="center"/>
                    <w:rPr>
                      <w:rFonts w:ascii="Times New Roman" w:hAnsi="Times New Roman"/>
                      <w:color w:val="000000" w:themeColor="text1"/>
                      <w:spacing w:val="0"/>
                      <w:position w:val="0"/>
                      <w:sz w:val="21"/>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w:t>
                  </w:r>
                  <w:r>
                    <w:rPr>
                      <w:rFonts w:hint="eastAsia" w:ascii="Times New Roman" w:hAnsi="Times New Roman"/>
                      <w:color w:val="000000" w:themeColor="text1"/>
                      <w:spacing w:val="0"/>
                      <w:position w:val="0"/>
                      <w:sz w:val="21"/>
                      <w:lang w:val="en-US" w:eastAsia="zh-CN"/>
                      <w14:textFill>
                        <w14:solidFill>
                          <w14:schemeClr w14:val="tx1"/>
                        </w14:solidFill>
                      </w14:textFill>
                    </w:rPr>
                    <w:t>1</w:t>
                  </w:r>
                  <w:r>
                    <w:rPr>
                      <w:rFonts w:ascii="Times New Roman" w:hAnsi="Times New Roman"/>
                      <w:color w:val="000000" w:themeColor="text1"/>
                      <w:spacing w:val="0"/>
                      <w:position w:val="0"/>
                      <w:sz w:val="21"/>
                      <w14:textFill>
                        <w14:solidFill>
                          <w14:schemeClr w14:val="tx1"/>
                        </w14:solidFill>
                      </w14:textFill>
                    </w:rPr>
                    <w:t>0</w:t>
                  </w:r>
                </w:p>
              </w:tc>
              <w:tc>
                <w:tcPr>
                  <w:tcW w:w="609" w:type="pct"/>
                  <w:tcBorders>
                    <w:top w:val="single" w:color="000000" w:sz="4" w:space="0"/>
                    <w:left w:val="single" w:color="000000" w:sz="4" w:space="0"/>
                    <w:right w:val="single" w:color="000000" w:sz="4" w:space="0"/>
                  </w:tcBorders>
                  <w:noWrap w:val="0"/>
                  <w:vAlign w:val="top"/>
                </w:tcPr>
                <w:p w14:paraId="463F0D7B">
                  <w:pPr>
                    <w:pStyle w:val="87"/>
                    <w:spacing w:before="50"/>
                    <w:ind w:left="1" w:right="1"/>
                    <w:jc w:val="center"/>
                    <w:rPr>
                      <w:rFonts w:hint="eastAsia" w:ascii="Times New Roman" w:hAnsi="Times New Roman" w:eastAsia="宋体"/>
                      <w:color w:val="000000" w:themeColor="text1"/>
                      <w:spacing w:val="0"/>
                      <w:position w:val="0"/>
                      <w:sz w:val="21"/>
                      <w:lang w:eastAsia="zh-CN"/>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w:t>
                  </w:r>
                  <w:r>
                    <w:rPr>
                      <w:rFonts w:hint="eastAsia" w:ascii="Times New Roman" w:hAnsi="Times New Roman"/>
                      <w:color w:val="000000" w:themeColor="text1"/>
                      <w:spacing w:val="0"/>
                      <w:position w:val="0"/>
                      <w:sz w:val="21"/>
                      <w:lang w:val="en-US" w:eastAsia="zh-CN"/>
                      <w14:textFill>
                        <w14:solidFill>
                          <w14:schemeClr w14:val="tx1"/>
                        </w14:solidFill>
                      </w14:textFill>
                    </w:rPr>
                    <w:t>5</w:t>
                  </w:r>
                </w:p>
              </w:tc>
              <w:tc>
                <w:tcPr>
                  <w:tcW w:w="567" w:type="pct"/>
                  <w:tcBorders>
                    <w:top w:val="single" w:color="000000" w:sz="4" w:space="0"/>
                    <w:left w:val="single" w:color="000000" w:sz="4" w:space="0"/>
                    <w:right w:val="single" w:color="000000" w:sz="4" w:space="0"/>
                  </w:tcBorders>
                  <w:noWrap w:val="0"/>
                  <w:vAlign w:val="top"/>
                </w:tcPr>
                <w:p w14:paraId="41D66F79">
                  <w:pPr>
                    <w:pStyle w:val="87"/>
                    <w:spacing w:before="50"/>
                    <w:ind w:right="1"/>
                    <w:jc w:val="center"/>
                    <w:rPr>
                      <w:rFonts w:hint="default" w:ascii="Times New Roman" w:hAnsi="Times New Roman" w:eastAsia="宋体"/>
                      <w:color w:val="000000" w:themeColor="text1"/>
                      <w:spacing w:val="0"/>
                      <w:position w:val="0"/>
                      <w:sz w:val="21"/>
                      <w:lang w:val="en-US" w:eastAsia="zh-CN"/>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w:t>
                  </w:r>
                  <w:r>
                    <w:rPr>
                      <w:rFonts w:hint="eastAsia" w:ascii="Times New Roman" w:hAnsi="Times New Roman"/>
                      <w:color w:val="000000" w:themeColor="text1"/>
                      <w:spacing w:val="0"/>
                      <w:position w:val="0"/>
                      <w:sz w:val="21"/>
                      <w:lang w:val="en-US" w:eastAsia="zh-CN"/>
                      <w14:textFill>
                        <w14:solidFill>
                          <w14:schemeClr w14:val="tx1"/>
                        </w14:solidFill>
                      </w14:textFill>
                    </w:rPr>
                    <w:t>15</w:t>
                  </w:r>
                </w:p>
              </w:tc>
              <w:tc>
                <w:tcPr>
                  <w:tcW w:w="520" w:type="pct"/>
                  <w:tcBorders>
                    <w:top w:val="single" w:color="000000" w:sz="4" w:space="0"/>
                    <w:left w:val="single" w:color="000000" w:sz="4" w:space="0"/>
                    <w:right w:val="nil"/>
                  </w:tcBorders>
                  <w:noWrap w:val="0"/>
                  <w:vAlign w:val="top"/>
                </w:tcPr>
                <w:p w14:paraId="6D43B32A">
                  <w:pPr>
                    <w:pStyle w:val="87"/>
                    <w:spacing w:before="50"/>
                    <w:jc w:val="center"/>
                    <w:rPr>
                      <w:rFonts w:hint="default" w:ascii="Times New Roman" w:hAnsi="Times New Roman" w:eastAsia="宋体"/>
                      <w:color w:val="000000" w:themeColor="text1"/>
                      <w:spacing w:val="0"/>
                      <w:position w:val="0"/>
                      <w:sz w:val="21"/>
                      <w:lang w:val="en-US" w:eastAsia="zh-CN"/>
                      <w14:textFill>
                        <w14:solidFill>
                          <w14:schemeClr w14:val="tx1"/>
                        </w14:solidFill>
                      </w14:textFill>
                    </w:rPr>
                  </w:pPr>
                  <w:r>
                    <w:rPr>
                      <w:rFonts w:ascii="Times New Roman" w:hAnsi="Times New Roman"/>
                      <w:color w:val="000000" w:themeColor="text1"/>
                      <w:spacing w:val="0"/>
                      <w:position w:val="0"/>
                      <w:sz w:val="21"/>
                      <w14:textFill>
                        <w14:solidFill>
                          <w14:schemeClr w14:val="tx1"/>
                        </w14:solidFill>
                      </w14:textFill>
                    </w:rPr>
                    <w:t>≤</w:t>
                  </w:r>
                  <w:r>
                    <w:rPr>
                      <w:rFonts w:hint="eastAsia" w:ascii="Times New Roman" w:hAnsi="Times New Roman"/>
                      <w:color w:val="000000" w:themeColor="text1"/>
                      <w:spacing w:val="0"/>
                      <w:position w:val="0"/>
                      <w:sz w:val="21"/>
                      <w:lang w:val="en-US" w:eastAsia="zh-CN"/>
                      <w14:textFill>
                        <w14:solidFill>
                          <w14:schemeClr w14:val="tx1"/>
                        </w14:solidFill>
                      </w14:textFill>
                    </w:rPr>
                    <w:t>0.5</w:t>
                  </w:r>
                </w:p>
              </w:tc>
            </w:tr>
          </w:tbl>
          <w:p w14:paraId="460BDC8C">
            <w:pPr>
              <w:pStyle w:val="96"/>
              <w:spacing w:line="360" w:lineRule="auto"/>
              <w:ind w:firstLine="480" w:firstLineChars="20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②处理工艺</w:t>
            </w:r>
          </w:p>
          <w:p w14:paraId="0E0BD1A8">
            <w:pPr>
              <w:pStyle w:val="96"/>
              <w:spacing w:line="360" w:lineRule="auto"/>
              <w:ind w:firstLine="480" w:firstLineChars="20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福建青口海峡环保有限公司(青口新区污水处理厂)生化系统采用改良型“Carrousel-2000氧化沟+二次沉淀池”工艺，深度处理系统采用“高效沉淀池+精密过滤器”工艺，具体见下图4.3-2。</w:t>
            </w:r>
          </w:p>
          <w:p w14:paraId="6AA199A8">
            <w:pPr>
              <w:pStyle w:val="96"/>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517515" cy="3540125"/>
                  <wp:effectExtent l="0" t="0" r="6985" b="3175"/>
                  <wp:docPr id="127" name="图片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13"/>
                          <pic:cNvPicPr>
                            <a:picLocks noChangeAspect="1"/>
                          </pic:cNvPicPr>
                        </pic:nvPicPr>
                        <pic:blipFill>
                          <a:blip r:embed="rId16"/>
                          <a:stretch>
                            <a:fillRect/>
                          </a:stretch>
                        </pic:blipFill>
                        <pic:spPr>
                          <a:xfrm>
                            <a:off x="0" y="0"/>
                            <a:ext cx="5517515" cy="3540125"/>
                          </a:xfrm>
                          <a:prstGeom prst="rect">
                            <a:avLst/>
                          </a:prstGeom>
                          <a:noFill/>
                          <a:ln>
                            <a:noFill/>
                          </a:ln>
                        </pic:spPr>
                      </pic:pic>
                    </a:graphicData>
                  </a:graphic>
                </wp:inline>
              </w:drawing>
            </w:r>
          </w:p>
          <w:p w14:paraId="6769AF65">
            <w:pPr>
              <w:widowControl/>
              <w:spacing w:before="120" w:beforeLines="50" w:line="240" w:lineRule="auto"/>
              <w:jc w:val="cente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图</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 xml:space="preserve">4.3-2 </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污水处理厂处理工艺流程图</w:t>
            </w:r>
          </w:p>
          <w:p w14:paraId="4B931848">
            <w:pPr>
              <w:pStyle w:val="96"/>
              <w:numPr>
                <w:ilvl w:val="0"/>
                <w:numId w:val="0"/>
              </w:numPr>
              <w:spacing w:line="360" w:lineRule="auto"/>
              <w:ind w:left="425" w:leftChars="0" w:hanging="425" w:firstLineChars="0"/>
              <w:rPr>
                <w:rFonts w:hint="default" w:ascii="Times New Roman" w:hAnsi="Times New Roman" w:eastAsia="宋体" w:cs="Times New Roman"/>
                <w:b/>
                <w:bCs/>
                <w:color w:val="000000" w:themeColor="text1"/>
                <w:spacing w:val="0"/>
                <w:kern w:val="2"/>
                <w:positio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0"/>
                <w:kern w:val="2"/>
                <w:position w:val="0"/>
                <w:sz w:val="24"/>
                <w:szCs w:val="24"/>
                <w:lang w:val="en-US" w:eastAsia="zh-CN" w:bidi="ar-SA"/>
                <w14:textFill>
                  <w14:solidFill>
                    <w14:schemeClr w14:val="tx1"/>
                  </w14:solidFill>
                </w14:textFill>
              </w:rPr>
              <w:t>2、</w:t>
            </w:r>
            <w:r>
              <w:rPr>
                <w:rFonts w:hint="default" w:ascii="Times New Roman" w:hAnsi="Times New Roman" w:eastAsia="宋体" w:cs="Times New Roman"/>
                <w:b/>
                <w:bCs/>
                <w:color w:val="000000" w:themeColor="text1"/>
                <w:spacing w:val="0"/>
                <w:kern w:val="2"/>
                <w:position w:val="0"/>
                <w:sz w:val="24"/>
                <w:szCs w:val="24"/>
                <w:lang w:val="en-US" w:eastAsia="zh-CN" w:bidi="ar-SA"/>
                <w14:textFill>
                  <w14:solidFill>
                    <w14:schemeClr w14:val="tx1"/>
                  </w14:solidFill>
                </w14:textFill>
              </w:rPr>
              <w:t>依托可行性分析</w:t>
            </w:r>
          </w:p>
          <w:p w14:paraId="73E460E0">
            <w:pPr>
              <w:pStyle w:val="11"/>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pPr>
            <w:r>
              <w:rPr>
                <w:rFonts w:ascii="Times New Roman" w:hAnsi="Times New Roman"/>
                <w:color w:val="000000" w:themeColor="text1"/>
                <w:spacing w:val="0"/>
                <w:position w:val="0"/>
                <w:sz w:val="24"/>
                <w:szCs w:val="24"/>
                <w14:textFill>
                  <w14:solidFill>
                    <w14:schemeClr w14:val="tx1"/>
                  </w14:solidFill>
                </w14:textFill>
              </w:rPr>
              <w:t>①</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接管可行性</w:t>
            </w:r>
          </w:p>
          <w:p w14:paraId="236EADCA">
            <w:pPr>
              <w:pStyle w:val="11"/>
              <w:keepNext w:val="0"/>
              <w:keepLines w:val="0"/>
              <w:pageBreakBefore w:val="0"/>
              <w:kinsoku/>
              <w:wordWrap/>
              <w:overflowPunct/>
              <w:topLinePunct w:val="0"/>
              <w:autoSpaceDE/>
              <w:autoSpaceDN/>
              <w:bidi w:val="0"/>
              <w:adjustRightInd/>
              <w:spacing w:before="0" w:after="0" w:line="360" w:lineRule="auto"/>
              <w:ind w:right="0" w:firstLine="480" w:firstLineChars="200"/>
              <w:jc w:val="both"/>
              <w:textAlignment w:val="auto"/>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青口新区污水处理厂服务范围为青口投资区，除去青口污水处理厂的服务范围，包括祥谦镇镇区部分污水处理，主要收集和处理企业工业废水和镇区居民生活污水。根据现场勘查，项目北侧的洋辅路市政管网已经铺设至项目所在地，项目出租方远洋（福建）阀门制造有限公司已将厂区的污水管网接入市政污水管网，目前厂区污水可顺利排入市政污水管网送往青口新区污水处理厂集中处理。</w:t>
            </w:r>
          </w:p>
          <w:p w14:paraId="7DA55624">
            <w:pPr>
              <w:pStyle w:val="11"/>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②水质负荷</w:t>
            </w:r>
          </w:p>
          <w:p w14:paraId="0C9242A1">
            <w:pPr>
              <w:pStyle w:val="96"/>
              <w:keepNext w:val="0"/>
              <w:keepLines w:val="0"/>
              <w:pageBreakBefore w:val="0"/>
              <w:kinsoku/>
              <w:wordWrap/>
              <w:overflowPunct/>
              <w:topLinePunct w:val="0"/>
              <w:autoSpaceDE/>
              <w:autoSpaceDN/>
              <w:bidi w:val="0"/>
              <w:adjustRightInd/>
              <w:spacing w:line="360" w:lineRule="auto"/>
              <w:ind w:right="0" w:firstLine="480" w:firstLineChars="200"/>
              <w:jc w:val="both"/>
              <w:textAlignment w:val="auto"/>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项目生活污水直接经化粪池预处理，生产废水通过</w:t>
            </w:r>
            <w:r>
              <w:rPr>
                <w:rFonts w:hint="eastAsia" w:cs="Times New Roman"/>
                <w:color w:val="000000" w:themeColor="text1"/>
                <w:spacing w:val="0"/>
                <w:position w:val="0"/>
                <w:sz w:val="24"/>
                <w:lang w:val="en-US" w:eastAsia="zh-CN"/>
                <w14:textFill>
                  <w14:solidFill>
                    <w14:schemeClr w14:val="tx1"/>
                  </w14:solidFill>
                </w14:textFill>
              </w:rPr>
              <w:t>自建</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废水处理设施处理</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，均可达标排放。根据前文分析可知，本项目厂区生活污水、生产废水主要污染物排放浓度均能满足《污水综合排放标准》(GB8978-1996)表4三级标准及《污水排入城镇下水道水质标准》(GB/T 31962-2015)表1中B级标准限值。</w:t>
            </w:r>
          </w:p>
          <w:p w14:paraId="201A0F8C">
            <w:pPr>
              <w:pStyle w:val="96"/>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color w:val="000000" w:themeColor="text1"/>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项目生活污水不涉及有毒有害污染物，不涉及持久性有机污染物、重金属，也不含有腐蚀性成分；生产废水经废水处理设施处理达标后，相关污染物排放浓度已满足福建青口海峡环保有限公司(青口新区污水处理厂)的进水水质要求，</w:t>
            </w:r>
            <w:r>
              <w:rPr>
                <w:rFonts w:hint="eastAsia" w:ascii="宋体" w:hAnsi="宋体" w:eastAsia="宋体" w:cs="宋体"/>
                <w:color w:val="000000" w:themeColor="text1"/>
                <w:kern w:val="0"/>
                <w:sz w:val="24"/>
                <w:szCs w:val="24"/>
                <w:lang w:val="en-US" w:eastAsia="zh-CN" w:bidi="ar"/>
                <w14:textFill>
                  <w14:solidFill>
                    <w14:schemeClr w14:val="tx1"/>
                  </w14:solidFill>
                </w14:textFill>
              </w:rPr>
              <w:t>且不含有毒污染物成分，项目污水排放不会对</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青口新区污水处理厂</w:t>
            </w:r>
            <w:r>
              <w:rPr>
                <w:rFonts w:hint="eastAsia" w:ascii="宋体" w:hAnsi="宋体" w:eastAsia="宋体" w:cs="宋体"/>
                <w:color w:val="000000" w:themeColor="text1"/>
                <w:kern w:val="0"/>
                <w:sz w:val="24"/>
                <w:szCs w:val="24"/>
                <w:lang w:val="en-US" w:eastAsia="zh-CN" w:bidi="ar"/>
                <w14:textFill>
                  <w14:solidFill>
                    <w14:schemeClr w14:val="tx1"/>
                  </w14:solidFill>
                </w14:textFill>
              </w:rPr>
              <w:t>负荷和处理工艺产生影响，也不会对城市污水管道产生腐蚀影响。因此，从废水水质方面考虑，项目产生的废水排入</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青口新区污水处理厂</w:t>
            </w:r>
            <w:r>
              <w:rPr>
                <w:rFonts w:hint="eastAsia" w:ascii="宋体" w:hAnsi="宋体" w:eastAsia="宋体" w:cs="宋体"/>
                <w:color w:val="000000" w:themeColor="text1"/>
                <w:kern w:val="0"/>
                <w:sz w:val="24"/>
                <w:szCs w:val="24"/>
                <w:lang w:val="en-US" w:eastAsia="zh-CN" w:bidi="ar"/>
                <w14:textFill>
                  <w14:solidFill>
                    <w14:schemeClr w14:val="tx1"/>
                  </w14:solidFill>
                </w14:textFill>
              </w:rPr>
              <w:t>处理是可行的。</w:t>
            </w:r>
          </w:p>
          <w:p w14:paraId="3B294BD3">
            <w:pPr>
              <w:pStyle w:val="96"/>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③水量负荷</w:t>
            </w:r>
          </w:p>
          <w:p w14:paraId="30DCAFD0">
            <w:pPr>
              <w:pStyle w:val="86"/>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hd w:val="clear" w:color="auto" w:fill="FFFFFF"/>
                <w:lang w:eastAsia="zh-CN"/>
                <w14:textFill>
                  <w14:solidFill>
                    <w14:schemeClr w14:val="tx1"/>
                  </w14:solidFill>
                </w14:textFill>
              </w:rPr>
              <w:t>根据调查，</w:t>
            </w:r>
            <w:r>
              <w:rPr>
                <w:rFonts w:hint="eastAsia" w:ascii="Times New Roman" w:hAnsi="Times New Roman" w:cs="Times New Roman"/>
                <w:color w:val="000000" w:themeColor="text1"/>
                <w:highlight w:val="none"/>
                <w:lang w:eastAsia="zh-CN"/>
                <w14:textFill>
                  <w14:solidFill>
                    <w14:schemeClr w14:val="tx1"/>
                  </w14:solidFill>
                </w14:textFill>
              </w:rPr>
              <w:t>福建青口海峡环保有限公司(青口新区污水处理厂)</w:t>
            </w:r>
            <w:r>
              <w:rPr>
                <w:rFonts w:hint="default" w:ascii="Times New Roman" w:hAnsi="Times New Roman" w:eastAsia="宋体" w:cs="Times New Roman"/>
                <w:color w:val="000000" w:themeColor="text1"/>
                <w:sz w:val="24"/>
                <w:shd w:val="clear" w:color="auto" w:fill="FFFFFF"/>
                <w:lang w:eastAsia="zh-CN"/>
                <w14:textFill>
                  <w14:solidFill>
                    <w14:schemeClr w14:val="tx1"/>
                  </w14:solidFill>
                </w14:textFill>
              </w:rPr>
              <w:t>一期工程土建规模3万吨/日</w:t>
            </w:r>
            <w:r>
              <w:rPr>
                <w:rFonts w:hint="eastAsia" w:ascii="Times New Roman" w:hAnsi="Times New Roman" w:eastAsia="宋体" w:cs="Times New Roman"/>
                <w:color w:val="000000" w:themeColor="text1"/>
                <w:sz w:val="24"/>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FFFFFF"/>
                <w:lang w:eastAsia="zh-CN"/>
                <w14:textFill>
                  <w14:solidFill>
                    <w14:schemeClr w14:val="tx1"/>
                  </w14:solidFill>
                </w14:textFill>
              </w:rPr>
              <w:t>于2012年12月</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10日</w:t>
            </w:r>
            <w:r>
              <w:rPr>
                <w:rFonts w:hint="default" w:ascii="Times New Roman" w:hAnsi="Times New Roman" w:eastAsia="宋体" w:cs="Times New Roman"/>
                <w:color w:val="000000" w:themeColor="text1"/>
                <w:sz w:val="24"/>
                <w:shd w:val="clear" w:color="auto" w:fill="FFFFFF"/>
                <w:lang w:eastAsia="zh-CN"/>
                <w14:textFill>
                  <w14:solidFill>
                    <w14:schemeClr w14:val="tx1"/>
                  </w14:solidFill>
                </w14:textFill>
              </w:rPr>
              <w:t>取得《关于福州青口新区环境工程</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FFFFFF"/>
                <w:lang w:eastAsia="zh-CN"/>
                <w14:textFill>
                  <w14:solidFill>
                    <w14:schemeClr w14:val="tx1"/>
                  </w14:solidFill>
                </w14:textFill>
              </w:rPr>
              <w:t>污水处理厂</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FFFFFF"/>
                <w:lang w:eastAsia="zh-CN"/>
                <w14:textFill>
                  <w14:solidFill>
                    <w14:schemeClr w14:val="tx1"/>
                  </w14:solidFill>
                </w14:textFill>
              </w:rPr>
              <w:t>BOT建设项目</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FFFFFF"/>
                <w:lang w:eastAsia="zh-CN"/>
                <w14:textFill>
                  <w14:solidFill>
                    <w14:schemeClr w14:val="tx1"/>
                  </w14:solidFill>
                </w14:textFill>
              </w:rPr>
              <w:t>近期3万吨/日</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FFFFFF"/>
                <w:lang w:eastAsia="zh-CN"/>
                <w14:textFill>
                  <w14:solidFill>
                    <w14:schemeClr w14:val="tx1"/>
                  </w14:solidFill>
                </w14:textFill>
              </w:rPr>
              <w:t>环境影响报告书的批复</w:t>
            </w:r>
            <w:r>
              <w:rPr>
                <w:rFonts w:hint="eastAsia" w:ascii="Times New Roman" w:hAnsi="Times New Roman" w:eastAsia="宋体" w:cs="Times New Roman"/>
                <w:color w:val="000000" w:themeColor="text1"/>
                <w:sz w:val="24"/>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，其中近期</w:t>
            </w:r>
            <w:r>
              <w:rPr>
                <w:rFonts w:hint="default" w:ascii="Times New Roman" w:hAnsi="Times New Roman" w:eastAsia="宋体" w:cs="Times New Roman"/>
                <w:color w:val="000000" w:themeColor="text1"/>
                <w:sz w:val="24"/>
                <w:shd w:val="clear" w:color="auto" w:fill="FFFFFF"/>
                <w:lang w:eastAsia="zh-CN"/>
                <w14:textFill>
                  <w14:solidFill>
                    <w14:schemeClr w14:val="tx1"/>
                  </w14:solidFill>
                </w14:textFill>
              </w:rPr>
              <w:t>二组设备安装及厂区提标改造工程</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已于2025年2月完成验收</w:t>
            </w:r>
            <w:r>
              <w:rPr>
                <w:rFonts w:hint="eastAsia" w:ascii="Times New Roman" w:hAnsi="Times New Roman" w:eastAsia="宋体" w:cs="Times New Roman"/>
                <w:color w:val="000000" w:themeColor="text1"/>
                <w:sz w:val="24"/>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现状处理能力</w:t>
            </w:r>
            <w:r>
              <w:rPr>
                <w:rFonts w:hint="default" w:ascii="Times New Roman" w:hAnsi="Times New Roman" w:eastAsia="宋体" w:cs="Times New Roman"/>
                <w:color w:val="000000" w:themeColor="text1"/>
                <w:sz w:val="24"/>
                <w:shd w:val="clear" w:color="auto" w:fill="FFFFFF"/>
                <w:lang w:eastAsia="zh-CN"/>
                <w14:textFill>
                  <w14:solidFill>
                    <w14:schemeClr w14:val="tx1"/>
                  </w14:solidFill>
                </w14:textFill>
              </w:rPr>
              <w:t>扩大至3万</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t/d</w:t>
            </w:r>
            <w:r>
              <w:rPr>
                <w:rFonts w:hint="default" w:ascii="Times New Roman" w:hAnsi="Times New Roman" w:eastAsia="宋体" w:cs="Times New Roman"/>
                <w:color w:val="000000" w:themeColor="text1"/>
                <w:sz w:val="24"/>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现阶段日处理水量约2.0</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万t/d</w:t>
            </w:r>
            <w:r>
              <w:rPr>
                <w:rFonts w:hint="default" w:ascii="Times New Roman" w:hAnsi="Times New Roman" w:eastAsia="宋体" w:cs="Times New Roman"/>
                <w:color w:val="000000" w:themeColor="text1"/>
                <w:sz w:val="24"/>
                <w:shd w:val="clear" w:color="auto" w:fill="FFFFFF"/>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项目</w:t>
            </w:r>
            <w:r>
              <w:rPr>
                <w:rFonts w:hint="default" w:ascii="Times New Roman" w:hAnsi="Times New Roman" w:cs="Times New Roman"/>
                <w:color w:val="000000" w:themeColor="text1"/>
                <w:highlight w:val="none"/>
                <w:lang w:val="en-US" w:eastAsia="zh-CN"/>
                <w14:textFill>
                  <w14:solidFill>
                    <w14:schemeClr w14:val="tx1"/>
                  </w14:solidFill>
                </w14:textFill>
              </w:rPr>
              <w:t>新增</w:t>
            </w:r>
            <w:r>
              <w:rPr>
                <w:rFonts w:hint="eastAsia" w:ascii="Times New Roman" w:hAnsi="Times New Roman" w:cs="Times New Roman"/>
                <w:color w:val="000000" w:themeColor="text1"/>
                <w:highlight w:val="none"/>
                <w:lang w:val="en-US" w:eastAsia="zh-CN"/>
                <w14:textFill>
                  <w14:solidFill>
                    <w14:schemeClr w14:val="tx1"/>
                  </w14:solidFill>
                </w14:textFill>
              </w:rPr>
              <w:t>生产</w:t>
            </w:r>
            <w:r>
              <w:rPr>
                <w:rFonts w:hint="default" w:ascii="Times New Roman" w:hAnsi="Times New Roman" w:cs="Times New Roman"/>
                <w:color w:val="000000" w:themeColor="text1"/>
                <w:highlight w:val="none"/>
                <w:lang w:val="en-US" w:eastAsia="zh-CN"/>
                <w14:textFill>
                  <w14:solidFill>
                    <w14:schemeClr w14:val="tx1"/>
                  </w14:solidFill>
                </w14:textFill>
              </w:rPr>
              <w:t>废水</w:t>
            </w:r>
            <w:r>
              <w:rPr>
                <w:rFonts w:hint="eastAsia" w:ascii="Times New Roman" w:hAnsi="Times New Roman" w:cs="Times New Roman"/>
                <w:color w:val="000000" w:themeColor="text1"/>
                <w:highlight w:val="none"/>
                <w:lang w:val="en-US" w:eastAsia="zh-CN"/>
                <w14:textFill>
                  <w14:solidFill>
                    <w14:schemeClr w14:val="tx1"/>
                  </w14:solidFill>
                </w14:textFill>
              </w:rPr>
              <w:t>和生活污水</w:t>
            </w:r>
            <w:r>
              <w:rPr>
                <w:rFonts w:hint="default" w:ascii="Times New Roman" w:hAnsi="Times New Roman" w:cs="Times New Roman"/>
                <w:color w:val="000000" w:themeColor="text1"/>
                <w:highlight w:val="none"/>
                <w:lang w:val="en-US" w:eastAsia="zh-CN"/>
                <w14:textFill>
                  <w14:solidFill>
                    <w14:schemeClr w14:val="tx1"/>
                  </w14:solidFill>
                </w14:textFill>
              </w:rPr>
              <w:t>排放量</w:t>
            </w:r>
            <w:r>
              <w:rPr>
                <w:rFonts w:hint="eastAsia" w:ascii="Times New Roman" w:hAnsi="Times New Roman" w:cs="Times New Roman"/>
                <w:color w:val="000000" w:themeColor="text1"/>
                <w:highlight w:val="none"/>
                <w:lang w:val="en-US" w:eastAsia="zh-CN"/>
                <w14:textFill>
                  <w14:solidFill>
                    <w14:schemeClr w14:val="tx1"/>
                  </w14:solidFill>
                </w14:textFill>
              </w:rPr>
              <w:t>平均</w:t>
            </w:r>
            <w:r>
              <w:rPr>
                <w:rFonts w:hint="default" w:ascii="Times New Roman" w:hAnsi="Times New Roman" w:cs="Times New Roman"/>
                <w:color w:val="000000" w:themeColor="text1"/>
                <w:highlight w:val="none"/>
                <w:lang w:val="en-US" w:eastAsia="zh-CN"/>
                <w14:textFill>
                  <w14:solidFill>
                    <w14:schemeClr w14:val="tx1"/>
                  </w14:solidFill>
                </w14:textFill>
              </w:rPr>
              <w:t>为</w:t>
            </w:r>
            <w:r>
              <w:rPr>
                <w:rFonts w:hint="eastAsia" w:ascii="Times New Roman" w:hAnsi="Times New Roman" w:cs="Times New Roman"/>
                <w:color w:val="000000" w:themeColor="text1"/>
                <w:highlight w:val="none"/>
                <w:lang w:val="en-US" w:eastAsia="zh-CN"/>
                <w14:textFill>
                  <w14:solidFill>
                    <w14:schemeClr w14:val="tx1"/>
                  </w14:solidFill>
                </w14:textFill>
              </w:rPr>
              <w:t>28.5</w:t>
            </w:r>
            <w:r>
              <w:rPr>
                <w:rFonts w:hint="default" w:ascii="Times New Roman" w:hAnsi="Times New Roman" w:eastAsia="宋体" w:cs="Times New Roman"/>
                <w:color w:val="000000" w:themeColor="text1"/>
                <w:sz w:val="24"/>
                <w:shd w:val="clear" w:color="auto" w:fill="FFFFFF"/>
                <w:lang w:val="en-US" w:eastAsia="zh-CN"/>
                <w14:textFill>
                  <w14:solidFill>
                    <w14:schemeClr w14:val="tx1"/>
                  </w14:solidFill>
                </w14:textFill>
              </w:rPr>
              <w:t>t</w:t>
            </w:r>
            <w:r>
              <w:rPr>
                <w:rFonts w:hint="default" w:ascii="Times New Roman" w:hAnsi="Times New Roman" w:eastAsia="宋体" w:cs="Times New Roman"/>
                <w:color w:val="000000" w:themeColor="text1"/>
                <w:sz w:val="24"/>
                <w:shd w:val="clear" w:color="auto" w:fill="FFFFFF"/>
                <w:lang w:eastAsia="zh-CN"/>
                <w14:textFill>
                  <w14:solidFill>
                    <w14:schemeClr w14:val="tx1"/>
                  </w14:solidFill>
                </w14:textFill>
              </w:rPr>
              <w:t>/d</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仅占福建青口海峡环保有限公司(青口新区污水处理厂)剩余处理规模的0.</w:t>
            </w:r>
            <w:r>
              <w:rPr>
                <w:rFonts w:hint="eastAsia" w:ascii="Times New Roman" w:hAnsi="Times New Roman" w:cs="Times New Roman"/>
                <w:color w:val="000000" w:themeColor="text1"/>
                <w:spacing w:val="0"/>
                <w:kern w:val="2"/>
                <w:position w:val="0"/>
                <w:sz w:val="24"/>
                <w:szCs w:val="24"/>
                <w:lang w:val="en-US" w:eastAsia="zh-CN" w:bidi="ar-SA"/>
                <w14:textFill>
                  <w14:solidFill>
                    <w14:schemeClr w14:val="tx1"/>
                  </w14:solidFill>
                </w14:textFill>
              </w:rPr>
              <w:t>29</w:t>
            </w:r>
            <w:r>
              <w:rPr>
                <w:rFonts w:hint="eastAsia" w:ascii="Times New Roman" w:hAnsi="Times New Roman" w:eastAsia="宋体" w:cs="Times New Roman"/>
                <w:color w:val="000000" w:themeColor="text1"/>
                <w:spacing w:val="0"/>
                <w:kern w:val="2"/>
                <w:positio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w:t>
            </w:r>
            <w:r>
              <w:rPr>
                <w:color w:val="000000" w:themeColor="text1"/>
                <w:sz w:val="24"/>
                <w14:textFill>
                  <w14:solidFill>
                    <w14:schemeClr w14:val="tx1"/>
                  </w14:solidFill>
                </w14:textFill>
              </w:rPr>
              <w:t>不会对</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青口新区污水处理厂</w:t>
            </w:r>
            <w:r>
              <w:rPr>
                <w:color w:val="000000" w:themeColor="text1"/>
                <w:sz w:val="24"/>
                <w14:textFill>
                  <w14:solidFill>
                    <w14:schemeClr w14:val="tx1"/>
                  </w14:solidFill>
                </w14:textFill>
              </w:rPr>
              <w:t>水量负荷造成冲击。</w:t>
            </w:r>
          </w:p>
          <w:p w14:paraId="68EFB257">
            <w:pPr>
              <w:pStyle w:val="86"/>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青口新区污水处理厂</w:t>
            </w:r>
            <w:r>
              <w:rPr>
                <w:rFonts w:hint="default" w:ascii="Times New Roman" w:hAnsi="Times New Roman" w:eastAsia="宋体" w:cs="Times New Roman"/>
                <w:color w:val="000000" w:themeColor="text1"/>
                <w:highlight w:val="none"/>
                <w:lang w:eastAsia="zh-CN"/>
                <w14:textFill>
                  <w14:solidFill>
                    <w14:schemeClr w14:val="tx1"/>
                  </w14:solidFill>
                </w14:textFill>
              </w:rPr>
              <w:t>采用</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改良型Carrousel-2000氧化沟</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处理工艺，</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深度处理系统采用“高效沉淀池+精密过滤器”，</w:t>
            </w:r>
            <w:r>
              <w:rPr>
                <w:rFonts w:hint="default" w:ascii="Times New Roman" w:hAnsi="Times New Roman" w:eastAsia="宋体" w:cs="Times New Roman"/>
                <w:color w:val="000000" w:themeColor="text1"/>
                <w:highlight w:val="none"/>
                <w:lang w:eastAsia="zh-CN"/>
                <w14:textFill>
                  <w14:solidFill>
                    <w14:schemeClr w14:val="tx1"/>
                  </w14:solidFill>
                </w14:textFill>
              </w:rPr>
              <w:t>属于城镇污水处理厂通用工艺</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且具有一定抗冲击负荷</w:t>
            </w:r>
            <w:r>
              <w:rPr>
                <w:rFonts w:hint="default" w:ascii="Times New Roman" w:hAnsi="Times New Roman" w:eastAsia="宋体" w:cs="Times New Roman"/>
                <w:color w:val="000000" w:themeColor="text1"/>
                <w:highlight w:val="none"/>
                <w:lang w:eastAsia="zh-CN"/>
                <w14:textFill>
                  <w14:solidFill>
                    <w14:schemeClr w14:val="tx1"/>
                  </w14:solidFill>
                </w14:textFill>
              </w:rPr>
              <w:t>，因此，从处理能力及处理工艺分析</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ascii="Times New Roman" w:hAnsi="Times New Roman" w:eastAsia="宋体" w:cs="Times New Roman"/>
                <w:color w:val="000000" w:themeColor="text1"/>
                <w:highlight w:val="none"/>
                <w:lang w:eastAsia="zh-CN"/>
                <w14:textFill>
                  <w14:solidFill>
                    <w14:schemeClr w14:val="tx1"/>
                  </w14:solidFill>
                </w14:textFill>
              </w:rPr>
              <w:t>福建青口海峡环保有限公司(青口新区污水处理厂)</w:t>
            </w:r>
            <w:r>
              <w:rPr>
                <w:rFonts w:hint="default" w:ascii="Times New Roman" w:hAnsi="Times New Roman" w:eastAsia="宋体" w:cs="Times New Roman"/>
                <w:color w:val="000000" w:themeColor="text1"/>
                <w:highlight w:val="none"/>
                <w:lang w:eastAsia="zh-CN"/>
                <w14:textFill>
                  <w14:solidFill>
                    <w14:schemeClr w14:val="tx1"/>
                  </w14:solidFill>
                </w14:textFill>
              </w:rPr>
              <w:t>可</w:t>
            </w:r>
            <w:r>
              <w:rPr>
                <w:rFonts w:hint="default" w:ascii="Times New Roman" w:hAnsi="Times New Roman" w:eastAsia="宋体" w:cs="Times New Roman"/>
                <w:color w:val="000000" w:themeColor="text1"/>
                <w:highlight w:val="none"/>
                <w14:textFill>
                  <w14:solidFill>
                    <w14:schemeClr w14:val="tx1"/>
                  </w14:solidFill>
                </w14:textFill>
              </w:rPr>
              <w:t>接纳项目</w:t>
            </w:r>
            <w:r>
              <w:rPr>
                <w:rFonts w:hint="default" w:ascii="Times New Roman" w:hAnsi="Times New Roman" w:eastAsia="宋体" w:cs="Times New Roman"/>
                <w:color w:val="000000" w:themeColor="text1"/>
                <w:highlight w:val="none"/>
                <w:lang w:eastAsia="zh-CN"/>
                <w14:textFill>
                  <w14:solidFill>
                    <w14:schemeClr w14:val="tx1"/>
                  </w14:solidFill>
                </w14:textFill>
              </w:rPr>
              <w:t>废水排放量，不会对</w:t>
            </w:r>
            <w:r>
              <w:rPr>
                <w:rFonts w:hint="eastAsia" w:ascii="Times New Roman" w:hAnsi="Times New Roman" w:eastAsia="宋体" w:cs="Times New Roman"/>
                <w:color w:val="000000" w:themeColor="text1"/>
                <w:highlight w:val="none"/>
                <w:lang w:eastAsia="zh-CN"/>
                <w14:textFill>
                  <w14:solidFill>
                    <w14:schemeClr w14:val="tx1"/>
                  </w14:solidFill>
                </w14:textFill>
              </w:rPr>
              <w:t>污水处理厂</w:t>
            </w:r>
            <w:r>
              <w:rPr>
                <w:rFonts w:hint="default" w:ascii="Times New Roman" w:hAnsi="Times New Roman" w:eastAsia="宋体" w:cs="Times New Roman"/>
                <w:color w:val="000000" w:themeColor="text1"/>
                <w:highlight w:val="none"/>
                <w:lang w:eastAsia="zh-CN"/>
                <w14:textFill>
                  <w14:solidFill>
                    <w14:schemeClr w14:val="tx1"/>
                  </w14:solidFill>
                </w14:textFill>
              </w:rPr>
              <w:t>水量负荷造成冲击</w:t>
            </w:r>
            <w:r>
              <w:rPr>
                <w:rFonts w:hint="default" w:ascii="Times New Roman" w:hAnsi="Times New Roman" w:eastAsia="宋体" w:cs="Times New Roman"/>
                <w:color w:val="000000" w:themeColor="text1"/>
                <w:highlight w:val="none"/>
                <w14:textFill>
                  <w14:solidFill>
                    <w14:schemeClr w14:val="tx1"/>
                  </w14:solidFill>
                </w14:textFill>
              </w:rPr>
              <w:t>。</w:t>
            </w:r>
          </w:p>
          <w:p w14:paraId="262DFBDC">
            <w:pPr>
              <w:tabs>
                <w:tab w:val="left" w:pos="3420"/>
              </w:tabs>
              <w:spacing w:line="360" w:lineRule="auto"/>
              <w:ind w:firstLine="480" w:firstLineChars="200"/>
              <w:rPr>
                <w:rFonts w:hint="eastAsia"/>
                <w:b w:val="0"/>
                <w:bCs w:val="0"/>
                <w:color w:val="000000" w:themeColor="text1"/>
                <w:sz w:val="24"/>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④</w:t>
            </w:r>
            <w:r>
              <w:rPr>
                <w:rFonts w:hint="eastAsia"/>
                <w:b w:val="0"/>
                <w:bCs w:val="0"/>
                <w:color w:val="000000" w:themeColor="text1"/>
                <w:sz w:val="24"/>
                <w14:textFill>
                  <w14:solidFill>
                    <w14:schemeClr w14:val="tx1"/>
                  </w14:solidFill>
                </w14:textFill>
              </w:rPr>
              <w:t>小结</w:t>
            </w:r>
          </w:p>
          <w:p w14:paraId="0368F023">
            <w:pPr>
              <w:tabs>
                <w:tab w:val="left" w:pos="3420"/>
              </w:tabs>
              <w:spacing w:line="360" w:lineRule="auto"/>
              <w:ind w:firstLine="480" w:firstLineChars="200"/>
              <w:rPr>
                <w:rFonts w:ascii="Times New Roman" w:hAnsi="Times New Roman"/>
                <w:b/>
                <w:color w:val="000000" w:themeColor="text1"/>
                <w:spacing w:val="0"/>
                <w:kern w:val="0"/>
                <w:position w:val="0"/>
                <w:sz w:val="24"/>
                <w14:textFill>
                  <w14:solidFill>
                    <w14:schemeClr w14:val="tx1"/>
                  </w14:solidFill>
                </w14:textFill>
              </w:rPr>
            </w:pPr>
            <w:r>
              <w:rPr>
                <w:rFonts w:hint="eastAsia"/>
                <w:color w:val="000000" w:themeColor="text1"/>
                <w:sz w:val="24"/>
                <w14:textFill>
                  <w14:solidFill>
                    <w14:schemeClr w14:val="tx1"/>
                  </w14:solidFill>
                </w14:textFill>
              </w:rPr>
              <w:t>根据上述分析，项目外排污水经分别预处理达标后可排入市政污水管网，纳入</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福建青口海峡环保有限公司(青口新区污水处理厂)</w:t>
            </w:r>
            <w:r>
              <w:rPr>
                <w:rFonts w:hint="eastAsia"/>
                <w:color w:val="000000" w:themeColor="text1"/>
                <w:sz w:val="24"/>
                <w14:textFill>
                  <w14:solidFill>
                    <w14:schemeClr w14:val="tx1"/>
                  </w14:solidFill>
                </w14:textFill>
              </w:rPr>
              <w:t>集中处理，项目废水水质、水量不会对污水处理厂造成冲击式负荷，项目污水不直接排入地表水体，因此几乎不会对区域地表水环境产生直接不利影响。</w:t>
            </w:r>
          </w:p>
          <w:p w14:paraId="776CF3D3">
            <w:pPr>
              <w:adjustRightInd w:val="0"/>
              <w:snapToGrid w:val="0"/>
              <w:spacing w:line="360" w:lineRule="auto"/>
              <w:rPr>
                <w:rFonts w:ascii="Times New Roman" w:hAnsi="Times New Roman"/>
                <w:b/>
                <w:color w:val="000000" w:themeColor="text1"/>
                <w:spacing w:val="0"/>
                <w:kern w:val="0"/>
                <w:position w:val="0"/>
                <w:sz w:val="24"/>
                <w14:textFill>
                  <w14:solidFill>
                    <w14:schemeClr w14:val="tx1"/>
                  </w14:solidFill>
                </w14:textFill>
              </w:rPr>
            </w:pPr>
            <w:r>
              <w:rPr>
                <w:rFonts w:ascii="Times New Roman" w:hAnsi="Times New Roman"/>
                <w:b/>
                <w:color w:val="000000" w:themeColor="text1"/>
                <w:spacing w:val="0"/>
                <w:kern w:val="0"/>
                <w:position w:val="0"/>
                <w:sz w:val="24"/>
                <w14:textFill>
                  <w14:solidFill>
                    <w14:schemeClr w14:val="tx1"/>
                  </w14:solidFill>
                </w14:textFill>
              </w:rPr>
              <w:t>4.</w:t>
            </w:r>
            <w:r>
              <w:rPr>
                <w:rFonts w:hint="eastAsia" w:ascii="Times New Roman" w:hAnsi="Times New Roman"/>
                <w:b/>
                <w:color w:val="000000" w:themeColor="text1"/>
                <w:spacing w:val="0"/>
                <w:kern w:val="0"/>
                <w:position w:val="0"/>
                <w:sz w:val="24"/>
                <w:lang w:val="en-US" w:eastAsia="zh-CN"/>
                <w14:textFill>
                  <w14:solidFill>
                    <w14:schemeClr w14:val="tx1"/>
                  </w14:solidFill>
                </w14:textFill>
              </w:rPr>
              <w:t>3</w:t>
            </w:r>
            <w:r>
              <w:rPr>
                <w:rFonts w:ascii="Times New Roman" w:hAnsi="Times New Roman"/>
                <w:b/>
                <w:color w:val="000000" w:themeColor="text1"/>
                <w:spacing w:val="0"/>
                <w:kern w:val="0"/>
                <w:position w:val="0"/>
                <w:sz w:val="24"/>
                <w14:textFill>
                  <w14:solidFill>
                    <w14:schemeClr w14:val="tx1"/>
                  </w14:solidFill>
                </w14:textFill>
              </w:rPr>
              <w:t>.</w:t>
            </w:r>
            <w:r>
              <w:rPr>
                <w:rFonts w:hint="eastAsia" w:ascii="Times New Roman" w:hAnsi="Times New Roman"/>
                <w:b/>
                <w:color w:val="000000" w:themeColor="text1"/>
                <w:spacing w:val="0"/>
                <w:kern w:val="0"/>
                <w:position w:val="0"/>
                <w:sz w:val="24"/>
                <w:lang w:val="en-US" w:eastAsia="zh-CN"/>
                <w14:textFill>
                  <w14:solidFill>
                    <w14:schemeClr w14:val="tx1"/>
                  </w14:solidFill>
                </w14:textFill>
              </w:rPr>
              <w:t>4</w:t>
            </w:r>
            <w:r>
              <w:rPr>
                <w:rFonts w:ascii="Times New Roman" w:hAnsi="Times New Roman"/>
                <w:b/>
                <w:color w:val="000000" w:themeColor="text1"/>
                <w:spacing w:val="0"/>
                <w:kern w:val="0"/>
                <w:position w:val="0"/>
                <w:sz w:val="24"/>
                <w14:textFill>
                  <w14:solidFill>
                    <w14:schemeClr w14:val="tx1"/>
                  </w14:solidFill>
                </w14:textFill>
              </w:rPr>
              <w:t>自行监测计划</w:t>
            </w:r>
          </w:p>
          <w:p w14:paraId="6FB265E8">
            <w:pPr>
              <w:pStyle w:val="76"/>
              <w:adjustRightInd w:val="0"/>
              <w:snapToGrid w:val="0"/>
              <w:ind w:firstLine="480"/>
              <w:rPr>
                <w:rFonts w:ascii="Times New Roman" w:hAnsi="Times New Roman"/>
                <w:color w:val="000000" w:themeColor="text1"/>
                <w:spacing w:val="0"/>
                <w:position w:val="0"/>
                <w14:textFill>
                  <w14:solidFill>
                    <w14:schemeClr w14:val="tx1"/>
                  </w14:solidFill>
                </w14:textFill>
              </w:rPr>
            </w:pPr>
            <w:r>
              <w:rPr>
                <w:rFonts w:hint="eastAsia" w:ascii="Times New Roman" w:hAnsi="Times New Roman"/>
                <w:bCs/>
                <w:color w:val="000000" w:themeColor="text1"/>
                <w:spacing w:val="0"/>
                <w:position w:val="0"/>
                <w14:textFill>
                  <w14:solidFill>
                    <w14:schemeClr w14:val="tx1"/>
                  </w14:solidFill>
                </w14:textFill>
              </w:rPr>
              <w:t>本评价</w:t>
            </w: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根据《排污单位自行监测技术指南 总则》（</w:t>
            </w:r>
            <w:r>
              <w:rPr>
                <w:rFonts w:hint="default" w:ascii="Times New Roman" w:hAnsi="Times New Roman" w:eastAsia="宋体" w:cs="Times New Roman"/>
                <w:bCs/>
                <w:color w:val="000000" w:themeColor="text1"/>
                <w:spacing w:val="0"/>
                <w:position w:val="0"/>
                <w:lang w:val="en-US" w:eastAsia="zh-CN"/>
                <w14:textFill>
                  <w14:solidFill>
                    <w14:schemeClr w14:val="tx1"/>
                  </w14:solidFill>
                </w14:textFill>
              </w:rPr>
              <w:t>HJ 819-2017</w:t>
            </w: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）、《排污单位自行监测技术指南 涂装》（</w:t>
            </w:r>
            <w:r>
              <w:rPr>
                <w:rFonts w:hint="default" w:ascii="Times New Roman" w:hAnsi="Times New Roman" w:eastAsia="宋体" w:cs="Times New Roman"/>
                <w:bCs/>
                <w:color w:val="000000" w:themeColor="text1"/>
                <w:spacing w:val="0"/>
                <w:position w:val="0"/>
                <w:lang w:val="en-US" w:eastAsia="zh-CN"/>
                <w14:textFill>
                  <w14:solidFill>
                    <w14:schemeClr w14:val="tx1"/>
                  </w14:solidFill>
                </w14:textFill>
              </w:rPr>
              <w:t>HJ 1086-2020</w:t>
            </w: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w:t>
            </w:r>
            <w:r>
              <w:rPr>
                <w:rFonts w:hint="eastAsia" w:ascii="Times New Roman" w:hAnsi="Times New Roman"/>
                <w:bCs/>
                <w:color w:val="000000" w:themeColor="text1"/>
                <w:spacing w:val="0"/>
                <w:position w:val="0"/>
                <w14:textFill>
                  <w14:solidFill>
                    <w14:schemeClr w14:val="tx1"/>
                  </w14:solidFill>
                </w14:textFill>
              </w:rPr>
              <w:t>，提出项目运营期废</w:t>
            </w:r>
            <w:r>
              <w:rPr>
                <w:rFonts w:hint="eastAsia" w:ascii="Times New Roman" w:hAnsi="Times New Roman"/>
                <w:bCs/>
                <w:color w:val="000000" w:themeColor="text1"/>
                <w:spacing w:val="0"/>
                <w:position w:val="0"/>
                <w:lang w:val="en-US" w:eastAsia="zh-CN"/>
                <w14:textFill>
                  <w14:solidFill>
                    <w14:schemeClr w14:val="tx1"/>
                  </w14:solidFill>
                </w14:textFill>
              </w:rPr>
              <w:t>水</w:t>
            </w:r>
            <w:r>
              <w:rPr>
                <w:rFonts w:hint="eastAsia" w:ascii="Times New Roman" w:hAnsi="Times New Roman"/>
                <w:bCs/>
                <w:color w:val="000000" w:themeColor="text1"/>
                <w:spacing w:val="0"/>
                <w:position w:val="0"/>
                <w14:textFill>
                  <w14:solidFill>
                    <w14:schemeClr w14:val="tx1"/>
                  </w14:solidFill>
                </w14:textFill>
              </w:rPr>
              <w:t>自行监测计划，具体详见表4.</w:t>
            </w:r>
            <w:r>
              <w:rPr>
                <w:rFonts w:hint="eastAsia" w:ascii="Times New Roman" w:hAnsi="Times New Roman"/>
                <w:bCs/>
                <w:color w:val="000000" w:themeColor="text1"/>
                <w:spacing w:val="0"/>
                <w:position w:val="0"/>
                <w:lang w:val="en-US" w:eastAsia="zh-CN"/>
                <w14:textFill>
                  <w14:solidFill>
                    <w14:schemeClr w14:val="tx1"/>
                  </w14:solidFill>
                </w14:textFill>
              </w:rPr>
              <w:t>3-</w:t>
            </w:r>
            <w:r>
              <w:rPr>
                <w:rFonts w:hint="eastAsia"/>
                <w:bCs/>
                <w:color w:val="000000" w:themeColor="text1"/>
                <w:spacing w:val="0"/>
                <w:position w:val="0"/>
                <w:lang w:val="en-US" w:eastAsia="zh-CN"/>
                <w14:textFill>
                  <w14:solidFill>
                    <w14:schemeClr w14:val="tx1"/>
                  </w14:solidFill>
                </w14:textFill>
              </w:rPr>
              <w:t>7</w:t>
            </w:r>
            <w:r>
              <w:rPr>
                <w:rFonts w:hint="eastAsia" w:ascii="Times New Roman" w:hAnsi="Times New Roman"/>
                <w:bCs/>
                <w:color w:val="000000" w:themeColor="text1"/>
                <w:spacing w:val="0"/>
                <w:position w:val="0"/>
                <w14:textFill>
                  <w14:solidFill>
                    <w14:schemeClr w14:val="tx1"/>
                  </w14:solidFill>
                </w14:textFill>
              </w:rPr>
              <w:t>。</w:t>
            </w:r>
          </w:p>
          <w:p w14:paraId="66F2C4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表4.</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3-</w:t>
            </w:r>
            <w:r>
              <w:rPr>
                <w:rFonts w:hint="eastAsia" w:cs="Times New Roman"/>
                <w:b/>
                <w:bCs/>
                <w:color w:val="000000" w:themeColor="text1"/>
                <w:kern w:val="0"/>
                <w:sz w:val="24"/>
                <w:lang w:val="en-US" w:eastAsia="zh-CN" w:bidi="ar"/>
                <w14:textFill>
                  <w14:solidFill>
                    <w14:schemeClr w14:val="tx1"/>
                  </w14:solidFill>
                </w14:textFill>
              </w:rPr>
              <w:t>7</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项目废</w:t>
            </w:r>
            <w:r>
              <w:rPr>
                <w:rFonts w:hint="eastAsia" w:ascii="Times New Roman" w:hAnsi="Times New Roman" w:eastAsia="宋体" w:cs="Times New Roman"/>
                <w:b/>
                <w:bCs/>
                <w:color w:val="000000" w:themeColor="text1"/>
                <w:kern w:val="0"/>
                <w:sz w:val="24"/>
                <w:lang w:val="en-US" w:eastAsia="zh-CN" w:bidi="ar"/>
                <w14:textFill>
                  <w14:solidFill>
                    <w14:schemeClr w14:val="tx1"/>
                  </w14:solidFill>
                </w14:textFill>
              </w:rPr>
              <w:t>水</w:t>
            </w: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自行监测计划</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370"/>
              <w:gridCol w:w="3145"/>
              <w:gridCol w:w="2402"/>
              <w:gridCol w:w="999"/>
            </w:tblGrid>
            <w:tr w14:paraId="43077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9" w:type="pct"/>
                  <w:noWrap w:val="0"/>
                  <w:vAlign w:val="center"/>
                </w:tcPr>
                <w:p w14:paraId="31D506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t>类别</w:t>
                  </w:r>
                </w:p>
              </w:tc>
              <w:tc>
                <w:tcPr>
                  <w:tcW w:w="787" w:type="pct"/>
                  <w:noWrap w:val="0"/>
                  <w:vAlign w:val="center"/>
                </w:tcPr>
                <w:p w14:paraId="33C7CF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t>监测点位</w:t>
                  </w:r>
                </w:p>
              </w:tc>
              <w:tc>
                <w:tcPr>
                  <w:tcW w:w="1807" w:type="pct"/>
                  <w:noWrap w:val="0"/>
                  <w:vAlign w:val="center"/>
                </w:tcPr>
                <w:p w14:paraId="79CFE3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color w:val="000000" w:themeColor="text1"/>
                      <w:spacing w:val="0"/>
                      <w:position w:val="0"/>
                      <w:sz w:val="21"/>
                      <w:szCs w:val="21"/>
                      <w14:textFill>
                        <w14:solidFill>
                          <w14:schemeClr w14:val="tx1"/>
                        </w14:solidFill>
                      </w14:textFill>
                    </w:rPr>
                  </w:pPr>
                  <w:r>
                    <w:rPr>
                      <w:rFonts w:hint="default" w:ascii="Times New Roman" w:hAnsi="Times New Roman" w:cs="Times New Roman"/>
                      <w:bCs/>
                      <w:color w:val="000000" w:themeColor="text1"/>
                      <w:spacing w:val="0"/>
                      <w:position w:val="0"/>
                      <w:sz w:val="21"/>
                      <w:szCs w:val="21"/>
                      <w14:textFill>
                        <w14:solidFill>
                          <w14:schemeClr w14:val="tx1"/>
                        </w14:solidFill>
                      </w14:textFill>
                    </w:rPr>
                    <w:t>监测因子</w:t>
                  </w:r>
                </w:p>
              </w:tc>
              <w:tc>
                <w:tcPr>
                  <w:tcW w:w="1380" w:type="pct"/>
                  <w:noWrap w:val="0"/>
                  <w:vAlign w:val="center"/>
                </w:tcPr>
                <w:p w14:paraId="50260D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color w:val="000000" w:themeColor="text1"/>
                      <w:spacing w:val="0"/>
                      <w:position w:val="0"/>
                      <w:sz w:val="21"/>
                      <w:szCs w:val="21"/>
                      <w14:textFill>
                        <w14:solidFill>
                          <w14:schemeClr w14:val="tx1"/>
                        </w14:solidFill>
                      </w14:textFill>
                    </w:rPr>
                  </w:pPr>
                  <w:r>
                    <w:rPr>
                      <w:rFonts w:hint="default" w:ascii="Times New Roman" w:hAnsi="Times New Roman" w:cs="Times New Roman"/>
                      <w:bCs/>
                      <w:color w:val="000000" w:themeColor="text1"/>
                      <w:spacing w:val="0"/>
                      <w:position w:val="0"/>
                      <w:sz w:val="21"/>
                      <w:szCs w:val="21"/>
                      <w14:textFill>
                        <w14:solidFill>
                          <w14:schemeClr w14:val="tx1"/>
                        </w14:solidFill>
                      </w14:textFill>
                    </w:rPr>
                    <w:t>监测频次</w:t>
                  </w:r>
                </w:p>
              </w:tc>
              <w:tc>
                <w:tcPr>
                  <w:tcW w:w="574" w:type="pct"/>
                  <w:noWrap w:val="0"/>
                  <w:vAlign w:val="center"/>
                </w:tcPr>
                <w:p w14:paraId="1C760C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pPr>
                  <w:r>
                    <w:rPr>
                      <w:rFonts w:hint="eastAsia" w:cs="Times New Roman"/>
                      <w:bCs/>
                      <w:color w:val="000000" w:themeColor="text1"/>
                      <w:spacing w:val="0"/>
                      <w:position w:val="0"/>
                      <w:sz w:val="21"/>
                      <w:szCs w:val="21"/>
                      <w:lang w:val="en-US" w:eastAsia="zh-CN"/>
                      <w14:textFill>
                        <w14:solidFill>
                          <w14:schemeClr w14:val="tx1"/>
                        </w14:solidFill>
                      </w14:textFill>
                    </w:rPr>
                    <w:t>备注</w:t>
                  </w:r>
                </w:p>
              </w:tc>
            </w:tr>
            <w:tr w14:paraId="73AB8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9" w:type="pct"/>
                  <w:noWrap w:val="0"/>
                  <w:vAlign w:val="center"/>
                </w:tcPr>
                <w:p w14:paraId="52FA07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t>生活污水</w:t>
                  </w:r>
                </w:p>
              </w:tc>
              <w:tc>
                <w:tcPr>
                  <w:tcW w:w="787" w:type="pct"/>
                  <w:noWrap w:val="0"/>
                  <w:vAlign w:val="center"/>
                </w:tcPr>
                <w:p w14:paraId="57AA70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t>生活污水总排放口</w:t>
                  </w:r>
                </w:p>
              </w:tc>
              <w:tc>
                <w:tcPr>
                  <w:tcW w:w="1807" w:type="pct"/>
                  <w:noWrap w:val="0"/>
                  <w:vAlign w:val="center"/>
                </w:tcPr>
                <w:p w14:paraId="5318835D">
                  <w:pPr>
                    <w:pStyle w:val="132"/>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eastAsia" w:ascii="Times New Roman" w:hAnsi="Times New Roman" w:eastAsia="宋体" w:cs="Times New Roman"/>
                      <w:color w:val="000000" w:themeColor="text1"/>
                      <w:spacing w:val="0"/>
                      <w:kern w:val="2"/>
                      <w:position w:val="0"/>
                      <w:sz w:val="21"/>
                      <w:szCs w:val="21"/>
                      <w:lang w:val="en-US" w:eastAsia="zh-CN" w:bidi="ar-SA"/>
                      <w14:textFill>
                        <w14:solidFill>
                          <w14:schemeClr w14:val="tx1"/>
                        </w14:solidFill>
                      </w14:textFill>
                    </w:rPr>
                  </w:pPr>
                  <w:r>
                    <w:rPr>
                      <w:rFonts w:ascii="Times New Roman" w:hAnsi="Times New Roman" w:eastAsia="Times New Roman" w:cs="Times New Roman"/>
                      <w:color w:val="000000" w:themeColor="text1"/>
                      <w:spacing w:val="0"/>
                      <w:position w:val="0"/>
                      <w:sz w:val="21"/>
                      <w:szCs w:val="21"/>
                      <w14:textFill>
                        <w14:solidFill>
                          <w14:schemeClr w14:val="tx1"/>
                        </w14:solidFill>
                      </w14:textFill>
                    </w:rPr>
                    <w:t>pH</w:t>
                  </w:r>
                  <w:r>
                    <w:rPr>
                      <w:color w:val="000000" w:themeColor="text1"/>
                      <w:spacing w:val="0"/>
                      <w:position w:val="0"/>
                      <w:sz w:val="21"/>
                      <w:szCs w:val="21"/>
                      <w14:textFill>
                        <w14:solidFill>
                          <w14:schemeClr w14:val="tx1"/>
                        </w14:solidFill>
                      </w14:textFill>
                    </w:rPr>
                    <w:t>、</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SS</w:t>
                  </w:r>
                  <w:r>
                    <w:rPr>
                      <w:color w:val="000000" w:themeColor="text1"/>
                      <w:spacing w:val="0"/>
                      <w:position w:val="0"/>
                      <w:sz w:val="21"/>
                      <w:szCs w:val="21"/>
                      <w14:textFill>
                        <w14:solidFill>
                          <w14:schemeClr w14:val="tx1"/>
                        </w14:solidFill>
                      </w14:textFill>
                    </w:rPr>
                    <w:t>、</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BOD</w:t>
                  </w:r>
                  <w:r>
                    <w:rPr>
                      <w:rFonts w:ascii="Times New Roman" w:hAnsi="Times New Roman" w:eastAsia="Times New Roman" w:cs="Times New Roman"/>
                      <w:color w:val="000000" w:themeColor="text1"/>
                      <w:spacing w:val="0"/>
                      <w:position w:val="0"/>
                      <w:sz w:val="21"/>
                      <w:szCs w:val="21"/>
                      <w:vertAlign w:val="subscript"/>
                      <w14:textFill>
                        <w14:solidFill>
                          <w14:schemeClr w14:val="tx1"/>
                        </w14:solidFill>
                      </w14:textFill>
                    </w:rPr>
                    <w:t>5</w:t>
                  </w:r>
                  <w:r>
                    <w:rPr>
                      <w:color w:val="000000" w:themeColor="text1"/>
                      <w:spacing w:val="0"/>
                      <w:position w:val="0"/>
                      <w:sz w:val="21"/>
                      <w:szCs w:val="21"/>
                      <w14:textFill>
                        <w14:solidFill>
                          <w14:schemeClr w14:val="tx1"/>
                        </w14:solidFill>
                      </w14:textFill>
                    </w:rPr>
                    <w:t>、</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COD</w:t>
                  </w:r>
                  <w:r>
                    <w:rPr>
                      <w:color w:val="000000" w:themeColor="text1"/>
                      <w:spacing w:val="0"/>
                      <w:position w:val="0"/>
                      <w:sz w:val="21"/>
                      <w:szCs w:val="21"/>
                      <w14:textFill>
                        <w14:solidFill>
                          <w14:schemeClr w14:val="tx1"/>
                        </w14:solidFill>
                      </w14:textFill>
                    </w:rPr>
                    <w:t>、</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NH</w:t>
                  </w:r>
                  <w:r>
                    <w:rPr>
                      <w:rFonts w:ascii="Times New Roman" w:hAnsi="Times New Roman" w:eastAsia="Times New Roman" w:cs="Times New Roman"/>
                      <w:color w:val="000000" w:themeColor="text1"/>
                      <w:spacing w:val="0"/>
                      <w:position w:val="0"/>
                      <w:sz w:val="21"/>
                      <w:szCs w:val="21"/>
                      <w:vertAlign w:val="subscript"/>
                      <w14:textFill>
                        <w14:solidFill>
                          <w14:schemeClr w14:val="tx1"/>
                        </w14:solidFill>
                      </w14:textFill>
                    </w:rPr>
                    <w:t>3</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-N</w:t>
                  </w:r>
                </w:p>
              </w:tc>
              <w:tc>
                <w:tcPr>
                  <w:tcW w:w="1380" w:type="pct"/>
                  <w:noWrap w:val="0"/>
                  <w:vAlign w:val="center"/>
                </w:tcPr>
                <w:p w14:paraId="4970B0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color w:val="000000" w:themeColor="text1"/>
                      <w:spacing w:val="0"/>
                      <w:kern w:val="2"/>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w:t>
                  </w:r>
                </w:p>
              </w:tc>
              <w:tc>
                <w:tcPr>
                  <w:tcW w:w="574" w:type="pct"/>
                  <w:noWrap w:val="0"/>
                  <w:vAlign w:val="center"/>
                </w:tcPr>
                <w:p w14:paraId="65133F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cs="Times New Roman"/>
                      <w:color w:val="000000" w:themeColor="text1"/>
                      <w:spacing w:val="0"/>
                      <w:position w:val="0"/>
                      <w:sz w:val="21"/>
                      <w:szCs w:val="21"/>
                      <w:lang w:val="en-US" w:eastAsia="zh-CN"/>
                      <w14:textFill>
                        <w14:solidFill>
                          <w14:schemeClr w14:val="tx1"/>
                        </w14:solidFill>
                      </w14:textFill>
                    </w:rPr>
                    <w:t>/</w:t>
                  </w:r>
                </w:p>
              </w:tc>
            </w:tr>
            <w:tr w14:paraId="2F3E3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9" w:type="pct"/>
                  <w:vMerge w:val="restart"/>
                  <w:noWrap w:val="0"/>
                  <w:vAlign w:val="center"/>
                </w:tcPr>
                <w:p w14:paraId="3C2699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t>生产废水</w:t>
                  </w:r>
                </w:p>
              </w:tc>
              <w:tc>
                <w:tcPr>
                  <w:tcW w:w="787" w:type="pct"/>
                  <w:vMerge w:val="restart"/>
                  <w:noWrap w:val="0"/>
                  <w:vAlign w:val="center"/>
                </w:tcPr>
                <w:p w14:paraId="403B82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t>生产废水总排放口</w:t>
                  </w:r>
                </w:p>
              </w:tc>
              <w:tc>
                <w:tcPr>
                  <w:tcW w:w="1807" w:type="pct"/>
                  <w:noWrap w:val="0"/>
                  <w:vAlign w:val="center"/>
                </w:tcPr>
                <w:p w14:paraId="5A6AB5A4">
                  <w:pPr>
                    <w:pStyle w:val="13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ascii="Times New Roman" w:hAnsi="Times New Roman" w:eastAsia="Times New Roman" w:cs="Times New Roman"/>
                      <w:color w:val="000000" w:themeColor="text1"/>
                      <w:spacing w:val="0"/>
                      <w:position w:val="0"/>
                      <w:sz w:val="21"/>
                      <w:szCs w:val="21"/>
                      <w14:textFill>
                        <w14:solidFill>
                          <w14:schemeClr w14:val="tx1"/>
                        </w14:solidFill>
                      </w14:textFill>
                    </w:rPr>
                    <w:t>pH</w:t>
                  </w:r>
                  <w:r>
                    <w:rPr>
                      <w:color w:val="000000" w:themeColor="text1"/>
                      <w:spacing w:val="0"/>
                      <w:position w:val="0"/>
                      <w:sz w:val="21"/>
                      <w:szCs w:val="21"/>
                      <w14:textFill>
                        <w14:solidFill>
                          <w14:schemeClr w14:val="tx1"/>
                        </w14:solidFill>
                      </w14:textFill>
                    </w:rPr>
                    <w:t>、</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SS</w:t>
                  </w:r>
                  <w:r>
                    <w:rPr>
                      <w:color w:val="000000" w:themeColor="text1"/>
                      <w:spacing w:val="0"/>
                      <w:position w:val="0"/>
                      <w:sz w:val="21"/>
                      <w:szCs w:val="21"/>
                      <w14:textFill>
                        <w14:solidFill>
                          <w14:schemeClr w14:val="tx1"/>
                        </w14:solidFill>
                      </w14:textFill>
                    </w:rPr>
                    <w:t>、</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BOD</w:t>
                  </w:r>
                  <w:r>
                    <w:rPr>
                      <w:rFonts w:ascii="Times New Roman" w:hAnsi="Times New Roman" w:eastAsia="Times New Roman" w:cs="Times New Roman"/>
                      <w:color w:val="000000" w:themeColor="text1"/>
                      <w:spacing w:val="0"/>
                      <w:position w:val="0"/>
                      <w:sz w:val="21"/>
                      <w:szCs w:val="21"/>
                      <w:vertAlign w:val="subscript"/>
                      <w14:textFill>
                        <w14:solidFill>
                          <w14:schemeClr w14:val="tx1"/>
                        </w14:solidFill>
                      </w14:textFill>
                    </w:rPr>
                    <w:t>5</w:t>
                  </w:r>
                  <w:r>
                    <w:rPr>
                      <w:color w:val="000000" w:themeColor="text1"/>
                      <w:spacing w:val="0"/>
                      <w:position w:val="0"/>
                      <w:sz w:val="21"/>
                      <w:szCs w:val="21"/>
                      <w14:textFill>
                        <w14:solidFill>
                          <w14:schemeClr w14:val="tx1"/>
                        </w14:solidFill>
                      </w14:textFill>
                    </w:rPr>
                    <w:t>、</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COD</w:t>
                  </w:r>
                  <w:r>
                    <w:rPr>
                      <w:color w:val="000000" w:themeColor="text1"/>
                      <w:spacing w:val="0"/>
                      <w:position w:val="0"/>
                      <w:sz w:val="21"/>
                      <w:szCs w:val="21"/>
                      <w14:textFill>
                        <w14:solidFill>
                          <w14:schemeClr w14:val="tx1"/>
                        </w14:solidFill>
                      </w14:textFill>
                    </w:rPr>
                    <w:t>、</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NH</w:t>
                  </w:r>
                  <w:r>
                    <w:rPr>
                      <w:rFonts w:ascii="Times New Roman" w:hAnsi="Times New Roman" w:eastAsia="Times New Roman" w:cs="Times New Roman"/>
                      <w:color w:val="000000" w:themeColor="text1"/>
                      <w:spacing w:val="0"/>
                      <w:position w:val="0"/>
                      <w:sz w:val="21"/>
                      <w:szCs w:val="21"/>
                      <w:vertAlign w:val="subscript"/>
                      <w14:textFill>
                        <w14:solidFill>
                          <w14:schemeClr w14:val="tx1"/>
                        </w14:solidFill>
                      </w14:textFill>
                    </w:rPr>
                    <w:t>3</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-N</w:t>
                  </w:r>
                  <w:r>
                    <w:rPr>
                      <w:color w:val="000000" w:themeColor="text1"/>
                      <w:spacing w:val="0"/>
                      <w:position w:val="0"/>
                      <w:sz w:val="21"/>
                      <w:szCs w:val="21"/>
                      <w14:textFill>
                        <w14:solidFill>
                          <w14:schemeClr w14:val="tx1"/>
                        </w14:solidFill>
                      </w14:textFill>
                    </w:rPr>
                    <w:t>、石油类、</w:t>
                  </w:r>
                  <w:r>
                    <w:rPr>
                      <w:rFonts w:hint="eastAsia"/>
                      <w:color w:val="000000" w:themeColor="text1"/>
                      <w:spacing w:val="0"/>
                      <w:position w:val="0"/>
                      <w:sz w:val="21"/>
                      <w:szCs w:val="21"/>
                      <w:lang w:val="en-US" w:eastAsia="zh-CN"/>
                      <w14:textFill>
                        <w14:solidFill>
                          <w14:schemeClr w14:val="tx1"/>
                        </w14:solidFill>
                      </w14:textFill>
                    </w:rPr>
                    <w:t>总磷</w:t>
                  </w:r>
                  <w:r>
                    <w:rPr>
                      <w:color w:val="000000" w:themeColor="text1"/>
                      <w:spacing w:val="0"/>
                      <w:position w:val="0"/>
                      <w:sz w:val="21"/>
                      <w:szCs w:val="21"/>
                      <w14:textFill>
                        <w14:solidFill>
                          <w14:schemeClr w14:val="tx1"/>
                        </w14:solidFill>
                      </w14:textFill>
                    </w:rPr>
                    <w:t>、</w:t>
                  </w:r>
                  <w:r>
                    <w:rPr>
                      <w:rFonts w:hint="eastAsia"/>
                      <w:color w:val="000000" w:themeColor="text1"/>
                      <w:spacing w:val="0"/>
                      <w:position w:val="0"/>
                      <w:sz w:val="21"/>
                      <w:szCs w:val="21"/>
                      <w:lang w:val="en-US" w:eastAsia="zh-CN"/>
                      <w14:textFill>
                        <w14:solidFill>
                          <w14:schemeClr w14:val="tx1"/>
                        </w14:solidFill>
                      </w14:textFill>
                    </w:rPr>
                    <w:t>磷酸盐、</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LAS</w:t>
                  </w:r>
                </w:p>
              </w:tc>
              <w:tc>
                <w:tcPr>
                  <w:tcW w:w="1380" w:type="pct"/>
                  <w:vMerge w:val="restart"/>
                  <w:noWrap w:val="0"/>
                  <w:vAlign w:val="center"/>
                </w:tcPr>
                <w:p w14:paraId="1D3F42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1次</w:t>
                  </w:r>
                  <w:r>
                    <w:rPr>
                      <w:rFonts w:ascii="Times New Roman" w:hAnsi="Times New Roman" w:eastAsia="宋体" w:cs="Times New Roman"/>
                      <w:color w:val="000000" w:themeColor="text1"/>
                      <w:spacing w:val="0"/>
                      <w:position w:val="0"/>
                      <w:sz w:val="21"/>
                      <w:szCs w:val="21"/>
                      <w14:textFill>
                        <w14:solidFill>
                          <w14:schemeClr w14:val="tx1"/>
                        </w14:solidFill>
                      </w14:textFill>
                    </w:rPr>
                    <w:t>/</w:t>
                  </w: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半</w:t>
                  </w:r>
                  <w:r>
                    <w:rPr>
                      <w:rFonts w:ascii="Times New Roman" w:hAnsi="Times New Roman" w:eastAsia="宋体" w:cs="Times New Roman"/>
                      <w:color w:val="000000" w:themeColor="text1"/>
                      <w:spacing w:val="0"/>
                      <w:position w:val="0"/>
                      <w:sz w:val="21"/>
                      <w:szCs w:val="21"/>
                      <w14:textFill>
                        <w14:solidFill>
                          <w14:schemeClr w14:val="tx1"/>
                        </w14:solidFill>
                      </w14:textFill>
                    </w:rPr>
                    <w:t>年</w:t>
                  </w:r>
                </w:p>
              </w:tc>
              <w:tc>
                <w:tcPr>
                  <w:tcW w:w="574" w:type="pct"/>
                  <w:noWrap w:val="0"/>
                  <w:vAlign w:val="center"/>
                </w:tcPr>
                <w:p w14:paraId="7E511F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cs="Times New Roman"/>
                      <w:color w:val="000000" w:themeColor="text1"/>
                      <w:spacing w:val="0"/>
                      <w:position w:val="0"/>
                      <w:sz w:val="21"/>
                      <w:szCs w:val="21"/>
                      <w:lang w:val="en-US" w:eastAsia="zh-CN"/>
                      <w14:textFill>
                        <w14:solidFill>
                          <w14:schemeClr w14:val="tx1"/>
                        </w14:solidFill>
                      </w14:textFill>
                    </w:rPr>
                    <w:t>已制定</w:t>
                  </w:r>
                </w:p>
              </w:tc>
            </w:tr>
            <w:tr w14:paraId="5A817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9" w:type="pct"/>
                  <w:vMerge w:val="continue"/>
                  <w:noWrap w:val="0"/>
                  <w:vAlign w:val="center"/>
                </w:tcPr>
                <w:p w14:paraId="1FB15D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pPr>
                </w:p>
              </w:tc>
              <w:tc>
                <w:tcPr>
                  <w:tcW w:w="787" w:type="pct"/>
                  <w:vMerge w:val="continue"/>
                  <w:noWrap w:val="0"/>
                  <w:vAlign w:val="center"/>
                </w:tcPr>
                <w:p w14:paraId="6895EA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pPr>
                </w:p>
              </w:tc>
              <w:tc>
                <w:tcPr>
                  <w:tcW w:w="1807" w:type="pct"/>
                  <w:noWrap w:val="0"/>
                  <w:vAlign w:val="center"/>
                </w:tcPr>
                <w:p w14:paraId="245FAD45">
                  <w:pPr>
                    <w:pStyle w:val="13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Times New Roman" w:cs="Times New Roman"/>
                      <w:color w:val="000000" w:themeColor="text1"/>
                      <w:spacing w:val="0"/>
                      <w:position w:val="0"/>
                      <w:sz w:val="21"/>
                      <w:szCs w:val="21"/>
                      <w14:textFill>
                        <w14:solidFill>
                          <w14:schemeClr w14:val="tx1"/>
                        </w14:solidFill>
                      </w14:textFill>
                    </w:rPr>
                  </w:pPr>
                  <w:r>
                    <w:rPr>
                      <w:rFonts w:hint="eastAsia"/>
                      <w:color w:val="000000" w:themeColor="text1"/>
                      <w:spacing w:val="0"/>
                      <w:position w:val="0"/>
                      <w:sz w:val="21"/>
                      <w:szCs w:val="21"/>
                      <w:lang w:val="en-US" w:eastAsia="zh-CN"/>
                      <w14:textFill>
                        <w14:solidFill>
                          <w14:schemeClr w14:val="tx1"/>
                        </w14:solidFill>
                      </w14:textFill>
                    </w:rPr>
                    <w:t>总锌</w:t>
                  </w:r>
                  <w:r>
                    <w:rPr>
                      <w:color w:val="000000" w:themeColor="text1"/>
                      <w:spacing w:val="0"/>
                      <w:position w:val="0"/>
                      <w:sz w:val="21"/>
                      <w:szCs w:val="21"/>
                      <w14:textFill>
                        <w14:solidFill>
                          <w14:schemeClr w14:val="tx1"/>
                        </w14:solidFill>
                      </w14:textFill>
                    </w:rPr>
                    <w:t>、</w:t>
                  </w: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氟化物</w:t>
                  </w:r>
                </w:p>
              </w:tc>
              <w:tc>
                <w:tcPr>
                  <w:tcW w:w="1380" w:type="pct"/>
                  <w:vMerge w:val="continue"/>
                  <w:noWrap w:val="0"/>
                  <w:vAlign w:val="center"/>
                </w:tcPr>
                <w:p w14:paraId="0F7748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p>
              </w:tc>
              <w:tc>
                <w:tcPr>
                  <w:tcW w:w="574" w:type="pct"/>
                  <w:noWrap w:val="0"/>
                  <w:vAlign w:val="center"/>
                </w:tcPr>
                <w:p w14:paraId="603CD4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cs="Times New Roman"/>
                      <w:color w:val="000000" w:themeColor="text1"/>
                      <w:spacing w:val="0"/>
                      <w:position w:val="0"/>
                      <w:sz w:val="21"/>
                      <w:szCs w:val="21"/>
                      <w:lang w:val="en-US" w:eastAsia="zh-CN"/>
                      <w14:textFill>
                        <w14:solidFill>
                          <w14:schemeClr w14:val="tx1"/>
                        </w14:solidFill>
                      </w14:textFill>
                    </w:rPr>
                    <w:t>新增</w:t>
                  </w:r>
                </w:p>
              </w:tc>
            </w:tr>
            <w:tr w14:paraId="16960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9" w:type="pct"/>
                  <w:vMerge w:val="restart"/>
                  <w:noWrap w:val="0"/>
                  <w:vAlign w:val="center"/>
                </w:tcPr>
                <w:p w14:paraId="4CEEF7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t>雨水</w:t>
                  </w:r>
                </w:p>
              </w:tc>
              <w:tc>
                <w:tcPr>
                  <w:tcW w:w="787" w:type="pct"/>
                  <w:vMerge w:val="restart"/>
                  <w:noWrap w:val="0"/>
                  <w:vAlign w:val="center"/>
                </w:tcPr>
                <w:p w14:paraId="24B6AB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t>雨水排放口</w:t>
                  </w:r>
                </w:p>
              </w:tc>
              <w:tc>
                <w:tcPr>
                  <w:tcW w:w="1807" w:type="pct"/>
                  <w:noWrap w:val="0"/>
                  <w:vAlign w:val="center"/>
                </w:tcPr>
                <w:p w14:paraId="48AE28EC">
                  <w:pPr>
                    <w:pStyle w:val="13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Times New Roman" w:cs="Times New Roman"/>
                      <w:color w:val="000000" w:themeColor="text1"/>
                      <w:spacing w:val="0"/>
                      <w:position w:val="0"/>
                      <w:sz w:val="21"/>
                      <w:szCs w:val="21"/>
                      <w14:textFill>
                        <w14:solidFill>
                          <w14:schemeClr w14:val="tx1"/>
                        </w14:solidFill>
                      </w14:textFill>
                    </w:rPr>
                  </w:pPr>
                  <w:r>
                    <w:rPr>
                      <w:rFonts w:ascii="Times New Roman" w:hAnsi="Times New Roman" w:eastAsia="Times New Roman" w:cs="Times New Roman"/>
                      <w:color w:val="000000" w:themeColor="text1"/>
                      <w:spacing w:val="0"/>
                      <w:position w:val="0"/>
                      <w:sz w:val="21"/>
                      <w:szCs w:val="21"/>
                      <w14:textFill>
                        <w14:solidFill>
                          <w14:schemeClr w14:val="tx1"/>
                        </w14:solidFill>
                      </w14:textFill>
                    </w:rPr>
                    <w:t>COD</w:t>
                  </w:r>
                </w:p>
              </w:tc>
              <w:tc>
                <w:tcPr>
                  <w:tcW w:w="1380" w:type="pct"/>
                  <w:vMerge w:val="restart"/>
                  <w:noWrap w:val="0"/>
                  <w:vAlign w:val="center"/>
                </w:tcPr>
                <w:p w14:paraId="2106C6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有流动水排放时按月监测。若监测一年无异常情况，可放宽至每季度开展一次监测。</w:t>
                  </w:r>
                </w:p>
              </w:tc>
              <w:tc>
                <w:tcPr>
                  <w:tcW w:w="574" w:type="pct"/>
                  <w:noWrap w:val="0"/>
                  <w:vAlign w:val="center"/>
                </w:tcPr>
                <w:p w14:paraId="6A175E4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cs="Times New Roman"/>
                      <w:color w:val="000000" w:themeColor="text1"/>
                      <w:spacing w:val="0"/>
                      <w:position w:val="0"/>
                      <w:sz w:val="21"/>
                      <w:szCs w:val="21"/>
                      <w:lang w:val="en-US" w:eastAsia="zh-CN"/>
                      <w14:textFill>
                        <w14:solidFill>
                          <w14:schemeClr w14:val="tx1"/>
                        </w14:solidFill>
                      </w14:textFill>
                    </w:rPr>
                    <w:t>已制定</w:t>
                  </w:r>
                </w:p>
              </w:tc>
            </w:tr>
            <w:tr w14:paraId="5C18E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9" w:type="pct"/>
                  <w:vMerge w:val="continue"/>
                  <w:noWrap w:val="0"/>
                  <w:vAlign w:val="center"/>
                </w:tcPr>
                <w:p w14:paraId="28CFF5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pPr>
                </w:p>
              </w:tc>
              <w:tc>
                <w:tcPr>
                  <w:tcW w:w="787" w:type="pct"/>
                  <w:vMerge w:val="continue"/>
                  <w:noWrap w:val="0"/>
                  <w:vAlign w:val="center"/>
                </w:tcPr>
                <w:p w14:paraId="32FEF9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Cs/>
                      <w:color w:val="000000" w:themeColor="text1"/>
                      <w:spacing w:val="0"/>
                      <w:position w:val="0"/>
                      <w:sz w:val="21"/>
                      <w:szCs w:val="21"/>
                      <w:lang w:val="en-US" w:eastAsia="zh-CN"/>
                      <w14:textFill>
                        <w14:solidFill>
                          <w14:schemeClr w14:val="tx1"/>
                        </w14:solidFill>
                      </w14:textFill>
                    </w:rPr>
                  </w:pPr>
                </w:p>
              </w:tc>
              <w:tc>
                <w:tcPr>
                  <w:tcW w:w="1807" w:type="pct"/>
                  <w:noWrap w:val="0"/>
                  <w:vAlign w:val="center"/>
                </w:tcPr>
                <w:p w14:paraId="4EF1B761">
                  <w:pPr>
                    <w:pStyle w:val="132"/>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Times New Roman" w:cs="Times New Roman"/>
                      <w:color w:val="000000" w:themeColor="text1"/>
                      <w:spacing w:val="0"/>
                      <w:position w:val="0"/>
                      <w:sz w:val="21"/>
                      <w:szCs w:val="21"/>
                      <w14:textFill>
                        <w14:solidFill>
                          <w14:schemeClr w14:val="tx1"/>
                        </w14:solidFill>
                      </w14:textFill>
                    </w:rPr>
                  </w:pPr>
                  <w:r>
                    <w:rPr>
                      <w:rFonts w:ascii="Times New Roman" w:hAnsi="Times New Roman" w:eastAsia="Times New Roman" w:cs="Times New Roman"/>
                      <w:color w:val="000000" w:themeColor="text1"/>
                      <w:spacing w:val="0"/>
                      <w:position w:val="0"/>
                      <w:sz w:val="21"/>
                      <w:szCs w:val="21"/>
                      <w14:textFill>
                        <w14:solidFill>
                          <w14:schemeClr w14:val="tx1"/>
                        </w14:solidFill>
                      </w14:textFill>
                    </w:rPr>
                    <w:t>pH</w:t>
                  </w:r>
                  <w:r>
                    <w:rPr>
                      <w:color w:val="000000" w:themeColor="text1"/>
                      <w:spacing w:val="0"/>
                      <w:position w:val="0"/>
                      <w:sz w:val="21"/>
                      <w:szCs w:val="21"/>
                      <w14:textFill>
                        <w14:solidFill>
                          <w14:schemeClr w14:val="tx1"/>
                        </w14:solidFill>
                      </w14:textFill>
                    </w:rPr>
                    <w:t>、</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SS</w:t>
                  </w:r>
                </w:p>
              </w:tc>
              <w:tc>
                <w:tcPr>
                  <w:tcW w:w="1380" w:type="pct"/>
                  <w:vMerge w:val="continue"/>
                  <w:noWrap w:val="0"/>
                  <w:vAlign w:val="center"/>
                </w:tcPr>
                <w:p w14:paraId="24C125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p>
              </w:tc>
              <w:tc>
                <w:tcPr>
                  <w:tcW w:w="574" w:type="pct"/>
                  <w:noWrap w:val="0"/>
                  <w:vAlign w:val="center"/>
                </w:tcPr>
                <w:p w14:paraId="7C7B7C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cs="Times New Roman"/>
                      <w:color w:val="000000" w:themeColor="text1"/>
                      <w:spacing w:val="0"/>
                      <w:position w:val="0"/>
                      <w:sz w:val="21"/>
                      <w:szCs w:val="21"/>
                      <w:lang w:val="en-US" w:eastAsia="zh-CN"/>
                      <w14:textFill>
                        <w14:solidFill>
                          <w14:schemeClr w14:val="tx1"/>
                        </w14:solidFill>
                      </w14:textFill>
                    </w:rPr>
                  </w:pPr>
                  <w:r>
                    <w:rPr>
                      <w:rFonts w:hint="eastAsia" w:cs="Times New Roman"/>
                      <w:color w:val="000000" w:themeColor="text1"/>
                      <w:spacing w:val="0"/>
                      <w:position w:val="0"/>
                      <w:sz w:val="21"/>
                      <w:szCs w:val="21"/>
                      <w:lang w:val="en-US" w:eastAsia="zh-CN"/>
                      <w14:textFill>
                        <w14:solidFill>
                          <w14:schemeClr w14:val="tx1"/>
                        </w14:solidFill>
                      </w14:textFill>
                    </w:rPr>
                    <w:t>新增</w:t>
                  </w:r>
                </w:p>
              </w:tc>
            </w:tr>
          </w:tbl>
          <w:p w14:paraId="092A2992">
            <w:pPr>
              <w:keepNext w:val="0"/>
              <w:keepLines w:val="0"/>
              <w:pageBreakBefore w:val="0"/>
              <w:widowControl/>
              <w:kinsoku/>
              <w:wordWrap/>
              <w:overflowPunct/>
              <w:topLinePunct w:val="0"/>
              <w:autoSpaceDE/>
              <w:autoSpaceDN/>
              <w:bidi w:val="0"/>
              <w:adjustRightInd w:val="0"/>
              <w:snapToGrid w:val="0"/>
              <w:spacing w:before="313" w:beforeLines="100" w:after="157" w:afterLines="50" w:line="360" w:lineRule="auto"/>
              <w:textAlignment w:val="auto"/>
              <w:rPr>
                <w:rFonts w:hint="default" w:ascii="Times New Roman" w:hAnsi="Times New Roman" w:eastAsia="宋体" w:cs="Times New Roman"/>
                <w:b/>
                <w:bCs w:val="0"/>
                <w:color w:val="000000" w:themeColor="text1"/>
                <w:spacing w:val="0"/>
                <w:position w:val="0"/>
                <w:sz w:val="28"/>
                <w:szCs w:val="28"/>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8"/>
                <w:szCs w:val="28"/>
                <w14:textFill>
                  <w14:solidFill>
                    <w14:schemeClr w14:val="tx1"/>
                  </w14:solidFill>
                </w14:textFill>
              </w:rPr>
              <w:t>4.</w:t>
            </w:r>
            <w:r>
              <w:rPr>
                <w:rFonts w:hint="eastAsia" w:ascii="Times New Roman" w:hAnsi="Times New Roman" w:eastAsia="宋体" w:cs="Times New Roman"/>
                <w:b/>
                <w:bCs w:val="0"/>
                <w:color w:val="000000" w:themeColor="text1"/>
                <w:spacing w:val="0"/>
                <w:position w:val="0"/>
                <w:sz w:val="28"/>
                <w:szCs w:val="28"/>
                <w:lang w:val="en-US" w:eastAsia="zh-CN"/>
                <w14:textFill>
                  <w14:solidFill>
                    <w14:schemeClr w14:val="tx1"/>
                  </w14:solidFill>
                </w14:textFill>
              </w:rPr>
              <w:t>4</w:t>
            </w:r>
            <w:r>
              <w:rPr>
                <w:rFonts w:hint="default" w:ascii="Times New Roman" w:hAnsi="Times New Roman" w:eastAsia="宋体" w:cs="Times New Roman"/>
                <w:b/>
                <w:bCs w:val="0"/>
                <w:color w:val="000000" w:themeColor="text1"/>
                <w:spacing w:val="0"/>
                <w:position w:val="0"/>
                <w:sz w:val="28"/>
                <w:szCs w:val="28"/>
                <w14:textFill>
                  <w14:solidFill>
                    <w14:schemeClr w14:val="tx1"/>
                  </w14:solidFill>
                </w14:textFill>
              </w:rPr>
              <w:t>运营期声环境影响分析和污染防治措施</w:t>
            </w:r>
          </w:p>
          <w:p w14:paraId="6B0E0AD5">
            <w:pPr>
              <w:keepNext w:val="0"/>
              <w:keepLines w:val="0"/>
              <w:pageBreakBefore w:val="0"/>
              <w:widowControl/>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000000" w:themeColor="text1"/>
                <w:spacing w:val="0"/>
                <w:kern w:val="0"/>
                <w:position w:val="0"/>
                <w:sz w:val="24"/>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4"/>
                <w:lang w:val="en-US" w:eastAsia="zh-CN"/>
                <w14:textFill>
                  <w14:solidFill>
                    <w14:schemeClr w14:val="tx1"/>
                  </w14:solidFill>
                </w14:textFill>
              </w:rPr>
              <w:t>4.</w:t>
            </w:r>
            <w:r>
              <w:rPr>
                <w:rFonts w:hint="eastAsia" w:ascii="Times New Roman" w:hAnsi="Times New Roman" w:eastAsia="宋体" w:cs="Times New Roman"/>
                <w:b/>
                <w:bCs/>
                <w:color w:val="000000" w:themeColor="text1"/>
                <w:spacing w:val="0"/>
                <w:kern w:val="0"/>
                <w:position w:val="0"/>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kern w:val="0"/>
                <w:position w:val="0"/>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pacing w:val="0"/>
                <w:kern w:val="0"/>
                <w:position w:val="0"/>
                <w:sz w:val="24"/>
                <w14:textFill>
                  <w14:solidFill>
                    <w14:schemeClr w14:val="tx1"/>
                  </w14:solidFill>
                </w14:textFill>
              </w:rPr>
              <w:t>运营期噪声源强核算</w:t>
            </w:r>
          </w:p>
          <w:p w14:paraId="383D8D9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pacing w:val="0"/>
                <w:positio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highlight w:val="none"/>
                <w:lang w:eastAsia="zh-CN"/>
                <w14:textFill>
                  <w14:solidFill>
                    <w14:schemeClr w14:val="tx1"/>
                  </w14:solidFill>
                </w14:textFill>
              </w:rPr>
              <w:t>本项目主要的噪声污染源为电泳线、喷粉线、</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喷胶线、</w:t>
            </w:r>
            <w:r>
              <w:rPr>
                <w:rFonts w:hint="default" w:ascii="Times New Roman" w:hAnsi="Times New Roman" w:eastAsia="宋体" w:cs="Times New Roman"/>
                <w:color w:val="000000" w:themeColor="text1"/>
                <w:spacing w:val="0"/>
                <w:position w:val="0"/>
                <w:sz w:val="24"/>
                <w:szCs w:val="24"/>
                <w:highlight w:val="none"/>
                <w:lang w:eastAsia="zh-CN"/>
                <w14:textFill>
                  <w14:solidFill>
                    <w14:schemeClr w14:val="tx1"/>
                  </w14:solidFill>
                </w14:textFill>
              </w:rPr>
              <w:t>天然气燃烧机等机械设备运行时产生的噪声，其主要设备噪声级见表</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4.4-1</w:t>
            </w:r>
            <w:r>
              <w:rPr>
                <w:rFonts w:hint="eastAsia" w:ascii="Times New Roman" w:hAnsi="Times New Roman" w:eastAsia="宋体" w:cs="Times New Roman"/>
                <w:color w:val="000000" w:themeColor="text1"/>
                <w:spacing w:val="0"/>
                <w:position w:val="0"/>
                <w:sz w:val="24"/>
                <w:szCs w:val="24"/>
                <w:highlight w:val="none"/>
                <w:lang w:eastAsia="zh-CN"/>
                <w14:textFill>
                  <w14:solidFill>
                    <w14:schemeClr w14:val="tx1"/>
                  </w14:solidFill>
                </w14:textFill>
              </w:rPr>
              <w:t>。</w:t>
            </w:r>
          </w:p>
          <w:p w14:paraId="0AEDD9E1">
            <w:pPr>
              <w:pStyle w:val="142"/>
              <w:keepNext/>
              <w:keepLines/>
              <w:pageBreakBefore w:val="0"/>
              <w:widowControl w:val="0"/>
              <w:kinsoku/>
              <w:wordWrap/>
              <w:overflowPunct/>
              <w:topLinePunct w:val="0"/>
              <w:autoSpaceDE/>
              <w:autoSpaceDN/>
              <w:bidi w:val="0"/>
              <w:adjustRightInd/>
              <w:snapToGrid/>
              <w:spacing w:before="157" w:beforeLines="50" w:after="0"/>
              <w:textAlignment w:val="auto"/>
              <w:rPr>
                <w:rFonts w:ascii="Times New Roman" w:hAnsi="Times New Roman" w:eastAsia="宋体"/>
                <w:b/>
                <w:bCs/>
                <w:color w:val="000000" w:themeColor="text1"/>
                <w:sz w:val="24"/>
                <w:szCs w:val="24"/>
                <w:lang w:val="zh-CN"/>
                <w14:textFill>
                  <w14:solidFill>
                    <w14:schemeClr w14:val="tx1"/>
                  </w14:solidFill>
                </w14:textFill>
              </w:rPr>
            </w:pPr>
            <w:r>
              <w:rPr>
                <w:rFonts w:ascii="Times New Roman" w:hAnsi="Times New Roman" w:eastAsia="宋体"/>
                <w:b/>
                <w:bCs/>
                <w:color w:val="000000" w:themeColor="text1"/>
                <w:spacing w:val="6"/>
                <w:sz w:val="24"/>
                <w:szCs w:val="24"/>
                <w14:textFill>
                  <w14:solidFill>
                    <w14:schemeClr w14:val="tx1"/>
                  </w14:solidFill>
                </w14:textFill>
              </w:rPr>
              <w:t>表</w:t>
            </w:r>
            <w:r>
              <w:rPr>
                <w:rFonts w:hint="eastAsia" w:ascii="Times New Roman" w:hAnsi="Times New Roman" w:eastAsia="宋体"/>
                <w:b/>
                <w:bCs/>
                <w:color w:val="000000" w:themeColor="text1"/>
                <w:spacing w:val="6"/>
                <w:sz w:val="24"/>
                <w:szCs w:val="24"/>
                <w14:textFill>
                  <w14:solidFill>
                    <w14:schemeClr w14:val="tx1"/>
                  </w14:solidFill>
                </w14:textFill>
              </w:rPr>
              <w:t>4.</w:t>
            </w:r>
            <w:r>
              <w:rPr>
                <w:rFonts w:hint="eastAsia" w:ascii="Times New Roman" w:hAnsi="Times New Roman" w:eastAsia="宋体"/>
                <w:b/>
                <w:bCs/>
                <w:color w:val="000000" w:themeColor="text1"/>
                <w:spacing w:val="6"/>
                <w:sz w:val="24"/>
                <w:szCs w:val="24"/>
                <w:lang w:val="en-US" w:eastAsia="zh-CN"/>
                <w14:textFill>
                  <w14:solidFill>
                    <w14:schemeClr w14:val="tx1"/>
                  </w14:solidFill>
                </w14:textFill>
              </w:rPr>
              <w:t>4</w:t>
            </w:r>
            <w:r>
              <w:rPr>
                <w:rFonts w:hint="eastAsia" w:ascii="Times New Roman" w:hAnsi="Times New Roman" w:eastAsia="宋体"/>
                <w:b/>
                <w:bCs/>
                <w:color w:val="000000" w:themeColor="text1"/>
                <w:spacing w:val="6"/>
                <w:sz w:val="24"/>
                <w:szCs w:val="24"/>
                <w14:textFill>
                  <w14:solidFill>
                    <w14:schemeClr w14:val="tx1"/>
                  </w14:solidFill>
                </w14:textFill>
              </w:rPr>
              <w:t xml:space="preserve">-1 </w:t>
            </w:r>
            <w:r>
              <w:rPr>
                <w:rFonts w:hint="eastAsia" w:ascii="Times New Roman" w:hAnsi="Times New Roman" w:eastAsia="宋体"/>
                <w:b/>
                <w:bCs/>
                <w:color w:val="000000" w:themeColor="text1"/>
                <w:sz w:val="24"/>
                <w:szCs w:val="24"/>
                <w:lang w:val="en-US" w:eastAsia="zh-CN"/>
                <w14:textFill>
                  <w14:solidFill>
                    <w14:schemeClr w14:val="tx1"/>
                  </w14:solidFill>
                </w14:textFill>
              </w:rPr>
              <w:t>项目</w:t>
            </w:r>
            <w:r>
              <w:rPr>
                <w:rFonts w:hint="eastAsia"/>
                <w:b/>
                <w:bCs/>
                <w:color w:val="000000" w:themeColor="text1"/>
                <w:sz w:val="24"/>
                <w:szCs w:val="24"/>
                <w:lang w:val="en-US" w:eastAsia="zh-CN"/>
                <w14:textFill>
                  <w14:solidFill>
                    <w14:schemeClr w14:val="tx1"/>
                  </w14:solidFill>
                </w14:textFill>
              </w:rPr>
              <w:t>新增</w:t>
            </w:r>
            <w:r>
              <w:rPr>
                <w:rFonts w:hint="eastAsia" w:ascii="Times New Roman" w:hAnsi="Times New Roman" w:eastAsia="宋体"/>
                <w:b/>
                <w:bCs/>
                <w:color w:val="000000" w:themeColor="text1"/>
                <w:sz w:val="24"/>
                <w:szCs w:val="24"/>
                <w:lang w:val="en-US" w:eastAsia="zh-CN"/>
                <w14:textFill>
                  <w14:solidFill>
                    <w14:schemeClr w14:val="tx1"/>
                  </w14:solidFill>
                </w14:textFill>
              </w:rPr>
              <w:t>噪声源强调查清单</w:t>
            </w:r>
          </w:p>
          <w:p w14:paraId="4ACCBB23">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eastAsia" w:ascii="Times New Roman" w:hAnsi="Times New Roman" w:eastAsia="宋体"/>
                <w:b w:val="0"/>
                <w:bCs w:val="0"/>
                <w:color w:val="000000" w:themeColor="text1"/>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03D469BB">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4"/>
                <w:lang w:val="en-US" w:eastAsia="zh-CN"/>
                <w14:textFill>
                  <w14:solidFill>
                    <w14:schemeClr w14:val="tx1"/>
                  </w14:solidFill>
                </w14:textFill>
              </w:rPr>
              <w:t>4.</w:t>
            </w:r>
            <w:r>
              <w:rPr>
                <w:rFonts w:hint="eastAsia" w:ascii="Times New Roman" w:hAnsi="Times New Roman" w:eastAsia="宋体" w:cs="Times New Roman"/>
                <w:b/>
                <w:bCs/>
                <w:color w:val="000000" w:themeColor="text1"/>
                <w:spacing w:val="0"/>
                <w:kern w:val="0"/>
                <w:position w:val="0"/>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kern w:val="0"/>
                <w:position w:val="0"/>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kern w:val="0"/>
                <w:position w:val="0"/>
                <w:sz w:val="24"/>
                <w14:textFill>
                  <w14:solidFill>
                    <w14:schemeClr w14:val="tx1"/>
                  </w14:solidFill>
                </w14:textFill>
              </w:rPr>
              <w:t>运营期声环境影响分析</w:t>
            </w:r>
          </w:p>
          <w:p w14:paraId="54F5F104">
            <w:pPr>
              <w:keepNext w:val="0"/>
              <w:keepLines w:val="0"/>
              <w:pageBreakBefore w:val="0"/>
              <w:widowControl w:val="0"/>
              <w:kinsoku/>
              <w:wordWrap/>
              <w:overflowPunct/>
              <w:topLinePunct w:val="0"/>
              <w:autoSpaceDE/>
              <w:autoSpaceDN/>
              <w:bidi w:val="0"/>
              <w:spacing w:line="360" w:lineRule="auto"/>
              <w:ind w:firstLine="555"/>
              <w:textAlignment w:val="auto"/>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t>项目噪声预测模式采用《环境影响评价技术导则声环境》(HJ2.4-20</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t>)中附录A户外声传播的衰减</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t>附录B典型行业噪声预测模型</w:t>
            </w:r>
            <w:r>
              <w:rPr>
                <w:rFonts w:hint="eastAsia" w:ascii="Times New Roman" w:hAnsi="Times New Roman" w:cs="Times New Roman"/>
                <w:color w:val="000000" w:themeColor="text1"/>
                <w:spacing w:val="0"/>
                <w:position w:val="0"/>
                <w:sz w:val="24"/>
                <w:highlight w:val="none"/>
                <w:lang w:val="en-US" w:eastAsia="zh-CN"/>
                <w14:textFill>
                  <w14:solidFill>
                    <w14:schemeClr w14:val="tx1"/>
                  </w14:solidFill>
                </w14:textFill>
              </w:rPr>
              <w:t>进行分析。</w:t>
            </w:r>
          </w:p>
          <w:p w14:paraId="55E1C32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b/>
                <w:bCs w:val="0"/>
                <w:color w:val="000000" w:themeColor="text1"/>
                <w:spacing w:val="0"/>
                <w:position w:val="0"/>
                <w:sz w:val="24"/>
                <w14:textFill>
                  <w14:solidFill>
                    <w14:schemeClr w14:val="tx1"/>
                  </w14:solidFill>
                </w14:textFill>
              </w:rPr>
            </w:pPr>
            <w:r>
              <w:rPr>
                <w:rFonts w:ascii="Times New Roman" w:hAnsi="Times New Roman"/>
                <w:b/>
                <w:bCs w:val="0"/>
                <w:color w:val="000000" w:themeColor="text1"/>
                <w:spacing w:val="0"/>
                <w:position w:val="0"/>
                <w:sz w:val="24"/>
                <w14:textFill>
                  <w14:solidFill>
                    <w14:schemeClr w14:val="tx1"/>
                  </w14:solidFill>
                </w14:textFill>
              </w:rPr>
              <w:t>⑴室内声源</w:t>
            </w:r>
            <w:r>
              <w:rPr>
                <w:rFonts w:hint="eastAsia" w:ascii="Times New Roman" w:hAnsi="Times New Roman"/>
                <w:b/>
                <w:bCs w:val="0"/>
                <w:color w:val="000000" w:themeColor="text1"/>
                <w:spacing w:val="0"/>
                <w:position w:val="0"/>
                <w:sz w:val="24"/>
                <w14:textFill>
                  <w14:solidFill>
                    <w14:schemeClr w14:val="tx1"/>
                  </w14:solidFill>
                </w14:textFill>
              </w:rPr>
              <w:t>等效室外声源声功率级计算方法</w:t>
            </w:r>
          </w:p>
          <w:p w14:paraId="2BDCF341">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①</w:t>
            </w:r>
            <w:r>
              <w:rPr>
                <w:rFonts w:ascii="Times New Roman" w:hAnsi="Times New Roman"/>
                <w:color w:val="000000" w:themeColor="text1"/>
                <w:spacing w:val="0"/>
                <w:position w:val="0"/>
                <w:sz w:val="24"/>
                <w14:textFill>
                  <w14:solidFill>
                    <w14:schemeClr w14:val="tx1"/>
                  </w14:solidFill>
                </w14:textFill>
              </w:rPr>
              <w:t>如</w:t>
            </w:r>
            <w:r>
              <w:rPr>
                <w:rFonts w:hint="eastAsia" w:ascii="Times New Roman" w:hAnsi="Times New Roman"/>
                <w:color w:val="000000" w:themeColor="text1"/>
                <w:spacing w:val="0"/>
                <w:position w:val="0"/>
                <w:sz w:val="24"/>
                <w14:textFill>
                  <w14:solidFill>
                    <w14:schemeClr w14:val="tx1"/>
                  </w14:solidFill>
                </w14:textFill>
              </w:rPr>
              <w:t>下</w:t>
            </w:r>
            <w:r>
              <w:rPr>
                <w:rFonts w:ascii="Times New Roman" w:hAnsi="Times New Roman"/>
                <w:color w:val="000000" w:themeColor="text1"/>
                <w:spacing w:val="0"/>
                <w:position w:val="0"/>
                <w:sz w:val="24"/>
                <w14:textFill>
                  <w14:solidFill>
                    <w14:schemeClr w14:val="tx1"/>
                  </w14:solidFill>
                </w14:textFill>
              </w:rPr>
              <w:t>图所示，</w:t>
            </w:r>
            <w:r>
              <w:rPr>
                <w:rFonts w:hint="eastAsia" w:ascii="Times New Roman" w:hAnsi="Times New Roman"/>
                <w:color w:val="000000" w:themeColor="text1"/>
                <w:spacing w:val="0"/>
                <w:position w:val="0"/>
                <w:sz w:val="24"/>
                <w14:textFill>
                  <w14:solidFill>
                    <w14:schemeClr w14:val="tx1"/>
                  </w14:solidFill>
                </w14:textFill>
              </w:rPr>
              <w:t>声源位于室内，室内声源可采用等效室外声源声功率级法进行计算。设靠近开口处(或窗户)室内、室外某倍频带的声压级</w:t>
            </w:r>
            <w:r>
              <w:rPr>
                <w:rFonts w:hint="eastAsia" w:ascii="Times New Roman" w:hAnsi="Times New Roman"/>
                <w:color w:val="000000" w:themeColor="text1"/>
                <w:spacing w:val="0"/>
                <w:position w:val="0"/>
                <w:sz w:val="24"/>
                <w:lang w:val="en-US" w:eastAsia="zh-CN"/>
                <w14:textFill>
                  <w14:solidFill>
                    <w14:schemeClr w14:val="tx1"/>
                  </w14:solidFill>
                </w14:textFill>
              </w:rPr>
              <w:t>或A声级</w:t>
            </w:r>
            <w:r>
              <w:rPr>
                <w:rFonts w:hint="eastAsia" w:ascii="Times New Roman" w:hAnsi="Times New Roman"/>
                <w:color w:val="000000" w:themeColor="text1"/>
                <w:spacing w:val="0"/>
                <w:position w:val="0"/>
                <w:sz w:val="24"/>
                <w14:textFill>
                  <w14:solidFill>
                    <w14:schemeClr w14:val="tx1"/>
                  </w14:solidFill>
                </w14:textFill>
              </w:rPr>
              <w:t>分别为Lp1和Lp2。若声源所在室内声场为近似扩散声场，则室</w:t>
            </w:r>
            <w:r>
              <w:rPr>
                <w:rFonts w:hint="eastAsia" w:ascii="Times New Roman" w:hAnsi="Times New Roman"/>
                <w:color w:val="000000" w:themeColor="text1"/>
                <w:spacing w:val="0"/>
                <w:position w:val="0"/>
                <w:sz w:val="24"/>
                <w:lang w:val="en-US" w:eastAsia="zh-CN"/>
                <w14:textFill>
                  <w14:solidFill>
                    <w14:schemeClr w14:val="tx1"/>
                  </w14:solidFill>
                </w14:textFill>
              </w:rPr>
              <w:t>外</w:t>
            </w:r>
            <w:r>
              <w:rPr>
                <w:rFonts w:hint="eastAsia" w:ascii="Times New Roman" w:hAnsi="Times New Roman"/>
                <w:color w:val="000000" w:themeColor="text1"/>
                <w:spacing w:val="0"/>
                <w:position w:val="0"/>
                <w:sz w:val="24"/>
                <w14:textFill>
                  <w14:solidFill>
                    <w14:schemeClr w14:val="tx1"/>
                  </w14:solidFill>
                </w14:textFill>
              </w:rPr>
              <w:t>的倍频带声压级可按下式近似求出：</w:t>
            </w:r>
          </w:p>
          <w:p w14:paraId="1DB0B450">
            <w:pPr>
              <w:keepNext w:val="0"/>
              <w:keepLines w:val="0"/>
              <w:pageBreakBefore w:val="0"/>
              <w:widowControl w:val="0"/>
              <w:kinsoku/>
              <w:wordWrap/>
              <w:overflowPunct/>
              <w:topLinePunct w:val="0"/>
              <w:autoSpaceDE/>
              <w:autoSpaceDN/>
              <w:bidi w:val="0"/>
              <w:adjustRightInd w:val="0"/>
              <w:snapToGrid w:val="0"/>
              <w:spacing w:line="360" w:lineRule="auto"/>
              <w:ind w:firstLine="480"/>
              <w:jc w:val="center"/>
              <w:textAlignment w:val="auto"/>
              <w:rPr>
                <w:rFonts w:ascii="Times New Roman" w:hAnsi="Times New Roman"/>
                <w:color w:val="000000" w:themeColor="text1"/>
                <w:spacing w:val="0"/>
                <w:position w:val="0"/>
                <w:sz w:val="24"/>
                <w14:textFill>
                  <w14:solidFill>
                    <w14:schemeClr w14:val="tx1"/>
                  </w14:solidFill>
                </w14:textFill>
              </w:rPr>
            </w:pPr>
            <w:r>
              <w:rPr>
                <w:rFonts w:ascii="Times New Roman" w:hAnsi="Times New Roman"/>
                <w:color w:val="000000" w:themeColor="text1"/>
                <w:spacing w:val="0"/>
                <w:position w:val="0"/>
                <w:sz w:val="24"/>
                <w14:textFill>
                  <w14:solidFill>
                    <w14:schemeClr w14:val="tx1"/>
                  </w14:solidFill>
                </w14:textFill>
              </w:rPr>
              <w:drawing>
                <wp:inline distT="0" distB="0" distL="114300" distR="114300">
                  <wp:extent cx="1244600" cy="241300"/>
                  <wp:effectExtent l="0" t="0" r="12700" b="5080"/>
                  <wp:docPr id="128" name="图片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186"/>
                          <pic:cNvPicPr>
                            <a:picLocks noChangeAspect="1"/>
                          </pic:cNvPicPr>
                        </pic:nvPicPr>
                        <pic:blipFill>
                          <a:blip r:embed="rId17"/>
                          <a:stretch>
                            <a:fillRect/>
                          </a:stretch>
                        </pic:blipFill>
                        <pic:spPr>
                          <a:xfrm>
                            <a:off x="0" y="0"/>
                            <a:ext cx="1244600" cy="241300"/>
                          </a:xfrm>
                          <a:prstGeom prst="rect">
                            <a:avLst/>
                          </a:prstGeom>
                          <a:noFill/>
                          <a:ln>
                            <a:noFill/>
                          </a:ln>
                        </pic:spPr>
                      </pic:pic>
                    </a:graphicData>
                  </a:graphic>
                </wp:inline>
              </w:drawing>
            </w:r>
          </w:p>
          <w:p w14:paraId="04B01E95">
            <w:pPr>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式中：</w:t>
            </w:r>
          </w:p>
          <w:p w14:paraId="401D6742">
            <w:pPr>
              <w:adjustRightInd w:val="0"/>
              <w:snapToGrid w:val="0"/>
              <w:spacing w:line="360" w:lineRule="auto"/>
              <w:ind w:firstLine="480"/>
              <w:jc w:val="both"/>
              <w:rPr>
                <w:rFonts w:hint="eastAsia" w:ascii="Times New Roman" w:hAnsi="Times New Roman" w:eastAsia="宋体" w:cs="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L</w:t>
            </w:r>
            <w:r>
              <w:rPr>
                <w:rFonts w:hint="eastAsia" w:ascii="Times New Roman" w:hAnsi="Times New Roman"/>
                <w:color w:val="000000" w:themeColor="text1"/>
                <w:spacing w:val="0"/>
                <w:position w:val="0"/>
                <w:sz w:val="24"/>
                <w:vertAlign w:val="subscript"/>
                <w14:textFill>
                  <w14:solidFill>
                    <w14:schemeClr w14:val="tx1"/>
                  </w14:solidFill>
                </w14:textFill>
              </w:rPr>
              <w:t>p1</w:t>
            </w:r>
            <w:r>
              <w:rPr>
                <w:rFonts w:hint="eastAsia" w:ascii="Times New Roman" w:hAnsi="Times New Roman"/>
                <w:color w:val="000000" w:themeColor="text1"/>
                <w:spacing w:val="0"/>
                <w:position w:val="0"/>
                <w:sz w:val="24"/>
                <w14:textFill>
                  <w14:solidFill>
                    <w14:schemeClr w14:val="tx1"/>
                  </w14:solidFill>
                </w14:textFill>
              </w:rPr>
              <w:t>—靠近开口处</w:t>
            </w:r>
            <w:r>
              <w:rPr>
                <w:rFonts w:hint="eastAsia" w:ascii="Times New Roman" w:hAnsi="Times New Roman"/>
                <w:color w:val="000000" w:themeColor="text1"/>
                <w:spacing w:val="0"/>
                <w:position w:val="0"/>
                <w:sz w:val="24"/>
                <w:lang w:val="en-US" w:eastAsia="zh-CN"/>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或窗户</w:t>
            </w:r>
            <w:r>
              <w:rPr>
                <w:rFonts w:hint="eastAsia" w:ascii="Times New Roman" w:hAnsi="Times New Roman"/>
                <w:color w:val="000000" w:themeColor="text1"/>
                <w:spacing w:val="0"/>
                <w:position w:val="0"/>
                <w:sz w:val="24"/>
                <w:lang w:val="en-US" w:eastAsia="zh-CN"/>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室内某倍频带的声压级或A声级，dB；</w:t>
            </w:r>
          </w:p>
          <w:p w14:paraId="01428982">
            <w:pPr>
              <w:adjustRightInd w:val="0"/>
              <w:snapToGrid w:val="0"/>
              <w:spacing w:line="360" w:lineRule="auto"/>
              <w:ind w:firstLine="480"/>
              <w:jc w:val="both"/>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L</w:t>
            </w:r>
            <w:r>
              <w:rPr>
                <w:rFonts w:hint="eastAsia" w:ascii="Times New Roman" w:hAnsi="Times New Roman"/>
                <w:color w:val="000000" w:themeColor="text1"/>
                <w:spacing w:val="0"/>
                <w:position w:val="0"/>
                <w:sz w:val="24"/>
                <w:vertAlign w:val="subscript"/>
                <w14:textFill>
                  <w14:solidFill>
                    <w14:schemeClr w14:val="tx1"/>
                  </w14:solidFill>
                </w14:textFill>
              </w:rPr>
              <w:t>p</w:t>
            </w:r>
            <w:r>
              <w:rPr>
                <w:rFonts w:hint="eastAsia" w:ascii="Times New Roman" w:hAnsi="Times New Roman"/>
                <w:color w:val="000000" w:themeColor="text1"/>
                <w:spacing w:val="0"/>
                <w:position w:val="0"/>
                <w:sz w:val="24"/>
                <w:vertAlign w:val="subscript"/>
                <w:lang w:val="en-US" w:eastAsia="zh-CN"/>
                <w14:textFill>
                  <w14:solidFill>
                    <w14:schemeClr w14:val="tx1"/>
                  </w14:solidFill>
                </w14:textFill>
              </w:rPr>
              <w:t>2</w:t>
            </w:r>
            <w:r>
              <w:rPr>
                <w:rFonts w:hint="eastAsia" w:ascii="Times New Roman" w:hAnsi="Times New Roman"/>
                <w:color w:val="000000" w:themeColor="text1"/>
                <w:spacing w:val="0"/>
                <w:position w:val="0"/>
                <w:sz w:val="24"/>
                <w14:textFill>
                  <w14:solidFill>
                    <w14:schemeClr w14:val="tx1"/>
                  </w14:solidFill>
                </w14:textFill>
              </w:rPr>
              <w:t>—靠近开口处</w:t>
            </w:r>
            <w:r>
              <w:rPr>
                <w:rFonts w:hint="eastAsia" w:ascii="Times New Roman" w:hAnsi="Times New Roman"/>
                <w:color w:val="000000" w:themeColor="text1"/>
                <w:spacing w:val="0"/>
                <w:position w:val="0"/>
                <w:sz w:val="24"/>
                <w:lang w:val="en-US" w:eastAsia="zh-CN"/>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或窗户</w:t>
            </w:r>
            <w:r>
              <w:rPr>
                <w:rFonts w:hint="eastAsia" w:ascii="Times New Roman" w:hAnsi="Times New Roman"/>
                <w:color w:val="000000" w:themeColor="text1"/>
                <w:spacing w:val="0"/>
                <w:position w:val="0"/>
                <w:sz w:val="24"/>
                <w:lang w:val="en-US" w:eastAsia="zh-CN"/>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室外某倍频带的声压级或A声级，dB；</w:t>
            </w:r>
          </w:p>
          <w:p w14:paraId="1D5B9703">
            <w:pPr>
              <w:adjustRightInd w:val="0"/>
              <w:snapToGrid w:val="0"/>
              <w:spacing w:line="360" w:lineRule="auto"/>
              <w:ind w:firstLine="480"/>
              <w:jc w:val="both"/>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TI—隔墙</w:t>
            </w:r>
            <w:r>
              <w:rPr>
                <w:rFonts w:hint="eastAsia" w:ascii="Times New Roman" w:hAnsi="Times New Roman"/>
                <w:color w:val="000000" w:themeColor="text1"/>
                <w:spacing w:val="0"/>
                <w:position w:val="0"/>
                <w:sz w:val="24"/>
                <w:lang w:val="en-US" w:eastAsia="zh-CN"/>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或窗户</w:t>
            </w:r>
            <w:r>
              <w:rPr>
                <w:rFonts w:hint="eastAsia" w:ascii="Times New Roman" w:hAnsi="Times New Roman"/>
                <w:color w:val="000000" w:themeColor="text1"/>
                <w:spacing w:val="0"/>
                <w:position w:val="0"/>
                <w:sz w:val="24"/>
                <w:lang w:val="en-US" w:eastAsia="zh-CN"/>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倍频带或A声级的隔声量，dB。</w:t>
            </w:r>
          </w:p>
          <w:p w14:paraId="44B7DAF3">
            <w:pPr>
              <w:adjustRightInd w:val="0"/>
              <w:snapToGrid w:val="0"/>
              <w:spacing w:line="360" w:lineRule="auto"/>
              <w:ind w:firstLine="480"/>
              <w:jc w:val="center"/>
              <w:rPr>
                <w:rFonts w:hint="eastAsia" w:ascii="Times New Roman" w:hAnsi="Times New Roman"/>
                <w:color w:val="000000" w:themeColor="text1"/>
                <w:spacing w:val="0"/>
                <w:position w:val="0"/>
                <w:sz w:val="24"/>
                <w14:textFill>
                  <w14:solidFill>
                    <w14:schemeClr w14:val="tx1"/>
                  </w14:solidFill>
                </w14:textFill>
              </w:rPr>
            </w:pPr>
            <w:r>
              <w:rPr>
                <w:rFonts w:ascii="Times New Roman" w:hAnsi="Times New Roman"/>
                <w:color w:val="000000" w:themeColor="text1"/>
                <w:spacing w:val="0"/>
                <w:position w:val="0"/>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1201420</wp:posOffset>
                      </wp:positionV>
                      <wp:extent cx="2740025" cy="330200"/>
                      <wp:effectExtent l="0" t="0" r="0" b="0"/>
                      <wp:wrapNone/>
                      <wp:docPr id="76" name="文本框 154"/>
                      <wp:cNvGraphicFramePr/>
                      <a:graphic xmlns:a="http://schemas.openxmlformats.org/drawingml/2006/main">
                        <a:graphicData uri="http://schemas.microsoft.com/office/word/2010/wordprocessingShape">
                          <wps:wsp>
                            <wps:cNvSpPr txBox="1"/>
                            <wps:spPr>
                              <a:xfrm>
                                <a:off x="0" y="0"/>
                                <a:ext cx="2740025" cy="330200"/>
                              </a:xfrm>
                              <a:prstGeom prst="rect">
                                <a:avLst/>
                              </a:prstGeom>
                              <a:noFill/>
                              <a:ln>
                                <a:noFill/>
                              </a:ln>
                            </wps:spPr>
                            <wps:txbx>
                              <w:txbxContent>
                                <w:p w14:paraId="01802F21">
                                  <w:pPr>
                                    <w:jc w:val="center"/>
                                  </w:pPr>
                                  <w:r>
                                    <w:rPr>
                                      <w:rFonts w:hint="default" w:ascii="Times New Roman" w:hAnsi="Times New Roman" w:eastAsia="黑体" w:cs="Times New Roman"/>
                                      <w:b w:val="0"/>
                                      <w:bCs w:val="0"/>
                                      <w:color w:val="auto"/>
                                      <w:sz w:val="24"/>
                                    </w:rPr>
                                    <w:t>图</w:t>
                                  </w:r>
                                  <w:r>
                                    <w:rPr>
                                      <w:rFonts w:hint="default" w:ascii="Times New Roman" w:hAnsi="Times New Roman" w:eastAsia="黑体" w:cs="Times New Roman"/>
                                      <w:b w:val="0"/>
                                      <w:bCs w:val="0"/>
                                      <w:color w:val="auto"/>
                                      <w:sz w:val="24"/>
                                      <w:lang w:val="en-US" w:eastAsia="zh-CN"/>
                                    </w:rPr>
                                    <w:t>4.</w:t>
                                  </w:r>
                                  <w:r>
                                    <w:rPr>
                                      <w:rFonts w:hint="eastAsia" w:ascii="Times New Roman" w:hAnsi="Times New Roman" w:eastAsia="黑体" w:cs="Times New Roman"/>
                                      <w:b w:val="0"/>
                                      <w:bCs w:val="0"/>
                                      <w:color w:val="auto"/>
                                      <w:sz w:val="24"/>
                                      <w:lang w:val="en-US" w:eastAsia="zh-CN"/>
                                    </w:rPr>
                                    <w:t>4</w:t>
                                  </w:r>
                                  <w:r>
                                    <w:rPr>
                                      <w:rFonts w:hint="default" w:ascii="Times New Roman" w:hAnsi="Times New Roman" w:eastAsia="黑体" w:cs="Times New Roman"/>
                                      <w:b w:val="0"/>
                                      <w:bCs w:val="0"/>
                                      <w:color w:val="auto"/>
                                      <w:sz w:val="24"/>
                                      <w:lang w:val="en-US" w:eastAsia="zh-CN"/>
                                    </w:rPr>
                                    <w:t>-1</w:t>
                                  </w:r>
                                  <w:r>
                                    <w:rPr>
                                      <w:rFonts w:hint="default" w:ascii="Times New Roman" w:hAnsi="Times New Roman" w:eastAsia="黑体" w:cs="Times New Roman"/>
                                      <w:b w:val="0"/>
                                      <w:bCs w:val="0"/>
                                      <w:color w:val="auto"/>
                                      <w:sz w:val="24"/>
                                    </w:rPr>
                                    <w:t xml:space="preserve"> </w:t>
                                  </w:r>
                                  <w:r>
                                    <w:rPr>
                                      <w:rFonts w:hint="eastAsia" w:ascii="Times New Roman" w:hAnsi="Times New Roman" w:eastAsia="黑体" w:cs="Times New Roman"/>
                                      <w:b w:val="0"/>
                                      <w:bCs w:val="0"/>
                                      <w:color w:val="auto"/>
                                      <w:sz w:val="24"/>
                                      <w:lang w:val="en-US" w:eastAsia="zh-CN"/>
                                    </w:rPr>
                                    <w:t xml:space="preserve"> </w:t>
                                  </w:r>
                                  <w:r>
                                    <w:rPr>
                                      <w:rFonts w:hint="default" w:ascii="Times New Roman" w:hAnsi="Times New Roman" w:eastAsia="黑体" w:cs="Times New Roman"/>
                                      <w:b w:val="0"/>
                                      <w:bCs w:val="0"/>
                                      <w:color w:val="auto"/>
                                      <w:sz w:val="24"/>
                                    </w:rPr>
                                    <w:t>室内声源等效室外声源图例</w:t>
                                  </w:r>
                                </w:p>
                              </w:txbxContent>
                            </wps:txbx>
                            <wps:bodyPr wrap="square" upright="1"/>
                          </wps:wsp>
                        </a:graphicData>
                      </a:graphic>
                    </wp:anchor>
                  </w:drawing>
                </mc:Choice>
                <mc:Fallback>
                  <w:pict>
                    <v:shape id="文本框 154" o:spid="_x0000_s1026" o:spt="202" type="#_x0000_t202" style="position:absolute;left:0pt;margin-top:94.6pt;height:26pt;width:215.75pt;mso-position-horizontal:center;z-index:251661312;mso-width-relative:page;mso-height-relative:page;" filled="f" stroked="f" coordsize="21600,21600" o:gfxdata="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6WoVrWAAAACAEAAA8AAAAAAAAAAQAgAAAAIgAAAGRycy9kb3ducmV2LnhtbFBLAQIUABQA&#10;AAAIAIdO4kCEaMoxuQEAAF8DAAAOAAAAAAAAAAEAIAAAACUBAABkcnMvZTJvRG9jLnhtbFBLBQYA&#10;AAAABgAGAFkBAABQBQAAAAA=&#10;">
                      <v:fill on="f" focussize="0,0"/>
                      <v:stroke on="f"/>
                      <v:imagedata o:title=""/>
                      <o:lock v:ext="edit" aspectratio="f"/>
                      <v:textbox>
                        <w:txbxContent>
                          <w:p w14:paraId="01802F21">
                            <w:pPr>
                              <w:jc w:val="center"/>
                            </w:pPr>
                            <w:r>
                              <w:rPr>
                                <w:rFonts w:hint="default" w:ascii="Times New Roman" w:hAnsi="Times New Roman" w:eastAsia="黑体" w:cs="Times New Roman"/>
                                <w:b w:val="0"/>
                                <w:bCs w:val="0"/>
                                <w:color w:val="auto"/>
                                <w:sz w:val="24"/>
                              </w:rPr>
                              <w:t>图</w:t>
                            </w:r>
                            <w:r>
                              <w:rPr>
                                <w:rFonts w:hint="default" w:ascii="Times New Roman" w:hAnsi="Times New Roman" w:eastAsia="黑体" w:cs="Times New Roman"/>
                                <w:b w:val="0"/>
                                <w:bCs w:val="0"/>
                                <w:color w:val="auto"/>
                                <w:sz w:val="24"/>
                                <w:lang w:val="en-US" w:eastAsia="zh-CN"/>
                              </w:rPr>
                              <w:t>4.</w:t>
                            </w:r>
                            <w:r>
                              <w:rPr>
                                <w:rFonts w:hint="eastAsia" w:ascii="Times New Roman" w:hAnsi="Times New Roman" w:eastAsia="黑体" w:cs="Times New Roman"/>
                                <w:b w:val="0"/>
                                <w:bCs w:val="0"/>
                                <w:color w:val="auto"/>
                                <w:sz w:val="24"/>
                                <w:lang w:val="en-US" w:eastAsia="zh-CN"/>
                              </w:rPr>
                              <w:t>4</w:t>
                            </w:r>
                            <w:r>
                              <w:rPr>
                                <w:rFonts w:hint="default" w:ascii="Times New Roman" w:hAnsi="Times New Roman" w:eastAsia="黑体" w:cs="Times New Roman"/>
                                <w:b w:val="0"/>
                                <w:bCs w:val="0"/>
                                <w:color w:val="auto"/>
                                <w:sz w:val="24"/>
                                <w:lang w:val="en-US" w:eastAsia="zh-CN"/>
                              </w:rPr>
                              <w:t>-1</w:t>
                            </w:r>
                            <w:r>
                              <w:rPr>
                                <w:rFonts w:hint="default" w:ascii="Times New Roman" w:hAnsi="Times New Roman" w:eastAsia="黑体" w:cs="Times New Roman"/>
                                <w:b w:val="0"/>
                                <w:bCs w:val="0"/>
                                <w:color w:val="auto"/>
                                <w:sz w:val="24"/>
                              </w:rPr>
                              <w:t xml:space="preserve"> </w:t>
                            </w:r>
                            <w:r>
                              <w:rPr>
                                <w:rFonts w:hint="eastAsia" w:ascii="Times New Roman" w:hAnsi="Times New Roman" w:eastAsia="黑体" w:cs="Times New Roman"/>
                                <w:b w:val="0"/>
                                <w:bCs w:val="0"/>
                                <w:color w:val="auto"/>
                                <w:sz w:val="24"/>
                                <w:lang w:val="en-US" w:eastAsia="zh-CN"/>
                              </w:rPr>
                              <w:t xml:space="preserve"> </w:t>
                            </w:r>
                            <w:r>
                              <w:rPr>
                                <w:rFonts w:hint="default" w:ascii="Times New Roman" w:hAnsi="Times New Roman" w:eastAsia="黑体" w:cs="Times New Roman"/>
                                <w:b w:val="0"/>
                                <w:bCs w:val="0"/>
                                <w:color w:val="auto"/>
                                <w:sz w:val="24"/>
                              </w:rPr>
                              <w:t>室内声源等效室外声源图例</w:t>
                            </w:r>
                          </w:p>
                        </w:txbxContent>
                      </v:textbox>
                    </v:shape>
                  </w:pict>
                </mc:Fallback>
              </mc:AlternateContent>
            </w:r>
            <w:r>
              <w:rPr>
                <w:rFonts w:ascii="Times New Roman" w:hAnsi="Times New Roman"/>
                <w:color w:val="000000" w:themeColor="text1"/>
                <w:spacing w:val="0"/>
                <w:position w:val="0"/>
                <w:sz w:val="24"/>
                <w14:textFill>
                  <w14:solidFill>
                    <w14:schemeClr w14:val="tx1"/>
                  </w14:solidFill>
                </w14:textFill>
              </w:rPr>
              <w:drawing>
                <wp:inline distT="0" distB="0" distL="114300" distR="114300">
                  <wp:extent cx="2320290" cy="1279525"/>
                  <wp:effectExtent l="0" t="0" r="3810" b="15875"/>
                  <wp:docPr id="129" name="图片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187"/>
                          <pic:cNvPicPr>
                            <a:picLocks noChangeAspect="1"/>
                          </pic:cNvPicPr>
                        </pic:nvPicPr>
                        <pic:blipFill>
                          <a:blip r:embed="rId18"/>
                          <a:stretch>
                            <a:fillRect/>
                          </a:stretch>
                        </pic:blipFill>
                        <pic:spPr>
                          <a:xfrm>
                            <a:off x="0" y="0"/>
                            <a:ext cx="2320290" cy="1279525"/>
                          </a:xfrm>
                          <a:prstGeom prst="rect">
                            <a:avLst/>
                          </a:prstGeom>
                          <a:noFill/>
                          <a:ln>
                            <a:noFill/>
                          </a:ln>
                        </pic:spPr>
                      </pic:pic>
                    </a:graphicData>
                  </a:graphic>
                </wp:inline>
              </w:drawing>
            </w:r>
          </w:p>
          <w:p w14:paraId="2E20AD44">
            <w:pPr>
              <w:adjustRightInd w:val="0"/>
              <w:snapToGrid w:val="0"/>
              <w:spacing w:line="360" w:lineRule="auto"/>
              <w:ind w:firstLine="480"/>
              <w:jc w:val="center"/>
              <w:rPr>
                <w:rFonts w:hint="default" w:ascii="Times New Roman" w:hAnsi="Times New Roman" w:eastAsia="黑体" w:cs="Times New Roman"/>
                <w:b w:val="0"/>
                <w:bCs w:val="0"/>
                <w:color w:val="000000" w:themeColor="text1"/>
                <w:spacing w:val="0"/>
                <w:position w:val="0"/>
                <w:sz w:val="24"/>
                <w14:textFill>
                  <w14:solidFill>
                    <w14:schemeClr w14:val="tx1"/>
                  </w14:solidFill>
                </w14:textFill>
              </w:rPr>
            </w:pPr>
          </w:p>
          <w:p w14:paraId="45EAE7B9">
            <w:pPr>
              <w:adjustRightInd w:val="0"/>
              <w:snapToGrid w:val="0"/>
              <w:spacing w:line="360" w:lineRule="auto"/>
              <w:ind w:firstLine="480"/>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②按下式计算某一室内声源靠近围护结构处产生的倍频带声压级或A声级：</w:t>
            </w:r>
          </w:p>
          <w:p w14:paraId="6E27AE31">
            <w:pPr>
              <w:adjustRightInd w:val="0"/>
              <w:snapToGrid w:val="0"/>
              <w:spacing w:line="360" w:lineRule="auto"/>
              <w:ind w:firstLine="480"/>
              <w:jc w:val="center"/>
              <w:rPr>
                <w:rFonts w:ascii="Times New Roman" w:hAnsi="Times New Roman"/>
                <w:color w:val="000000" w:themeColor="text1"/>
                <w:spacing w:val="0"/>
                <w:position w:val="0"/>
                <w:sz w:val="24"/>
                <w14:textFill>
                  <w14:solidFill>
                    <w14:schemeClr w14:val="tx1"/>
                  </w14:solidFill>
                </w14:textFill>
              </w:rPr>
            </w:pPr>
            <w:r>
              <w:rPr>
                <w:rFonts w:ascii="Times New Roman" w:hAnsi="Times New Roman"/>
                <w:color w:val="000000" w:themeColor="text1"/>
                <w:spacing w:val="0"/>
                <w:position w:val="0"/>
                <w:sz w:val="24"/>
                <w14:textFill>
                  <w14:solidFill>
                    <w14:schemeClr w14:val="tx1"/>
                  </w14:solidFill>
                </w14:textFill>
              </w:rPr>
              <w:drawing>
                <wp:inline distT="0" distB="0" distL="114300" distR="114300">
                  <wp:extent cx="1714500" cy="482600"/>
                  <wp:effectExtent l="0" t="0" r="0" b="13335"/>
                  <wp:docPr id="130" name="图片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188"/>
                          <pic:cNvPicPr>
                            <a:picLocks noChangeAspect="1"/>
                          </pic:cNvPicPr>
                        </pic:nvPicPr>
                        <pic:blipFill>
                          <a:blip r:embed="rId19"/>
                          <a:stretch>
                            <a:fillRect/>
                          </a:stretch>
                        </pic:blipFill>
                        <pic:spPr>
                          <a:xfrm>
                            <a:off x="0" y="0"/>
                            <a:ext cx="1714500" cy="482600"/>
                          </a:xfrm>
                          <a:prstGeom prst="rect">
                            <a:avLst/>
                          </a:prstGeom>
                          <a:noFill/>
                          <a:ln>
                            <a:noFill/>
                          </a:ln>
                        </pic:spPr>
                      </pic:pic>
                    </a:graphicData>
                  </a:graphic>
                </wp:inline>
              </w:drawing>
            </w:r>
          </w:p>
          <w:p w14:paraId="083064D4">
            <w:pPr>
              <w:adjustRightInd w:val="0"/>
              <w:snapToGrid w:val="0"/>
              <w:spacing w:line="360" w:lineRule="auto"/>
              <w:ind w:firstLine="480"/>
              <w:rPr>
                <w:rFonts w:hint="eastAsia" w:ascii="Times New Roman" w:hAnsi="Times New Roman" w:cs="宋体"/>
                <w:color w:val="000000" w:themeColor="text1"/>
                <w:spacing w:val="0"/>
                <w:position w:val="0"/>
                <w:sz w:val="24"/>
                <w14:textFill>
                  <w14:solidFill>
                    <w14:schemeClr w14:val="tx1"/>
                  </w14:solidFill>
                </w14:textFill>
              </w:rPr>
            </w:pPr>
            <w:r>
              <w:rPr>
                <w:rFonts w:hint="eastAsia" w:ascii="Times New Roman" w:hAnsi="Times New Roman" w:cs="宋体"/>
                <w:color w:val="000000" w:themeColor="text1"/>
                <w:spacing w:val="0"/>
                <w:position w:val="0"/>
                <w:sz w:val="24"/>
                <w14:textFill>
                  <w14:solidFill>
                    <w14:schemeClr w14:val="tx1"/>
                  </w14:solidFill>
                </w14:textFill>
              </w:rPr>
              <w:t>式中：</w:t>
            </w:r>
          </w:p>
          <w:p w14:paraId="6E352C5E">
            <w:pPr>
              <w:adjustRightInd w:val="0"/>
              <w:snapToGrid w:val="0"/>
              <w:spacing w:line="360" w:lineRule="auto"/>
              <w:ind w:firstLine="480"/>
              <w:rPr>
                <w:rFonts w:hint="eastAsia" w:ascii="Times New Roman" w:hAnsi="Times New Roman" w:cs="宋体"/>
                <w:color w:val="000000" w:themeColor="text1"/>
                <w:spacing w:val="0"/>
                <w:position w:val="0"/>
                <w:sz w:val="24"/>
                <w14:textFill>
                  <w14:solidFill>
                    <w14:schemeClr w14:val="tx1"/>
                  </w14:solidFill>
                </w14:textFill>
              </w:rPr>
            </w:pPr>
            <w:r>
              <w:rPr>
                <w:rFonts w:hint="eastAsia" w:ascii="Times New Roman" w:hAnsi="Times New Roman" w:cs="宋体"/>
                <w:color w:val="000000" w:themeColor="text1"/>
                <w:spacing w:val="0"/>
                <w:position w:val="0"/>
                <w:sz w:val="24"/>
                <w14:textFill>
                  <w14:solidFill>
                    <w14:schemeClr w14:val="tx1"/>
                  </w14:solidFill>
                </w14:textFill>
              </w:rPr>
              <w:t>Lp</w:t>
            </w:r>
            <w:r>
              <w:rPr>
                <w:rFonts w:hint="eastAsia" w:ascii="Times New Roman" w:hAnsi="Times New Roman" w:cs="宋体"/>
                <w:color w:val="000000" w:themeColor="text1"/>
                <w:spacing w:val="0"/>
                <w:position w:val="0"/>
                <w:sz w:val="24"/>
                <w:vertAlign w:val="subscript"/>
                <w:lang w:val="en-US" w:eastAsia="zh-CN"/>
                <w14:textFill>
                  <w14:solidFill>
                    <w14:schemeClr w14:val="tx1"/>
                  </w14:solidFill>
                </w14:textFill>
              </w:rPr>
              <w:t>1</w:t>
            </w:r>
            <w:r>
              <w:rPr>
                <w:rFonts w:hint="eastAsia" w:ascii="Times New Roman" w:hAnsi="Times New Roman" w:cs="宋体"/>
                <w:color w:val="000000" w:themeColor="text1"/>
                <w:spacing w:val="0"/>
                <w:position w:val="0"/>
                <w:sz w:val="24"/>
                <w14:textFill>
                  <w14:solidFill>
                    <w14:schemeClr w14:val="tx1"/>
                  </w14:solidFill>
                </w14:textFill>
              </w:rPr>
              <w:t>—靠近开口处</w:t>
            </w:r>
            <w:r>
              <w:rPr>
                <w:rFonts w:hint="eastAsia" w:ascii="Times New Roman" w:hAnsi="Times New Roman" w:cs="宋体"/>
                <w:color w:val="000000" w:themeColor="text1"/>
                <w:spacing w:val="0"/>
                <w:position w:val="0"/>
                <w:sz w:val="24"/>
                <w:lang w:val="en-US" w:eastAsia="zh-CN"/>
                <w14:textFill>
                  <w14:solidFill>
                    <w14:schemeClr w14:val="tx1"/>
                  </w14:solidFill>
                </w14:textFill>
              </w:rPr>
              <w:t>(</w:t>
            </w:r>
            <w:r>
              <w:rPr>
                <w:rFonts w:hint="eastAsia" w:ascii="Times New Roman" w:hAnsi="Times New Roman" w:cs="宋体"/>
                <w:color w:val="000000" w:themeColor="text1"/>
                <w:spacing w:val="0"/>
                <w:position w:val="0"/>
                <w:sz w:val="24"/>
                <w14:textFill>
                  <w14:solidFill>
                    <w14:schemeClr w14:val="tx1"/>
                  </w14:solidFill>
                </w14:textFill>
              </w:rPr>
              <w:t>或窗户</w:t>
            </w:r>
            <w:r>
              <w:rPr>
                <w:rFonts w:hint="eastAsia" w:ascii="Times New Roman" w:hAnsi="Times New Roman" w:cs="宋体"/>
                <w:color w:val="000000" w:themeColor="text1"/>
                <w:spacing w:val="0"/>
                <w:position w:val="0"/>
                <w:sz w:val="24"/>
                <w:lang w:val="en-US" w:eastAsia="zh-CN"/>
                <w14:textFill>
                  <w14:solidFill>
                    <w14:schemeClr w14:val="tx1"/>
                  </w14:solidFill>
                </w14:textFill>
              </w:rPr>
              <w:t>)</w:t>
            </w:r>
            <w:r>
              <w:rPr>
                <w:rFonts w:hint="eastAsia" w:ascii="Times New Roman" w:hAnsi="Times New Roman" w:cs="宋体"/>
                <w:color w:val="000000" w:themeColor="text1"/>
                <w:spacing w:val="0"/>
                <w:position w:val="0"/>
                <w:sz w:val="24"/>
                <w14:textFill>
                  <w14:solidFill>
                    <w14:schemeClr w14:val="tx1"/>
                  </w14:solidFill>
                </w14:textFill>
              </w:rPr>
              <w:t>室内某倍频带的声压级或A声级，dB；</w:t>
            </w:r>
          </w:p>
          <w:p w14:paraId="4E8DCE64">
            <w:pPr>
              <w:adjustRightInd w:val="0"/>
              <w:snapToGrid w:val="0"/>
              <w:spacing w:line="360" w:lineRule="auto"/>
              <w:ind w:firstLine="480"/>
              <w:rPr>
                <w:rFonts w:hint="eastAsia" w:ascii="Times New Roman" w:hAnsi="Times New Roman" w:cs="宋体"/>
                <w:color w:val="000000" w:themeColor="text1"/>
                <w:spacing w:val="0"/>
                <w:position w:val="0"/>
                <w:sz w:val="24"/>
                <w14:textFill>
                  <w14:solidFill>
                    <w14:schemeClr w14:val="tx1"/>
                  </w14:solidFill>
                </w14:textFill>
              </w:rPr>
            </w:pPr>
            <w:r>
              <w:rPr>
                <w:rFonts w:hint="eastAsia" w:ascii="Times New Roman" w:hAnsi="Times New Roman" w:cs="宋体"/>
                <w:color w:val="000000" w:themeColor="text1"/>
                <w:spacing w:val="0"/>
                <w:position w:val="0"/>
                <w:sz w:val="24"/>
                <w14:textFill>
                  <w14:solidFill>
                    <w14:schemeClr w14:val="tx1"/>
                  </w14:solidFill>
                </w14:textFill>
              </w:rPr>
              <w:t>Lw—点声源声功率级</w:t>
            </w:r>
            <w:r>
              <w:rPr>
                <w:rFonts w:hint="eastAsia" w:ascii="Times New Roman" w:hAnsi="Times New Roman" w:cs="宋体"/>
                <w:color w:val="000000" w:themeColor="text1"/>
                <w:spacing w:val="0"/>
                <w:position w:val="0"/>
                <w:sz w:val="24"/>
                <w:lang w:val="en-US" w:eastAsia="zh-CN"/>
                <w14:textFill>
                  <w14:solidFill>
                    <w14:schemeClr w14:val="tx1"/>
                  </w14:solidFill>
                </w14:textFill>
              </w:rPr>
              <w:t>(</w:t>
            </w:r>
            <w:r>
              <w:rPr>
                <w:rFonts w:hint="eastAsia" w:ascii="Times New Roman" w:hAnsi="Times New Roman" w:cs="宋体"/>
                <w:color w:val="000000" w:themeColor="text1"/>
                <w:spacing w:val="0"/>
                <w:position w:val="0"/>
                <w:sz w:val="24"/>
                <w14:textFill>
                  <w14:solidFill>
                    <w14:schemeClr w14:val="tx1"/>
                  </w14:solidFill>
                </w14:textFill>
              </w:rPr>
              <w:t>A计权或倍频带</w:t>
            </w:r>
            <w:r>
              <w:rPr>
                <w:rFonts w:hint="eastAsia" w:ascii="Times New Roman" w:hAnsi="Times New Roman" w:cs="宋体"/>
                <w:color w:val="000000" w:themeColor="text1"/>
                <w:spacing w:val="0"/>
                <w:position w:val="0"/>
                <w:sz w:val="24"/>
                <w:lang w:val="en-US" w:eastAsia="zh-CN"/>
                <w14:textFill>
                  <w14:solidFill>
                    <w14:schemeClr w14:val="tx1"/>
                  </w14:solidFill>
                </w14:textFill>
              </w:rPr>
              <w:t>)</w:t>
            </w:r>
            <w:r>
              <w:rPr>
                <w:rFonts w:hint="eastAsia" w:ascii="Times New Roman" w:hAnsi="Times New Roman" w:cs="宋体"/>
                <w:color w:val="000000" w:themeColor="text1"/>
                <w:spacing w:val="0"/>
                <w:position w:val="0"/>
                <w:sz w:val="24"/>
                <w14:textFill>
                  <w14:solidFill>
                    <w14:schemeClr w14:val="tx1"/>
                  </w14:solidFill>
                </w14:textFill>
              </w:rPr>
              <w:t>，dB；</w:t>
            </w:r>
          </w:p>
          <w:p w14:paraId="0866A1C5">
            <w:pPr>
              <w:adjustRightInd w:val="0"/>
              <w:snapToGrid w:val="0"/>
              <w:spacing w:line="360" w:lineRule="auto"/>
              <w:ind w:firstLine="480"/>
              <w:rPr>
                <w:rFonts w:hint="eastAsia" w:ascii="Times New Roman" w:hAnsi="Times New Roman" w:cs="宋体"/>
                <w:color w:val="000000" w:themeColor="text1"/>
                <w:spacing w:val="0"/>
                <w:position w:val="0"/>
                <w:sz w:val="24"/>
                <w14:textFill>
                  <w14:solidFill>
                    <w14:schemeClr w14:val="tx1"/>
                  </w14:solidFill>
                </w14:textFill>
              </w:rPr>
            </w:pPr>
            <w:r>
              <w:rPr>
                <w:rFonts w:hint="eastAsia" w:ascii="Times New Roman" w:hAnsi="Times New Roman" w:cs="宋体"/>
                <w:color w:val="000000" w:themeColor="text1"/>
                <w:spacing w:val="0"/>
                <w:position w:val="0"/>
                <w:sz w:val="24"/>
                <w:lang w:val="en-US" w:eastAsia="zh-CN"/>
                <w14:textFill>
                  <w14:solidFill>
                    <w14:schemeClr w14:val="tx1"/>
                  </w14:solidFill>
                </w14:textFill>
              </w:rPr>
              <w:t>Q</w:t>
            </w:r>
            <w:r>
              <w:rPr>
                <w:rFonts w:hint="eastAsia" w:ascii="Times New Roman" w:hAnsi="Times New Roman" w:cs="宋体"/>
                <w:color w:val="000000" w:themeColor="text1"/>
                <w:spacing w:val="0"/>
                <w:position w:val="0"/>
                <w:sz w:val="24"/>
                <w14:textFill>
                  <w14:solidFill>
                    <w14:schemeClr w14:val="tx1"/>
                  </w14:solidFill>
                </w14:textFill>
              </w:rPr>
              <w:t>—指向性因数；通常对无指向性声源，当声源放在房间中心时，</w:t>
            </w:r>
            <w:r>
              <w:rPr>
                <w:rFonts w:hint="eastAsia" w:ascii="Times New Roman" w:hAnsi="Times New Roman" w:cs="宋体"/>
                <w:color w:val="000000" w:themeColor="text1"/>
                <w:spacing w:val="0"/>
                <w:position w:val="0"/>
                <w:sz w:val="24"/>
                <w:lang w:val="en-US" w:eastAsia="zh-CN"/>
                <w14:textFill>
                  <w14:solidFill>
                    <w14:schemeClr w14:val="tx1"/>
                  </w14:solidFill>
                </w14:textFill>
              </w:rPr>
              <w:t>Q</w:t>
            </w:r>
            <w:r>
              <w:rPr>
                <w:rFonts w:hint="eastAsia" w:ascii="Times New Roman" w:hAnsi="Times New Roman" w:cs="宋体"/>
                <w:color w:val="000000" w:themeColor="text1"/>
                <w:spacing w:val="0"/>
                <w:position w:val="0"/>
                <w:sz w:val="24"/>
                <w14:textFill>
                  <w14:solidFill>
                    <w14:schemeClr w14:val="tx1"/>
                  </w14:solidFill>
                </w14:textFill>
              </w:rPr>
              <w:t>=1；当放在一面墙的中心时，</w:t>
            </w:r>
            <w:r>
              <w:rPr>
                <w:rFonts w:hint="eastAsia" w:ascii="Times New Roman" w:hAnsi="Times New Roman" w:cs="宋体"/>
                <w:color w:val="000000" w:themeColor="text1"/>
                <w:spacing w:val="0"/>
                <w:position w:val="0"/>
                <w:sz w:val="24"/>
                <w:lang w:val="en-US" w:eastAsia="zh-CN"/>
                <w14:textFill>
                  <w14:solidFill>
                    <w14:schemeClr w14:val="tx1"/>
                  </w14:solidFill>
                </w14:textFill>
              </w:rPr>
              <w:t>Q</w:t>
            </w:r>
            <w:r>
              <w:rPr>
                <w:rFonts w:hint="eastAsia" w:ascii="Times New Roman" w:hAnsi="Times New Roman" w:cs="宋体"/>
                <w:color w:val="000000" w:themeColor="text1"/>
                <w:spacing w:val="0"/>
                <w:position w:val="0"/>
                <w:sz w:val="24"/>
                <w14:textFill>
                  <w14:solidFill>
                    <w14:schemeClr w14:val="tx1"/>
                  </w14:solidFill>
                </w14:textFill>
              </w:rPr>
              <w:t>=2；当放在两面墙夹角处时，</w:t>
            </w:r>
            <w:r>
              <w:rPr>
                <w:rFonts w:hint="eastAsia" w:ascii="Times New Roman" w:hAnsi="Times New Roman" w:cs="宋体"/>
                <w:color w:val="000000" w:themeColor="text1"/>
                <w:spacing w:val="0"/>
                <w:position w:val="0"/>
                <w:sz w:val="24"/>
                <w:lang w:val="en-US" w:eastAsia="zh-CN"/>
                <w14:textFill>
                  <w14:solidFill>
                    <w14:schemeClr w14:val="tx1"/>
                  </w14:solidFill>
                </w14:textFill>
              </w:rPr>
              <w:t>Q</w:t>
            </w:r>
            <w:r>
              <w:rPr>
                <w:rFonts w:hint="eastAsia" w:ascii="Times New Roman" w:hAnsi="Times New Roman" w:cs="宋体"/>
                <w:color w:val="000000" w:themeColor="text1"/>
                <w:spacing w:val="0"/>
                <w:position w:val="0"/>
                <w:sz w:val="24"/>
                <w14:textFill>
                  <w14:solidFill>
                    <w14:schemeClr w14:val="tx1"/>
                  </w14:solidFill>
                </w14:textFill>
              </w:rPr>
              <w:t>=4；当放在三面墙夹角处时，</w:t>
            </w:r>
            <w:r>
              <w:rPr>
                <w:rFonts w:hint="eastAsia" w:ascii="Times New Roman" w:hAnsi="Times New Roman" w:cs="宋体"/>
                <w:color w:val="000000" w:themeColor="text1"/>
                <w:spacing w:val="0"/>
                <w:position w:val="0"/>
                <w:sz w:val="24"/>
                <w:lang w:val="en-US" w:eastAsia="zh-CN"/>
                <w14:textFill>
                  <w14:solidFill>
                    <w14:schemeClr w14:val="tx1"/>
                  </w14:solidFill>
                </w14:textFill>
              </w:rPr>
              <w:t>Q</w:t>
            </w:r>
            <w:r>
              <w:rPr>
                <w:rFonts w:hint="eastAsia" w:ascii="Times New Roman" w:hAnsi="Times New Roman" w:cs="宋体"/>
                <w:color w:val="000000" w:themeColor="text1"/>
                <w:spacing w:val="0"/>
                <w:position w:val="0"/>
                <w:sz w:val="24"/>
                <w14:textFill>
                  <w14:solidFill>
                    <w14:schemeClr w14:val="tx1"/>
                  </w14:solidFill>
                </w14:textFill>
              </w:rPr>
              <w:t>=8；</w:t>
            </w:r>
          </w:p>
          <w:p w14:paraId="79AFD9DC">
            <w:pPr>
              <w:adjustRightInd w:val="0"/>
              <w:snapToGrid w:val="0"/>
              <w:spacing w:line="360" w:lineRule="auto"/>
              <w:ind w:firstLine="480"/>
              <w:rPr>
                <w:rFonts w:hint="eastAsia" w:ascii="Times New Roman" w:hAnsi="Times New Roman" w:cs="宋体"/>
                <w:color w:val="000000" w:themeColor="text1"/>
                <w:spacing w:val="0"/>
                <w:position w:val="0"/>
                <w:sz w:val="24"/>
                <w14:textFill>
                  <w14:solidFill>
                    <w14:schemeClr w14:val="tx1"/>
                  </w14:solidFill>
                </w14:textFill>
              </w:rPr>
            </w:pPr>
            <w:r>
              <w:rPr>
                <w:rFonts w:hint="eastAsia" w:ascii="Times New Roman" w:hAnsi="Times New Roman" w:cs="宋体"/>
                <w:color w:val="000000" w:themeColor="text1"/>
                <w:spacing w:val="0"/>
                <w:position w:val="0"/>
                <w:sz w:val="24"/>
                <w14:textFill>
                  <w14:solidFill>
                    <w14:schemeClr w14:val="tx1"/>
                  </w14:solidFill>
                </w14:textFill>
              </w:rPr>
              <w:t>R—房间常数；R=Sa/(1-a)，s为房间内表面面积，m</w:t>
            </w:r>
            <w:r>
              <w:rPr>
                <w:rFonts w:hint="eastAsia" w:ascii="Times New Roman" w:hAnsi="Times New Roman" w:cs="宋体"/>
                <w:color w:val="000000" w:themeColor="text1"/>
                <w:spacing w:val="0"/>
                <w:position w:val="0"/>
                <w:sz w:val="24"/>
                <w:vertAlign w:val="superscript"/>
                <w14:textFill>
                  <w14:solidFill>
                    <w14:schemeClr w14:val="tx1"/>
                  </w14:solidFill>
                </w14:textFill>
              </w:rPr>
              <w:t>2</w:t>
            </w:r>
            <w:r>
              <w:rPr>
                <w:rFonts w:hint="eastAsia" w:ascii="Times New Roman" w:hAnsi="Times New Roman" w:cs="宋体"/>
                <w:color w:val="000000" w:themeColor="text1"/>
                <w:spacing w:val="0"/>
                <w:position w:val="0"/>
                <w:sz w:val="24"/>
                <w14:textFill>
                  <w14:solidFill>
                    <w14:schemeClr w14:val="tx1"/>
                  </w14:solidFill>
                </w14:textFill>
              </w:rPr>
              <w:t>；a为平均吸声系数；</w:t>
            </w:r>
          </w:p>
          <w:p w14:paraId="21BADCB1">
            <w:pPr>
              <w:adjustRightInd w:val="0"/>
              <w:snapToGrid w:val="0"/>
              <w:spacing w:line="360" w:lineRule="auto"/>
              <w:ind w:firstLine="480"/>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r</w:t>
            </w:r>
            <w:r>
              <w:rPr>
                <w:rFonts w:hint="eastAsia" w:ascii="Times New Roman" w:hAnsi="Times New Roman" w:cs="宋体"/>
                <w:color w:val="000000" w:themeColor="text1"/>
                <w:spacing w:val="0"/>
                <w:position w:val="0"/>
                <w:sz w:val="24"/>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声源到靠近围护结构某点处的距离，m。</w:t>
            </w:r>
          </w:p>
          <w:p w14:paraId="57F8788F">
            <w:pPr>
              <w:adjustRightInd w:val="0"/>
              <w:snapToGrid w:val="0"/>
              <w:spacing w:line="360" w:lineRule="auto"/>
              <w:ind w:firstLine="480"/>
              <w:rPr>
                <w:rFonts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③按下式</w:t>
            </w:r>
            <w:r>
              <w:rPr>
                <w:rFonts w:ascii="Times New Roman" w:hAnsi="Times New Roman"/>
                <w:color w:val="000000" w:themeColor="text1"/>
                <w:spacing w:val="0"/>
                <w:position w:val="0"/>
                <w:sz w:val="24"/>
                <w14:textFill>
                  <w14:solidFill>
                    <w14:schemeClr w14:val="tx1"/>
                  </w14:solidFill>
                </w14:textFill>
              </w:rPr>
              <w:t>计算出所有室内声源在靠近围护结构处产生的</w:t>
            </w:r>
            <w:r>
              <w:rPr>
                <w:rFonts w:hint="eastAsia" w:ascii="Times New Roman" w:hAnsi="Times New Roman"/>
                <w:color w:val="000000" w:themeColor="text1"/>
                <w:spacing w:val="0"/>
                <w:position w:val="0"/>
                <w:sz w:val="24"/>
                <w14:textFill>
                  <w14:solidFill>
                    <w14:schemeClr w14:val="tx1"/>
                  </w14:solidFill>
                </w14:textFill>
              </w:rPr>
              <w:t>i</w:t>
            </w:r>
            <w:r>
              <w:rPr>
                <w:rFonts w:ascii="Times New Roman" w:hAnsi="Times New Roman"/>
                <w:color w:val="000000" w:themeColor="text1"/>
                <w:spacing w:val="0"/>
                <w:position w:val="0"/>
                <w:sz w:val="24"/>
                <w14:textFill>
                  <w14:solidFill>
                    <w14:schemeClr w14:val="tx1"/>
                  </w14:solidFill>
                </w14:textFill>
              </w:rPr>
              <w:t>倍频带</w:t>
            </w:r>
            <w:r>
              <w:rPr>
                <w:rFonts w:hint="eastAsia" w:ascii="Times New Roman" w:hAnsi="Times New Roman"/>
                <w:color w:val="000000" w:themeColor="text1"/>
                <w:spacing w:val="0"/>
                <w:position w:val="0"/>
                <w:sz w:val="24"/>
                <w14:textFill>
                  <w14:solidFill>
                    <w14:schemeClr w14:val="tx1"/>
                  </w14:solidFill>
                </w14:textFill>
              </w:rPr>
              <w:t>叠加</w:t>
            </w:r>
            <w:r>
              <w:rPr>
                <w:rFonts w:ascii="Times New Roman" w:hAnsi="Times New Roman"/>
                <w:color w:val="000000" w:themeColor="text1"/>
                <w:spacing w:val="0"/>
                <w:position w:val="0"/>
                <w:sz w:val="24"/>
                <w14:textFill>
                  <w14:solidFill>
                    <w14:schemeClr w14:val="tx1"/>
                  </w14:solidFill>
                </w14:textFill>
              </w:rPr>
              <w:t>声压级：</w:t>
            </w:r>
          </w:p>
          <w:p w14:paraId="099F674B">
            <w:pPr>
              <w:adjustRightInd w:val="0"/>
              <w:snapToGrid w:val="0"/>
              <w:spacing w:line="360" w:lineRule="auto"/>
              <w:ind w:firstLine="480"/>
              <w:jc w:val="center"/>
              <w:rPr>
                <w:rFonts w:hint="eastAsia" w:ascii="Times New Roman" w:hAnsi="Times New Roman"/>
                <w:color w:val="000000" w:themeColor="text1"/>
                <w:spacing w:val="0"/>
                <w:position w:val="0"/>
                <w:sz w:val="24"/>
                <w14:textFill>
                  <w14:solidFill>
                    <w14:schemeClr w14:val="tx1"/>
                  </w14:solidFill>
                </w14:textFill>
              </w:rPr>
            </w:pPr>
            <w:r>
              <w:rPr>
                <w:rFonts w:ascii="Times New Roman" w:hAnsi="Times New Roman"/>
                <w:color w:val="000000" w:themeColor="text1"/>
                <w:spacing w:val="0"/>
                <w:position w:val="0"/>
                <w:sz w:val="24"/>
                <w14:textFill>
                  <w14:solidFill>
                    <w14:schemeClr w14:val="tx1"/>
                  </w14:solidFill>
                </w14:textFill>
              </w:rPr>
              <w:drawing>
                <wp:inline distT="0" distB="0" distL="114300" distR="114300">
                  <wp:extent cx="1688465" cy="482600"/>
                  <wp:effectExtent l="0" t="0" r="6985" b="13335"/>
                  <wp:docPr id="131" name="图片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89"/>
                          <pic:cNvPicPr>
                            <a:picLocks noChangeAspect="1"/>
                          </pic:cNvPicPr>
                        </pic:nvPicPr>
                        <pic:blipFill>
                          <a:blip r:embed="rId20"/>
                          <a:stretch>
                            <a:fillRect/>
                          </a:stretch>
                        </pic:blipFill>
                        <pic:spPr>
                          <a:xfrm>
                            <a:off x="0" y="0"/>
                            <a:ext cx="1688465" cy="482600"/>
                          </a:xfrm>
                          <a:prstGeom prst="rect">
                            <a:avLst/>
                          </a:prstGeom>
                          <a:noFill/>
                          <a:ln>
                            <a:noFill/>
                          </a:ln>
                        </pic:spPr>
                      </pic:pic>
                    </a:graphicData>
                  </a:graphic>
                </wp:inline>
              </w:drawing>
            </w:r>
          </w:p>
          <w:p w14:paraId="594B45E1">
            <w:pPr>
              <w:adjustRightInd w:val="0"/>
              <w:snapToGrid w:val="0"/>
              <w:spacing w:line="360" w:lineRule="auto"/>
              <w:ind w:firstLine="480"/>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式中：</w:t>
            </w:r>
          </w:p>
          <w:p w14:paraId="619071BD">
            <w:pPr>
              <w:adjustRightInd w:val="0"/>
              <w:snapToGrid w:val="0"/>
              <w:spacing w:line="360" w:lineRule="auto"/>
              <w:ind w:firstLine="480"/>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L</w:t>
            </w:r>
            <w:r>
              <w:rPr>
                <w:rFonts w:hint="eastAsia" w:ascii="Times New Roman" w:hAnsi="Times New Roman"/>
                <w:color w:val="000000" w:themeColor="text1"/>
                <w:spacing w:val="0"/>
                <w:position w:val="0"/>
                <w:sz w:val="24"/>
                <w:vertAlign w:val="subscript"/>
                <w14:textFill>
                  <w14:solidFill>
                    <w14:schemeClr w14:val="tx1"/>
                  </w14:solidFill>
                </w14:textFill>
              </w:rPr>
              <w:t>p1i</w:t>
            </w:r>
            <w:r>
              <w:rPr>
                <w:rFonts w:hint="eastAsia" w:ascii="Times New Roman" w:hAnsi="Times New Roman"/>
                <w:color w:val="000000" w:themeColor="text1"/>
                <w:spacing w:val="0"/>
                <w:position w:val="0"/>
                <w:sz w:val="24"/>
                <w:vertAlign w:val="baseline"/>
                <w14:textFill>
                  <w14:solidFill>
                    <w14:schemeClr w14:val="tx1"/>
                  </w14:solidFill>
                </w14:textFill>
              </w:rPr>
              <w:t>(T)</w:t>
            </w:r>
            <w:r>
              <w:rPr>
                <w:rFonts w:hint="eastAsia" w:ascii="Times New Roman" w:hAnsi="Times New Roman" w:cs="宋体"/>
                <w:color w:val="000000" w:themeColor="text1"/>
                <w:spacing w:val="0"/>
                <w:position w:val="0"/>
                <w:sz w:val="24"/>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靠近围护结构处室内N个声源i倍频带的叠加声压级，dB；</w:t>
            </w:r>
          </w:p>
          <w:p w14:paraId="1662357B">
            <w:pPr>
              <w:adjustRightInd w:val="0"/>
              <w:snapToGrid w:val="0"/>
              <w:spacing w:line="360" w:lineRule="auto"/>
              <w:ind w:firstLine="480"/>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L</w:t>
            </w:r>
            <w:r>
              <w:rPr>
                <w:rFonts w:hint="eastAsia" w:ascii="Times New Roman" w:hAnsi="Times New Roman"/>
                <w:color w:val="000000" w:themeColor="text1"/>
                <w:spacing w:val="0"/>
                <w:position w:val="0"/>
                <w:sz w:val="24"/>
                <w:vertAlign w:val="subscript"/>
                <w14:textFill>
                  <w14:solidFill>
                    <w14:schemeClr w14:val="tx1"/>
                  </w14:solidFill>
                </w14:textFill>
              </w:rPr>
              <w:t>p1ij</w:t>
            </w:r>
            <w:r>
              <w:rPr>
                <w:rFonts w:hint="eastAsia" w:ascii="Times New Roman" w:hAnsi="Times New Roman" w:cs="宋体"/>
                <w:color w:val="000000" w:themeColor="text1"/>
                <w:spacing w:val="0"/>
                <w:position w:val="0"/>
                <w:sz w:val="24"/>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室内j声源i倍频带的声压级，dB；</w:t>
            </w:r>
          </w:p>
          <w:p w14:paraId="4F09A33F">
            <w:pPr>
              <w:adjustRightInd w:val="0"/>
              <w:snapToGrid w:val="0"/>
              <w:spacing w:line="360" w:lineRule="auto"/>
              <w:ind w:firstLine="480"/>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N</w:t>
            </w:r>
            <w:r>
              <w:rPr>
                <w:rFonts w:hint="eastAsia" w:ascii="Times New Roman" w:hAnsi="Times New Roman" w:cs="宋体"/>
                <w:color w:val="000000" w:themeColor="text1"/>
                <w:spacing w:val="0"/>
                <w:position w:val="0"/>
                <w:sz w:val="24"/>
                <w14:textFill>
                  <w14:solidFill>
                    <w14:schemeClr w14:val="tx1"/>
                  </w14:solidFill>
                </w14:textFill>
              </w:rPr>
              <w:t>—</w:t>
            </w:r>
            <w:r>
              <w:rPr>
                <w:rFonts w:hint="eastAsia" w:ascii="Times New Roman" w:hAnsi="Times New Roman" w:eastAsia="宋体" w:cs="Times New Roman"/>
                <w:color w:val="000000" w:themeColor="text1"/>
                <w:spacing w:val="0"/>
                <w:position w:val="0"/>
                <w:sz w:val="24"/>
                <w14:textFill>
                  <w14:solidFill>
                    <w14:schemeClr w14:val="tx1"/>
                  </w14:solidFill>
                </w14:textFill>
              </w:rPr>
              <w:t>室内</w:t>
            </w:r>
            <w:r>
              <w:rPr>
                <w:rFonts w:hint="eastAsia" w:ascii="Times New Roman" w:hAnsi="Times New Roman"/>
                <w:color w:val="000000" w:themeColor="text1"/>
                <w:spacing w:val="0"/>
                <w:position w:val="0"/>
                <w:sz w:val="24"/>
                <w14:textFill>
                  <w14:solidFill>
                    <w14:schemeClr w14:val="tx1"/>
                  </w14:solidFill>
                </w14:textFill>
              </w:rPr>
              <w:t>声源总数。</w:t>
            </w:r>
          </w:p>
          <w:p w14:paraId="4C6FA029">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14:textFill>
                  <w14:solidFill>
                    <w14:schemeClr w14:val="tx1"/>
                  </w14:solidFill>
                </w14:textFill>
              </w:rPr>
            </w:pPr>
            <w:r>
              <w:rPr>
                <w:rFonts w:hint="eastAsia" w:ascii="Times New Roman" w:hAnsi="Times New Roman" w:eastAsia="宋体" w:cs="Times New Roman"/>
                <w:color w:val="000000" w:themeColor="text1"/>
                <w:spacing w:val="0"/>
                <w:position w:val="0"/>
                <w:sz w:val="24"/>
                <w14:textFill>
                  <w14:solidFill>
                    <w14:schemeClr w14:val="tx1"/>
                  </w14:solidFill>
                </w14:textFill>
              </w:rPr>
              <w:t>④</w:t>
            </w:r>
            <w:r>
              <w:rPr>
                <w:rFonts w:hint="default" w:ascii="Times New Roman" w:hAnsi="Times New Roman" w:eastAsia="宋体" w:cs="Times New Roman"/>
                <w:color w:val="000000" w:themeColor="text1"/>
                <w:spacing w:val="0"/>
                <w:position w:val="0"/>
                <w:sz w:val="24"/>
                <w14:textFill>
                  <w14:solidFill>
                    <w14:schemeClr w14:val="tx1"/>
                  </w14:solidFill>
                </w14:textFill>
              </w:rPr>
              <w:t>在室内近似为扩散声场时，按</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下</w:t>
            </w:r>
            <w:r>
              <w:rPr>
                <w:rFonts w:hint="default" w:ascii="Times New Roman" w:hAnsi="Times New Roman" w:eastAsia="宋体" w:cs="Times New Roman"/>
                <w:color w:val="000000" w:themeColor="text1"/>
                <w:spacing w:val="0"/>
                <w:position w:val="0"/>
                <w:sz w:val="24"/>
                <w14:textFill>
                  <w14:solidFill>
                    <w14:schemeClr w14:val="tx1"/>
                  </w14:solidFill>
                </w14:textFill>
              </w:rPr>
              <w:t>式</w:t>
            </w:r>
            <w:r>
              <w:rPr>
                <w:rFonts w:hint="eastAsia" w:ascii="Times New Roman" w:hAnsi="Times New Roman" w:eastAsia="宋体" w:cs="Times New Roman"/>
                <w:color w:val="000000" w:themeColor="text1"/>
                <w:spacing w:val="0"/>
                <w:position w:val="0"/>
                <w:sz w:val="24"/>
                <w14:textFill>
                  <w14:solidFill>
                    <w14:schemeClr w14:val="tx1"/>
                  </w14:solidFill>
                </w14:textFill>
              </w:rPr>
              <w:t>计算出室外靠近围护结构处的声压级：</w:t>
            </w:r>
          </w:p>
          <w:p w14:paraId="138F49FE">
            <w:pPr>
              <w:adjustRightInd w:val="0"/>
              <w:snapToGrid w:val="0"/>
              <w:spacing w:line="360" w:lineRule="auto"/>
              <w:ind w:firstLine="480"/>
              <w:jc w:val="center"/>
              <w:rPr>
                <w:rFonts w:hint="eastAsia" w:ascii="Times New Roman" w:hAnsi="Times New Roman"/>
                <w:color w:val="000000" w:themeColor="text1"/>
                <w:spacing w:val="0"/>
                <w:position w:val="0"/>
                <w:sz w:val="24"/>
                <w14:textFill>
                  <w14:solidFill>
                    <w14:schemeClr w14:val="tx1"/>
                  </w14:solidFill>
                </w14:textFill>
              </w:rPr>
            </w:pPr>
            <w:r>
              <w:rPr>
                <w:rFonts w:ascii="Times New Roman" w:hAnsi="Times New Roman"/>
                <w:color w:val="000000" w:themeColor="text1"/>
                <w:spacing w:val="0"/>
                <w:position w:val="0"/>
                <w:sz w:val="24"/>
                <w14:textFill>
                  <w14:solidFill>
                    <w14:schemeClr w14:val="tx1"/>
                  </w14:solidFill>
                </w14:textFill>
              </w:rPr>
              <w:drawing>
                <wp:inline distT="0" distB="0" distL="114300" distR="114300">
                  <wp:extent cx="1777365" cy="241300"/>
                  <wp:effectExtent l="0" t="0" r="13335" b="5080"/>
                  <wp:docPr id="132" name="图片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90"/>
                          <pic:cNvPicPr>
                            <a:picLocks noChangeAspect="1"/>
                          </pic:cNvPicPr>
                        </pic:nvPicPr>
                        <pic:blipFill>
                          <a:blip r:embed="rId21"/>
                          <a:stretch>
                            <a:fillRect/>
                          </a:stretch>
                        </pic:blipFill>
                        <pic:spPr>
                          <a:xfrm>
                            <a:off x="0" y="0"/>
                            <a:ext cx="1777365" cy="241300"/>
                          </a:xfrm>
                          <a:prstGeom prst="rect">
                            <a:avLst/>
                          </a:prstGeom>
                          <a:noFill/>
                          <a:ln>
                            <a:noFill/>
                          </a:ln>
                        </pic:spPr>
                      </pic:pic>
                    </a:graphicData>
                  </a:graphic>
                </wp:inline>
              </w:drawing>
            </w:r>
          </w:p>
          <w:p w14:paraId="346CDD0C">
            <w:pPr>
              <w:adjustRightInd w:val="0"/>
              <w:snapToGrid w:val="0"/>
              <w:spacing w:line="360" w:lineRule="auto"/>
              <w:ind w:firstLine="480"/>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式中：</w:t>
            </w:r>
          </w:p>
          <w:p w14:paraId="61195A0F">
            <w:pPr>
              <w:adjustRightInd w:val="0"/>
              <w:snapToGrid w:val="0"/>
              <w:spacing w:line="360" w:lineRule="auto"/>
              <w:ind w:firstLine="480"/>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L</w:t>
            </w:r>
            <w:r>
              <w:rPr>
                <w:rFonts w:hint="eastAsia" w:ascii="Times New Roman" w:hAnsi="Times New Roman"/>
                <w:color w:val="000000" w:themeColor="text1"/>
                <w:spacing w:val="0"/>
                <w:position w:val="0"/>
                <w:sz w:val="24"/>
                <w:vertAlign w:val="subscript"/>
                <w14:textFill>
                  <w14:solidFill>
                    <w14:schemeClr w14:val="tx1"/>
                  </w14:solidFill>
                </w14:textFill>
              </w:rPr>
              <w:t>p2i</w:t>
            </w:r>
            <w:r>
              <w:rPr>
                <w:rFonts w:hint="eastAsia" w:ascii="Times New Roman" w:hAnsi="Times New Roman"/>
                <w:color w:val="000000" w:themeColor="text1"/>
                <w:spacing w:val="0"/>
                <w:position w:val="0"/>
                <w:sz w:val="24"/>
                <w:vertAlign w:val="baseline"/>
                <w14:textFill>
                  <w14:solidFill>
                    <w14:schemeClr w14:val="tx1"/>
                  </w14:solidFill>
                </w14:textFill>
              </w:rPr>
              <w:t>(T)</w:t>
            </w:r>
            <w:r>
              <w:rPr>
                <w:rFonts w:hint="eastAsia" w:ascii="Times New Roman" w:hAnsi="Times New Roman" w:cs="宋体"/>
                <w:color w:val="000000" w:themeColor="text1"/>
                <w:spacing w:val="0"/>
                <w:position w:val="0"/>
                <w:sz w:val="24"/>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靠近围护结构处室</w:t>
            </w:r>
            <w:r>
              <w:rPr>
                <w:rFonts w:hint="eastAsia" w:ascii="Times New Roman" w:hAnsi="Times New Roman"/>
                <w:color w:val="000000" w:themeColor="text1"/>
                <w:spacing w:val="0"/>
                <w:position w:val="0"/>
                <w:sz w:val="24"/>
                <w:lang w:val="en-US" w:eastAsia="zh-CN"/>
                <w14:textFill>
                  <w14:solidFill>
                    <w14:schemeClr w14:val="tx1"/>
                  </w14:solidFill>
                </w14:textFill>
              </w:rPr>
              <w:t>外</w:t>
            </w:r>
            <w:r>
              <w:rPr>
                <w:rFonts w:hint="eastAsia" w:ascii="Times New Roman" w:hAnsi="Times New Roman"/>
                <w:color w:val="000000" w:themeColor="text1"/>
                <w:spacing w:val="0"/>
                <w:position w:val="0"/>
                <w:sz w:val="24"/>
                <w14:textFill>
                  <w14:solidFill>
                    <w14:schemeClr w14:val="tx1"/>
                  </w14:solidFill>
                </w14:textFill>
              </w:rPr>
              <w:t>N个声源i倍频带的叠加声压级，dB；</w:t>
            </w:r>
          </w:p>
          <w:p w14:paraId="6CC04E4C">
            <w:pPr>
              <w:adjustRightInd w:val="0"/>
              <w:snapToGrid w:val="0"/>
              <w:spacing w:line="360" w:lineRule="auto"/>
              <w:ind w:firstLine="480"/>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L</w:t>
            </w:r>
            <w:r>
              <w:rPr>
                <w:rFonts w:hint="eastAsia" w:ascii="Times New Roman" w:hAnsi="Times New Roman"/>
                <w:color w:val="000000" w:themeColor="text1"/>
                <w:spacing w:val="0"/>
                <w:position w:val="0"/>
                <w:sz w:val="24"/>
                <w:vertAlign w:val="subscript"/>
                <w14:textFill>
                  <w14:solidFill>
                    <w14:schemeClr w14:val="tx1"/>
                  </w14:solidFill>
                </w14:textFill>
              </w:rPr>
              <w:t>p</w:t>
            </w:r>
            <w:r>
              <w:rPr>
                <w:rFonts w:hint="eastAsia" w:ascii="Times New Roman" w:hAnsi="Times New Roman"/>
                <w:color w:val="000000" w:themeColor="text1"/>
                <w:spacing w:val="0"/>
                <w:position w:val="0"/>
                <w:sz w:val="24"/>
                <w:vertAlign w:val="subscript"/>
                <w:lang w:val="en-US" w:eastAsia="zh-CN"/>
                <w14:textFill>
                  <w14:solidFill>
                    <w14:schemeClr w14:val="tx1"/>
                  </w14:solidFill>
                </w14:textFill>
              </w:rPr>
              <w:t>1</w:t>
            </w:r>
            <w:r>
              <w:rPr>
                <w:rFonts w:hint="eastAsia" w:ascii="Times New Roman" w:hAnsi="Times New Roman"/>
                <w:color w:val="000000" w:themeColor="text1"/>
                <w:spacing w:val="0"/>
                <w:position w:val="0"/>
                <w:sz w:val="24"/>
                <w:vertAlign w:val="subscript"/>
                <w14:textFill>
                  <w14:solidFill>
                    <w14:schemeClr w14:val="tx1"/>
                  </w14:solidFill>
                </w14:textFill>
              </w:rPr>
              <w:t>i</w:t>
            </w:r>
            <w:r>
              <w:rPr>
                <w:rFonts w:hint="eastAsia" w:ascii="Times New Roman" w:hAnsi="Times New Roman"/>
                <w:color w:val="000000" w:themeColor="text1"/>
                <w:spacing w:val="0"/>
                <w:position w:val="0"/>
                <w:sz w:val="24"/>
                <w:vertAlign w:val="baseline"/>
                <w14:textFill>
                  <w14:solidFill>
                    <w14:schemeClr w14:val="tx1"/>
                  </w14:solidFill>
                </w14:textFill>
              </w:rPr>
              <w:t>(T)</w:t>
            </w:r>
            <w:r>
              <w:rPr>
                <w:rFonts w:hint="eastAsia" w:ascii="Times New Roman" w:hAnsi="Times New Roman" w:cs="宋体"/>
                <w:color w:val="000000" w:themeColor="text1"/>
                <w:spacing w:val="0"/>
                <w:position w:val="0"/>
                <w:sz w:val="24"/>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靠近围护结构处室内N个声源i倍频带的叠加声压级，dB；</w:t>
            </w:r>
          </w:p>
          <w:p w14:paraId="66C9F108">
            <w:pPr>
              <w:adjustRightInd w:val="0"/>
              <w:snapToGrid w:val="0"/>
              <w:spacing w:line="360" w:lineRule="auto"/>
              <w:ind w:firstLine="480"/>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TL</w:t>
            </w:r>
            <w:r>
              <w:rPr>
                <w:rFonts w:hint="eastAsia" w:ascii="Times New Roman" w:hAnsi="Times New Roman"/>
                <w:color w:val="000000" w:themeColor="text1"/>
                <w:spacing w:val="0"/>
                <w:position w:val="0"/>
                <w:sz w:val="24"/>
                <w:vertAlign w:val="subscript"/>
                <w14:textFill>
                  <w14:solidFill>
                    <w14:schemeClr w14:val="tx1"/>
                  </w14:solidFill>
                </w14:textFill>
              </w:rPr>
              <w:t>i</w:t>
            </w:r>
            <w:r>
              <w:rPr>
                <w:rFonts w:hint="eastAsia" w:ascii="Times New Roman" w:hAnsi="Times New Roman" w:cs="宋体"/>
                <w:color w:val="000000" w:themeColor="text1"/>
                <w:spacing w:val="0"/>
                <w:position w:val="0"/>
                <w:sz w:val="24"/>
                <w14:textFill>
                  <w14:solidFill>
                    <w14:schemeClr w14:val="tx1"/>
                  </w14:solidFill>
                </w14:textFill>
              </w:rPr>
              <w:t>—</w:t>
            </w:r>
            <w:r>
              <w:rPr>
                <w:rFonts w:hint="eastAsia" w:ascii="Times New Roman" w:hAnsi="Times New Roman" w:eastAsia="宋体" w:cs="Times New Roman"/>
                <w:color w:val="000000" w:themeColor="text1"/>
                <w:spacing w:val="0"/>
                <w:position w:val="0"/>
                <w:sz w:val="24"/>
                <w14:textFill>
                  <w14:solidFill>
                    <w14:schemeClr w14:val="tx1"/>
                  </w14:solidFill>
                </w14:textFill>
              </w:rPr>
              <w:t>围护</w:t>
            </w:r>
            <w:r>
              <w:rPr>
                <w:rFonts w:hint="eastAsia" w:ascii="Times New Roman" w:hAnsi="Times New Roman"/>
                <w:color w:val="000000" w:themeColor="text1"/>
                <w:spacing w:val="0"/>
                <w:position w:val="0"/>
                <w:sz w:val="24"/>
                <w14:textFill>
                  <w14:solidFill>
                    <w14:schemeClr w14:val="tx1"/>
                  </w14:solidFill>
                </w14:textFill>
              </w:rPr>
              <w:t>结构i倍频带的隔声量，dB。</w:t>
            </w:r>
          </w:p>
          <w:p w14:paraId="4044905A">
            <w:pPr>
              <w:adjustRightInd w:val="0"/>
              <w:snapToGrid w:val="0"/>
              <w:spacing w:line="360" w:lineRule="auto"/>
              <w:ind w:firstLine="480"/>
              <w:rPr>
                <w:rFonts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s="宋体"/>
                <w:color w:val="000000" w:themeColor="text1"/>
                <w:spacing w:val="0"/>
                <w:position w:val="0"/>
                <w:sz w:val="24"/>
                <w14:textFill>
                  <w14:solidFill>
                    <w14:schemeClr w14:val="tx1"/>
                  </w14:solidFill>
                </w14:textFill>
              </w:rPr>
              <w:t>⑤</w:t>
            </w:r>
            <w:r>
              <w:rPr>
                <w:rFonts w:hint="eastAsia" w:ascii="Times New Roman" w:hAnsi="Times New Roman" w:cs="宋体"/>
                <w:color w:val="000000" w:themeColor="text1"/>
                <w:spacing w:val="0"/>
                <w:position w:val="0"/>
                <w:sz w:val="24"/>
                <w:lang w:val="en-US" w:eastAsia="zh-CN"/>
                <w14:textFill>
                  <w14:solidFill>
                    <w14:schemeClr w14:val="tx1"/>
                  </w14:solidFill>
                </w14:textFill>
              </w:rPr>
              <w:t>按下式</w:t>
            </w:r>
            <w:r>
              <w:rPr>
                <w:rFonts w:ascii="Times New Roman" w:hAnsi="Times New Roman"/>
                <w:color w:val="000000" w:themeColor="text1"/>
                <w:spacing w:val="0"/>
                <w:position w:val="0"/>
                <w:sz w:val="24"/>
                <w14:textFill>
                  <w14:solidFill>
                    <w14:schemeClr w14:val="tx1"/>
                  </w14:solidFill>
                </w14:textFill>
              </w:rPr>
              <w:t>将室外</w:t>
            </w:r>
            <w:r>
              <w:rPr>
                <w:rFonts w:hint="eastAsia" w:ascii="Times New Roman" w:hAnsi="Times New Roman"/>
                <w:color w:val="000000" w:themeColor="text1"/>
                <w:spacing w:val="0"/>
                <w:position w:val="0"/>
                <w:sz w:val="24"/>
                <w14:textFill>
                  <w14:solidFill>
                    <w14:schemeClr w14:val="tx1"/>
                  </w14:solidFill>
                </w14:textFill>
              </w:rPr>
              <w:t>声源的声压级</w:t>
            </w:r>
            <w:r>
              <w:rPr>
                <w:rFonts w:ascii="Times New Roman" w:hAnsi="Times New Roman"/>
                <w:color w:val="000000" w:themeColor="text1"/>
                <w:spacing w:val="0"/>
                <w:position w:val="0"/>
                <w:sz w:val="24"/>
                <w14:textFill>
                  <w14:solidFill>
                    <w14:schemeClr w14:val="tx1"/>
                  </w14:solidFill>
                </w14:textFill>
              </w:rPr>
              <w:t>和透声面积换算成等效的室外声源，计算出</w:t>
            </w:r>
            <w:r>
              <w:rPr>
                <w:rFonts w:hint="eastAsia" w:ascii="Times New Roman" w:hAnsi="Times New Roman"/>
                <w:color w:val="000000" w:themeColor="text1"/>
                <w:spacing w:val="0"/>
                <w:position w:val="0"/>
                <w:sz w:val="24"/>
                <w14:textFill>
                  <w14:solidFill>
                    <w14:schemeClr w14:val="tx1"/>
                  </w14:solidFill>
                </w14:textFill>
              </w:rPr>
              <w:t>中心位置位于透声面积(S)处的</w:t>
            </w:r>
            <w:r>
              <w:rPr>
                <w:rFonts w:ascii="Times New Roman" w:hAnsi="Times New Roman"/>
                <w:color w:val="000000" w:themeColor="text1"/>
                <w:spacing w:val="0"/>
                <w:position w:val="0"/>
                <w:sz w:val="24"/>
                <w14:textFill>
                  <w14:solidFill>
                    <w14:schemeClr w14:val="tx1"/>
                  </w14:solidFill>
                </w14:textFill>
              </w:rPr>
              <w:t>等效声源</w:t>
            </w:r>
            <w:r>
              <w:rPr>
                <w:rFonts w:hint="eastAsia" w:ascii="Times New Roman" w:hAnsi="Times New Roman"/>
                <w:color w:val="000000" w:themeColor="text1"/>
                <w:spacing w:val="0"/>
                <w:position w:val="0"/>
                <w:sz w:val="24"/>
                <w14:textFill>
                  <w14:solidFill>
                    <w14:schemeClr w14:val="tx1"/>
                  </w14:solidFill>
                </w14:textFill>
              </w:rPr>
              <w:t>的</w:t>
            </w:r>
            <w:r>
              <w:rPr>
                <w:rFonts w:ascii="Times New Roman" w:hAnsi="Times New Roman"/>
                <w:color w:val="000000" w:themeColor="text1"/>
                <w:spacing w:val="0"/>
                <w:position w:val="0"/>
                <w:sz w:val="24"/>
                <w14:textFill>
                  <w14:solidFill>
                    <w14:schemeClr w14:val="tx1"/>
                  </w14:solidFill>
                </w14:textFill>
              </w:rPr>
              <w:t>倍频带的声功率级</w:t>
            </w:r>
            <w:r>
              <w:rPr>
                <w:rFonts w:ascii="Times New Roman" w:hAnsi="Times New Roman"/>
                <w:color w:val="000000" w:themeColor="text1"/>
                <w:spacing w:val="0"/>
                <w:position w:val="0"/>
                <w:sz w:val="24"/>
                <w14:textFill>
                  <w14:solidFill>
                    <w14:schemeClr w14:val="tx1"/>
                  </w14:solidFill>
                </w14:textFill>
              </w:rPr>
              <w:softHyphen/>
            </w:r>
            <w:r>
              <w:rPr>
                <w:rFonts w:ascii="Times New Roman" w:hAnsi="Times New Roman"/>
                <w:color w:val="000000" w:themeColor="text1"/>
                <w:spacing w:val="0"/>
                <w:position w:val="0"/>
                <w:sz w:val="24"/>
                <w14:textFill>
                  <w14:solidFill>
                    <w14:schemeClr w14:val="tx1"/>
                  </w14:solidFill>
                </w14:textFill>
              </w:rPr>
              <w:softHyphen/>
            </w:r>
            <w:r>
              <w:rPr>
                <w:rFonts w:ascii="Times New Roman" w:hAnsi="Times New Roman"/>
                <w:color w:val="000000" w:themeColor="text1"/>
                <w:spacing w:val="0"/>
                <w:position w:val="0"/>
                <w:sz w:val="24"/>
                <w14:textFill>
                  <w14:solidFill>
                    <w14:schemeClr w14:val="tx1"/>
                  </w14:solidFill>
                </w14:textFill>
              </w:rPr>
              <w:t>：</w:t>
            </w:r>
          </w:p>
          <w:p w14:paraId="4F4179AF">
            <w:pPr>
              <w:adjustRightInd w:val="0"/>
              <w:snapToGrid w:val="0"/>
              <w:spacing w:line="360" w:lineRule="auto"/>
              <w:ind w:firstLine="480"/>
              <w:jc w:val="center"/>
              <w:rPr>
                <w:rFonts w:ascii="Times New Roman" w:hAnsi="Times New Roman"/>
                <w:color w:val="000000" w:themeColor="text1"/>
                <w:spacing w:val="0"/>
                <w:position w:val="0"/>
                <w:sz w:val="24"/>
                <w14:textFill>
                  <w14:solidFill>
                    <w14:schemeClr w14:val="tx1"/>
                  </w14:solidFill>
                </w14:textFill>
              </w:rPr>
            </w:pPr>
            <w:r>
              <w:rPr>
                <w:rFonts w:ascii="Times New Roman" w:hAnsi="Times New Roman"/>
                <w:color w:val="000000" w:themeColor="text1"/>
                <w:spacing w:val="0"/>
                <w:position w:val="0"/>
                <w:sz w:val="24"/>
                <w14:textFill>
                  <w14:solidFill>
                    <w14:schemeClr w14:val="tx1"/>
                  </w14:solidFill>
                </w14:textFill>
              </w:rPr>
              <w:drawing>
                <wp:inline distT="0" distB="0" distL="114300" distR="114300">
                  <wp:extent cx="1333500" cy="241300"/>
                  <wp:effectExtent l="0" t="0" r="0" b="5080"/>
                  <wp:docPr id="133" name="图片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191"/>
                          <pic:cNvPicPr>
                            <a:picLocks noChangeAspect="1"/>
                          </pic:cNvPicPr>
                        </pic:nvPicPr>
                        <pic:blipFill>
                          <a:blip r:embed="rId22"/>
                          <a:stretch>
                            <a:fillRect/>
                          </a:stretch>
                        </pic:blipFill>
                        <pic:spPr>
                          <a:xfrm>
                            <a:off x="0" y="0"/>
                            <a:ext cx="1333500" cy="241300"/>
                          </a:xfrm>
                          <a:prstGeom prst="rect">
                            <a:avLst/>
                          </a:prstGeom>
                          <a:noFill/>
                          <a:ln>
                            <a:noFill/>
                          </a:ln>
                        </pic:spPr>
                      </pic:pic>
                    </a:graphicData>
                  </a:graphic>
                </wp:inline>
              </w:drawing>
            </w:r>
          </w:p>
          <w:p w14:paraId="3EB6D6F2">
            <w:pPr>
              <w:adjustRightInd w:val="0"/>
              <w:snapToGrid w:val="0"/>
              <w:spacing w:line="360" w:lineRule="auto"/>
              <w:ind w:firstLine="480"/>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式中：</w:t>
            </w:r>
          </w:p>
          <w:p w14:paraId="50CFD9E8">
            <w:pPr>
              <w:adjustRightInd w:val="0"/>
              <w:snapToGrid w:val="0"/>
              <w:spacing w:line="360" w:lineRule="auto"/>
              <w:ind w:firstLine="480"/>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lang w:val="en-US" w:eastAsia="zh-CN"/>
                <w14:textFill>
                  <w14:solidFill>
                    <w14:schemeClr w14:val="tx1"/>
                  </w14:solidFill>
                </w14:textFill>
              </w:rPr>
              <w:t>L</w:t>
            </w:r>
            <w:r>
              <w:rPr>
                <w:rFonts w:hint="eastAsia" w:ascii="Times New Roman" w:hAnsi="Times New Roman"/>
                <w:color w:val="000000" w:themeColor="text1"/>
                <w:spacing w:val="0"/>
                <w:position w:val="0"/>
                <w:sz w:val="24"/>
                <w14:textFill>
                  <w14:solidFill>
                    <w14:schemeClr w14:val="tx1"/>
                  </w14:solidFill>
                </w14:textFill>
              </w:rPr>
              <w:t>w—中心位置位于透声面积</w:t>
            </w:r>
            <w:r>
              <w:rPr>
                <w:rFonts w:hint="eastAsia" w:ascii="Times New Roman" w:hAnsi="Times New Roman"/>
                <w:color w:val="000000" w:themeColor="text1"/>
                <w:spacing w:val="0"/>
                <w:position w:val="0"/>
                <w:sz w:val="24"/>
                <w:lang w:val="en-US" w:eastAsia="zh-CN"/>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S)处的等效声源的倍频带声功率级，dB；</w:t>
            </w:r>
          </w:p>
          <w:p w14:paraId="2392D35B">
            <w:pPr>
              <w:adjustRightInd w:val="0"/>
              <w:snapToGrid w:val="0"/>
              <w:spacing w:line="360" w:lineRule="auto"/>
              <w:ind w:firstLine="480"/>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Lp</w:t>
            </w:r>
            <w:r>
              <w:rPr>
                <w:rFonts w:hint="eastAsia" w:ascii="Times New Roman" w:hAnsi="Times New Roman"/>
                <w:color w:val="000000" w:themeColor="text1"/>
                <w:spacing w:val="0"/>
                <w:position w:val="0"/>
                <w:sz w:val="24"/>
                <w:vertAlign w:val="subscript"/>
                <w14:textFill>
                  <w14:solidFill>
                    <w14:schemeClr w14:val="tx1"/>
                  </w14:solidFill>
                </w14:textFill>
              </w:rPr>
              <w:t>2</w:t>
            </w:r>
            <w:r>
              <w:rPr>
                <w:rFonts w:hint="eastAsia" w:ascii="Times New Roman" w:hAnsi="Times New Roman"/>
                <w:color w:val="000000" w:themeColor="text1"/>
                <w:spacing w:val="0"/>
                <w:position w:val="0"/>
                <w:sz w:val="24"/>
                <w:lang w:val="en-US" w:eastAsia="zh-CN"/>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T</w:t>
            </w:r>
            <w:r>
              <w:rPr>
                <w:rFonts w:hint="eastAsia" w:ascii="Times New Roman" w:hAnsi="Times New Roman"/>
                <w:color w:val="000000" w:themeColor="text1"/>
                <w:spacing w:val="0"/>
                <w:position w:val="0"/>
                <w:sz w:val="24"/>
                <w:lang w:val="en-US" w:eastAsia="zh-CN"/>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—靠近围护结构处室外声源的声压级，dB；</w:t>
            </w:r>
          </w:p>
          <w:p w14:paraId="7B66F930">
            <w:pPr>
              <w:adjustRightInd w:val="0"/>
              <w:snapToGrid w:val="0"/>
              <w:spacing w:line="360" w:lineRule="auto"/>
              <w:ind w:firstLine="480"/>
              <w:rPr>
                <w:rFonts w:hint="eastAsia"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lang w:val="en-US" w:eastAsia="zh-CN"/>
                <w14:textFill>
                  <w14:solidFill>
                    <w14:schemeClr w14:val="tx1"/>
                  </w14:solidFill>
                </w14:textFill>
              </w:rPr>
              <w:t>S</w:t>
            </w:r>
            <w:r>
              <w:rPr>
                <w:rFonts w:hint="eastAsia" w:ascii="Times New Roman" w:hAnsi="Times New Roman" w:cs="宋体"/>
                <w:color w:val="000000" w:themeColor="text1"/>
                <w:spacing w:val="0"/>
                <w:position w:val="0"/>
                <w:sz w:val="24"/>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透声面积，m</w:t>
            </w:r>
            <w:r>
              <w:rPr>
                <w:rFonts w:hint="eastAsia" w:ascii="Times New Roman" w:hAnsi="Times New Roman"/>
                <w:color w:val="000000" w:themeColor="text1"/>
                <w:spacing w:val="0"/>
                <w:position w:val="0"/>
                <w:sz w:val="24"/>
                <w:vertAlign w:val="superscript"/>
                <w14:textFill>
                  <w14:solidFill>
                    <w14:schemeClr w14:val="tx1"/>
                  </w14:solidFill>
                </w14:textFill>
              </w:rPr>
              <w:t>2</w:t>
            </w:r>
            <w:r>
              <w:rPr>
                <w:rFonts w:hint="eastAsia" w:ascii="Times New Roman" w:hAnsi="Times New Roman"/>
                <w:color w:val="000000" w:themeColor="text1"/>
                <w:spacing w:val="0"/>
                <w:position w:val="0"/>
                <w:sz w:val="24"/>
                <w14:textFill>
                  <w14:solidFill>
                    <w14:schemeClr w14:val="tx1"/>
                  </w14:solidFill>
                </w14:textFill>
              </w:rPr>
              <w:t>。</w:t>
            </w:r>
          </w:p>
          <w:p w14:paraId="5C1666A4">
            <w:pPr>
              <w:spacing w:line="360" w:lineRule="auto"/>
              <w:ind w:firstLine="480" w:firstLineChars="200"/>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户外声传播的衰减</w:t>
            </w:r>
          </w:p>
          <w:p w14:paraId="2EAF5F50">
            <w:pPr>
              <w:spacing w:line="360" w:lineRule="auto"/>
              <w:ind w:firstLine="480" w:firstLineChars="200"/>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t>户外声传播衰减包括几何发散</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t>Adiv</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t>、大气吸收</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t>Aatm</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t>、地面效应</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t>Agr</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t>、障碍物屏蔽</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t>Abar</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t>、其他多方面效应</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t>Amisc</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t>引起的衰减。</w:t>
            </w:r>
          </w:p>
          <w:p w14:paraId="06754814">
            <w:pPr>
              <w:spacing w:line="360" w:lineRule="auto"/>
              <w:ind w:firstLine="480" w:firstLineChars="200"/>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①</w:t>
            </w: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基本公式</w:t>
            </w:r>
          </w:p>
          <w:p w14:paraId="6C258B0D">
            <w:pPr>
              <w:spacing w:line="360" w:lineRule="auto"/>
              <w:ind w:firstLine="480" w:firstLineChars="200"/>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某个声源在预测点处声压级的计算公式如下：</w:t>
            </w:r>
          </w:p>
          <w:p w14:paraId="4FA9D827">
            <w:pPr>
              <w:adjustRightInd w:val="0"/>
              <w:snapToGrid w:val="0"/>
              <w:spacing w:line="360" w:lineRule="auto"/>
              <w:ind w:firstLine="480"/>
              <w:jc w:val="center"/>
              <w:rPr>
                <w:rFonts w:ascii="Times New Roman" w:hAnsi="Times New Roman"/>
                <w:color w:val="000000" w:themeColor="text1"/>
                <w:spacing w:val="0"/>
                <w:position w:val="0"/>
                <w:sz w:val="24"/>
                <w14:textFill>
                  <w14:solidFill>
                    <w14:schemeClr w14:val="tx1"/>
                  </w14:solidFill>
                </w14:textFill>
              </w:rPr>
            </w:pPr>
            <w:r>
              <w:rPr>
                <w:rFonts w:hint="default" w:ascii="Times New Roman" w:hAnsi="Times New Roman" w:eastAsia="Times New Roman"/>
                <w:i/>
                <w:color w:val="000000" w:themeColor="text1"/>
                <w:spacing w:val="0"/>
                <w:position w:val="0"/>
                <w:sz w:val="24"/>
                <w:szCs w:val="24"/>
                <w14:textFill>
                  <w14:solidFill>
                    <w14:schemeClr w14:val="tx1"/>
                  </w14:solidFill>
                </w14:textFill>
              </w:rPr>
              <w:t>Lp</w:t>
            </w:r>
            <w:r>
              <w:rPr>
                <w:rFonts w:hint="default" w:ascii="Times New Roman" w:hAnsi="Times New Roman" w:eastAsia="Times New Roman"/>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r</w:t>
            </w:r>
            <w:r>
              <w:rPr>
                <w:rFonts w:hint="default" w:ascii="Times New Roman" w:hAnsi="Times New Roman" w:eastAsia="Times New Roman"/>
                <w:color w:val="000000" w:themeColor="text1"/>
                <w:spacing w:val="0"/>
                <w:position w:val="0"/>
                <w:sz w:val="24"/>
                <w:szCs w:val="24"/>
                <w14:textFill>
                  <w14:solidFill>
                    <w14:schemeClr w14:val="tx1"/>
                  </w14:solidFill>
                </w14:textFill>
              </w:rPr>
              <w:t>)</w:t>
            </w:r>
            <w:r>
              <w:rPr>
                <w:rFonts w:hint="default" w:ascii="Times New Roman" w:hAnsi="Times New Roman" w:eastAsia="宋体"/>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Lw</w:t>
            </w:r>
            <w:r>
              <w:rPr>
                <w:rFonts w:hint="default" w:ascii="Times New Roman" w:hAnsi="Times New Roman" w:eastAsia="Times New Roman"/>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D</w:t>
            </w:r>
            <w:r>
              <w:rPr>
                <w:rFonts w:hint="default" w:ascii="Times New Roman" w:hAnsi="Times New Roman" w:eastAsia="Times New Roman"/>
                <w:color w:val="000000" w:themeColor="text1"/>
                <w:spacing w:val="0"/>
                <w:position w:val="0"/>
                <w:sz w:val="24"/>
                <w:szCs w:val="24"/>
                <w14:textFill>
                  <w14:solidFill>
                    <w14:schemeClr w14:val="tx1"/>
                  </w14:solidFill>
                </w14:textFill>
              </w:rPr>
              <w:t>C</w:t>
            </w:r>
            <w:r>
              <w:rPr>
                <w:rFonts w:hint="default" w:ascii="Times New Roman" w:hAnsi="Times New Roman" w:eastAsia="宋体"/>
                <w:color w:val="000000" w:themeColor="text1"/>
                <w:spacing w:val="0"/>
                <w:position w:val="0"/>
                <w:sz w:val="24"/>
                <w:szCs w:val="24"/>
                <w14:textFill>
                  <w14:solidFill>
                    <w14:schemeClr w14:val="tx1"/>
                  </w14:solidFill>
                </w14:textFill>
              </w:rPr>
              <w:t>－</w:t>
            </w:r>
            <w:r>
              <w:rPr>
                <w:rFonts w:hint="default" w:ascii="Times New Roman" w:hAnsi="Times New Roman" w:eastAsia="Times New Roman"/>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A</w:t>
            </w:r>
            <w:r>
              <w:rPr>
                <w:rFonts w:hint="default" w:ascii="Times New Roman" w:hAnsi="Times New Roman" w:eastAsia="Times New Roman"/>
                <w:color w:val="000000" w:themeColor="text1"/>
                <w:spacing w:val="0"/>
                <w:position w:val="0"/>
                <w:sz w:val="24"/>
                <w:szCs w:val="24"/>
                <w14:textFill>
                  <w14:solidFill>
                    <w14:schemeClr w14:val="tx1"/>
                  </w14:solidFill>
                </w14:textFill>
              </w:rPr>
              <w:t>div</w:t>
            </w:r>
            <w:r>
              <w:rPr>
                <w:rFonts w:hint="default" w:ascii="Times New Roman" w:hAnsi="Times New Roman" w:eastAsia="宋体"/>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A</w:t>
            </w:r>
            <w:r>
              <w:rPr>
                <w:rFonts w:hint="default" w:ascii="Times New Roman" w:hAnsi="Times New Roman" w:eastAsia="Times New Roman"/>
                <w:color w:val="000000" w:themeColor="text1"/>
                <w:spacing w:val="0"/>
                <w:position w:val="0"/>
                <w:sz w:val="24"/>
                <w:szCs w:val="24"/>
                <w14:textFill>
                  <w14:solidFill>
                    <w14:schemeClr w14:val="tx1"/>
                  </w14:solidFill>
                </w14:textFill>
              </w:rPr>
              <w:t>atm</w:t>
            </w:r>
            <w:r>
              <w:rPr>
                <w:rFonts w:hint="default" w:ascii="Times New Roman" w:hAnsi="Times New Roman" w:eastAsia="宋体"/>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A</w:t>
            </w:r>
            <w:r>
              <w:rPr>
                <w:rFonts w:hint="default" w:ascii="Times New Roman" w:hAnsi="Times New Roman" w:eastAsia="Times New Roman"/>
                <w:color w:val="000000" w:themeColor="text1"/>
                <w:spacing w:val="0"/>
                <w:position w:val="0"/>
                <w:sz w:val="24"/>
                <w:szCs w:val="24"/>
                <w14:textFill>
                  <w14:solidFill>
                    <w14:schemeClr w14:val="tx1"/>
                  </w14:solidFill>
                </w14:textFill>
              </w:rPr>
              <w:t>gr</w:t>
            </w:r>
            <w:r>
              <w:rPr>
                <w:rFonts w:hint="default" w:ascii="Times New Roman" w:hAnsi="Times New Roman" w:eastAsia="宋体"/>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A</w:t>
            </w:r>
            <w:r>
              <w:rPr>
                <w:rFonts w:hint="default" w:ascii="Times New Roman" w:hAnsi="Times New Roman" w:eastAsia="Times New Roman"/>
                <w:color w:val="000000" w:themeColor="text1"/>
                <w:spacing w:val="0"/>
                <w:position w:val="0"/>
                <w:sz w:val="24"/>
                <w:szCs w:val="24"/>
                <w14:textFill>
                  <w14:solidFill>
                    <w14:schemeClr w14:val="tx1"/>
                  </w14:solidFill>
                </w14:textFill>
              </w:rPr>
              <w:t>bar</w:t>
            </w:r>
            <w:r>
              <w:rPr>
                <w:rFonts w:hint="default" w:ascii="Times New Roman" w:hAnsi="Times New Roman" w:eastAsia="宋体"/>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A</w:t>
            </w:r>
            <w:r>
              <w:rPr>
                <w:rFonts w:hint="default" w:ascii="Times New Roman" w:hAnsi="Times New Roman" w:eastAsia="Times New Roman"/>
                <w:color w:val="000000" w:themeColor="text1"/>
                <w:spacing w:val="0"/>
                <w:position w:val="0"/>
                <w:sz w:val="24"/>
                <w:szCs w:val="24"/>
                <w14:textFill>
                  <w14:solidFill>
                    <w14:schemeClr w14:val="tx1"/>
                  </w14:solidFill>
                </w14:textFill>
              </w:rPr>
              <w:t>misc)</w:t>
            </w:r>
          </w:p>
          <w:p w14:paraId="0CC9555E">
            <w:pPr>
              <w:adjustRightInd w:val="0"/>
              <w:snapToGrid w:val="0"/>
              <w:spacing w:line="360" w:lineRule="auto"/>
              <w:ind w:firstLine="480"/>
              <w:jc w:val="center"/>
              <w:rPr>
                <w:rFonts w:hint="eastAsia" w:ascii="Times New Roman" w:hAnsi="Times New Roman" w:eastAsia="宋体"/>
                <w:color w:val="000000" w:themeColor="text1"/>
                <w:spacing w:val="0"/>
                <w:position w:val="0"/>
                <w:sz w:val="24"/>
                <w:szCs w:val="24"/>
                <w:lang w:val="en-US" w:eastAsia="zh-CN"/>
                <w14:textFill>
                  <w14:solidFill>
                    <w14:schemeClr w14:val="tx1"/>
                  </w14:solidFill>
                </w14:textFill>
              </w:rPr>
            </w:pPr>
            <w:r>
              <w:rPr>
                <w:rFonts w:hint="default" w:ascii="Times New Roman" w:hAnsi="Times New Roman" w:eastAsia="Times New Roman"/>
                <w:i/>
                <w:color w:val="000000" w:themeColor="text1"/>
                <w:spacing w:val="0"/>
                <w:position w:val="0"/>
                <w:sz w:val="24"/>
                <w:szCs w:val="24"/>
                <w14:textFill>
                  <w14:solidFill>
                    <w14:schemeClr w14:val="tx1"/>
                  </w14:solidFill>
                </w14:textFill>
              </w:rPr>
              <w:t>Lp</w:t>
            </w:r>
            <w:r>
              <w:rPr>
                <w:rFonts w:hint="default" w:ascii="Times New Roman" w:hAnsi="Times New Roman" w:eastAsia="Times New Roman"/>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r</w:t>
            </w:r>
            <w:r>
              <w:rPr>
                <w:rFonts w:hint="default" w:ascii="Times New Roman" w:hAnsi="Times New Roman" w:eastAsia="Times New Roman"/>
                <w:color w:val="000000" w:themeColor="text1"/>
                <w:spacing w:val="0"/>
                <w:position w:val="0"/>
                <w:sz w:val="24"/>
                <w:szCs w:val="24"/>
                <w14:textFill>
                  <w14:solidFill>
                    <w14:schemeClr w14:val="tx1"/>
                  </w14:solidFill>
                </w14:textFill>
              </w:rPr>
              <w:t>)</w:t>
            </w:r>
            <w:r>
              <w:rPr>
                <w:rFonts w:hint="default" w:ascii="Times New Roman" w:hAnsi="Times New Roman" w:eastAsia="宋体"/>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Lp</w:t>
            </w:r>
            <w:r>
              <w:rPr>
                <w:rFonts w:hint="default" w:ascii="Times New Roman" w:hAnsi="Times New Roman" w:eastAsia="Times New Roman"/>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r</w:t>
            </w:r>
            <w:r>
              <w:rPr>
                <w:rFonts w:hint="default" w:ascii="Times New Roman" w:hAnsi="Times New Roman" w:eastAsia="Times New Roman"/>
                <w:color w:val="000000" w:themeColor="text1"/>
                <w:spacing w:val="0"/>
                <w:position w:val="0"/>
                <w:sz w:val="24"/>
                <w:szCs w:val="24"/>
                <w14:textFill>
                  <w14:solidFill>
                    <w14:schemeClr w14:val="tx1"/>
                  </w14:solidFill>
                </w14:textFill>
              </w:rPr>
              <w:t>0)+</w:t>
            </w:r>
            <w:r>
              <w:rPr>
                <w:rFonts w:hint="default" w:ascii="Times New Roman" w:hAnsi="Times New Roman" w:eastAsia="Times New Roman"/>
                <w:i/>
                <w:color w:val="000000" w:themeColor="text1"/>
                <w:spacing w:val="0"/>
                <w:position w:val="0"/>
                <w:sz w:val="24"/>
                <w:szCs w:val="24"/>
                <w14:textFill>
                  <w14:solidFill>
                    <w14:schemeClr w14:val="tx1"/>
                  </w14:solidFill>
                </w14:textFill>
              </w:rPr>
              <w:t>D</w:t>
            </w:r>
            <w:r>
              <w:rPr>
                <w:rFonts w:hint="default" w:ascii="Times New Roman" w:hAnsi="Times New Roman" w:eastAsia="Times New Roman"/>
                <w:color w:val="000000" w:themeColor="text1"/>
                <w:spacing w:val="0"/>
                <w:position w:val="0"/>
                <w:sz w:val="24"/>
                <w:szCs w:val="24"/>
                <w14:textFill>
                  <w14:solidFill>
                    <w14:schemeClr w14:val="tx1"/>
                  </w14:solidFill>
                </w14:textFill>
              </w:rPr>
              <w:t>C</w:t>
            </w:r>
            <w:r>
              <w:rPr>
                <w:rFonts w:hint="default" w:ascii="Times New Roman" w:hAnsi="Times New Roman" w:eastAsia="宋体"/>
                <w:color w:val="000000" w:themeColor="text1"/>
                <w:spacing w:val="0"/>
                <w:position w:val="0"/>
                <w:sz w:val="24"/>
                <w:szCs w:val="24"/>
                <w14:textFill>
                  <w14:solidFill>
                    <w14:schemeClr w14:val="tx1"/>
                  </w14:solidFill>
                </w14:textFill>
              </w:rPr>
              <w:t>－</w:t>
            </w:r>
            <w:r>
              <w:rPr>
                <w:rFonts w:hint="default" w:ascii="Times New Roman" w:hAnsi="Times New Roman" w:eastAsia="Times New Roman"/>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A</w:t>
            </w:r>
            <w:r>
              <w:rPr>
                <w:rFonts w:hint="default" w:ascii="Times New Roman" w:hAnsi="Times New Roman" w:eastAsia="Times New Roman"/>
                <w:color w:val="000000" w:themeColor="text1"/>
                <w:spacing w:val="0"/>
                <w:position w:val="0"/>
                <w:sz w:val="24"/>
                <w:szCs w:val="24"/>
                <w14:textFill>
                  <w14:solidFill>
                    <w14:schemeClr w14:val="tx1"/>
                  </w14:solidFill>
                </w14:textFill>
              </w:rPr>
              <w:t>div</w:t>
            </w:r>
            <w:r>
              <w:rPr>
                <w:rFonts w:hint="default" w:ascii="Times New Roman" w:hAnsi="Times New Roman" w:eastAsia="宋体"/>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A</w:t>
            </w:r>
            <w:r>
              <w:rPr>
                <w:rFonts w:hint="default" w:ascii="Times New Roman" w:hAnsi="Times New Roman" w:eastAsia="Times New Roman"/>
                <w:color w:val="000000" w:themeColor="text1"/>
                <w:spacing w:val="0"/>
                <w:position w:val="0"/>
                <w:sz w:val="24"/>
                <w:szCs w:val="24"/>
                <w14:textFill>
                  <w14:solidFill>
                    <w14:schemeClr w14:val="tx1"/>
                  </w14:solidFill>
                </w14:textFill>
              </w:rPr>
              <w:t>atm</w:t>
            </w:r>
            <w:r>
              <w:rPr>
                <w:rFonts w:hint="default" w:ascii="Times New Roman" w:hAnsi="Times New Roman" w:eastAsia="宋体"/>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A</w:t>
            </w:r>
            <w:r>
              <w:rPr>
                <w:rFonts w:hint="default" w:ascii="Times New Roman" w:hAnsi="Times New Roman" w:eastAsia="Times New Roman"/>
                <w:color w:val="000000" w:themeColor="text1"/>
                <w:spacing w:val="0"/>
                <w:position w:val="0"/>
                <w:sz w:val="24"/>
                <w:szCs w:val="24"/>
                <w14:textFill>
                  <w14:solidFill>
                    <w14:schemeClr w14:val="tx1"/>
                  </w14:solidFill>
                </w14:textFill>
              </w:rPr>
              <w:t>gr</w:t>
            </w:r>
            <w:r>
              <w:rPr>
                <w:rFonts w:hint="default" w:ascii="Times New Roman" w:hAnsi="Times New Roman" w:eastAsia="宋体"/>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A</w:t>
            </w:r>
            <w:r>
              <w:rPr>
                <w:rFonts w:hint="default" w:ascii="Times New Roman" w:hAnsi="Times New Roman" w:eastAsia="Times New Roman"/>
                <w:color w:val="000000" w:themeColor="text1"/>
                <w:spacing w:val="0"/>
                <w:position w:val="0"/>
                <w:sz w:val="24"/>
                <w:szCs w:val="24"/>
                <w14:textFill>
                  <w14:solidFill>
                    <w14:schemeClr w14:val="tx1"/>
                  </w14:solidFill>
                </w14:textFill>
              </w:rPr>
              <w:t>bar</w:t>
            </w:r>
            <w:r>
              <w:rPr>
                <w:rFonts w:hint="default" w:ascii="Times New Roman" w:hAnsi="Times New Roman" w:eastAsia="宋体"/>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A</w:t>
            </w:r>
            <w:r>
              <w:rPr>
                <w:rFonts w:hint="default" w:ascii="Times New Roman" w:hAnsi="Times New Roman" w:eastAsia="Times New Roman"/>
                <w:color w:val="000000" w:themeColor="text1"/>
                <w:spacing w:val="0"/>
                <w:position w:val="0"/>
                <w:sz w:val="24"/>
                <w:szCs w:val="24"/>
                <w14:textFill>
                  <w14:solidFill>
                    <w14:schemeClr w14:val="tx1"/>
                  </w14:solidFill>
                </w14:textFill>
              </w:rPr>
              <w:t>misc)</w:t>
            </w:r>
          </w:p>
          <w:p w14:paraId="2BCCE5A5">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式中：</w:t>
            </w:r>
          </w:p>
          <w:p w14:paraId="6736C35D">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Lp(r)—预测点处声压级，dB；</w:t>
            </w:r>
          </w:p>
          <w:p w14:paraId="748E6083">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L</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softHyphen/>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softHyphen/>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w—由点声源产生的声功率级(A计权或倍频带)，dB；</w:t>
            </w:r>
          </w:p>
          <w:p w14:paraId="134661A6">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Lp(r0)—</w:t>
            </w: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参考位置</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r0</w:t>
            </w: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处的声压级，</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dB</w:t>
            </w: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w:t>
            </w:r>
          </w:p>
          <w:p w14:paraId="2DE097D6">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Dc—指向性校正，它描述点声源的等效连续声压级与产生声功率级Lw的全向点声源在规定方向的声级的偏差程度，dB；</w:t>
            </w:r>
          </w:p>
          <w:p w14:paraId="34F32B64">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Adiv—几何发散引起的衰减，dB；</w:t>
            </w:r>
          </w:p>
          <w:p w14:paraId="5723F84B">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Aatm—大气吸收引起的衰减，dB；</w:t>
            </w:r>
          </w:p>
          <w:p w14:paraId="0040C142">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Agr—地面效应引起的衰减，dB；</w:t>
            </w:r>
          </w:p>
          <w:p w14:paraId="23E77690">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Abar—障碍物屏蔽引起的衰减，dB；</w:t>
            </w:r>
          </w:p>
          <w:p w14:paraId="397F8B58">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Amisc—其他多方面效应引起的衰减，dB。</w:t>
            </w:r>
          </w:p>
          <w:p w14:paraId="04B47223">
            <w:pPr>
              <w:spacing w:line="360" w:lineRule="auto"/>
              <w:ind w:firstLine="480" w:firstLineChars="200"/>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highlight w:val="none"/>
                <w14:textFill>
                  <w14:solidFill>
                    <w14:schemeClr w14:val="tx1"/>
                  </w14:solidFill>
                </w14:textFill>
              </w:rPr>
              <w:t>②</w:t>
            </w:r>
            <w:r>
              <w:rPr>
                <w:rFonts w:hint="default" w:ascii="Times New Roman" w:hAnsi="Times New Roman" w:eastAsia="宋体"/>
                <w:color w:val="000000" w:themeColor="text1"/>
                <w:spacing w:val="0"/>
                <w:position w:val="0"/>
                <w:sz w:val="24"/>
                <w:szCs w:val="24"/>
                <w14:textFill>
                  <w14:solidFill>
                    <w14:schemeClr w14:val="tx1"/>
                  </w14:solidFill>
                </w14:textFill>
              </w:rPr>
              <w:t>预测点的</w:t>
            </w:r>
            <w:r>
              <w:rPr>
                <w:rFonts w:hint="default" w:ascii="Times New Roman" w:hAnsi="Times New Roman" w:eastAsia="Times New Roman"/>
                <w:color w:val="000000" w:themeColor="text1"/>
                <w:spacing w:val="0"/>
                <w:position w:val="0"/>
                <w:sz w:val="24"/>
                <w:szCs w:val="24"/>
                <w14:textFill>
                  <w14:solidFill>
                    <w14:schemeClr w14:val="tx1"/>
                  </w14:solidFill>
                </w14:textFill>
              </w:rPr>
              <w:t>A</w:t>
            </w:r>
            <w:r>
              <w:rPr>
                <w:rFonts w:hint="default" w:ascii="Times New Roman" w:hAnsi="Times New Roman" w:eastAsia="宋体"/>
                <w:color w:val="000000" w:themeColor="text1"/>
                <w:spacing w:val="0"/>
                <w:position w:val="0"/>
                <w:sz w:val="24"/>
                <w:szCs w:val="24"/>
                <w14:textFill>
                  <w14:solidFill>
                    <w14:schemeClr w14:val="tx1"/>
                  </w14:solidFill>
                </w14:textFill>
              </w:rPr>
              <w:t>声级</w:t>
            </w:r>
            <w:r>
              <w:rPr>
                <w:rFonts w:hint="default" w:ascii="Times New Roman" w:hAnsi="Times New Roman" w:eastAsia="Times New Roman"/>
                <w:i/>
                <w:color w:val="000000" w:themeColor="text1"/>
                <w:spacing w:val="0"/>
                <w:position w:val="0"/>
                <w:sz w:val="24"/>
                <w:szCs w:val="24"/>
                <w14:textFill>
                  <w14:solidFill>
                    <w14:schemeClr w14:val="tx1"/>
                  </w14:solidFill>
                </w14:textFill>
              </w:rPr>
              <w:t>L</w:t>
            </w:r>
            <w:r>
              <w:rPr>
                <w:rFonts w:hint="default" w:ascii="Times New Roman" w:hAnsi="Times New Roman" w:eastAsia="Times New Roman"/>
                <w:color w:val="000000" w:themeColor="text1"/>
                <w:spacing w:val="0"/>
                <w:position w:val="0"/>
                <w:sz w:val="24"/>
                <w:szCs w:val="24"/>
                <w:vertAlign w:val="subscript"/>
                <w14:textFill>
                  <w14:solidFill>
                    <w14:schemeClr w14:val="tx1"/>
                  </w14:solidFill>
                </w14:textFill>
              </w:rPr>
              <w:t>A</w:t>
            </w:r>
            <w:r>
              <w:rPr>
                <w:rFonts w:hint="default" w:ascii="Times New Roman" w:hAnsi="Times New Roman" w:eastAsia="Times New Roman"/>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r</w:t>
            </w:r>
            <w:r>
              <w:rPr>
                <w:rFonts w:hint="default" w:ascii="Times New Roman" w:hAnsi="Times New Roman" w:eastAsia="Times New Roman"/>
                <w:color w:val="000000" w:themeColor="text1"/>
                <w:spacing w:val="0"/>
                <w:position w:val="0"/>
                <w:sz w:val="24"/>
                <w:szCs w:val="24"/>
                <w14:textFill>
                  <w14:solidFill>
                    <w14:schemeClr w14:val="tx1"/>
                  </w14:solidFill>
                </w14:textFill>
              </w:rPr>
              <w:t>)</w:t>
            </w:r>
            <w:r>
              <w:rPr>
                <w:rFonts w:hint="default" w:ascii="Times New Roman" w:hAnsi="Times New Roman" w:eastAsia="宋体"/>
                <w:color w:val="000000" w:themeColor="text1"/>
                <w:spacing w:val="0"/>
                <w:position w:val="0"/>
                <w:sz w:val="24"/>
                <w:szCs w:val="24"/>
                <w14:textFill>
                  <w14:solidFill>
                    <w14:schemeClr w14:val="tx1"/>
                  </w14:solidFill>
                </w14:textFill>
              </w:rPr>
              <w:t>可按</w:t>
            </w:r>
            <w:r>
              <w:rPr>
                <w:rFonts w:hint="eastAsia" w:ascii="Times New Roman" w:hAnsi="Times New Roman" w:eastAsia="宋体"/>
                <w:color w:val="000000" w:themeColor="text1"/>
                <w:spacing w:val="0"/>
                <w:position w:val="0"/>
                <w:sz w:val="24"/>
                <w:szCs w:val="24"/>
                <w:lang w:val="en-US" w:eastAsia="zh-CN"/>
                <w14:textFill>
                  <w14:solidFill>
                    <w14:schemeClr w14:val="tx1"/>
                  </w14:solidFill>
                </w14:textFill>
              </w:rPr>
              <w:t>下式</w:t>
            </w:r>
            <w:r>
              <w:rPr>
                <w:rFonts w:hint="default" w:ascii="Times New Roman" w:hAnsi="Times New Roman" w:eastAsia="宋体"/>
                <w:color w:val="000000" w:themeColor="text1"/>
                <w:spacing w:val="0"/>
                <w:position w:val="0"/>
                <w:sz w:val="24"/>
                <w:szCs w:val="24"/>
                <w14:textFill>
                  <w14:solidFill>
                    <w14:schemeClr w14:val="tx1"/>
                  </w14:solidFill>
                </w14:textFill>
              </w:rPr>
              <w:t>计算，即将</w:t>
            </w:r>
            <w:r>
              <w:rPr>
                <w:rFonts w:hint="default" w:ascii="Times New Roman" w:hAnsi="Times New Roman" w:eastAsia="Times New Roman"/>
                <w:color w:val="000000" w:themeColor="text1"/>
                <w:spacing w:val="0"/>
                <w:position w:val="0"/>
                <w:sz w:val="24"/>
                <w:szCs w:val="24"/>
                <w14:textFill>
                  <w14:solidFill>
                    <w14:schemeClr w14:val="tx1"/>
                  </w14:solidFill>
                </w14:textFill>
              </w:rPr>
              <w:t>8</w:t>
            </w:r>
            <w:r>
              <w:rPr>
                <w:rFonts w:hint="default" w:ascii="Times New Roman" w:hAnsi="Times New Roman" w:eastAsia="宋体"/>
                <w:color w:val="000000" w:themeColor="text1"/>
                <w:spacing w:val="0"/>
                <w:position w:val="0"/>
                <w:sz w:val="24"/>
                <w:szCs w:val="24"/>
                <w14:textFill>
                  <w14:solidFill>
                    <w14:schemeClr w14:val="tx1"/>
                  </w14:solidFill>
                </w14:textFill>
              </w:rPr>
              <w:t>个倍频带声压级合成，计算出预测点的</w:t>
            </w:r>
            <w:r>
              <w:rPr>
                <w:rFonts w:hint="default" w:ascii="Times New Roman" w:hAnsi="Times New Roman" w:eastAsia="Times New Roman"/>
                <w:color w:val="000000" w:themeColor="text1"/>
                <w:spacing w:val="0"/>
                <w:position w:val="0"/>
                <w:sz w:val="24"/>
                <w:szCs w:val="24"/>
                <w14:textFill>
                  <w14:solidFill>
                    <w14:schemeClr w14:val="tx1"/>
                  </w14:solidFill>
                </w14:textFill>
              </w:rPr>
              <w:t>A</w:t>
            </w:r>
            <w:r>
              <w:rPr>
                <w:rFonts w:hint="default" w:ascii="Times New Roman" w:hAnsi="Times New Roman" w:eastAsia="宋体"/>
                <w:color w:val="000000" w:themeColor="text1"/>
                <w:spacing w:val="0"/>
                <w:position w:val="0"/>
                <w:sz w:val="24"/>
                <w:szCs w:val="24"/>
                <w14:textFill>
                  <w14:solidFill>
                    <w14:schemeClr w14:val="tx1"/>
                  </w14:solidFill>
                </w14:textFill>
              </w:rPr>
              <w:t>声级</w:t>
            </w:r>
            <w:r>
              <w:rPr>
                <w:rFonts w:hint="default" w:ascii="Times New Roman" w:hAnsi="Times New Roman" w:eastAsia="Times New Roman"/>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L</w:t>
            </w:r>
            <w:r>
              <w:rPr>
                <w:rFonts w:hint="default" w:ascii="Times New Roman" w:hAnsi="Times New Roman" w:eastAsia="Times New Roman"/>
                <w:color w:val="000000" w:themeColor="text1"/>
                <w:spacing w:val="0"/>
                <w:position w:val="0"/>
                <w:sz w:val="24"/>
                <w:szCs w:val="24"/>
                <w:vertAlign w:val="subscript"/>
                <w14:textFill>
                  <w14:solidFill>
                    <w14:schemeClr w14:val="tx1"/>
                  </w14:solidFill>
                </w14:textFill>
              </w:rPr>
              <w:t>A</w:t>
            </w:r>
            <w:r>
              <w:rPr>
                <w:rFonts w:hint="default" w:ascii="Times New Roman" w:hAnsi="Times New Roman" w:eastAsia="Times New Roman"/>
                <w:color w:val="000000" w:themeColor="text1"/>
                <w:spacing w:val="0"/>
                <w:position w:val="0"/>
                <w:sz w:val="24"/>
                <w:szCs w:val="24"/>
                <w14:textFill>
                  <w14:solidFill>
                    <w14:schemeClr w14:val="tx1"/>
                  </w14:solidFill>
                </w14:textFill>
              </w:rPr>
              <w:t>(</w:t>
            </w:r>
            <w:r>
              <w:rPr>
                <w:rFonts w:hint="default" w:ascii="Times New Roman" w:hAnsi="Times New Roman" w:eastAsia="Times New Roman"/>
                <w:i/>
                <w:color w:val="000000" w:themeColor="text1"/>
                <w:spacing w:val="0"/>
                <w:position w:val="0"/>
                <w:sz w:val="24"/>
                <w:szCs w:val="24"/>
                <w14:textFill>
                  <w14:solidFill>
                    <w14:schemeClr w14:val="tx1"/>
                  </w14:solidFill>
                </w14:textFill>
              </w:rPr>
              <w:t>r</w:t>
            </w:r>
            <w:r>
              <w:rPr>
                <w:rFonts w:hint="default" w:ascii="Times New Roman" w:hAnsi="Times New Roman" w:eastAsia="Times New Roman"/>
                <w:color w:val="000000" w:themeColor="text1"/>
                <w:spacing w:val="0"/>
                <w:position w:val="0"/>
                <w:sz w:val="24"/>
                <w:szCs w:val="24"/>
                <w14:textFill>
                  <w14:solidFill>
                    <w14:schemeClr w14:val="tx1"/>
                  </w14:solidFill>
                </w14:textFill>
              </w:rPr>
              <w:t>)]</w:t>
            </w:r>
            <w:r>
              <w:rPr>
                <w:rFonts w:hint="default" w:ascii="Times New Roman" w:hAnsi="Times New Roman" w:eastAsia="宋体"/>
                <w:color w:val="000000" w:themeColor="text1"/>
                <w:spacing w:val="0"/>
                <w:position w:val="0"/>
                <w:sz w:val="24"/>
                <w:szCs w:val="24"/>
                <w14:textFill>
                  <w14:solidFill>
                    <w14:schemeClr w14:val="tx1"/>
                  </w14:solidFill>
                </w14:textFill>
              </w:rPr>
              <w:t>。</w:t>
            </w:r>
          </w:p>
          <w:p w14:paraId="0709B53D">
            <w:pPr>
              <w:spacing w:line="360" w:lineRule="auto"/>
              <w:ind w:firstLine="1778" w:firstLineChars="738"/>
              <w:rPr>
                <w:rFonts w:hint="default" w:ascii="Times New Roman" w:hAnsi="Times New Roman" w:eastAsia="宋体" w:cs="Times New Roman"/>
                <w:b/>
                <w:color w:val="000000" w:themeColor="text1"/>
                <w:spacing w:val="0"/>
                <w:positio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spacing w:val="0"/>
                <w:position w:val="0"/>
                <w:sz w:val="24"/>
                <w:szCs w:val="24"/>
                <w:highlight w:val="none"/>
                <w14:textFill>
                  <w14:solidFill>
                    <w14:schemeClr w14:val="tx1"/>
                  </w14:solidFill>
                </w14:textFill>
              </w:rPr>
              <w:drawing>
                <wp:inline distT="0" distB="0" distL="114300" distR="114300">
                  <wp:extent cx="1935480" cy="419100"/>
                  <wp:effectExtent l="0" t="0" r="7620" b="0"/>
                  <wp:docPr id="134" name="图片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92"/>
                          <pic:cNvPicPr>
                            <a:picLocks noChangeAspect="1"/>
                          </pic:cNvPicPr>
                        </pic:nvPicPr>
                        <pic:blipFill>
                          <a:blip r:embed="rId23"/>
                          <a:stretch>
                            <a:fillRect/>
                          </a:stretch>
                        </pic:blipFill>
                        <pic:spPr>
                          <a:xfrm>
                            <a:off x="0" y="0"/>
                            <a:ext cx="1935480" cy="419100"/>
                          </a:xfrm>
                          <a:prstGeom prst="rect">
                            <a:avLst/>
                          </a:prstGeom>
                          <a:noFill/>
                          <a:ln>
                            <a:noFill/>
                          </a:ln>
                        </pic:spPr>
                      </pic:pic>
                    </a:graphicData>
                  </a:graphic>
                </wp:inline>
              </w:drawing>
            </w:r>
          </w:p>
          <w:p w14:paraId="0D0C0395">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14:textFill>
                  <w14:solidFill>
                    <w14:schemeClr w14:val="tx1"/>
                  </w14:solidFill>
                </w14:textFill>
              </w:rPr>
            </w:pPr>
            <w:r>
              <w:rPr>
                <w:rFonts w:hint="eastAsia" w:ascii="Times New Roman" w:hAnsi="Times New Roman" w:eastAsia="宋体" w:cs="Times New Roman"/>
                <w:color w:val="000000" w:themeColor="text1"/>
                <w:spacing w:val="0"/>
                <w:position w:val="0"/>
                <w:sz w:val="24"/>
                <w14:textFill>
                  <w14:solidFill>
                    <w14:schemeClr w14:val="tx1"/>
                  </w14:solidFill>
                </w14:textFill>
              </w:rPr>
              <w:t>式中：</w:t>
            </w:r>
          </w:p>
          <w:p w14:paraId="37DCA242">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14:textFill>
                  <w14:solidFill>
                    <w14:schemeClr w14:val="tx1"/>
                  </w14:solidFill>
                </w14:textFill>
              </w:rPr>
            </w:pPr>
            <w:r>
              <w:rPr>
                <w:rFonts w:hint="default" w:ascii="Times New Roman" w:hAnsi="Times New Roman" w:eastAsia="宋体" w:cs="Times New Roman"/>
                <w:color w:val="000000" w:themeColor="text1"/>
                <w:spacing w:val="0"/>
                <w:position w:val="0"/>
                <w:sz w:val="24"/>
                <w14:textFill>
                  <w14:solidFill>
                    <w14:schemeClr w14:val="tx1"/>
                  </w14:solidFill>
                </w14:textFill>
              </w:rPr>
              <w:t>LA(r)</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14:textFill>
                  <w14:solidFill>
                    <w14:schemeClr w14:val="tx1"/>
                  </w14:solidFill>
                </w14:textFill>
              </w:rPr>
              <w:t>距声源r处的A声级，dB(A)；</w:t>
            </w:r>
          </w:p>
          <w:p w14:paraId="420065F8">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14:textFill>
                  <w14:solidFill>
                    <w14:schemeClr w14:val="tx1"/>
                  </w14:solidFill>
                </w14:textFill>
              </w:rPr>
            </w:pPr>
            <w:r>
              <w:rPr>
                <w:rFonts w:hint="eastAsia" w:ascii="Times New Roman" w:hAnsi="Times New Roman" w:eastAsia="宋体" w:cs="Times New Roman"/>
                <w:color w:val="000000" w:themeColor="text1"/>
                <w:spacing w:val="0"/>
                <w:position w:val="0"/>
                <w:sz w:val="24"/>
                <w14:textFill>
                  <w14:solidFill>
                    <w14:schemeClr w14:val="tx1"/>
                  </w14:solidFill>
                </w14:textFill>
              </w:rPr>
              <w:t>Lpi(r)</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0"/>
                <w:position w:val="0"/>
                <w:sz w:val="24"/>
                <w14:textFill>
                  <w14:solidFill>
                    <w14:schemeClr w14:val="tx1"/>
                  </w14:solidFill>
                </w14:textFill>
              </w:rPr>
              <w:t>预测点(r)处，第i倍频带声压级，dB；</w:t>
            </w:r>
          </w:p>
          <w:p w14:paraId="59EE52E5">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14:textFill>
                  <w14:solidFill>
                    <w14:schemeClr w14:val="tx1"/>
                  </w14:solidFill>
                </w14:textFill>
              </w:rPr>
            </w:pPr>
            <w:r>
              <w:rPr>
                <w:rFonts w:hint="eastAsia" w:ascii="Times New Roman" w:hAnsi="Times New Roman" w:eastAsia="宋体" w:cs="Times New Roman"/>
                <w:color w:val="000000" w:themeColor="text1"/>
                <w:spacing w:val="0"/>
                <w:position w:val="0"/>
                <w:sz w:val="24"/>
                <w14:textFill>
                  <w14:solidFill>
                    <w14:schemeClr w14:val="tx1"/>
                  </w14:solidFill>
                </w14:textFill>
              </w:rPr>
              <w:t>△Li—i倍频带A计算网络修正值，dB(</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根据</w:t>
            </w:r>
            <w:r>
              <w:rPr>
                <w:rFonts w:hint="eastAsia" w:ascii="Times New Roman" w:hAnsi="Times New Roman" w:eastAsia="宋体" w:cs="Times New Roman"/>
                <w:color w:val="000000" w:themeColor="text1"/>
                <w:spacing w:val="0"/>
                <w:position w:val="0"/>
                <w:sz w:val="24"/>
                <w14:textFill>
                  <w14:solidFill>
                    <w14:schemeClr w14:val="tx1"/>
                  </w14:solidFill>
                </w14:textFill>
              </w:rPr>
              <w:t>导则附录B</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计算</w:t>
            </w:r>
            <w:r>
              <w:rPr>
                <w:rFonts w:hint="eastAsia" w:ascii="Times New Roman" w:hAnsi="Times New Roman" w:eastAsia="宋体" w:cs="Times New Roman"/>
                <w:color w:val="000000" w:themeColor="text1"/>
                <w:spacing w:val="0"/>
                <w:position w:val="0"/>
                <w:sz w:val="24"/>
                <w14:textFill>
                  <w14:solidFill>
                    <w14:schemeClr w14:val="tx1"/>
                  </w14:solidFill>
                </w14:textFill>
              </w:rPr>
              <w:t>)。</w:t>
            </w:r>
          </w:p>
          <w:p w14:paraId="5A3A7209">
            <w:pPr>
              <w:adjustRightInd w:val="0"/>
              <w:snapToGrid w:val="0"/>
              <w:spacing w:line="360" w:lineRule="auto"/>
              <w:ind w:firstLine="480"/>
              <w:rPr>
                <w:rFonts w:hint="eastAsia" w:ascii="Times New Roman" w:hAnsi="Times New Roman"/>
                <w:b w:val="0"/>
                <w:bCs w:val="0"/>
                <w:color w:val="000000" w:themeColor="text1"/>
                <w:spacing w:val="0"/>
                <w:position w:val="0"/>
                <w:sz w:val="24"/>
                <w14:textFill>
                  <w14:solidFill>
                    <w14:schemeClr w14:val="tx1"/>
                  </w14:solidFill>
                </w14:textFill>
              </w:rPr>
            </w:pPr>
            <w:r>
              <w:rPr>
                <w:rFonts w:hint="eastAsia" w:ascii="Times New Roman" w:hAnsi="Times New Roman"/>
                <w:b w:val="0"/>
                <w:bCs w:val="0"/>
                <w:color w:val="000000" w:themeColor="text1"/>
                <w:spacing w:val="0"/>
                <w:position w:val="0"/>
                <w:sz w:val="24"/>
                <w14:textFill>
                  <w14:solidFill>
                    <w14:schemeClr w14:val="tx1"/>
                  </w14:solidFill>
                </w14:textFill>
              </w:rPr>
              <w:t>衰减项计算按导则</w:t>
            </w:r>
            <w:r>
              <w:rPr>
                <w:rFonts w:hint="eastAsia" w:ascii="Times New Roman" w:hAnsi="Times New Roman"/>
                <w:b w:val="0"/>
                <w:bCs w:val="0"/>
                <w:color w:val="000000" w:themeColor="text1"/>
                <w:spacing w:val="0"/>
                <w:position w:val="0"/>
                <w:sz w:val="24"/>
                <w:lang w:val="en-US" w:eastAsia="zh-CN"/>
                <w14:textFill>
                  <w14:solidFill>
                    <w14:schemeClr w14:val="tx1"/>
                  </w14:solidFill>
                </w14:textFill>
              </w:rPr>
              <w:t>附录A中A.3</w:t>
            </w:r>
            <w:r>
              <w:rPr>
                <w:rFonts w:hint="eastAsia" w:ascii="Times New Roman" w:hAnsi="Times New Roman"/>
                <w:b w:val="0"/>
                <w:bCs w:val="0"/>
                <w:color w:val="000000" w:themeColor="text1"/>
                <w:spacing w:val="0"/>
                <w:position w:val="0"/>
                <w:sz w:val="24"/>
                <w14:textFill>
                  <w14:solidFill>
                    <w14:schemeClr w14:val="tx1"/>
                  </w14:solidFill>
                </w14:textFill>
              </w:rPr>
              <w:t>相关模式计算。</w:t>
            </w:r>
          </w:p>
          <w:p w14:paraId="7DEE5BA1">
            <w:pPr>
              <w:adjustRightInd w:val="0"/>
              <w:snapToGrid w:val="0"/>
              <w:spacing w:line="360" w:lineRule="auto"/>
              <w:ind w:firstLine="48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(3)噪声贡献值计算</w:t>
            </w:r>
          </w:p>
          <w:p w14:paraId="1FC98FB8">
            <w:pPr>
              <w:adjustRightInd w:val="0"/>
              <w:snapToGrid w:val="0"/>
              <w:spacing w:line="360" w:lineRule="auto"/>
              <w:ind w:firstLine="480"/>
              <w:rPr>
                <w:rFonts w:hint="default" w:ascii="Times New Roman" w:hAnsi="Times New Roman" w:eastAsia="宋体" w:cs="Times New Roman"/>
                <w:color w:val="000000" w:themeColor="text1"/>
                <w:spacing w:val="0"/>
                <w:position w:val="0"/>
                <w:sz w:val="24"/>
                <w:highlight w:val="none"/>
                <w:lang w:val="en-US"/>
                <w14:textFill>
                  <w14:solidFill>
                    <w14:schemeClr w14:val="tx1"/>
                  </w14:solidFill>
                </w14:textFill>
              </w:rPr>
            </w:pP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设第</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i</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个室外声源在预测点产生的</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A</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声级为</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pacing w:val="0"/>
                <w:position w:val="0"/>
                <w:sz w:val="24"/>
                <w:highlight w:val="none"/>
                <w:vertAlign w:val="subscript"/>
                <w:lang w:val="en-US" w:eastAsia="zh-CN"/>
                <w14:textFill>
                  <w14:solidFill>
                    <w14:schemeClr w14:val="tx1"/>
                  </w14:solidFill>
                </w14:textFill>
              </w:rPr>
              <w:t>Ai</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时间内该声源工作时间为</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pacing w:val="0"/>
                <w:position w:val="0"/>
                <w:sz w:val="24"/>
                <w:highlight w:val="none"/>
                <w:vertAlign w:val="subscript"/>
                <w:lang w:val="en-US" w:eastAsia="zh-CN"/>
                <w14:textFill>
                  <w14:solidFill>
                    <w14:schemeClr w14:val="tx1"/>
                  </w14:solidFill>
                </w14:textFill>
              </w:rPr>
              <w:t>i</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；第</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j</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个等效室外声源在预测点产生的</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A</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声级为</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pacing w:val="0"/>
                <w:position w:val="0"/>
                <w:sz w:val="24"/>
                <w:highlight w:val="none"/>
                <w:vertAlign w:val="subscript"/>
                <w:lang w:val="en-US" w:eastAsia="zh-CN"/>
                <w14:textFill>
                  <w14:solidFill>
                    <w14:schemeClr w14:val="tx1"/>
                  </w14:solidFill>
                </w14:textFill>
              </w:rPr>
              <w:t>Aj</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时间内该声源工作时间为</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pacing w:val="0"/>
                <w:position w:val="0"/>
                <w:sz w:val="24"/>
                <w:highlight w:val="none"/>
                <w:vertAlign w:val="subscript"/>
                <w:lang w:val="en-US" w:eastAsia="zh-CN"/>
                <w14:textFill>
                  <w14:solidFill>
                    <w14:schemeClr w14:val="tx1"/>
                  </w14:solidFill>
                </w14:textFill>
              </w:rPr>
              <w:t xml:space="preserve"> j</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，则拟建工程声源对预测点产生的贡献值(</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Leqg</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)为：</w:t>
            </w:r>
          </w:p>
          <w:p w14:paraId="56FB6457">
            <w:pPr>
              <w:spacing w:line="360" w:lineRule="auto"/>
              <w:ind w:firstLine="555"/>
              <w:jc w:val="center"/>
              <w:rPr>
                <w:rFonts w:ascii="Times New Roman" w:hAnsi="Times New Roman"/>
                <w:color w:val="000000" w:themeColor="text1"/>
                <w:spacing w:val="0"/>
                <w:position w:val="0"/>
                <w:szCs w:val="28"/>
                <w14:textFill>
                  <w14:solidFill>
                    <w14:schemeClr w14:val="tx1"/>
                  </w14:solidFill>
                </w14:textFill>
              </w:rPr>
            </w:pPr>
            <w:r>
              <w:rPr>
                <w:rFonts w:ascii="Times New Roman" w:hAnsi="Times New Roman"/>
                <w:color w:val="000000" w:themeColor="text1"/>
                <w:spacing w:val="0"/>
                <w:position w:val="0"/>
                <w14:textFill>
                  <w14:solidFill>
                    <w14:schemeClr w14:val="tx1"/>
                  </w14:solidFill>
                </w14:textFill>
              </w:rPr>
              <w:drawing>
                <wp:inline distT="0" distB="0" distL="114300" distR="114300">
                  <wp:extent cx="2367280" cy="485775"/>
                  <wp:effectExtent l="0" t="0" r="13970" b="9525"/>
                  <wp:docPr id="135" name="图片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193"/>
                          <pic:cNvPicPr>
                            <a:picLocks noChangeAspect="1"/>
                          </pic:cNvPicPr>
                        </pic:nvPicPr>
                        <pic:blipFill>
                          <a:blip r:embed="rId24"/>
                          <a:stretch>
                            <a:fillRect/>
                          </a:stretch>
                        </pic:blipFill>
                        <pic:spPr>
                          <a:xfrm>
                            <a:off x="0" y="0"/>
                            <a:ext cx="2367280" cy="485775"/>
                          </a:xfrm>
                          <a:prstGeom prst="rect">
                            <a:avLst/>
                          </a:prstGeom>
                          <a:noFill/>
                          <a:ln>
                            <a:noFill/>
                          </a:ln>
                        </pic:spPr>
                      </pic:pic>
                    </a:graphicData>
                  </a:graphic>
                </wp:inline>
              </w:drawing>
            </w:r>
          </w:p>
          <w:p w14:paraId="2B8153D5">
            <w:pPr>
              <w:spacing w:line="360" w:lineRule="auto"/>
              <w:ind w:firstLine="480" w:firstLineChars="200"/>
              <w:rPr>
                <w:rFonts w:ascii="Times New Roman" w:hAnsi="Times New Roman" w:eastAsia="宋体" w:cs="Times New Roman"/>
                <w:color w:val="000000" w:themeColor="text1"/>
                <w:spacing w:val="0"/>
                <w:position w:val="0"/>
                <w:sz w:val="24"/>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式中：</w:t>
            </w: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Leqg——</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建设项目声源在预测点产生的噪声贡献值，</w:t>
            </w: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dB</w:t>
            </w: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t>(A)</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w:t>
            </w:r>
          </w:p>
          <w:p w14:paraId="5AEDED16">
            <w:pPr>
              <w:spacing w:line="360" w:lineRule="auto"/>
              <w:ind w:firstLine="1200" w:firstLineChars="500"/>
              <w:rPr>
                <w:rFonts w:ascii="Times New Roman" w:hAnsi="Times New Roman" w:eastAsia="宋体" w:cs="Times New Roman"/>
                <w:color w:val="000000" w:themeColor="text1"/>
                <w:spacing w:val="0"/>
                <w:position w:val="0"/>
                <w:sz w:val="24"/>
                <w14:textFill>
                  <w14:solidFill>
                    <w14:schemeClr w14:val="tx1"/>
                  </w14:solidFill>
                </w14:textFill>
              </w:rPr>
            </w:pP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T——</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用于计算等效声级的时间，</w:t>
            </w: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s</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w:t>
            </w:r>
          </w:p>
          <w:p w14:paraId="19C913A6">
            <w:pPr>
              <w:spacing w:line="360" w:lineRule="auto"/>
              <w:ind w:firstLine="1200" w:firstLineChars="500"/>
              <w:rPr>
                <w:rFonts w:ascii="Times New Roman" w:hAnsi="Times New Roman" w:eastAsia="宋体" w:cs="Times New Roman"/>
                <w:color w:val="000000" w:themeColor="text1"/>
                <w:spacing w:val="0"/>
                <w:position w:val="0"/>
                <w:sz w:val="24"/>
                <w14:textFill>
                  <w14:solidFill>
                    <w14:schemeClr w14:val="tx1"/>
                  </w14:solidFill>
                </w14:textFill>
              </w:rPr>
            </w:pP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N——</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室外声源个数；</w:t>
            </w:r>
          </w:p>
          <w:p w14:paraId="4863DE2C">
            <w:pPr>
              <w:spacing w:line="360" w:lineRule="auto"/>
              <w:ind w:firstLine="1200" w:firstLineChars="500"/>
              <w:rPr>
                <w:rFonts w:ascii="Times New Roman" w:hAnsi="Times New Roman" w:eastAsia="宋体" w:cs="Times New Roman"/>
                <w:color w:val="000000" w:themeColor="text1"/>
                <w:spacing w:val="0"/>
                <w:position w:val="0"/>
                <w:sz w:val="24"/>
                <w14:textFill>
                  <w14:solidFill>
                    <w14:schemeClr w14:val="tx1"/>
                  </w14:solidFill>
                </w14:textFill>
              </w:rPr>
            </w:pP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t</w:t>
            </w:r>
            <w:r>
              <w:rPr>
                <w:rFonts w:hint="default" w:ascii="Times New Roman" w:hAnsi="Times New Roman" w:eastAsia="宋体" w:cs="Times New Roman"/>
                <w:color w:val="000000" w:themeColor="text1"/>
                <w:spacing w:val="0"/>
                <w:position w:val="0"/>
                <w:sz w:val="24"/>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在</w:t>
            </w: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T</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时间内</w:t>
            </w: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i</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声源工作时间，</w:t>
            </w: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s</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w:t>
            </w:r>
          </w:p>
          <w:p w14:paraId="170A77AA">
            <w:pPr>
              <w:spacing w:line="360" w:lineRule="auto"/>
              <w:ind w:firstLine="1200" w:firstLineChars="500"/>
              <w:rPr>
                <w:rFonts w:ascii="Times New Roman" w:hAnsi="Times New Roman" w:eastAsia="宋体" w:cs="Times New Roman"/>
                <w:color w:val="000000" w:themeColor="text1"/>
                <w:spacing w:val="0"/>
                <w:position w:val="0"/>
                <w:sz w:val="24"/>
                <w14:textFill>
                  <w14:solidFill>
                    <w14:schemeClr w14:val="tx1"/>
                  </w14:solidFill>
                </w14:textFill>
              </w:rPr>
            </w:pP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M——</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等效室外声源个数；</w:t>
            </w:r>
          </w:p>
          <w:p w14:paraId="2F2A6740">
            <w:pPr>
              <w:spacing w:line="360" w:lineRule="auto"/>
              <w:ind w:firstLine="1200" w:firstLineChars="500"/>
              <w:rPr>
                <w:rFonts w:ascii="Times New Roman" w:hAnsi="Times New Roman" w:eastAsia="宋体" w:cs="Times New Roman"/>
                <w:color w:val="000000" w:themeColor="text1"/>
                <w:spacing w:val="0"/>
                <w:position w:val="0"/>
                <w:sz w:val="24"/>
                <w14:textFill>
                  <w14:solidFill>
                    <w14:schemeClr w14:val="tx1"/>
                  </w14:solidFill>
                </w14:textFill>
              </w:rPr>
            </w:pP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t</w:t>
            </w:r>
            <w:r>
              <w:rPr>
                <w:rFonts w:hint="default" w:ascii="Times New Roman" w:hAnsi="Times New Roman" w:eastAsia="宋体" w:cs="Times New Roman"/>
                <w:color w:val="000000" w:themeColor="text1"/>
                <w:spacing w:val="0"/>
                <w:position w:val="0"/>
                <w:sz w:val="24"/>
                <w:vertAlign w:val="subscript"/>
                <w:lang w:val="en-US" w:eastAsia="zh-CN"/>
                <w14:textFill>
                  <w14:solidFill>
                    <w14:schemeClr w14:val="tx1"/>
                  </w14:solidFill>
                </w14:textFill>
              </w:rPr>
              <w:t>j</w:t>
            </w: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在</w:t>
            </w: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T</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时间内</w:t>
            </w: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j</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声源工作时间，</w:t>
            </w:r>
            <w:r>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t>s</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w:t>
            </w:r>
          </w:p>
          <w:p w14:paraId="5655C1CC">
            <w:pPr>
              <w:spacing w:line="360" w:lineRule="auto"/>
              <w:ind w:firstLine="480" w:firstLineChars="200"/>
              <w:rPr>
                <w:rFonts w:hint="eastAsia" w:ascii="Times New Roman" w:hAnsi="Times New Roman" w:cs="Times New Roman"/>
                <w:color w:val="000000" w:themeColor="text1"/>
                <w:spacing w:val="0"/>
                <w:position w:val="0"/>
                <w:sz w:val="24"/>
                <w:highlight w:val="none"/>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噪声预测值计算</w:t>
            </w:r>
          </w:p>
          <w:p w14:paraId="18A4E480">
            <w:pPr>
              <w:spacing w:line="360" w:lineRule="auto"/>
              <w:ind w:firstLine="480" w:firstLineChars="200"/>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预测点的贡献值和背景值按能量叠加方法计算得到的声级</w:t>
            </w:r>
            <w:r>
              <w:rPr>
                <w:rFonts w:hint="eastAsia"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highlight w:val="none"/>
                <w:lang w:val="en-US" w:eastAsia="zh-CN"/>
                <w14:textFill>
                  <w14:solidFill>
                    <w14:schemeClr w14:val="tx1"/>
                  </w14:solidFill>
                </w14:textFill>
              </w:rPr>
              <w:t>计算公式：</w:t>
            </w:r>
          </w:p>
          <w:p w14:paraId="0A0D28AB">
            <w:pPr>
              <w:spacing w:line="360" w:lineRule="auto"/>
              <w:ind w:firstLine="1680" w:firstLineChars="700"/>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4"/>
                <w:highlight w:val="none"/>
                <w14:textFill>
                  <w14:solidFill>
                    <w14:schemeClr w14:val="tx1"/>
                  </w14:solidFill>
                </w14:textFill>
              </w:rPr>
              <w:drawing>
                <wp:inline distT="0" distB="0" distL="114300" distR="114300">
                  <wp:extent cx="1907540" cy="304165"/>
                  <wp:effectExtent l="0" t="0" r="16510" b="635"/>
                  <wp:docPr id="136" name="图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194"/>
                          <pic:cNvPicPr>
                            <a:picLocks noChangeAspect="1"/>
                          </pic:cNvPicPr>
                        </pic:nvPicPr>
                        <pic:blipFill>
                          <a:blip r:embed="rId25"/>
                          <a:stretch>
                            <a:fillRect/>
                          </a:stretch>
                        </pic:blipFill>
                        <pic:spPr>
                          <a:xfrm>
                            <a:off x="0" y="0"/>
                            <a:ext cx="1907540" cy="304165"/>
                          </a:xfrm>
                          <a:prstGeom prst="rect">
                            <a:avLst/>
                          </a:prstGeom>
                          <a:noFill/>
                          <a:ln>
                            <a:noFill/>
                          </a:ln>
                        </pic:spPr>
                      </pic:pic>
                    </a:graphicData>
                  </a:graphic>
                </wp:inline>
              </w:drawing>
            </w:r>
          </w:p>
          <w:p w14:paraId="41677216">
            <w:pPr>
              <w:spacing w:line="360" w:lineRule="auto"/>
              <w:ind w:firstLine="480"/>
              <w:rPr>
                <w:rFonts w:hint="default" w:ascii="Times New Roman" w:hAnsi="Times New Roman" w:eastAsia="宋体" w:cs="Times New Roman"/>
                <w:color w:val="000000" w:themeColor="text1"/>
                <w:spacing w:val="0"/>
                <w:position w:val="0"/>
                <w:sz w:val="24"/>
                <w14:textFill>
                  <w14:solidFill>
                    <w14:schemeClr w14:val="tx1"/>
                  </w14:solidFill>
                </w14:textFill>
              </w:rPr>
            </w:pPr>
            <w:r>
              <w:rPr>
                <w:rFonts w:hint="default" w:ascii="Times New Roman" w:hAnsi="Times New Roman" w:eastAsia="宋体" w:cs="Times New Roman"/>
                <w:color w:val="000000" w:themeColor="text1"/>
                <w:spacing w:val="0"/>
                <w:position w:val="0"/>
                <w:sz w:val="24"/>
                <w14:textFill>
                  <w14:solidFill>
                    <w14:schemeClr w14:val="tx1"/>
                  </w14:solidFill>
                </w14:textFill>
              </w:rPr>
              <w:t>式中：</w:t>
            </w:r>
          </w:p>
          <w:p w14:paraId="778975BB">
            <w:pPr>
              <w:spacing w:line="360" w:lineRule="auto"/>
              <w:ind w:firstLine="480"/>
              <w:rPr>
                <w:rFonts w:hint="default" w:ascii="Times New Roman" w:hAnsi="Times New Roman" w:eastAsia="宋体" w:cs="Times New Roman"/>
                <w:color w:val="000000" w:themeColor="text1"/>
                <w:spacing w:val="0"/>
                <w:position w:val="0"/>
                <w:sz w:val="24"/>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Leq</w:t>
            </w:r>
            <w:r>
              <w:rPr>
                <w:rFonts w:hint="default" w:ascii="Times New Roman" w:hAnsi="Times New Roman" w:eastAsia="宋体" w:cs="Times New Roman"/>
                <w:color w:val="000000" w:themeColor="text1"/>
                <w:spacing w:val="0"/>
                <w:position w:val="0"/>
                <w:sz w:val="24"/>
                <w14:textFill>
                  <w14:solidFill>
                    <w14:schemeClr w14:val="tx1"/>
                  </w14:solidFill>
                </w14:textFill>
              </w:rPr>
              <w:t>—预测点的噪声预测值，dB；</w:t>
            </w:r>
          </w:p>
          <w:p w14:paraId="724E5758">
            <w:pPr>
              <w:spacing w:line="360" w:lineRule="auto"/>
              <w:ind w:firstLine="480"/>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4"/>
                <w14:textFill>
                  <w14:solidFill>
                    <w14:schemeClr w14:val="tx1"/>
                  </w14:solidFill>
                </w14:textFill>
              </w:rPr>
              <w:t>Leqg—建设项目声源在预测点产生的噪声贡献值，dB</w:t>
            </w:r>
            <w:r>
              <w:rPr>
                <w:rFonts w:hint="eastAsia" w:ascii="Times New Roman" w:hAnsi="Times New Roman" w:eastAsia="宋体" w:cs="Times New Roman"/>
                <w:color w:val="000000" w:themeColor="text1"/>
                <w:spacing w:val="0"/>
                <w:position w:val="0"/>
                <w:sz w:val="24"/>
                <w:lang w:eastAsia="zh-CN"/>
                <w14:textFill>
                  <w14:solidFill>
                    <w14:schemeClr w14:val="tx1"/>
                  </w14:solidFill>
                </w14:textFill>
              </w:rPr>
              <w:t>；</w:t>
            </w:r>
          </w:p>
          <w:p w14:paraId="6F9DA5E1">
            <w:pPr>
              <w:spacing w:line="360" w:lineRule="auto"/>
              <w:ind w:firstLine="480"/>
              <w:rPr>
                <w:rFonts w:hint="default" w:ascii="Times New Roman" w:hAnsi="Times New Roman" w:eastAsia="宋体" w:cs="Times New Roman"/>
                <w:color w:val="000000" w:themeColor="text1"/>
                <w:spacing w:val="0"/>
                <w:position w:val="0"/>
                <w:sz w:val="24"/>
                <w14:textFill>
                  <w14:solidFill>
                    <w14:schemeClr w14:val="tx1"/>
                  </w14:solidFill>
                </w14:textFill>
              </w:rPr>
            </w:pPr>
            <w:r>
              <w:rPr>
                <w:rFonts w:hint="default" w:ascii="Times New Roman" w:hAnsi="Times New Roman" w:eastAsia="宋体" w:cs="Times New Roman"/>
                <w:color w:val="000000" w:themeColor="text1"/>
                <w:spacing w:val="0"/>
                <w:position w:val="0"/>
                <w:sz w:val="24"/>
                <w14:textFill>
                  <w14:solidFill>
                    <w14:schemeClr w14:val="tx1"/>
                  </w14:solidFill>
                </w14:textFill>
              </w:rPr>
              <w:t>Leq</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b</w:t>
            </w:r>
            <w:r>
              <w:rPr>
                <w:rFonts w:hint="default" w:ascii="Times New Roman" w:hAnsi="Times New Roman" w:eastAsia="宋体" w:cs="Times New Roman"/>
                <w:color w:val="000000" w:themeColor="text1"/>
                <w:spacing w:val="0"/>
                <w:position w:val="0"/>
                <w:sz w:val="24"/>
                <w14:textFill>
                  <w14:solidFill>
                    <w14:schemeClr w14:val="tx1"/>
                  </w14:solidFill>
                </w14:textFill>
              </w:rPr>
              <w:t>—预测点的背景噪声值，dB。</w:t>
            </w:r>
          </w:p>
          <w:p w14:paraId="526BE90C">
            <w:pPr>
              <w:snapToGrid w:val="0"/>
              <w:spacing w:line="360" w:lineRule="auto"/>
              <w:ind w:right="11" w:firstLine="480" w:firstLineChars="200"/>
              <w:rPr>
                <w:rFonts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lang w:val="en-US" w:eastAsia="zh-CN"/>
                <w14:textFill>
                  <w14:solidFill>
                    <w14:schemeClr w14:val="tx1"/>
                  </w14:solidFill>
                </w14:textFill>
              </w:rPr>
              <w:t>(5)</w:t>
            </w:r>
            <w:r>
              <w:rPr>
                <w:rFonts w:hint="eastAsia" w:ascii="Times New Roman" w:hAnsi="Times New Roman"/>
                <w:color w:val="000000" w:themeColor="text1"/>
                <w:spacing w:val="0"/>
                <w:position w:val="0"/>
                <w:sz w:val="24"/>
                <w14:textFill>
                  <w14:solidFill>
                    <w14:schemeClr w14:val="tx1"/>
                  </w14:solidFill>
                </w14:textFill>
              </w:rPr>
              <w:t>隔声量的确定</w:t>
            </w:r>
          </w:p>
          <w:p w14:paraId="7B3A07A2">
            <w:pPr>
              <w:snapToGrid w:val="0"/>
              <w:spacing w:line="360" w:lineRule="auto"/>
              <w:ind w:right="11" w:firstLine="480" w:firstLineChars="200"/>
              <w:rPr>
                <w:rFonts w:hint="default" w:ascii="Times New Roman" w:hAnsi="Times New Roman" w:eastAsia="宋体"/>
                <w:color w:val="000000" w:themeColor="text1"/>
                <w:spacing w:val="0"/>
                <w:position w:val="0"/>
                <w:sz w:val="24"/>
                <w:lang w:val="en-US" w:eastAsia="zh-CN"/>
                <w14:textFill>
                  <w14:solidFill>
                    <w14:schemeClr w14:val="tx1"/>
                  </w14:solidFill>
                </w14:textFill>
              </w:rPr>
            </w:pPr>
            <w:r>
              <w:rPr>
                <w:rFonts w:hint="eastAsia" w:ascii="Times New Roman" w:hAnsi="Times New Roman"/>
                <w:color w:val="000000" w:themeColor="text1"/>
                <w:spacing w:val="0"/>
                <w:position w:val="0"/>
                <w:sz w:val="24"/>
                <w14:textFill>
                  <w14:solidFill>
                    <w14:schemeClr w14:val="tx1"/>
                  </w14:solidFill>
                </w14:textFill>
              </w:rPr>
              <w:t>项目主要噪声设备大多设置于各建构筑物内，设备噪声经</w:t>
            </w:r>
            <w:r>
              <w:rPr>
                <w:rFonts w:hint="eastAsia" w:ascii="Times New Roman" w:hAnsi="Times New Roman"/>
                <w:color w:val="000000" w:themeColor="text1"/>
                <w:spacing w:val="0"/>
                <w:position w:val="0"/>
                <w:sz w:val="24"/>
                <w:lang w:val="en-US" w:eastAsia="zh-CN"/>
                <w14:textFill>
                  <w14:solidFill>
                    <w14:schemeClr w14:val="tx1"/>
                  </w14:solidFill>
                </w14:textFill>
              </w:rPr>
              <w:t>墙体隔声，设备基础减振后</w:t>
            </w:r>
            <w:r>
              <w:rPr>
                <w:rFonts w:hint="eastAsia" w:ascii="Times New Roman" w:hAnsi="Times New Roman"/>
                <w:color w:val="000000" w:themeColor="text1"/>
                <w:spacing w:val="0"/>
                <w:position w:val="0"/>
                <w:sz w:val="24"/>
                <w14:textFill>
                  <w14:solidFill>
                    <w14:schemeClr w14:val="tx1"/>
                  </w14:solidFill>
                </w14:textFill>
              </w:rPr>
              <w:t>，可削减</w:t>
            </w:r>
            <w:r>
              <w:rPr>
                <w:rFonts w:hint="eastAsia" w:ascii="Times New Roman" w:hAnsi="Times New Roman"/>
                <w:color w:val="000000" w:themeColor="text1"/>
                <w:spacing w:val="0"/>
                <w:position w:val="0"/>
                <w:sz w:val="24"/>
                <w:lang w:val="en-US" w:eastAsia="zh-CN"/>
                <w14:textFill>
                  <w14:solidFill>
                    <w14:schemeClr w14:val="tx1"/>
                  </w14:solidFill>
                </w14:textFill>
              </w:rPr>
              <w:t>15</w:t>
            </w:r>
            <w:r>
              <w:rPr>
                <w:rFonts w:hint="eastAsia" w:ascii="Times New Roman" w:hAnsi="Times New Roman"/>
                <w:color w:val="000000" w:themeColor="text1"/>
                <w:spacing w:val="0"/>
                <w:position w:val="0"/>
                <w:sz w:val="24"/>
                <w14:textFill>
                  <w14:solidFill>
                    <w14:schemeClr w14:val="tx1"/>
                  </w14:solidFill>
                </w14:textFill>
              </w:rPr>
              <w:t>dB(A)</w:t>
            </w:r>
            <w:r>
              <w:rPr>
                <w:rFonts w:hint="eastAsia" w:ascii="Times New Roman" w:hAnsi="Times New Roman"/>
                <w:color w:val="000000" w:themeColor="text1"/>
                <w:spacing w:val="0"/>
                <w:position w:val="0"/>
                <w:sz w:val="24"/>
                <w:lang w:val="en-US" w:eastAsia="zh-CN"/>
                <w14:textFill>
                  <w14:solidFill>
                    <w14:schemeClr w14:val="tx1"/>
                  </w14:solidFill>
                </w14:textFill>
              </w:rPr>
              <w:t>~20</w:t>
            </w:r>
            <w:r>
              <w:rPr>
                <w:rFonts w:hint="eastAsia" w:ascii="Times New Roman" w:hAnsi="Times New Roman"/>
                <w:color w:val="000000" w:themeColor="text1"/>
                <w:spacing w:val="0"/>
                <w:position w:val="0"/>
                <w:sz w:val="24"/>
                <w14:textFill>
                  <w14:solidFill>
                    <w14:schemeClr w14:val="tx1"/>
                  </w14:solidFill>
                </w14:textFill>
              </w:rPr>
              <w:t>dB(A)以上。</w:t>
            </w:r>
            <w:r>
              <w:rPr>
                <w:rFonts w:hint="eastAsia" w:ascii="Times New Roman" w:hAnsi="Times New Roman"/>
                <w:color w:val="000000" w:themeColor="text1"/>
                <w:spacing w:val="0"/>
                <w:position w:val="0"/>
                <w:sz w:val="24"/>
                <w:lang w:val="en-US" w:eastAsia="zh-CN"/>
                <w14:textFill>
                  <w14:solidFill>
                    <w14:schemeClr w14:val="tx1"/>
                  </w14:solidFill>
                </w14:textFill>
              </w:rPr>
              <w:t>为确保项目厂界噪声达标，本评价要求按削减20</w:t>
            </w:r>
            <w:r>
              <w:rPr>
                <w:rFonts w:hint="eastAsia" w:ascii="Times New Roman" w:hAnsi="Times New Roman"/>
                <w:color w:val="000000" w:themeColor="text1"/>
                <w:spacing w:val="0"/>
                <w:position w:val="0"/>
                <w:sz w:val="24"/>
                <w14:textFill>
                  <w14:solidFill>
                    <w14:schemeClr w14:val="tx1"/>
                  </w14:solidFill>
                </w14:textFill>
              </w:rPr>
              <w:t>dB(A)</w:t>
            </w:r>
            <w:r>
              <w:rPr>
                <w:rFonts w:hint="eastAsia" w:ascii="Times New Roman" w:hAnsi="Times New Roman"/>
                <w:color w:val="000000" w:themeColor="text1"/>
                <w:spacing w:val="0"/>
                <w:position w:val="0"/>
                <w:sz w:val="24"/>
                <w:lang w:val="en-US" w:eastAsia="zh-CN"/>
                <w14:textFill>
                  <w14:solidFill>
                    <w14:schemeClr w14:val="tx1"/>
                  </w14:solidFill>
                </w14:textFill>
              </w:rPr>
              <w:t>进行设计。</w:t>
            </w:r>
          </w:p>
          <w:p w14:paraId="22AE4D9F">
            <w:pPr>
              <w:spacing w:line="360" w:lineRule="auto"/>
              <w:ind w:firstLine="480"/>
              <w:rPr>
                <w:rFonts w:ascii="Times New Roman" w:hAnsi="Times New Roman"/>
                <w:color w:val="000000" w:themeColor="text1"/>
                <w:spacing w:val="0"/>
                <w:position w:val="0"/>
                <w:sz w:val="24"/>
                <w14:textFill>
                  <w14:solidFill>
                    <w14:schemeClr w14:val="tx1"/>
                  </w14:solidFill>
                </w14:textFill>
              </w:rPr>
            </w:pPr>
            <w:r>
              <w:rPr>
                <w:rFonts w:ascii="Times New Roman" w:hAnsi="Times New Roman"/>
                <w:color w:val="000000" w:themeColor="text1"/>
                <w:spacing w:val="0"/>
                <w:position w:val="0"/>
                <w:sz w:val="24"/>
                <w14:textFill>
                  <w14:solidFill>
                    <w14:schemeClr w14:val="tx1"/>
                  </w14:solidFill>
                </w14:textFill>
              </w:rPr>
              <w:t>(</w:t>
            </w:r>
            <w:r>
              <w:rPr>
                <w:rFonts w:hint="eastAsia" w:ascii="Times New Roman" w:hAnsi="Times New Roman"/>
                <w:color w:val="000000" w:themeColor="text1"/>
                <w:spacing w:val="0"/>
                <w:position w:val="0"/>
                <w:sz w:val="24"/>
                <w:lang w:val="en-US" w:eastAsia="zh-CN"/>
                <w14:textFill>
                  <w14:solidFill>
                    <w14:schemeClr w14:val="tx1"/>
                  </w14:solidFill>
                </w14:textFill>
              </w:rPr>
              <w:t>6</w:t>
            </w:r>
            <w:r>
              <w:rPr>
                <w:rFonts w:ascii="Times New Roman" w:hAnsi="Times New Roman"/>
                <w:color w:val="000000" w:themeColor="text1"/>
                <w:spacing w:val="0"/>
                <w:position w:val="0"/>
                <w:sz w:val="24"/>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预测结果</w:t>
            </w:r>
          </w:p>
          <w:p w14:paraId="41BE31DB">
            <w:pPr>
              <w:spacing w:line="360" w:lineRule="auto"/>
              <w:ind w:firstLine="480"/>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eastAsia" w:ascii="Times New Roman" w:hAnsi="Times New Roman"/>
                <w:color w:val="000000" w:themeColor="text1"/>
                <w:spacing w:val="0"/>
                <w:position w:val="0"/>
                <w:sz w:val="24"/>
                <w:lang w:val="zh-CN"/>
                <w14:textFill>
                  <w14:solidFill>
                    <w14:schemeClr w14:val="tx1"/>
                  </w14:solidFill>
                </w14:textFill>
              </w:rPr>
              <w:t>①</w:t>
            </w: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厂界噪声预测结果</w:t>
            </w:r>
          </w:p>
          <w:p w14:paraId="77EFFCBC">
            <w:pPr>
              <w:spacing w:line="360" w:lineRule="auto"/>
              <w:ind w:firstLine="480"/>
              <w:rPr>
                <w:rFonts w:ascii="Times New Roman" w:hAnsi="Times New Roman"/>
                <w:color w:val="000000" w:themeColor="text1"/>
                <w:spacing w:val="0"/>
                <w:position w:val="0"/>
                <w:sz w:val="24"/>
                <w:lang w:val="zh-CN"/>
                <w14:textFill>
                  <w14:solidFill>
                    <w14:schemeClr w14:val="tx1"/>
                  </w14:solidFill>
                </w14:textFill>
              </w:rPr>
            </w:pPr>
            <w:r>
              <w:rPr>
                <w:rFonts w:ascii="Times New Roman" w:hAnsi="Times New Roman"/>
                <w:color w:val="000000" w:themeColor="text1"/>
                <w:spacing w:val="0"/>
                <w:position w:val="0"/>
                <w:sz w:val="24"/>
                <w:lang w:val="zh-CN"/>
                <w14:textFill>
                  <w14:solidFill>
                    <w14:schemeClr w14:val="tx1"/>
                  </w14:solidFill>
                </w14:textFill>
              </w:rPr>
              <w:t>利用上述模式计算本项目噪声源同时工作时，预测到厂界的噪声最大值及位置，具体预测结果见表</w:t>
            </w:r>
            <w:r>
              <w:rPr>
                <w:rFonts w:hint="eastAsia" w:ascii="Times New Roman" w:hAnsi="Times New Roman"/>
                <w:color w:val="000000" w:themeColor="text1"/>
                <w:spacing w:val="0"/>
                <w:position w:val="0"/>
                <w:sz w:val="24"/>
                <w:lang w:val="en-US" w:eastAsia="zh-CN"/>
                <w14:textFill>
                  <w14:solidFill>
                    <w14:schemeClr w14:val="tx1"/>
                  </w14:solidFill>
                </w14:textFill>
              </w:rPr>
              <w:t>4.4-2</w:t>
            </w:r>
            <w:r>
              <w:rPr>
                <w:rFonts w:ascii="Times New Roman" w:hAnsi="Times New Roman"/>
                <w:color w:val="000000" w:themeColor="text1"/>
                <w:spacing w:val="0"/>
                <w:position w:val="0"/>
                <w:sz w:val="24"/>
                <w:lang w:val="zh-CN"/>
                <w14:textFill>
                  <w14:solidFill>
                    <w14:schemeClr w14:val="tx1"/>
                  </w14:solidFill>
                </w14:textFill>
              </w:rPr>
              <w:t>所示。</w:t>
            </w:r>
          </w:p>
          <w:p w14:paraId="4A5D3C7E">
            <w:pPr>
              <w:pStyle w:val="142"/>
              <w:keepNext/>
              <w:keepLines/>
              <w:pageBreakBefore w:val="0"/>
              <w:widowControl w:val="0"/>
              <w:kinsoku/>
              <w:wordWrap/>
              <w:overflowPunct/>
              <w:topLinePunct w:val="0"/>
              <w:autoSpaceDE/>
              <w:autoSpaceDN/>
              <w:bidi w:val="0"/>
              <w:adjustRightInd/>
              <w:snapToGrid/>
              <w:spacing w:before="157" w:beforeLines="50" w:after="0"/>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表4.4-2  厂界噪声预测结果 单位：dB(A)</w:t>
            </w:r>
          </w:p>
          <w:tbl>
            <w:tblPr>
              <w:tblStyle w:val="3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70"/>
              <w:gridCol w:w="1392"/>
              <w:gridCol w:w="1402"/>
              <w:gridCol w:w="1402"/>
              <w:gridCol w:w="1402"/>
              <w:gridCol w:w="1249"/>
              <w:gridCol w:w="1280"/>
            </w:tblGrid>
            <w:tr w14:paraId="435C50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8" w:type="pct"/>
                  <w:tcBorders>
                    <w:tl2br w:val="nil"/>
                    <w:tr2bl w:val="nil"/>
                  </w:tcBorders>
                  <w:noWrap w:val="0"/>
                  <w:vAlign w:val="center"/>
                </w:tcPr>
                <w:p w14:paraId="120B4FCD">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eastAsia" w:ascii="Times New Roman" w:hAnsi="Times New Roman" w:eastAsia="宋体"/>
                      <w:color w:val="000000" w:themeColor="text1"/>
                      <w:spacing w:val="0"/>
                      <w:position w:val="0"/>
                      <w:sz w:val="21"/>
                      <w:lang w:eastAsia="zh-CN"/>
                      <w14:textFill>
                        <w14:solidFill>
                          <w14:schemeClr w14:val="tx1"/>
                        </w14:solidFill>
                      </w14:textFill>
                    </w:rPr>
                  </w:pPr>
                  <w:r>
                    <w:rPr>
                      <w:rFonts w:hint="eastAsia" w:ascii="Times New Roman" w:hAnsi="Times New Roman" w:eastAsia="宋体"/>
                      <w:color w:val="000000" w:themeColor="text1"/>
                      <w:spacing w:val="0"/>
                      <w:position w:val="0"/>
                      <w:sz w:val="21"/>
                      <w:lang w:val="en-US" w:eastAsia="zh-CN"/>
                      <w14:textFill>
                        <w14:solidFill>
                          <w14:schemeClr w14:val="tx1"/>
                        </w14:solidFill>
                      </w14:textFill>
                    </w:rPr>
                    <w:t>编号</w:t>
                  </w:r>
                </w:p>
              </w:tc>
              <w:tc>
                <w:tcPr>
                  <w:tcW w:w="800" w:type="pct"/>
                  <w:tcBorders>
                    <w:tl2br w:val="nil"/>
                    <w:tr2bl w:val="nil"/>
                  </w:tcBorders>
                  <w:noWrap w:val="0"/>
                  <w:vAlign w:val="center"/>
                </w:tcPr>
                <w:p w14:paraId="2F9C0336">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宋体"/>
                      <w:color w:val="000000" w:themeColor="text1"/>
                      <w:spacing w:val="0"/>
                      <w:position w:val="0"/>
                      <w:sz w:val="21"/>
                      <w14:textFill>
                        <w14:solidFill>
                          <w14:schemeClr w14:val="tx1"/>
                        </w14:solidFill>
                      </w14:textFill>
                    </w:rPr>
                  </w:pPr>
                  <w:r>
                    <w:rPr>
                      <w:rFonts w:ascii="Times New Roman" w:hAnsi="Times New Roman" w:eastAsia="宋体"/>
                      <w:color w:val="000000" w:themeColor="text1"/>
                      <w:spacing w:val="0"/>
                      <w:position w:val="0"/>
                      <w:sz w:val="21"/>
                      <w14:textFill>
                        <w14:solidFill>
                          <w14:schemeClr w14:val="tx1"/>
                        </w14:solidFill>
                      </w14:textFill>
                    </w:rPr>
                    <w:t>预测点位名称</w:t>
                  </w:r>
                </w:p>
              </w:tc>
              <w:tc>
                <w:tcPr>
                  <w:tcW w:w="806" w:type="pct"/>
                  <w:tcBorders>
                    <w:tl2br w:val="nil"/>
                    <w:tr2bl w:val="nil"/>
                  </w:tcBorders>
                  <w:noWrap w:val="0"/>
                  <w:vAlign w:val="center"/>
                </w:tcPr>
                <w:p w14:paraId="3E10F84D">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hint="default" w:ascii="Times New Roman" w:hAnsi="Times New Roman" w:eastAsia="宋体"/>
                      <w:color w:val="000000" w:themeColor="text1"/>
                      <w:spacing w:val="0"/>
                      <w:position w:val="0"/>
                      <w:sz w:val="21"/>
                      <w:lang w:val="en-US" w:eastAsia="zh-CN"/>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昼间现状值</w:t>
                  </w:r>
                </w:p>
              </w:tc>
              <w:tc>
                <w:tcPr>
                  <w:tcW w:w="806" w:type="pct"/>
                  <w:tcBorders>
                    <w:tl2br w:val="nil"/>
                    <w:tr2bl w:val="nil"/>
                  </w:tcBorders>
                  <w:noWrap w:val="0"/>
                  <w:vAlign w:val="center"/>
                </w:tcPr>
                <w:p w14:paraId="3B1041A6">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宋体"/>
                      <w:color w:val="000000" w:themeColor="text1"/>
                      <w:spacing w:val="0"/>
                      <w:position w:val="0"/>
                      <w:sz w:val="21"/>
                      <w14:textFill>
                        <w14:solidFill>
                          <w14:schemeClr w14:val="tx1"/>
                        </w14:solidFill>
                      </w14:textFill>
                    </w:rPr>
                  </w:pPr>
                  <w:r>
                    <w:rPr>
                      <w:rFonts w:ascii="Times New Roman" w:hAnsi="Times New Roman" w:eastAsia="宋体"/>
                      <w:color w:val="000000" w:themeColor="text1"/>
                      <w:spacing w:val="0"/>
                      <w:position w:val="0"/>
                      <w:sz w:val="21"/>
                      <w14:textFill>
                        <w14:solidFill>
                          <w14:schemeClr w14:val="tx1"/>
                        </w14:solidFill>
                      </w14:textFill>
                    </w:rPr>
                    <w:t>昼间贡献值</w:t>
                  </w:r>
                </w:p>
              </w:tc>
              <w:tc>
                <w:tcPr>
                  <w:tcW w:w="806" w:type="pct"/>
                  <w:tcBorders>
                    <w:tl2br w:val="nil"/>
                    <w:tr2bl w:val="nil"/>
                  </w:tcBorders>
                  <w:noWrap w:val="0"/>
                  <w:vAlign w:val="center"/>
                </w:tcPr>
                <w:p w14:paraId="500679B2">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宋体"/>
                      <w:color w:val="000000" w:themeColor="text1"/>
                      <w:spacing w:val="0"/>
                      <w:position w:val="0"/>
                      <w:sz w:val="21"/>
                      <w14:textFill>
                        <w14:solidFill>
                          <w14:schemeClr w14:val="tx1"/>
                        </w14:solidFill>
                      </w14:textFill>
                    </w:rPr>
                  </w:pPr>
                  <w:r>
                    <w:rPr>
                      <w:rFonts w:ascii="Times New Roman" w:hAnsi="Times New Roman" w:eastAsia="宋体"/>
                      <w:color w:val="000000" w:themeColor="text1"/>
                      <w:spacing w:val="0"/>
                      <w:position w:val="0"/>
                      <w:sz w:val="21"/>
                      <w14:textFill>
                        <w14:solidFill>
                          <w14:schemeClr w14:val="tx1"/>
                        </w14:solidFill>
                      </w14:textFill>
                    </w:rPr>
                    <w:t>昼间</w:t>
                  </w:r>
                  <w:r>
                    <w:rPr>
                      <w:rFonts w:hint="eastAsia" w:ascii="Times New Roman" w:hAnsi="Times New Roman"/>
                      <w:color w:val="000000" w:themeColor="text1"/>
                      <w:spacing w:val="0"/>
                      <w:position w:val="0"/>
                      <w:sz w:val="21"/>
                      <w:lang w:val="en-US" w:eastAsia="zh-CN"/>
                      <w14:textFill>
                        <w14:solidFill>
                          <w14:schemeClr w14:val="tx1"/>
                        </w14:solidFill>
                      </w14:textFill>
                    </w:rPr>
                    <w:t>预测</w:t>
                  </w:r>
                  <w:r>
                    <w:rPr>
                      <w:rFonts w:ascii="Times New Roman" w:hAnsi="Times New Roman" w:eastAsia="宋体"/>
                      <w:color w:val="000000" w:themeColor="text1"/>
                      <w:spacing w:val="0"/>
                      <w:position w:val="0"/>
                      <w:sz w:val="21"/>
                      <w14:textFill>
                        <w14:solidFill>
                          <w14:schemeClr w14:val="tx1"/>
                        </w14:solidFill>
                      </w14:textFill>
                    </w:rPr>
                    <w:t>值</w:t>
                  </w:r>
                </w:p>
              </w:tc>
              <w:tc>
                <w:tcPr>
                  <w:tcW w:w="718" w:type="pct"/>
                  <w:tcBorders>
                    <w:tl2br w:val="nil"/>
                    <w:tr2bl w:val="nil"/>
                  </w:tcBorders>
                  <w:noWrap w:val="0"/>
                  <w:vAlign w:val="center"/>
                </w:tcPr>
                <w:p w14:paraId="3D6C8248">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宋体"/>
                      <w:color w:val="000000" w:themeColor="text1"/>
                      <w:spacing w:val="0"/>
                      <w:position w:val="0"/>
                      <w:sz w:val="21"/>
                      <w14:textFill>
                        <w14:solidFill>
                          <w14:schemeClr w14:val="tx1"/>
                        </w14:solidFill>
                      </w14:textFill>
                    </w:rPr>
                  </w:pPr>
                  <w:r>
                    <w:rPr>
                      <w:rFonts w:ascii="Times New Roman" w:hAnsi="Times New Roman" w:eastAsia="宋体"/>
                      <w:color w:val="000000" w:themeColor="text1"/>
                      <w:spacing w:val="0"/>
                      <w:position w:val="0"/>
                      <w:sz w:val="21"/>
                      <w14:textFill>
                        <w14:solidFill>
                          <w14:schemeClr w14:val="tx1"/>
                        </w14:solidFill>
                      </w14:textFill>
                    </w:rPr>
                    <w:t>昼间排放标准</w:t>
                  </w:r>
                </w:p>
              </w:tc>
              <w:tc>
                <w:tcPr>
                  <w:tcW w:w="734" w:type="pct"/>
                  <w:tcBorders>
                    <w:tl2br w:val="nil"/>
                    <w:tr2bl w:val="nil"/>
                  </w:tcBorders>
                  <w:noWrap w:val="0"/>
                  <w:vAlign w:val="center"/>
                </w:tcPr>
                <w:p w14:paraId="73B59017">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宋体"/>
                      <w:color w:val="000000" w:themeColor="text1"/>
                      <w:spacing w:val="0"/>
                      <w:position w:val="0"/>
                      <w:sz w:val="21"/>
                      <w14:textFill>
                        <w14:solidFill>
                          <w14:schemeClr w14:val="tx1"/>
                        </w14:solidFill>
                      </w14:textFill>
                    </w:rPr>
                  </w:pPr>
                  <w:r>
                    <w:rPr>
                      <w:rFonts w:ascii="Times New Roman" w:hAnsi="Times New Roman" w:eastAsia="宋体"/>
                      <w:color w:val="000000" w:themeColor="text1"/>
                      <w:spacing w:val="0"/>
                      <w:position w:val="0"/>
                      <w:sz w:val="21"/>
                      <w14:textFill>
                        <w14:solidFill>
                          <w14:schemeClr w14:val="tx1"/>
                        </w14:solidFill>
                      </w14:textFill>
                    </w:rPr>
                    <w:t>达标情况</w:t>
                  </w:r>
                </w:p>
              </w:tc>
            </w:tr>
            <w:tr w14:paraId="6CB6C0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8" w:type="pct"/>
                  <w:tcBorders>
                    <w:tl2br w:val="nil"/>
                    <w:tr2bl w:val="nil"/>
                  </w:tcBorders>
                  <w:noWrap w:val="0"/>
                  <w:vAlign w:val="center"/>
                </w:tcPr>
                <w:p w14:paraId="4EEEB5EE">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宋体"/>
                      <w:color w:val="000000" w:themeColor="text1"/>
                      <w:spacing w:val="0"/>
                      <w:position w:val="0"/>
                      <w:sz w:val="21"/>
                      <w14:textFill>
                        <w14:solidFill>
                          <w14:schemeClr w14:val="tx1"/>
                        </w14:solidFill>
                      </w14:textFill>
                    </w:rPr>
                  </w:pPr>
                  <w:r>
                    <w:rPr>
                      <w:rFonts w:hint="eastAsia" w:ascii="Times New Roman" w:hAnsi="Times New Roman" w:eastAsia="宋体"/>
                      <w:color w:val="000000" w:themeColor="text1"/>
                      <w:spacing w:val="0"/>
                      <w:position w:val="0"/>
                      <w:sz w:val="21"/>
                      <w:lang w:val="en-US" w:eastAsia="zh-CN"/>
                      <w14:textFill>
                        <w14:solidFill>
                          <w14:schemeClr w14:val="tx1"/>
                        </w14:solidFill>
                      </w14:textFill>
                    </w:rPr>
                    <w:t>1</w:t>
                  </w:r>
                </w:p>
              </w:tc>
              <w:tc>
                <w:tcPr>
                  <w:tcW w:w="800" w:type="pct"/>
                  <w:tcBorders>
                    <w:tl2br w:val="nil"/>
                    <w:tr2bl w:val="nil"/>
                  </w:tcBorders>
                  <w:noWrap w:val="0"/>
                  <w:vAlign w:val="center"/>
                </w:tcPr>
                <w:p w14:paraId="192F826D">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ascii="Times New Roman" w:hAnsi="Times New Roman" w:eastAsia="宋体"/>
                      <w:color w:val="000000" w:themeColor="text1"/>
                      <w:spacing w:val="0"/>
                      <w:position w:val="0"/>
                      <w:sz w:val="21"/>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北</w:t>
                  </w:r>
                  <w:r>
                    <w:rPr>
                      <w:rFonts w:ascii="Times New Roman" w:hAnsi="Times New Roman"/>
                      <w:color w:val="000000" w:themeColor="text1"/>
                      <w:spacing w:val="0"/>
                      <w:position w:val="0"/>
                      <w:sz w:val="21"/>
                      <w14:textFill>
                        <w14:solidFill>
                          <w14:schemeClr w14:val="tx1"/>
                        </w14:solidFill>
                      </w14:textFill>
                    </w:rPr>
                    <w:t>侧厂界</w:t>
                  </w:r>
                </w:p>
              </w:tc>
              <w:tc>
                <w:tcPr>
                  <w:tcW w:w="806" w:type="pct"/>
                  <w:tcBorders>
                    <w:tl2br w:val="nil"/>
                    <w:tr2bl w:val="nil"/>
                  </w:tcBorders>
                  <w:noWrap w:val="0"/>
                  <w:vAlign w:val="center"/>
                </w:tcPr>
                <w:p w14:paraId="0AED17A9">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olor w:val="000000" w:themeColor="text1"/>
                      <w:spacing w:val="0"/>
                      <w:position w:val="0"/>
                      <w:sz w:val="21"/>
                      <w:lang w:val="en-US" w:eastAsia="zh-CN"/>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58</w:t>
                  </w:r>
                </w:p>
              </w:tc>
              <w:tc>
                <w:tcPr>
                  <w:tcW w:w="806" w:type="pct"/>
                  <w:tcBorders>
                    <w:tl2br w:val="nil"/>
                    <w:tr2bl w:val="nil"/>
                  </w:tcBorders>
                  <w:shd w:val="clear" w:color="auto" w:fill="auto"/>
                  <w:noWrap w:val="0"/>
                  <w:vAlign w:val="center"/>
                </w:tcPr>
                <w:p w14:paraId="4E905A50">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0"/>
                      <w:kern w:val="0"/>
                      <w:position w:val="0"/>
                      <w:sz w:val="21"/>
                      <w:szCs w:val="22"/>
                      <w:lang w:val="en-US" w:eastAsia="zh-CN" w:bidi="ar"/>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41.0</w:t>
                  </w:r>
                </w:p>
              </w:tc>
              <w:tc>
                <w:tcPr>
                  <w:tcW w:w="1389" w:type="dxa"/>
                  <w:tcBorders>
                    <w:tl2br w:val="nil"/>
                    <w:tr2bl w:val="nil"/>
                  </w:tcBorders>
                  <w:noWrap w:val="0"/>
                  <w:vAlign w:val="center"/>
                </w:tcPr>
                <w:p w14:paraId="5C7BEAD2">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color w:val="000000" w:themeColor="text1"/>
                      <w:spacing w:val="0"/>
                      <w:position w:val="0"/>
                      <w:sz w:val="21"/>
                      <w:lang w:val="en-US" w:eastAsia="zh-CN"/>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 xml:space="preserve">58.09 </w:t>
                  </w:r>
                </w:p>
              </w:tc>
              <w:tc>
                <w:tcPr>
                  <w:tcW w:w="718" w:type="pct"/>
                  <w:vMerge w:val="restart"/>
                  <w:tcBorders>
                    <w:tl2br w:val="nil"/>
                    <w:tr2bl w:val="nil"/>
                  </w:tcBorders>
                  <w:noWrap w:val="0"/>
                  <w:vAlign w:val="center"/>
                </w:tcPr>
                <w:p w14:paraId="507109B1">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宋体"/>
                      <w:color w:val="000000" w:themeColor="text1"/>
                      <w:spacing w:val="0"/>
                      <w:position w:val="0"/>
                      <w:sz w:val="21"/>
                      <w14:textFill>
                        <w14:solidFill>
                          <w14:schemeClr w14:val="tx1"/>
                        </w14:solidFill>
                      </w14:textFill>
                    </w:rPr>
                  </w:pPr>
                  <w:r>
                    <w:rPr>
                      <w:rFonts w:ascii="Times New Roman" w:hAnsi="Times New Roman" w:eastAsia="宋体"/>
                      <w:color w:val="000000" w:themeColor="text1"/>
                      <w:spacing w:val="0"/>
                      <w:position w:val="0"/>
                      <w:sz w:val="21"/>
                      <w14:textFill>
                        <w14:solidFill>
                          <w14:schemeClr w14:val="tx1"/>
                        </w14:solidFill>
                      </w14:textFill>
                    </w:rPr>
                    <w:t>65</w:t>
                  </w:r>
                </w:p>
              </w:tc>
              <w:tc>
                <w:tcPr>
                  <w:tcW w:w="734" w:type="pct"/>
                  <w:tcBorders>
                    <w:tl2br w:val="nil"/>
                    <w:tr2bl w:val="nil"/>
                  </w:tcBorders>
                  <w:noWrap w:val="0"/>
                  <w:vAlign w:val="center"/>
                </w:tcPr>
                <w:p w14:paraId="77637722">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宋体"/>
                      <w:color w:val="000000" w:themeColor="text1"/>
                      <w:spacing w:val="0"/>
                      <w:position w:val="0"/>
                      <w:sz w:val="21"/>
                      <w14:textFill>
                        <w14:solidFill>
                          <w14:schemeClr w14:val="tx1"/>
                        </w14:solidFill>
                      </w14:textFill>
                    </w:rPr>
                  </w:pPr>
                  <w:r>
                    <w:rPr>
                      <w:rFonts w:ascii="Times New Roman" w:hAnsi="Times New Roman" w:eastAsia="宋体"/>
                      <w:color w:val="000000" w:themeColor="text1"/>
                      <w:spacing w:val="0"/>
                      <w:position w:val="0"/>
                      <w:sz w:val="21"/>
                      <w14:textFill>
                        <w14:solidFill>
                          <w14:schemeClr w14:val="tx1"/>
                        </w14:solidFill>
                      </w14:textFill>
                    </w:rPr>
                    <w:t>达标</w:t>
                  </w:r>
                </w:p>
              </w:tc>
            </w:tr>
            <w:tr w14:paraId="26E33C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8" w:type="pct"/>
                  <w:tcBorders>
                    <w:tl2br w:val="nil"/>
                    <w:tr2bl w:val="nil"/>
                  </w:tcBorders>
                  <w:noWrap w:val="0"/>
                  <w:vAlign w:val="center"/>
                </w:tcPr>
                <w:p w14:paraId="5E69B6C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olor w:val="000000" w:themeColor="text1"/>
                      <w:spacing w:val="0"/>
                      <w:position w:val="0"/>
                      <w:sz w:val="21"/>
                      <w:szCs w:val="21"/>
                      <w:lang w:val="en-US" w:eastAsia="zh-CN"/>
                      <w14:textFill>
                        <w14:solidFill>
                          <w14:schemeClr w14:val="tx1"/>
                        </w14:solidFill>
                      </w14:textFill>
                    </w:rPr>
                    <w:t>2</w:t>
                  </w:r>
                </w:p>
              </w:tc>
              <w:tc>
                <w:tcPr>
                  <w:tcW w:w="800" w:type="pct"/>
                  <w:tcBorders>
                    <w:tl2br w:val="nil"/>
                    <w:tr2bl w:val="nil"/>
                  </w:tcBorders>
                  <w:noWrap w:val="0"/>
                  <w:vAlign w:val="center"/>
                </w:tcPr>
                <w:p w14:paraId="0F23F60A">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ascii="Times New Roman" w:hAnsi="Times New Roman" w:eastAsia="宋体"/>
                      <w:color w:val="000000" w:themeColor="text1"/>
                      <w:spacing w:val="0"/>
                      <w:position w:val="0"/>
                      <w:sz w:val="21"/>
                      <w:szCs w:val="21"/>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东</w:t>
                  </w:r>
                  <w:r>
                    <w:rPr>
                      <w:rFonts w:ascii="Times New Roman" w:hAnsi="Times New Roman"/>
                      <w:color w:val="000000" w:themeColor="text1"/>
                      <w:spacing w:val="0"/>
                      <w:position w:val="0"/>
                      <w:sz w:val="21"/>
                      <w14:textFill>
                        <w14:solidFill>
                          <w14:schemeClr w14:val="tx1"/>
                        </w14:solidFill>
                      </w14:textFill>
                    </w:rPr>
                    <w:t>侧厂界</w:t>
                  </w:r>
                </w:p>
              </w:tc>
              <w:tc>
                <w:tcPr>
                  <w:tcW w:w="806" w:type="pct"/>
                  <w:tcBorders>
                    <w:tl2br w:val="nil"/>
                    <w:tr2bl w:val="nil"/>
                  </w:tcBorders>
                  <w:noWrap w:val="0"/>
                  <w:vAlign w:val="center"/>
                </w:tcPr>
                <w:p w14:paraId="36792A2A">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olor w:val="000000" w:themeColor="text1"/>
                      <w:spacing w:val="0"/>
                      <w:position w:val="0"/>
                      <w:sz w:val="21"/>
                      <w:lang w:val="en-US" w:eastAsia="zh-CN"/>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56</w:t>
                  </w:r>
                </w:p>
              </w:tc>
              <w:tc>
                <w:tcPr>
                  <w:tcW w:w="806" w:type="pct"/>
                  <w:tcBorders>
                    <w:tl2br w:val="nil"/>
                    <w:tr2bl w:val="nil"/>
                  </w:tcBorders>
                  <w:shd w:val="clear" w:color="auto" w:fill="auto"/>
                  <w:noWrap w:val="0"/>
                  <w:vAlign w:val="center"/>
                </w:tcPr>
                <w:p w14:paraId="56FA6FDF">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0"/>
                      <w:kern w:val="0"/>
                      <w:position w:val="0"/>
                      <w:sz w:val="21"/>
                      <w:szCs w:val="21"/>
                      <w:lang w:val="en-US" w:eastAsia="zh-CN" w:bidi="ar"/>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50.9</w:t>
                  </w:r>
                </w:p>
              </w:tc>
              <w:tc>
                <w:tcPr>
                  <w:tcW w:w="1389" w:type="dxa"/>
                  <w:tcBorders>
                    <w:tl2br w:val="nil"/>
                    <w:tr2bl w:val="nil"/>
                  </w:tcBorders>
                  <w:noWrap w:val="0"/>
                  <w:vAlign w:val="center"/>
                </w:tcPr>
                <w:p w14:paraId="4EE818AE">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color w:val="000000" w:themeColor="text1"/>
                      <w:spacing w:val="0"/>
                      <w:position w:val="0"/>
                      <w:sz w:val="21"/>
                      <w:lang w:val="en-US" w:eastAsia="zh-CN"/>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 xml:space="preserve">57.17 </w:t>
                  </w:r>
                </w:p>
              </w:tc>
              <w:tc>
                <w:tcPr>
                  <w:tcW w:w="718" w:type="pct"/>
                  <w:vMerge w:val="continue"/>
                  <w:tcBorders>
                    <w:tl2br w:val="nil"/>
                    <w:tr2bl w:val="nil"/>
                  </w:tcBorders>
                  <w:noWrap w:val="0"/>
                  <w:vAlign w:val="center"/>
                </w:tcPr>
                <w:p w14:paraId="5E176D96">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000000" w:themeColor="text1"/>
                      <w:spacing w:val="0"/>
                      <w:position w:val="0"/>
                      <w:sz w:val="21"/>
                      <w:szCs w:val="21"/>
                      <w14:textFill>
                        <w14:solidFill>
                          <w14:schemeClr w14:val="tx1"/>
                        </w14:solidFill>
                      </w14:textFill>
                    </w:rPr>
                  </w:pPr>
                </w:p>
              </w:tc>
              <w:tc>
                <w:tcPr>
                  <w:tcW w:w="734" w:type="pct"/>
                  <w:tcBorders>
                    <w:tl2br w:val="nil"/>
                    <w:tr2bl w:val="nil"/>
                  </w:tcBorders>
                  <w:noWrap w:val="0"/>
                  <w:vAlign w:val="center"/>
                </w:tcPr>
                <w:p w14:paraId="3C860DF5">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宋体"/>
                      <w:color w:val="000000" w:themeColor="text1"/>
                      <w:spacing w:val="0"/>
                      <w:position w:val="0"/>
                      <w:sz w:val="21"/>
                      <w:szCs w:val="21"/>
                      <w14:textFill>
                        <w14:solidFill>
                          <w14:schemeClr w14:val="tx1"/>
                        </w14:solidFill>
                      </w14:textFill>
                    </w:rPr>
                  </w:pPr>
                  <w:r>
                    <w:rPr>
                      <w:rFonts w:ascii="Times New Roman" w:hAnsi="Times New Roman" w:eastAsia="宋体"/>
                      <w:color w:val="000000" w:themeColor="text1"/>
                      <w:spacing w:val="0"/>
                      <w:position w:val="0"/>
                      <w:sz w:val="21"/>
                      <w:szCs w:val="21"/>
                      <w14:textFill>
                        <w14:solidFill>
                          <w14:schemeClr w14:val="tx1"/>
                        </w14:solidFill>
                      </w14:textFill>
                    </w:rPr>
                    <w:t>达标</w:t>
                  </w:r>
                </w:p>
              </w:tc>
            </w:tr>
            <w:tr w14:paraId="1D2000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8" w:type="pct"/>
                  <w:tcBorders>
                    <w:tl2br w:val="nil"/>
                    <w:tr2bl w:val="nil"/>
                  </w:tcBorders>
                  <w:noWrap w:val="0"/>
                  <w:vAlign w:val="center"/>
                </w:tcPr>
                <w:p w14:paraId="770686E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olor w:val="000000" w:themeColor="text1"/>
                      <w:spacing w:val="0"/>
                      <w:position w:val="0"/>
                      <w:sz w:val="21"/>
                      <w:szCs w:val="21"/>
                      <w:lang w:val="en-US" w:eastAsia="zh-CN"/>
                      <w14:textFill>
                        <w14:solidFill>
                          <w14:schemeClr w14:val="tx1"/>
                        </w14:solidFill>
                      </w14:textFill>
                    </w:rPr>
                    <w:t>3</w:t>
                  </w:r>
                </w:p>
              </w:tc>
              <w:tc>
                <w:tcPr>
                  <w:tcW w:w="800" w:type="pct"/>
                  <w:tcBorders>
                    <w:tl2br w:val="nil"/>
                    <w:tr2bl w:val="nil"/>
                  </w:tcBorders>
                  <w:noWrap w:val="0"/>
                  <w:vAlign w:val="center"/>
                </w:tcPr>
                <w:p w14:paraId="3E86CEF9">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ascii="Times New Roman" w:hAnsi="Times New Roman" w:eastAsia="宋体"/>
                      <w:color w:val="000000" w:themeColor="text1"/>
                      <w:spacing w:val="0"/>
                      <w:position w:val="0"/>
                      <w:sz w:val="21"/>
                      <w:szCs w:val="21"/>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南</w:t>
                  </w:r>
                  <w:r>
                    <w:rPr>
                      <w:rFonts w:ascii="Times New Roman" w:hAnsi="Times New Roman"/>
                      <w:color w:val="000000" w:themeColor="text1"/>
                      <w:spacing w:val="0"/>
                      <w:position w:val="0"/>
                      <w:sz w:val="21"/>
                      <w14:textFill>
                        <w14:solidFill>
                          <w14:schemeClr w14:val="tx1"/>
                        </w14:solidFill>
                      </w14:textFill>
                    </w:rPr>
                    <w:t>侧厂界</w:t>
                  </w:r>
                </w:p>
              </w:tc>
              <w:tc>
                <w:tcPr>
                  <w:tcW w:w="806" w:type="pct"/>
                  <w:tcBorders>
                    <w:tl2br w:val="nil"/>
                    <w:tr2bl w:val="nil"/>
                  </w:tcBorders>
                  <w:noWrap w:val="0"/>
                  <w:vAlign w:val="center"/>
                </w:tcPr>
                <w:p w14:paraId="6732398A">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olor w:val="000000" w:themeColor="text1"/>
                      <w:spacing w:val="0"/>
                      <w:position w:val="0"/>
                      <w:sz w:val="21"/>
                      <w:lang w:val="en-US" w:eastAsia="zh-CN"/>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60</w:t>
                  </w:r>
                </w:p>
              </w:tc>
              <w:tc>
                <w:tcPr>
                  <w:tcW w:w="806" w:type="pct"/>
                  <w:tcBorders>
                    <w:tl2br w:val="nil"/>
                    <w:tr2bl w:val="nil"/>
                  </w:tcBorders>
                  <w:shd w:val="clear" w:color="auto" w:fill="auto"/>
                  <w:noWrap w:val="0"/>
                  <w:vAlign w:val="center"/>
                </w:tcPr>
                <w:p w14:paraId="6422ED83">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0"/>
                      <w:kern w:val="0"/>
                      <w:position w:val="0"/>
                      <w:sz w:val="21"/>
                      <w:szCs w:val="21"/>
                      <w:lang w:val="en-US" w:eastAsia="zh-CN" w:bidi="ar"/>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56.6</w:t>
                  </w:r>
                </w:p>
              </w:tc>
              <w:tc>
                <w:tcPr>
                  <w:tcW w:w="1389" w:type="dxa"/>
                  <w:tcBorders>
                    <w:tl2br w:val="nil"/>
                    <w:tr2bl w:val="nil"/>
                  </w:tcBorders>
                  <w:noWrap w:val="0"/>
                  <w:vAlign w:val="center"/>
                </w:tcPr>
                <w:p w14:paraId="2FE40A74">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color w:val="000000" w:themeColor="text1"/>
                      <w:spacing w:val="0"/>
                      <w:position w:val="0"/>
                      <w:sz w:val="21"/>
                      <w:lang w:val="en-US" w:eastAsia="zh-CN"/>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 xml:space="preserve">61.63 </w:t>
                  </w:r>
                </w:p>
              </w:tc>
              <w:tc>
                <w:tcPr>
                  <w:tcW w:w="718" w:type="pct"/>
                  <w:vMerge w:val="continue"/>
                  <w:tcBorders>
                    <w:tl2br w:val="nil"/>
                    <w:tr2bl w:val="nil"/>
                  </w:tcBorders>
                  <w:noWrap w:val="0"/>
                  <w:vAlign w:val="center"/>
                </w:tcPr>
                <w:p w14:paraId="78BAADF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000000" w:themeColor="text1"/>
                      <w:spacing w:val="0"/>
                      <w:position w:val="0"/>
                      <w:sz w:val="21"/>
                      <w:szCs w:val="21"/>
                      <w14:textFill>
                        <w14:solidFill>
                          <w14:schemeClr w14:val="tx1"/>
                        </w14:solidFill>
                      </w14:textFill>
                    </w:rPr>
                  </w:pPr>
                </w:p>
              </w:tc>
              <w:tc>
                <w:tcPr>
                  <w:tcW w:w="734" w:type="pct"/>
                  <w:tcBorders>
                    <w:tl2br w:val="nil"/>
                    <w:tr2bl w:val="nil"/>
                  </w:tcBorders>
                  <w:noWrap w:val="0"/>
                  <w:vAlign w:val="center"/>
                </w:tcPr>
                <w:p w14:paraId="62DAF2BB">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宋体"/>
                      <w:color w:val="000000" w:themeColor="text1"/>
                      <w:spacing w:val="0"/>
                      <w:position w:val="0"/>
                      <w:sz w:val="21"/>
                      <w:szCs w:val="21"/>
                      <w14:textFill>
                        <w14:solidFill>
                          <w14:schemeClr w14:val="tx1"/>
                        </w14:solidFill>
                      </w14:textFill>
                    </w:rPr>
                  </w:pPr>
                  <w:r>
                    <w:rPr>
                      <w:rFonts w:ascii="Times New Roman" w:hAnsi="Times New Roman" w:eastAsia="宋体"/>
                      <w:color w:val="000000" w:themeColor="text1"/>
                      <w:spacing w:val="0"/>
                      <w:position w:val="0"/>
                      <w:sz w:val="21"/>
                      <w:szCs w:val="21"/>
                      <w14:textFill>
                        <w14:solidFill>
                          <w14:schemeClr w14:val="tx1"/>
                        </w14:solidFill>
                      </w14:textFill>
                    </w:rPr>
                    <w:t>达标</w:t>
                  </w:r>
                </w:p>
              </w:tc>
            </w:tr>
            <w:tr w14:paraId="7BD8D7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8" w:type="pct"/>
                  <w:tcBorders>
                    <w:tl2br w:val="nil"/>
                    <w:tr2bl w:val="nil"/>
                  </w:tcBorders>
                  <w:noWrap w:val="0"/>
                  <w:vAlign w:val="center"/>
                </w:tcPr>
                <w:p w14:paraId="0B8454F1">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olor w:val="000000" w:themeColor="text1"/>
                      <w:spacing w:val="0"/>
                      <w:position w:val="0"/>
                      <w:sz w:val="21"/>
                      <w:szCs w:val="21"/>
                      <w:lang w:val="en-US" w:eastAsia="zh-CN"/>
                      <w14:textFill>
                        <w14:solidFill>
                          <w14:schemeClr w14:val="tx1"/>
                        </w14:solidFill>
                      </w14:textFill>
                    </w:rPr>
                  </w:pPr>
                  <w:r>
                    <w:rPr>
                      <w:rFonts w:hint="eastAsia"/>
                      <w:color w:val="000000" w:themeColor="text1"/>
                      <w:spacing w:val="0"/>
                      <w:position w:val="0"/>
                      <w:sz w:val="21"/>
                      <w:szCs w:val="21"/>
                      <w:lang w:val="en-US" w:eastAsia="zh-CN"/>
                      <w14:textFill>
                        <w14:solidFill>
                          <w14:schemeClr w14:val="tx1"/>
                        </w14:solidFill>
                      </w14:textFill>
                    </w:rPr>
                    <w:t>4</w:t>
                  </w:r>
                </w:p>
              </w:tc>
              <w:tc>
                <w:tcPr>
                  <w:tcW w:w="800" w:type="pct"/>
                  <w:tcBorders>
                    <w:tl2br w:val="nil"/>
                    <w:tr2bl w:val="nil"/>
                  </w:tcBorders>
                  <w:noWrap w:val="0"/>
                  <w:vAlign w:val="center"/>
                </w:tcPr>
                <w:p w14:paraId="008B4012">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eastAsia" w:ascii="Times New Roman" w:hAnsi="Times New Roman"/>
                      <w:color w:val="000000" w:themeColor="text1"/>
                      <w:spacing w:val="0"/>
                      <w:position w:val="0"/>
                      <w:sz w:val="21"/>
                      <w:lang w:val="en-US" w:eastAsia="zh-CN"/>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西</w:t>
                  </w:r>
                  <w:r>
                    <w:rPr>
                      <w:rFonts w:ascii="Times New Roman" w:hAnsi="Times New Roman"/>
                      <w:color w:val="000000" w:themeColor="text1"/>
                      <w:spacing w:val="0"/>
                      <w:position w:val="0"/>
                      <w:sz w:val="21"/>
                      <w14:textFill>
                        <w14:solidFill>
                          <w14:schemeClr w14:val="tx1"/>
                        </w14:solidFill>
                      </w14:textFill>
                    </w:rPr>
                    <w:t>侧厂界</w:t>
                  </w:r>
                </w:p>
              </w:tc>
              <w:tc>
                <w:tcPr>
                  <w:tcW w:w="806" w:type="pct"/>
                  <w:tcBorders>
                    <w:tl2br w:val="nil"/>
                    <w:tr2bl w:val="nil"/>
                  </w:tcBorders>
                  <w:noWrap w:val="0"/>
                  <w:vAlign w:val="center"/>
                </w:tcPr>
                <w:p w14:paraId="46C22D41">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olor w:val="000000" w:themeColor="text1"/>
                      <w:spacing w:val="0"/>
                      <w:position w:val="0"/>
                      <w:sz w:val="21"/>
                      <w:lang w:val="en-US" w:eastAsia="zh-CN"/>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56</w:t>
                  </w:r>
                </w:p>
              </w:tc>
              <w:tc>
                <w:tcPr>
                  <w:tcW w:w="806" w:type="pct"/>
                  <w:tcBorders>
                    <w:tl2br w:val="nil"/>
                    <w:tr2bl w:val="nil"/>
                  </w:tcBorders>
                  <w:shd w:val="clear" w:color="auto" w:fill="auto"/>
                  <w:noWrap w:val="0"/>
                  <w:vAlign w:val="center"/>
                </w:tcPr>
                <w:p w14:paraId="38315787">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宋体"/>
                      <w:color w:val="000000" w:themeColor="text1"/>
                      <w:spacing w:val="0"/>
                      <w:kern w:val="0"/>
                      <w:position w:val="0"/>
                      <w:sz w:val="21"/>
                      <w:szCs w:val="22"/>
                      <w:lang w:val="en-US" w:eastAsia="zh-CN" w:bidi="ar"/>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45.5</w:t>
                  </w:r>
                </w:p>
              </w:tc>
              <w:tc>
                <w:tcPr>
                  <w:tcW w:w="1389" w:type="dxa"/>
                  <w:tcBorders>
                    <w:tl2br w:val="nil"/>
                    <w:tr2bl w:val="nil"/>
                  </w:tcBorders>
                  <w:noWrap w:val="0"/>
                  <w:vAlign w:val="center"/>
                </w:tcPr>
                <w:p w14:paraId="6F30F19A">
                  <w:pPr>
                    <w:pStyle w:val="8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color w:val="000000" w:themeColor="text1"/>
                      <w:spacing w:val="0"/>
                      <w:position w:val="0"/>
                      <w:sz w:val="21"/>
                      <w:lang w:val="en-US" w:eastAsia="zh-CN"/>
                      <w14:textFill>
                        <w14:solidFill>
                          <w14:schemeClr w14:val="tx1"/>
                        </w14:solidFill>
                      </w14:textFill>
                    </w:rPr>
                  </w:pPr>
                  <w:r>
                    <w:rPr>
                      <w:rFonts w:hint="eastAsia" w:ascii="Times New Roman" w:hAnsi="Times New Roman"/>
                      <w:color w:val="000000" w:themeColor="text1"/>
                      <w:spacing w:val="0"/>
                      <w:position w:val="0"/>
                      <w:sz w:val="21"/>
                      <w:lang w:val="en-US" w:eastAsia="zh-CN"/>
                      <w14:textFill>
                        <w14:solidFill>
                          <w14:schemeClr w14:val="tx1"/>
                        </w14:solidFill>
                      </w14:textFill>
                    </w:rPr>
                    <w:t xml:space="preserve">56.37 </w:t>
                  </w:r>
                </w:p>
              </w:tc>
              <w:tc>
                <w:tcPr>
                  <w:tcW w:w="718" w:type="pct"/>
                  <w:vMerge w:val="continue"/>
                  <w:tcBorders>
                    <w:tl2br w:val="nil"/>
                    <w:tr2bl w:val="nil"/>
                  </w:tcBorders>
                  <w:noWrap w:val="0"/>
                  <w:vAlign w:val="center"/>
                </w:tcPr>
                <w:p w14:paraId="068AE22A">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000000" w:themeColor="text1"/>
                      <w:spacing w:val="0"/>
                      <w:position w:val="0"/>
                      <w:sz w:val="21"/>
                      <w:szCs w:val="21"/>
                      <w14:textFill>
                        <w14:solidFill>
                          <w14:schemeClr w14:val="tx1"/>
                        </w14:solidFill>
                      </w14:textFill>
                    </w:rPr>
                  </w:pPr>
                </w:p>
              </w:tc>
              <w:tc>
                <w:tcPr>
                  <w:tcW w:w="734" w:type="pct"/>
                  <w:tcBorders>
                    <w:tl2br w:val="nil"/>
                    <w:tr2bl w:val="nil"/>
                  </w:tcBorders>
                  <w:noWrap w:val="0"/>
                  <w:vAlign w:val="center"/>
                </w:tcPr>
                <w:p w14:paraId="7C380292">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center"/>
                    <w:textAlignment w:val="auto"/>
                    <w:rPr>
                      <w:rFonts w:ascii="Times New Roman" w:hAnsi="Times New Roman" w:eastAsia="宋体"/>
                      <w:color w:val="000000" w:themeColor="text1"/>
                      <w:spacing w:val="0"/>
                      <w:position w:val="0"/>
                      <w:sz w:val="21"/>
                      <w:szCs w:val="21"/>
                      <w14:textFill>
                        <w14:solidFill>
                          <w14:schemeClr w14:val="tx1"/>
                        </w14:solidFill>
                      </w14:textFill>
                    </w:rPr>
                  </w:pPr>
                  <w:r>
                    <w:rPr>
                      <w:rFonts w:ascii="Times New Roman" w:hAnsi="Times New Roman" w:eastAsia="宋体"/>
                      <w:color w:val="000000" w:themeColor="text1"/>
                      <w:spacing w:val="0"/>
                      <w:position w:val="0"/>
                      <w:sz w:val="21"/>
                      <w:szCs w:val="21"/>
                      <w14:textFill>
                        <w14:solidFill>
                          <w14:schemeClr w14:val="tx1"/>
                        </w14:solidFill>
                      </w14:textFill>
                    </w:rPr>
                    <w:t>达标</w:t>
                  </w:r>
                </w:p>
              </w:tc>
            </w:tr>
            <w:tr w14:paraId="2DB1D9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7"/>
                  <w:tcBorders>
                    <w:tl2br w:val="nil"/>
                    <w:tr2bl w:val="nil"/>
                  </w:tcBorders>
                  <w:noWrap w:val="0"/>
                  <w:vAlign w:val="center"/>
                </w:tcPr>
                <w:p w14:paraId="35AE71EA">
                  <w:pPr>
                    <w:pStyle w:val="87"/>
                    <w:keepNext w:val="0"/>
                    <w:keepLines w:val="0"/>
                    <w:pageBreakBefore w:val="0"/>
                    <w:widowControl/>
                    <w:kinsoku/>
                    <w:wordWrap/>
                    <w:overflowPunct/>
                    <w:topLinePunct w:val="0"/>
                    <w:autoSpaceDE/>
                    <w:autoSpaceDN/>
                    <w:bidi w:val="0"/>
                    <w:adjustRightInd/>
                    <w:snapToGrid/>
                    <w:spacing w:before="0" w:line="240" w:lineRule="auto"/>
                    <w:ind w:left="0" w:right="0"/>
                    <w:jc w:val="both"/>
                    <w:textAlignment w:val="auto"/>
                    <w:rPr>
                      <w:rFonts w:hint="eastAsia" w:ascii="Times New Roman" w:hAnsi="Times New Roman" w:eastAsia="宋体"/>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olor w:val="000000" w:themeColor="text1"/>
                      <w:spacing w:val="0"/>
                      <w:position w:val="0"/>
                      <w:sz w:val="21"/>
                      <w:szCs w:val="21"/>
                      <w:lang w:val="en-US" w:eastAsia="zh-CN"/>
                      <w14:textFill>
                        <w14:solidFill>
                          <w14:schemeClr w14:val="tx1"/>
                        </w14:solidFill>
                      </w14:textFill>
                    </w:rPr>
                    <w:t>备注：</w:t>
                  </w:r>
                  <w:r>
                    <w:rPr>
                      <w:rFonts w:hint="eastAsia" w:ascii="Times New Roman" w:hAnsi="Times New Roman" w:eastAsia="宋体" w:cs="宋体"/>
                      <w:color w:val="000000" w:themeColor="text1"/>
                      <w:spacing w:val="0"/>
                      <w:position w:val="0"/>
                      <w:sz w:val="21"/>
                      <w:szCs w:val="21"/>
                      <w:lang w:val="en-US" w:eastAsia="zh-CN"/>
                      <w14:textFill>
                        <w14:solidFill>
                          <w14:schemeClr w14:val="tx1"/>
                        </w14:solidFill>
                      </w14:textFill>
                    </w:rPr>
                    <w:t>①</w:t>
                  </w:r>
                  <w:r>
                    <w:rPr>
                      <w:rFonts w:hint="eastAsia" w:ascii="Times New Roman" w:hAnsi="Times New Roman" w:cs="宋体"/>
                      <w:color w:val="000000" w:themeColor="text1"/>
                      <w:spacing w:val="0"/>
                      <w:position w:val="0"/>
                      <w:sz w:val="21"/>
                      <w:szCs w:val="21"/>
                      <w:lang w:val="en-US" w:eastAsia="zh-CN"/>
                      <w14:textFill>
                        <w14:solidFill>
                          <w14:schemeClr w14:val="tx1"/>
                        </w14:solidFill>
                      </w14:textFill>
                    </w:rPr>
                    <w:t>鉴于2025年企业自行监测点位布置在3#厂房边界，本评价选取</w:t>
                  </w:r>
                  <w:r>
                    <w:rPr>
                      <w:rFonts w:hint="eastAsia" w:ascii="Times New Roman" w:hAnsi="Times New Roman" w:eastAsia="宋体" w:cs="宋体"/>
                      <w:color w:val="000000" w:themeColor="text1"/>
                      <w:spacing w:val="0"/>
                      <w:position w:val="0"/>
                      <w:sz w:val="21"/>
                      <w:szCs w:val="21"/>
                      <w:lang w:val="en-US" w:eastAsia="zh-CN"/>
                      <w14:textFill>
                        <w14:solidFill>
                          <w14:schemeClr w14:val="tx1"/>
                        </w14:solidFill>
                      </w14:textFill>
                    </w:rPr>
                    <w:t>202</w:t>
                  </w:r>
                  <w:r>
                    <w:rPr>
                      <w:rFonts w:hint="eastAsia" w:ascii="Times New Roman" w:hAnsi="Times New Roman" w:cs="宋体"/>
                      <w:color w:val="000000" w:themeColor="text1"/>
                      <w:spacing w:val="0"/>
                      <w:position w:val="0"/>
                      <w:sz w:val="21"/>
                      <w:szCs w:val="21"/>
                      <w:lang w:val="en-US" w:eastAsia="zh-CN"/>
                      <w14:textFill>
                        <w14:solidFill>
                          <w14:schemeClr w14:val="tx1"/>
                        </w14:solidFill>
                      </w14:textFill>
                    </w:rPr>
                    <w:t>4</w:t>
                  </w:r>
                  <w:r>
                    <w:rPr>
                      <w:rFonts w:hint="eastAsia" w:ascii="Times New Roman" w:hAnsi="Times New Roman" w:eastAsia="宋体" w:cs="宋体"/>
                      <w:color w:val="000000" w:themeColor="text1"/>
                      <w:spacing w:val="0"/>
                      <w:position w:val="0"/>
                      <w:sz w:val="21"/>
                      <w:szCs w:val="21"/>
                      <w:lang w:val="en-US" w:eastAsia="zh-CN"/>
                      <w14:textFill>
                        <w14:solidFill>
                          <w14:schemeClr w14:val="tx1"/>
                        </w14:solidFill>
                      </w14:textFill>
                    </w:rPr>
                    <w:t>年企业自行监测数据</w:t>
                  </w:r>
                  <w:r>
                    <w:rPr>
                      <w:rFonts w:hint="eastAsia" w:ascii="Times New Roman" w:hAnsi="Times New Roman" w:cs="宋体"/>
                      <w:color w:val="000000" w:themeColor="text1"/>
                      <w:spacing w:val="0"/>
                      <w:position w:val="0"/>
                      <w:sz w:val="21"/>
                      <w:szCs w:val="21"/>
                      <w:lang w:val="en-US" w:eastAsia="zh-CN"/>
                      <w14:textFill>
                        <w14:solidFill>
                          <w14:schemeClr w14:val="tx1"/>
                        </w14:solidFill>
                      </w14:textFill>
                    </w:rPr>
                    <w:t>作为</w:t>
                  </w:r>
                  <w:r>
                    <w:rPr>
                      <w:rFonts w:hint="eastAsia" w:ascii="Times New Roman" w:hAnsi="Times New Roman" w:eastAsia="宋体" w:cs="宋体"/>
                      <w:color w:val="000000" w:themeColor="text1"/>
                      <w:spacing w:val="0"/>
                      <w:position w:val="0"/>
                      <w:sz w:val="21"/>
                      <w:szCs w:val="21"/>
                      <w:lang w:val="en-US" w:eastAsia="zh-CN"/>
                      <w14:textFill>
                        <w14:solidFill>
                          <w14:schemeClr w14:val="tx1"/>
                        </w14:solidFill>
                      </w14:textFill>
                    </w:rPr>
                    <w:t>昼间现状值</w:t>
                  </w:r>
                  <w:r>
                    <w:rPr>
                      <w:rFonts w:hint="eastAsia" w:ascii="Times New Roman" w:hAnsi="Times New Roman" w:cs="宋体"/>
                      <w:color w:val="000000" w:themeColor="text1"/>
                      <w:spacing w:val="0"/>
                      <w:position w:val="0"/>
                      <w:sz w:val="21"/>
                      <w:szCs w:val="21"/>
                      <w:lang w:val="en-US" w:eastAsia="zh-CN"/>
                      <w14:textFill>
                        <w14:solidFill>
                          <w14:schemeClr w14:val="tx1"/>
                        </w14:solidFill>
                      </w14:textFill>
                    </w:rPr>
                    <w:t>，其监测点位布置在出租方厂界</w:t>
                  </w:r>
                  <w:r>
                    <w:rPr>
                      <w:rFonts w:hint="eastAsia" w:ascii="Times New Roman" w:hAnsi="Times New Roman" w:eastAsia="宋体"/>
                      <w:color w:val="000000" w:themeColor="text1"/>
                      <w:spacing w:val="0"/>
                      <w:position w:val="0"/>
                      <w:sz w:val="21"/>
                      <w:szCs w:val="21"/>
                      <w:lang w:val="en-US" w:eastAsia="zh-CN"/>
                      <w14:textFill>
                        <w14:solidFill>
                          <w14:schemeClr w14:val="tx1"/>
                        </w14:solidFill>
                      </w14:textFill>
                    </w:rPr>
                    <w:t>。</w:t>
                  </w:r>
                </w:p>
                <w:p w14:paraId="5E945B9D">
                  <w:pPr>
                    <w:pStyle w:val="87"/>
                    <w:keepNext w:val="0"/>
                    <w:keepLines w:val="0"/>
                    <w:pageBreakBefore w:val="0"/>
                    <w:widowControl/>
                    <w:kinsoku/>
                    <w:wordWrap/>
                    <w:overflowPunct/>
                    <w:topLinePunct w:val="0"/>
                    <w:autoSpaceDE/>
                    <w:autoSpaceDN/>
                    <w:bidi w:val="0"/>
                    <w:adjustRightInd/>
                    <w:snapToGrid/>
                    <w:spacing w:before="0" w:line="240" w:lineRule="auto"/>
                    <w:ind w:left="0" w:right="0" w:firstLine="630" w:firstLineChars="300"/>
                    <w:jc w:val="both"/>
                    <w:textAlignment w:val="auto"/>
                    <w:rPr>
                      <w:rFonts w:hint="default" w:ascii="Times New Roman" w:hAnsi="Times New Roman" w:eastAsia="宋体"/>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olor w:val="000000" w:themeColor="text1"/>
                      <w:spacing w:val="0"/>
                      <w:position w:val="0"/>
                      <w:sz w:val="21"/>
                      <w:szCs w:val="21"/>
                      <w:lang w:val="en-US" w:eastAsia="zh-CN"/>
                      <w14:textFill>
                        <w14:solidFill>
                          <w14:schemeClr w14:val="tx1"/>
                        </w14:solidFill>
                      </w14:textFill>
                    </w:rPr>
                    <w:t>②项目夜间不生产，故不对夜间噪声进行预测。</w:t>
                  </w:r>
                </w:p>
              </w:tc>
            </w:tr>
          </w:tbl>
          <w:p w14:paraId="3C87012E">
            <w:pPr>
              <w:pStyle w:val="96"/>
              <w:spacing w:before="120" w:beforeLines="50" w:line="360" w:lineRule="auto"/>
              <w:ind w:firstLine="480" w:firstLineChars="200"/>
              <w:rPr>
                <w:rFonts w:hint="eastAsia" w:ascii="Times New Roman" w:hAnsi="Times New Roman" w:eastAsia="宋体"/>
                <w:color w:val="000000" w:themeColor="text1"/>
                <w:spacing w:val="0"/>
                <w:position w:val="0"/>
                <w:sz w:val="24"/>
                <w:lang w:val="en-US" w:eastAsia="zh-CN"/>
                <w14:textFill>
                  <w14:solidFill>
                    <w14:schemeClr w14:val="tx1"/>
                  </w14:solidFill>
                </w14:textFill>
              </w:rPr>
            </w:pPr>
            <w:r>
              <w:rPr>
                <w:rFonts w:hint="eastAsia" w:ascii="Times New Roman" w:hAnsi="Times New Roman"/>
                <w:color w:val="000000" w:themeColor="text1"/>
                <w:spacing w:val="0"/>
                <w:position w:val="0"/>
                <w:sz w:val="24"/>
                <w:lang w:val="en-US" w:eastAsia="zh-CN"/>
                <w14:textFill>
                  <w14:solidFill>
                    <w14:schemeClr w14:val="tx1"/>
                  </w14:solidFill>
                </w14:textFill>
              </w:rPr>
              <w:t>厂</w:t>
            </w:r>
            <w:r>
              <w:rPr>
                <w:rFonts w:ascii="Times New Roman" w:hAnsi="Times New Roman"/>
                <w:color w:val="000000" w:themeColor="text1"/>
                <w:spacing w:val="0"/>
                <w:position w:val="0"/>
                <w:sz w:val="24"/>
                <w14:textFill>
                  <w14:solidFill>
                    <w14:schemeClr w14:val="tx1"/>
                  </w14:solidFill>
                </w14:textFill>
              </w:rPr>
              <w:t>界达标分析：根据表</w:t>
            </w:r>
            <w:r>
              <w:rPr>
                <w:rFonts w:hint="eastAsia" w:ascii="Times New Roman" w:hAnsi="Times New Roman"/>
                <w:color w:val="000000" w:themeColor="text1"/>
                <w:spacing w:val="0"/>
                <w:position w:val="0"/>
                <w:sz w:val="24"/>
                <w14:textFill>
                  <w14:solidFill>
                    <w14:schemeClr w14:val="tx1"/>
                  </w14:solidFill>
                </w14:textFill>
              </w:rPr>
              <w:t>4.</w:t>
            </w:r>
            <w:r>
              <w:rPr>
                <w:rFonts w:hint="eastAsia" w:ascii="Times New Roman" w:hAnsi="Times New Roman"/>
                <w:color w:val="000000" w:themeColor="text1"/>
                <w:spacing w:val="0"/>
                <w:position w:val="0"/>
                <w:sz w:val="24"/>
                <w:lang w:val="en-US" w:eastAsia="zh-CN"/>
                <w14:textFill>
                  <w14:solidFill>
                    <w14:schemeClr w14:val="tx1"/>
                  </w14:solidFill>
                </w14:textFill>
              </w:rPr>
              <w:t>4-2</w:t>
            </w:r>
            <w:r>
              <w:rPr>
                <w:rFonts w:ascii="Times New Roman" w:hAnsi="Times New Roman"/>
                <w:color w:val="000000" w:themeColor="text1"/>
                <w:spacing w:val="0"/>
                <w:position w:val="0"/>
                <w:sz w:val="24"/>
                <w14:textFill>
                  <w14:solidFill>
                    <w14:schemeClr w14:val="tx1"/>
                  </w14:solidFill>
                </w14:textFill>
              </w:rPr>
              <w:t>预测结果表明，项目主要噪声源在采取有效的降噪措施前提下，厂界噪声均可满足《工业企业厂界环境噪声排放标准》(GB12348-2008)中</w:t>
            </w:r>
            <w:r>
              <w:rPr>
                <w:rFonts w:hint="eastAsia" w:ascii="Times New Roman" w:hAnsi="Times New Roman"/>
                <w:color w:val="000000" w:themeColor="text1"/>
                <w:spacing w:val="0"/>
                <w:position w:val="0"/>
                <w:sz w:val="24"/>
                <w:lang w:val="en-US" w:eastAsia="zh-CN"/>
                <w14:textFill>
                  <w14:solidFill>
                    <w14:schemeClr w14:val="tx1"/>
                  </w14:solidFill>
                </w14:textFill>
              </w:rPr>
              <w:t>3</w:t>
            </w:r>
            <w:r>
              <w:rPr>
                <w:rFonts w:ascii="Times New Roman" w:hAnsi="Times New Roman"/>
                <w:color w:val="000000" w:themeColor="text1"/>
                <w:spacing w:val="0"/>
                <w:position w:val="0"/>
                <w:sz w:val="24"/>
                <w14:textFill>
                  <w14:solidFill>
                    <w14:schemeClr w14:val="tx1"/>
                  </w14:solidFill>
                </w14:textFill>
              </w:rPr>
              <w:t>类标准</w:t>
            </w:r>
            <w:r>
              <w:rPr>
                <w:rFonts w:hint="eastAsia" w:ascii="Times New Roman" w:hAnsi="Times New Roman"/>
                <w:color w:val="000000" w:themeColor="text1"/>
                <w:spacing w:val="0"/>
                <w:position w:val="0"/>
                <w:sz w:val="24"/>
                <w:lang w:eastAsia="zh-CN"/>
                <w14:textFill>
                  <w14:solidFill>
                    <w14:schemeClr w14:val="tx1"/>
                  </w14:solidFill>
                </w14:textFill>
              </w:rPr>
              <w:t>。</w:t>
            </w:r>
          </w:p>
          <w:p w14:paraId="6B132DBE">
            <w:pPr>
              <w:adjustRightInd w:val="0"/>
              <w:snapToGrid w:val="0"/>
              <w:spacing w:line="360" w:lineRule="auto"/>
              <w:ind w:firstLine="480" w:firstLineChars="200"/>
              <w:rPr>
                <w:rFonts w:ascii="Times New Roman" w:hAnsi="Times New Roman" w:eastAsia="宋体" w:cs="Times New Roman"/>
                <w:bCs/>
                <w:color w:val="000000" w:themeColor="text1"/>
                <w:spacing w:val="0"/>
                <w:position w:val="0"/>
                <w:sz w:val="24"/>
                <w:lang w:val="zh-CN"/>
                <w14:textFill>
                  <w14:solidFill>
                    <w14:schemeClr w14:val="tx1"/>
                  </w14:solidFill>
                </w14:textFill>
              </w:rPr>
            </w:pPr>
            <w:r>
              <w:rPr>
                <w:rFonts w:hint="eastAsia" w:ascii="Times New Roman" w:hAnsi="Times New Roman" w:eastAsia="宋体" w:cs="Times New Roman"/>
                <w:bCs/>
                <w:color w:val="000000" w:themeColor="text1"/>
                <w:spacing w:val="0"/>
                <w:position w:val="0"/>
                <w:sz w:val="24"/>
                <w:lang w:val="zh-CN"/>
                <w14:textFill>
                  <w14:solidFill>
                    <w14:schemeClr w14:val="tx1"/>
                  </w14:solidFill>
                </w14:textFill>
              </w:rPr>
              <w:t>②</w:t>
            </w:r>
            <w:r>
              <w:rPr>
                <w:rFonts w:ascii="Times New Roman" w:hAnsi="Times New Roman" w:eastAsia="宋体" w:cs="Times New Roman"/>
                <w:bCs/>
                <w:color w:val="000000" w:themeColor="text1"/>
                <w:spacing w:val="0"/>
                <w:position w:val="0"/>
                <w:sz w:val="24"/>
                <w:lang w:val="zh-CN"/>
                <w14:textFill>
                  <w14:solidFill>
                    <w14:schemeClr w14:val="tx1"/>
                  </w14:solidFill>
                </w14:textFill>
              </w:rPr>
              <w:t>敏感点噪声预测结果分析</w:t>
            </w:r>
          </w:p>
          <w:p w14:paraId="0005F1EA">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spacing w:val="0"/>
                <w:position w:val="0"/>
                <w:sz w:val="24"/>
                <w:highlight w:val="none"/>
                <w:lang w:val="zh-CN"/>
                <w14:textFill>
                  <w14:solidFill>
                    <w14:schemeClr w14:val="tx1"/>
                  </w14:solidFill>
                </w14:textFill>
              </w:rPr>
            </w:pPr>
            <w:r>
              <w:rPr>
                <w:rFonts w:hint="default" w:ascii="Times New Roman" w:hAnsi="Times New Roman" w:cs="Times New Roman"/>
                <w:color w:val="000000" w:themeColor="text1"/>
                <w:spacing w:val="0"/>
                <w:position w:val="0"/>
                <w:sz w:val="24"/>
                <w:highlight w:val="none"/>
                <w:lang w:val="zh-CN"/>
                <w14:textFill>
                  <w14:solidFill>
                    <w14:schemeClr w14:val="tx1"/>
                  </w14:solidFill>
                </w14:textFill>
              </w:rPr>
              <w:t>根据现场勘查，项目周边50m范围内无声环境保护目标。</w:t>
            </w:r>
          </w:p>
          <w:p w14:paraId="1BA1E478">
            <w:pPr>
              <w:adjustRightInd w:val="0"/>
              <w:snapToGrid w:val="0"/>
              <w:spacing w:line="360" w:lineRule="auto"/>
              <w:rPr>
                <w:rFonts w:hint="default" w:ascii="Times New Roman" w:hAnsi="Times New Roman" w:eastAsia="黑体" w:cs="Times New Roman"/>
                <w:b/>
                <w:bCs/>
                <w:color w:val="000000" w:themeColor="text1"/>
                <w:spacing w:val="0"/>
                <w:kern w:val="0"/>
                <w:position w:val="0"/>
                <w:sz w:val="24"/>
                <w14:textFill>
                  <w14:solidFill>
                    <w14:schemeClr w14:val="tx1"/>
                  </w14:solidFill>
                </w14:textFill>
              </w:rPr>
            </w:pPr>
            <w:r>
              <w:rPr>
                <w:rFonts w:hint="default" w:ascii="Times New Roman" w:hAnsi="Times New Roman" w:eastAsia="黑体" w:cs="Times New Roman"/>
                <w:b/>
                <w:bCs/>
                <w:color w:val="000000" w:themeColor="text1"/>
                <w:spacing w:val="0"/>
                <w:kern w:val="0"/>
                <w:position w:val="0"/>
                <w:sz w:val="24"/>
                <w:lang w:val="en-US" w:eastAsia="zh-CN"/>
                <w14:textFill>
                  <w14:solidFill>
                    <w14:schemeClr w14:val="tx1"/>
                  </w14:solidFill>
                </w14:textFill>
              </w:rPr>
              <w:t>4.</w:t>
            </w:r>
            <w:r>
              <w:rPr>
                <w:rFonts w:hint="eastAsia" w:ascii="Times New Roman" w:hAnsi="Times New Roman" w:eastAsia="黑体" w:cs="Times New Roman"/>
                <w:b/>
                <w:bCs/>
                <w:color w:val="000000" w:themeColor="text1"/>
                <w:spacing w:val="0"/>
                <w:kern w:val="0"/>
                <w:position w:val="0"/>
                <w:sz w:val="24"/>
                <w:lang w:val="en-US" w:eastAsia="zh-CN"/>
                <w14:textFill>
                  <w14:solidFill>
                    <w14:schemeClr w14:val="tx1"/>
                  </w14:solidFill>
                </w14:textFill>
              </w:rPr>
              <w:t>4</w:t>
            </w:r>
            <w:r>
              <w:rPr>
                <w:rFonts w:hint="default" w:ascii="Times New Roman" w:hAnsi="Times New Roman" w:eastAsia="黑体" w:cs="Times New Roman"/>
                <w:b/>
                <w:bCs/>
                <w:color w:val="000000" w:themeColor="text1"/>
                <w:spacing w:val="0"/>
                <w:kern w:val="0"/>
                <w:position w:val="0"/>
                <w:sz w:val="24"/>
                <w:lang w:val="en-US" w:eastAsia="zh-CN"/>
                <w14:textFill>
                  <w14:solidFill>
                    <w14:schemeClr w14:val="tx1"/>
                  </w14:solidFill>
                </w14:textFill>
              </w:rPr>
              <w:t>.3</w:t>
            </w:r>
            <w:r>
              <w:rPr>
                <w:rFonts w:hint="default" w:ascii="Times New Roman" w:hAnsi="Times New Roman" w:eastAsia="黑体" w:cs="Times New Roman"/>
                <w:b/>
                <w:bCs/>
                <w:color w:val="000000" w:themeColor="text1"/>
                <w:spacing w:val="0"/>
                <w:kern w:val="0"/>
                <w:position w:val="0"/>
                <w:sz w:val="24"/>
                <w14:textFill>
                  <w14:solidFill>
                    <w14:schemeClr w14:val="tx1"/>
                  </w14:solidFill>
                </w14:textFill>
              </w:rPr>
              <w:t>运营期噪声防治措施</w:t>
            </w:r>
          </w:p>
          <w:p w14:paraId="3E463D7F">
            <w:pPr>
              <w:adjustRightInd w:val="0"/>
              <w:snapToGrid w:val="0"/>
              <w:spacing w:line="360" w:lineRule="auto"/>
              <w:ind w:firstLine="480" w:firstLineChars="200"/>
              <w:rPr>
                <w:rFonts w:hint="default" w:ascii="Times New Roman" w:hAnsi="Times New Roman" w:eastAsia="宋体" w:cs="Times New Roman"/>
                <w:bCs/>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4"/>
                <w14:textFill>
                  <w14:solidFill>
                    <w14:schemeClr w14:val="tx1"/>
                  </w14:solidFill>
                </w14:textFill>
              </w:rPr>
              <w:t>（</w:t>
            </w:r>
            <w:r>
              <w:rPr>
                <w:rFonts w:hint="eastAsia" w:ascii="Times New Roman" w:hAnsi="Times New Roman" w:eastAsia="宋体" w:cs="Times New Roman"/>
                <w:bCs/>
                <w:color w:val="000000" w:themeColor="text1"/>
                <w:spacing w:val="0"/>
                <w:position w:val="0"/>
                <w:sz w:val="24"/>
                <w:lang w:val="en-US" w:eastAsia="zh-CN"/>
                <w14:textFill>
                  <w14:solidFill>
                    <w14:schemeClr w14:val="tx1"/>
                  </w14:solidFill>
                </w14:textFill>
              </w:rPr>
              <w:t>1</w:t>
            </w:r>
            <w:r>
              <w:rPr>
                <w:rFonts w:hint="eastAsia" w:ascii="Times New Roman" w:hAnsi="Times New Roman" w:eastAsia="宋体" w:cs="Times New Roman"/>
                <w:bCs/>
                <w:color w:val="000000" w:themeColor="text1"/>
                <w:spacing w:val="0"/>
                <w:position w:val="0"/>
                <w:sz w:val="24"/>
                <w14:textFill>
                  <w14:solidFill>
                    <w14:schemeClr w14:val="tx1"/>
                  </w14:solidFill>
                </w14:textFill>
              </w:rPr>
              <w:t>）</w:t>
            </w:r>
            <w:r>
              <w:rPr>
                <w:rFonts w:hint="eastAsia" w:ascii="Times New Roman" w:hAnsi="Times New Roman" w:eastAsia="宋体" w:cs="Times New Roman"/>
                <w:bCs/>
                <w:color w:val="000000" w:themeColor="text1"/>
                <w:spacing w:val="0"/>
                <w:position w:val="0"/>
                <w:sz w:val="24"/>
                <w:lang w:val="zh-CN"/>
                <w14:textFill>
                  <w14:solidFill>
                    <w14:schemeClr w14:val="tx1"/>
                  </w14:solidFill>
                </w14:textFill>
              </w:rPr>
              <w:t>噪声源控制措施</w:t>
            </w:r>
          </w:p>
          <w:p w14:paraId="1DF1590E">
            <w:pPr>
              <w:adjustRightInd w:val="0"/>
              <w:snapToGrid w:val="0"/>
              <w:spacing w:line="360" w:lineRule="auto"/>
              <w:ind w:firstLine="480" w:firstLineChars="200"/>
              <w:rPr>
                <w:rFonts w:hint="eastAsia" w:ascii="Times New Roman" w:hAnsi="Times New Roman" w:eastAsia="宋体" w:cs="Times New Roman"/>
                <w:bCs/>
                <w:color w:val="000000" w:themeColor="text1"/>
                <w:spacing w:val="0"/>
                <w:position w:val="0"/>
                <w:sz w:val="24"/>
                <w14:textFill>
                  <w14:solidFill>
                    <w14:schemeClr w14:val="tx1"/>
                  </w14:solidFill>
                </w14:textFill>
              </w:rPr>
            </w:pPr>
            <w:r>
              <w:rPr>
                <w:rFonts w:hint="eastAsia" w:ascii="Times New Roman" w:hAnsi="Times New Roman" w:eastAsia="宋体" w:cs="Times New Roman"/>
                <w:bCs/>
                <w:color w:val="000000" w:themeColor="text1"/>
                <w:spacing w:val="0"/>
                <w:position w:val="0"/>
                <w:sz w:val="24"/>
                <w14:textFill>
                  <w14:solidFill>
                    <w14:schemeClr w14:val="tx1"/>
                  </w14:solidFill>
                </w14:textFill>
              </w:rPr>
              <w:t>为了确保厂界噪声达到《工业企业厂界环境噪声排放标准》(GB12348-2008)中3类标准，本报告建议采用以下降噪措施：</w:t>
            </w:r>
          </w:p>
          <w:p w14:paraId="47384208">
            <w:pPr>
              <w:adjustRightInd w:val="0"/>
              <w:snapToGrid w:val="0"/>
              <w:spacing w:line="360" w:lineRule="auto"/>
              <w:ind w:firstLine="480" w:firstLineChars="200"/>
              <w:rPr>
                <w:rFonts w:hint="eastAsia" w:ascii="Times New Roman" w:hAnsi="Times New Roman" w:eastAsia="宋体" w:cs="Times New Roman"/>
                <w:bCs/>
                <w:color w:val="000000" w:themeColor="text1"/>
                <w:spacing w:val="0"/>
                <w:position w:val="0"/>
                <w:sz w:val="24"/>
                <w14:textFill>
                  <w14:solidFill>
                    <w14:schemeClr w14:val="tx1"/>
                  </w14:solidFill>
                </w14:textFill>
              </w:rPr>
            </w:pPr>
            <w:r>
              <w:rPr>
                <w:rFonts w:hint="eastAsia" w:ascii="Times New Roman" w:hAnsi="Times New Roman" w:eastAsia="宋体" w:cs="Times New Roman"/>
                <w:bCs/>
                <w:color w:val="000000" w:themeColor="text1"/>
                <w:spacing w:val="0"/>
                <w:position w:val="0"/>
                <w:sz w:val="24"/>
                <w14:textFill>
                  <w14:solidFill>
                    <w14:schemeClr w14:val="tx1"/>
                  </w14:solidFill>
                </w14:textFill>
              </w:rPr>
              <w:t>①项目选用低噪声生产设备，从源头上降低噪声源强。</w:t>
            </w:r>
          </w:p>
          <w:p w14:paraId="4FCE836C">
            <w:pPr>
              <w:adjustRightInd w:val="0"/>
              <w:snapToGrid w:val="0"/>
              <w:spacing w:line="360" w:lineRule="auto"/>
              <w:ind w:firstLine="480" w:firstLineChars="200"/>
              <w:rPr>
                <w:rFonts w:hint="eastAsia" w:ascii="Times New Roman" w:hAnsi="Times New Roman" w:eastAsia="宋体" w:cs="Times New Roman"/>
                <w:bCs/>
                <w:color w:val="000000" w:themeColor="text1"/>
                <w:spacing w:val="0"/>
                <w:position w:val="0"/>
                <w:sz w:val="24"/>
                <w14:textFill>
                  <w14:solidFill>
                    <w14:schemeClr w14:val="tx1"/>
                  </w14:solidFill>
                </w14:textFill>
              </w:rPr>
            </w:pPr>
            <w:r>
              <w:rPr>
                <w:rFonts w:hint="eastAsia" w:ascii="Times New Roman" w:hAnsi="Times New Roman" w:eastAsia="宋体" w:cs="Times New Roman"/>
                <w:bCs/>
                <w:color w:val="000000" w:themeColor="text1"/>
                <w:spacing w:val="0"/>
                <w:position w:val="0"/>
                <w:sz w:val="24"/>
                <w14:textFill>
                  <w14:solidFill>
                    <w14:schemeClr w14:val="tx1"/>
                  </w14:solidFill>
                </w14:textFill>
              </w:rPr>
              <w:t>②加强车间内的噪声治理，对项目厂区高噪声设备采用隔声、减振等有效措施，以有效降低车间噪声。</w:t>
            </w:r>
          </w:p>
          <w:p w14:paraId="2D972226">
            <w:pPr>
              <w:adjustRightInd w:val="0"/>
              <w:snapToGrid w:val="0"/>
              <w:spacing w:line="360" w:lineRule="auto"/>
              <w:ind w:firstLine="480" w:firstLineChars="200"/>
              <w:rPr>
                <w:rFonts w:hint="eastAsia" w:ascii="Times New Roman" w:hAnsi="Times New Roman" w:eastAsia="宋体" w:cs="Times New Roman"/>
                <w:bCs/>
                <w:color w:val="000000" w:themeColor="text1"/>
                <w:spacing w:val="0"/>
                <w:position w:val="0"/>
                <w:sz w:val="24"/>
                <w:lang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4"/>
                <w14:textFill>
                  <w14:solidFill>
                    <w14:schemeClr w14:val="tx1"/>
                  </w14:solidFill>
                </w14:textFill>
              </w:rPr>
              <w:t>③加强对设备的管理和维护，在有关环保人员的统一管理下，定期检查、监测，发现噪声超标要及时治理并增加相关操作岗位工人的个体防护</w:t>
            </w:r>
            <w:r>
              <w:rPr>
                <w:rFonts w:hint="eastAsia" w:ascii="Times New Roman" w:hAnsi="Times New Roman" w:eastAsia="宋体" w:cs="Times New Roman"/>
                <w:bCs/>
                <w:color w:val="000000" w:themeColor="text1"/>
                <w:spacing w:val="0"/>
                <w:position w:val="0"/>
                <w:sz w:val="24"/>
                <w:lang w:eastAsia="zh-CN"/>
                <w14:textFill>
                  <w14:solidFill>
                    <w14:schemeClr w14:val="tx1"/>
                  </w14:solidFill>
                </w14:textFill>
              </w:rPr>
              <w:t>。</w:t>
            </w:r>
          </w:p>
          <w:p w14:paraId="260AF3E4">
            <w:pPr>
              <w:adjustRightInd w:val="0"/>
              <w:snapToGrid w:val="0"/>
              <w:spacing w:line="360" w:lineRule="auto"/>
              <w:ind w:firstLine="480" w:firstLineChars="200"/>
              <w:rPr>
                <w:rFonts w:hint="eastAsia" w:ascii="Times New Roman" w:hAnsi="Times New Roman" w:eastAsia="宋体" w:cs="Times New Roman"/>
                <w:bCs/>
                <w:color w:val="000000" w:themeColor="text1"/>
                <w:spacing w:val="0"/>
                <w:position w:val="0"/>
                <w:sz w:val="24"/>
                <w14:textFill>
                  <w14:solidFill>
                    <w14:schemeClr w14:val="tx1"/>
                  </w14:solidFill>
                </w14:textFill>
              </w:rPr>
            </w:pPr>
            <w:r>
              <w:rPr>
                <w:rFonts w:hint="eastAsia" w:ascii="Times New Roman" w:hAnsi="Times New Roman" w:eastAsia="宋体" w:cs="Times New Roman"/>
                <w:bCs/>
                <w:color w:val="000000" w:themeColor="text1"/>
                <w:spacing w:val="0"/>
                <w:position w:val="0"/>
                <w:sz w:val="24"/>
                <w14:textFill>
                  <w14:solidFill>
                    <w14:schemeClr w14:val="tx1"/>
                  </w14:solidFill>
                </w14:textFill>
              </w:rPr>
              <w:t>④车辆运输物料时，在靠近居民点等对声环境质量要求较高的地方，应减小车速，禁止或少鸣喇叭。</w:t>
            </w:r>
          </w:p>
          <w:p w14:paraId="129A6038">
            <w:pPr>
              <w:adjustRightInd w:val="0"/>
              <w:snapToGrid w:val="0"/>
              <w:spacing w:line="360" w:lineRule="auto"/>
              <w:ind w:firstLine="480" w:firstLineChars="200"/>
              <w:rPr>
                <w:rFonts w:hint="eastAsia" w:ascii="Times New Roman" w:hAnsi="Times New Roman" w:eastAsia="宋体" w:cs="Times New Roman"/>
                <w:bCs/>
                <w:color w:val="000000" w:themeColor="text1"/>
                <w:spacing w:val="0"/>
                <w:position w:val="0"/>
                <w:sz w:val="24"/>
                <w14:textFill>
                  <w14:solidFill>
                    <w14:schemeClr w14:val="tx1"/>
                  </w14:solidFill>
                </w14:textFill>
              </w:rPr>
            </w:pPr>
            <w:r>
              <w:rPr>
                <w:rFonts w:hint="eastAsia" w:ascii="Times New Roman" w:hAnsi="Times New Roman" w:eastAsia="宋体" w:cs="Times New Roman"/>
                <w:bCs/>
                <w:color w:val="000000" w:themeColor="text1"/>
                <w:spacing w:val="0"/>
                <w:position w:val="0"/>
                <w:sz w:val="24"/>
                <w14:textFill>
                  <w14:solidFill>
                    <w14:schemeClr w14:val="tx1"/>
                  </w14:solidFill>
                </w14:textFill>
              </w:rPr>
              <w:t>通过以上降噪措施，有效降低设备噪声对厂界的影响程度，确保厂界噪声符合《工业企业厂界环境噪声排放标准》(GB12348-2008)中的3类标准要求，措施可行。</w:t>
            </w:r>
          </w:p>
          <w:p w14:paraId="0AC13802">
            <w:pPr>
              <w:adjustRightInd w:val="0"/>
              <w:snapToGrid w:val="0"/>
              <w:spacing w:line="360" w:lineRule="auto"/>
              <w:rPr>
                <w:rFonts w:hint="default" w:ascii="Times New Roman" w:hAnsi="Times New Roman" w:eastAsia="黑体" w:cs="Times New Roman"/>
                <w:b/>
                <w:bCs/>
                <w:color w:val="000000" w:themeColor="text1"/>
                <w:spacing w:val="0"/>
                <w:kern w:val="0"/>
                <w:position w:val="0"/>
                <w:sz w:val="24"/>
                <w14:textFill>
                  <w14:solidFill>
                    <w14:schemeClr w14:val="tx1"/>
                  </w14:solidFill>
                </w14:textFill>
              </w:rPr>
            </w:pPr>
            <w:r>
              <w:rPr>
                <w:rFonts w:hint="default" w:ascii="Times New Roman" w:hAnsi="Times New Roman" w:eastAsia="黑体" w:cs="Times New Roman"/>
                <w:b/>
                <w:bCs/>
                <w:color w:val="000000" w:themeColor="text1"/>
                <w:spacing w:val="0"/>
                <w:kern w:val="0"/>
                <w:position w:val="0"/>
                <w:sz w:val="24"/>
                <w14:textFill>
                  <w14:solidFill>
                    <w14:schemeClr w14:val="tx1"/>
                  </w14:solidFill>
                </w14:textFill>
              </w:rPr>
              <w:t>4.</w:t>
            </w:r>
            <w:r>
              <w:rPr>
                <w:rFonts w:hint="eastAsia" w:ascii="Times New Roman" w:hAnsi="Times New Roman" w:eastAsia="黑体" w:cs="Times New Roman"/>
                <w:b/>
                <w:bCs/>
                <w:color w:val="000000" w:themeColor="text1"/>
                <w:spacing w:val="0"/>
                <w:kern w:val="0"/>
                <w:position w:val="0"/>
                <w:sz w:val="24"/>
                <w:lang w:val="en-US" w:eastAsia="zh-CN"/>
                <w14:textFill>
                  <w14:solidFill>
                    <w14:schemeClr w14:val="tx1"/>
                  </w14:solidFill>
                </w14:textFill>
              </w:rPr>
              <w:t>4</w:t>
            </w:r>
            <w:r>
              <w:rPr>
                <w:rFonts w:hint="default" w:ascii="Times New Roman" w:hAnsi="Times New Roman" w:eastAsia="黑体" w:cs="Times New Roman"/>
                <w:b/>
                <w:bCs/>
                <w:color w:val="000000" w:themeColor="text1"/>
                <w:spacing w:val="0"/>
                <w:kern w:val="0"/>
                <w:position w:val="0"/>
                <w:sz w:val="24"/>
                <w14:textFill>
                  <w14:solidFill>
                    <w14:schemeClr w14:val="tx1"/>
                  </w14:solidFill>
                </w14:textFill>
              </w:rPr>
              <w:t>.4自行监测计划</w:t>
            </w:r>
          </w:p>
          <w:p w14:paraId="27E44F4E">
            <w:pPr>
              <w:pStyle w:val="76"/>
              <w:keepNext w:val="0"/>
              <w:keepLines w:val="0"/>
              <w:pageBreakBefore w:val="0"/>
              <w:widowControl w:val="0"/>
              <w:kinsoku/>
              <w:wordWrap/>
              <w:overflowPunct/>
              <w:topLinePunct w:val="0"/>
              <w:bidi w:val="0"/>
              <w:adjustRightInd w:val="0"/>
              <w:snapToGrid w:val="0"/>
              <w:spacing w:line="360" w:lineRule="auto"/>
              <w:ind w:firstLine="480"/>
              <w:jc w:val="both"/>
              <w:rPr>
                <w:rFonts w:hint="default" w:ascii="Times New Roman" w:hAnsi="Times New Roman" w:eastAsia="宋体" w:cs="Times New Roman"/>
                <w:color w:val="000000" w:themeColor="text1"/>
                <w:spacing w:val="0"/>
                <w:kern w:val="2"/>
                <w:position w:val="0"/>
                <w:highlight w:val="none"/>
                <w:lang w:val="en-US" w:eastAsia="zh-CN"/>
                <w14:textFill>
                  <w14:solidFill>
                    <w14:schemeClr w14:val="tx1"/>
                  </w14:solidFill>
                </w14:textFill>
              </w:rPr>
            </w:pPr>
            <w:r>
              <w:rPr>
                <w:rFonts w:hint="eastAsia" w:ascii="Times New Roman" w:hAnsi="Times New Roman"/>
                <w:bCs/>
                <w:color w:val="000000" w:themeColor="text1"/>
                <w:spacing w:val="0"/>
                <w:position w:val="0"/>
                <w14:textFill>
                  <w14:solidFill>
                    <w14:schemeClr w14:val="tx1"/>
                  </w14:solidFill>
                </w14:textFill>
              </w:rPr>
              <w:t>本评价</w:t>
            </w:r>
            <w:r>
              <w:rPr>
                <w:rFonts w:hint="eastAsia" w:ascii="Times New Roman" w:hAnsi="Times New Roman"/>
                <w:bCs/>
                <w:color w:val="000000" w:themeColor="text1"/>
                <w:spacing w:val="0"/>
                <w:position w:val="0"/>
                <w:lang w:val="en-US" w:eastAsia="zh-CN"/>
                <w14:textFill>
                  <w14:solidFill>
                    <w14:schemeClr w14:val="tx1"/>
                  </w14:solidFill>
                </w14:textFill>
              </w:rPr>
              <w:t>根据</w:t>
            </w: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《排污单位自行监测技术指南 总则》（</w:t>
            </w:r>
            <w:r>
              <w:rPr>
                <w:rFonts w:hint="default" w:ascii="Times New Roman" w:hAnsi="Times New Roman" w:eastAsia="宋体" w:cs="Times New Roman"/>
                <w:bCs/>
                <w:color w:val="000000" w:themeColor="text1"/>
                <w:spacing w:val="0"/>
                <w:position w:val="0"/>
                <w:lang w:val="en-US" w:eastAsia="zh-CN"/>
                <w14:textFill>
                  <w14:solidFill>
                    <w14:schemeClr w14:val="tx1"/>
                  </w14:solidFill>
                </w14:textFill>
              </w:rPr>
              <w:t>HJ 819-2017</w:t>
            </w: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）、《排污单位自行监测技术指南 涂装》（</w:t>
            </w:r>
            <w:r>
              <w:rPr>
                <w:rFonts w:hint="default" w:ascii="Times New Roman" w:hAnsi="Times New Roman" w:eastAsia="宋体" w:cs="Times New Roman"/>
                <w:bCs/>
                <w:color w:val="000000" w:themeColor="text1"/>
                <w:spacing w:val="0"/>
                <w:position w:val="0"/>
                <w:lang w:val="en-US" w:eastAsia="zh-CN"/>
                <w14:textFill>
                  <w14:solidFill>
                    <w14:schemeClr w14:val="tx1"/>
                  </w14:solidFill>
                </w14:textFill>
              </w:rPr>
              <w:t>HJ 1086-2020</w:t>
            </w: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w:t>
            </w:r>
            <w:r>
              <w:rPr>
                <w:rFonts w:hint="eastAsia" w:ascii="Times New Roman" w:hAnsi="Times New Roman"/>
                <w:bCs/>
                <w:color w:val="000000" w:themeColor="text1"/>
                <w:spacing w:val="0"/>
                <w:position w:val="0"/>
                <w14:textFill>
                  <w14:solidFill>
                    <w14:schemeClr w14:val="tx1"/>
                  </w14:solidFill>
                </w14:textFill>
              </w:rPr>
              <w:t>要求，</w:t>
            </w:r>
            <w:r>
              <w:rPr>
                <w:rFonts w:hint="eastAsia" w:ascii="Times New Roman" w:hAnsi="Times New Roman"/>
                <w:bCs/>
                <w:color w:val="000000" w:themeColor="text1"/>
                <w:spacing w:val="0"/>
                <w:position w:val="0"/>
                <w:sz w:val="24"/>
                <w:lang w:eastAsia="zh-CN"/>
                <w14:textFill>
                  <w14:solidFill>
                    <w14:schemeClr w14:val="tx1"/>
                  </w14:solidFill>
                </w14:textFill>
              </w:rPr>
              <w:t>提出项目</w:t>
            </w:r>
            <w:r>
              <w:rPr>
                <w:rFonts w:hint="eastAsia" w:ascii="Times New Roman" w:hAnsi="Times New Roman"/>
                <w:bCs/>
                <w:color w:val="000000" w:themeColor="text1"/>
                <w:spacing w:val="0"/>
                <w:position w:val="0"/>
                <w:sz w:val="24"/>
                <w14:textFill>
                  <w14:solidFill>
                    <w14:schemeClr w14:val="tx1"/>
                  </w14:solidFill>
                </w14:textFill>
              </w:rPr>
              <w:t>运营期</w:t>
            </w:r>
            <w:r>
              <w:rPr>
                <w:rFonts w:hint="eastAsia" w:ascii="Times New Roman" w:hAnsi="Times New Roman"/>
                <w:bCs/>
                <w:color w:val="000000" w:themeColor="text1"/>
                <w:spacing w:val="0"/>
                <w:position w:val="0"/>
                <w:sz w:val="24"/>
                <w:lang w:eastAsia="zh-CN"/>
                <w14:textFill>
                  <w14:solidFill>
                    <w14:schemeClr w14:val="tx1"/>
                  </w14:solidFill>
                </w14:textFill>
              </w:rPr>
              <w:t>噪声自行监测计划，具体详见表</w:t>
            </w:r>
            <w:r>
              <w:rPr>
                <w:rFonts w:hint="eastAsia" w:ascii="Times New Roman" w:hAnsi="Times New Roman"/>
                <w:bCs/>
                <w:color w:val="000000" w:themeColor="text1"/>
                <w:spacing w:val="0"/>
                <w:position w:val="0"/>
                <w:sz w:val="24"/>
                <w:lang w:val="en-US" w:eastAsia="zh-CN"/>
                <w14:textFill>
                  <w14:solidFill>
                    <w14:schemeClr w14:val="tx1"/>
                  </w14:solidFill>
                </w14:textFill>
              </w:rPr>
              <w:t>4.4-3。</w:t>
            </w:r>
          </w:p>
          <w:p w14:paraId="6A155785">
            <w:pPr>
              <w:pStyle w:val="142"/>
              <w:keepNext/>
              <w:keepLines/>
              <w:pageBreakBefore w:val="0"/>
              <w:widowControl w:val="0"/>
              <w:kinsoku/>
              <w:wordWrap/>
              <w:overflowPunct/>
              <w:topLinePunct w:val="0"/>
              <w:autoSpaceDE/>
              <w:autoSpaceDN/>
              <w:bidi w:val="0"/>
              <w:adjustRightInd/>
              <w:snapToGrid/>
              <w:spacing w:before="157" w:beforeLines="50" w:after="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4-3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项目噪声自行监测计划</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2423"/>
              <w:gridCol w:w="1579"/>
              <w:gridCol w:w="2736"/>
              <w:gridCol w:w="1190"/>
            </w:tblGrid>
            <w:tr w14:paraId="4984F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2" w:type="pct"/>
                  <w:tcBorders>
                    <w:tl2br w:val="nil"/>
                    <w:tr2bl w:val="nil"/>
                  </w:tcBorders>
                  <w:noWrap w:val="0"/>
                  <w:vAlign w:val="center"/>
                </w:tcPr>
                <w:p w14:paraId="68AF61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position w:val="0"/>
                      <w:sz w:val="21"/>
                      <w:szCs w:val="21"/>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vertAlign w:val="baseline"/>
                      <w:lang w:eastAsia="zh-CN"/>
                      <w14:textFill>
                        <w14:solidFill>
                          <w14:schemeClr w14:val="tx1"/>
                        </w14:solidFill>
                      </w14:textFill>
                    </w:rPr>
                    <w:t>序号</w:t>
                  </w:r>
                </w:p>
              </w:tc>
              <w:tc>
                <w:tcPr>
                  <w:tcW w:w="1392" w:type="pct"/>
                  <w:tcBorders>
                    <w:tl2br w:val="nil"/>
                    <w:tr2bl w:val="nil"/>
                  </w:tcBorders>
                  <w:noWrap w:val="0"/>
                  <w:vAlign w:val="center"/>
                </w:tcPr>
                <w:p w14:paraId="32DA65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position w:val="0"/>
                      <w:sz w:val="21"/>
                      <w:szCs w:val="21"/>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vertAlign w:val="baseline"/>
                      <w:lang w:eastAsia="zh-CN"/>
                      <w14:textFill>
                        <w14:solidFill>
                          <w14:schemeClr w14:val="tx1"/>
                        </w14:solidFill>
                      </w14:textFill>
                    </w:rPr>
                    <w:t>监测点位</w:t>
                  </w:r>
                </w:p>
              </w:tc>
              <w:tc>
                <w:tcPr>
                  <w:tcW w:w="907" w:type="pct"/>
                  <w:tcBorders>
                    <w:tl2br w:val="nil"/>
                    <w:tr2bl w:val="nil"/>
                  </w:tcBorders>
                  <w:noWrap w:val="0"/>
                  <w:vAlign w:val="center"/>
                </w:tcPr>
                <w:p w14:paraId="451782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position w:val="0"/>
                      <w:sz w:val="21"/>
                      <w:szCs w:val="21"/>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vertAlign w:val="baseline"/>
                      <w:lang w:eastAsia="zh-CN"/>
                      <w14:textFill>
                        <w14:solidFill>
                          <w14:schemeClr w14:val="tx1"/>
                        </w14:solidFill>
                      </w14:textFill>
                    </w:rPr>
                    <w:t>监测因子</w:t>
                  </w:r>
                </w:p>
              </w:tc>
              <w:tc>
                <w:tcPr>
                  <w:tcW w:w="1572" w:type="pct"/>
                  <w:tcBorders>
                    <w:tl2br w:val="nil"/>
                    <w:tr2bl w:val="nil"/>
                  </w:tcBorders>
                  <w:noWrap w:val="0"/>
                  <w:vAlign w:val="center"/>
                </w:tcPr>
                <w:p w14:paraId="754E40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position w:val="0"/>
                      <w:sz w:val="21"/>
                      <w:szCs w:val="21"/>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vertAlign w:val="baseline"/>
                      <w:lang w:eastAsia="zh-CN"/>
                      <w14:textFill>
                        <w14:solidFill>
                          <w14:schemeClr w14:val="tx1"/>
                        </w14:solidFill>
                      </w14:textFill>
                    </w:rPr>
                    <w:t>监测频次</w:t>
                  </w:r>
                </w:p>
              </w:tc>
              <w:tc>
                <w:tcPr>
                  <w:tcW w:w="684" w:type="pct"/>
                  <w:tcBorders>
                    <w:tl2br w:val="nil"/>
                    <w:tr2bl w:val="nil"/>
                  </w:tcBorders>
                  <w:noWrap w:val="0"/>
                  <w:vAlign w:val="center"/>
                </w:tcPr>
                <w:p w14:paraId="7DFF6A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position w:val="0"/>
                      <w:sz w:val="21"/>
                      <w:szCs w:val="21"/>
                      <w:vertAlign w:val="baseline"/>
                      <w:lang w:val="en-US" w:eastAsia="zh-CN"/>
                      <w14:textFill>
                        <w14:solidFill>
                          <w14:schemeClr w14:val="tx1"/>
                        </w14:solidFill>
                      </w14:textFill>
                    </w:rPr>
                  </w:pPr>
                  <w:r>
                    <w:rPr>
                      <w:rFonts w:hint="eastAsia" w:cs="Times New Roman"/>
                      <w:b w:val="0"/>
                      <w:bCs/>
                      <w:color w:val="000000" w:themeColor="text1"/>
                      <w:spacing w:val="0"/>
                      <w:position w:val="0"/>
                      <w:sz w:val="21"/>
                      <w:szCs w:val="21"/>
                      <w:vertAlign w:val="baseline"/>
                      <w:lang w:val="en-US" w:eastAsia="zh-CN"/>
                      <w14:textFill>
                        <w14:solidFill>
                          <w14:schemeClr w14:val="tx1"/>
                        </w14:solidFill>
                      </w14:textFill>
                    </w:rPr>
                    <w:t>备注</w:t>
                  </w:r>
                </w:p>
              </w:tc>
            </w:tr>
            <w:tr w14:paraId="25A9C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2" w:type="pct"/>
                  <w:tcBorders>
                    <w:tl2br w:val="nil"/>
                    <w:tr2bl w:val="nil"/>
                  </w:tcBorders>
                  <w:noWrap w:val="0"/>
                  <w:vAlign w:val="center"/>
                </w:tcPr>
                <w:p w14:paraId="7AA1B0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vertAlign w:val="baseline"/>
                      <w:lang w:val="en-US" w:eastAsia="zh-CN"/>
                      <w14:textFill>
                        <w14:solidFill>
                          <w14:schemeClr w14:val="tx1"/>
                        </w14:solidFill>
                      </w14:textFill>
                    </w:rPr>
                    <w:t>1</w:t>
                  </w:r>
                </w:p>
              </w:tc>
              <w:tc>
                <w:tcPr>
                  <w:tcW w:w="1392" w:type="pct"/>
                  <w:tcBorders>
                    <w:tl2br w:val="nil"/>
                    <w:tr2bl w:val="nil"/>
                  </w:tcBorders>
                  <w:noWrap w:val="0"/>
                  <w:vAlign w:val="center"/>
                </w:tcPr>
                <w:p w14:paraId="7BF544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vertAlign w:val="baseline"/>
                      <w:lang w:val="en-US" w:eastAsia="zh-CN"/>
                      <w14:textFill>
                        <w14:solidFill>
                          <w14:schemeClr w14:val="tx1"/>
                        </w14:solidFill>
                      </w14:textFill>
                    </w:rPr>
                    <w:t>厂界四周外1m</w:t>
                  </w:r>
                </w:p>
              </w:tc>
              <w:tc>
                <w:tcPr>
                  <w:tcW w:w="907" w:type="pct"/>
                  <w:tcBorders>
                    <w:tl2br w:val="nil"/>
                    <w:tr2bl w:val="nil"/>
                  </w:tcBorders>
                  <w:noWrap w:val="0"/>
                  <w:vAlign w:val="center"/>
                </w:tcPr>
                <w:p w14:paraId="30FFB36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lang w:eastAsia="zh-CN"/>
                      <w14:textFill>
                        <w14:solidFill>
                          <w14:schemeClr w14:val="tx1"/>
                        </w14:solidFill>
                      </w14:textFill>
                    </w:rPr>
                    <w:t>等效</w:t>
                  </w:r>
                  <w:r>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t>A声级</w:t>
                  </w:r>
                </w:p>
              </w:tc>
              <w:tc>
                <w:tcPr>
                  <w:tcW w:w="1572" w:type="pct"/>
                  <w:tcBorders>
                    <w:tl2br w:val="nil"/>
                    <w:tr2bl w:val="nil"/>
                  </w:tcBorders>
                  <w:noWrap w:val="0"/>
                  <w:vAlign w:val="center"/>
                </w:tcPr>
                <w:p w14:paraId="3837353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2"/>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position w:val="0"/>
                      <w:sz w:val="21"/>
                      <w:szCs w:val="21"/>
                      <w:lang w:val="en-US" w:eastAsia="zh-CN" w:bidi="ar-SA"/>
                      <w14:textFill>
                        <w14:solidFill>
                          <w14:schemeClr w14:val="tx1"/>
                        </w14:solidFill>
                      </w14:textFill>
                    </w:rPr>
                    <w:t>1天/季度、1次/天(昼间)</w:t>
                  </w:r>
                </w:p>
              </w:tc>
              <w:tc>
                <w:tcPr>
                  <w:tcW w:w="684" w:type="pct"/>
                  <w:tcBorders>
                    <w:tl2br w:val="nil"/>
                    <w:tr2bl w:val="nil"/>
                  </w:tcBorders>
                  <w:noWrap w:val="0"/>
                  <w:vAlign w:val="center"/>
                </w:tcPr>
                <w:p w14:paraId="1C5C69E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2"/>
                      <w:position w:val="0"/>
                      <w:sz w:val="21"/>
                      <w:szCs w:val="21"/>
                      <w:lang w:val="en-US" w:eastAsia="zh-CN" w:bidi="ar-SA"/>
                      <w14:textFill>
                        <w14:solidFill>
                          <w14:schemeClr w14:val="tx1"/>
                        </w14:solidFill>
                      </w14:textFill>
                    </w:rPr>
                  </w:pPr>
                  <w:r>
                    <w:rPr>
                      <w:rFonts w:hint="eastAsia" w:cs="Times New Roman"/>
                      <w:color w:val="000000" w:themeColor="text1"/>
                      <w:spacing w:val="0"/>
                      <w:kern w:val="2"/>
                      <w:position w:val="0"/>
                      <w:sz w:val="21"/>
                      <w:szCs w:val="21"/>
                      <w:lang w:val="en-US" w:eastAsia="zh-CN" w:bidi="ar-SA"/>
                      <w14:textFill>
                        <w14:solidFill>
                          <w14:schemeClr w14:val="tx1"/>
                        </w14:solidFill>
                      </w14:textFill>
                    </w:rPr>
                    <w:t>已制定</w:t>
                  </w:r>
                </w:p>
              </w:tc>
            </w:tr>
          </w:tbl>
          <w:p w14:paraId="20EEBFD8">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textAlignment w:val="auto"/>
              <w:rPr>
                <w:rFonts w:hint="default" w:ascii="Times New Roman" w:hAnsi="Times New Roman" w:eastAsia="宋体" w:cs="Times New Roman"/>
                <w:b/>
                <w:bCs w:val="0"/>
                <w:color w:val="000000" w:themeColor="text1"/>
                <w:spacing w:val="0"/>
                <w:position w:val="0"/>
                <w:sz w:val="28"/>
                <w:szCs w:val="28"/>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8"/>
                <w:szCs w:val="28"/>
                <w14:textFill>
                  <w14:solidFill>
                    <w14:schemeClr w14:val="tx1"/>
                  </w14:solidFill>
                </w14:textFill>
              </w:rPr>
              <w:t>4.</w:t>
            </w:r>
            <w:r>
              <w:rPr>
                <w:rFonts w:hint="eastAsia" w:ascii="Times New Roman" w:hAnsi="Times New Roman" w:eastAsia="宋体" w:cs="Times New Roman"/>
                <w:b/>
                <w:bCs w:val="0"/>
                <w:color w:val="000000" w:themeColor="text1"/>
                <w:spacing w:val="0"/>
                <w:position w:val="0"/>
                <w:sz w:val="28"/>
                <w:szCs w:val="28"/>
                <w:lang w:val="en-US" w:eastAsia="zh-CN"/>
                <w14:textFill>
                  <w14:solidFill>
                    <w14:schemeClr w14:val="tx1"/>
                  </w14:solidFill>
                </w14:textFill>
              </w:rPr>
              <w:t>5</w:t>
            </w:r>
            <w:r>
              <w:rPr>
                <w:rFonts w:hint="default" w:ascii="Times New Roman" w:hAnsi="Times New Roman" w:eastAsia="宋体" w:cs="Times New Roman"/>
                <w:b/>
                <w:bCs w:val="0"/>
                <w:color w:val="000000" w:themeColor="text1"/>
                <w:spacing w:val="0"/>
                <w:position w:val="0"/>
                <w:sz w:val="28"/>
                <w:szCs w:val="28"/>
                <w14:textFill>
                  <w14:solidFill>
                    <w14:schemeClr w14:val="tx1"/>
                  </w14:solidFill>
                </w14:textFill>
              </w:rPr>
              <w:t>运营期固体废物影响分析和污染防治措施</w:t>
            </w:r>
          </w:p>
          <w:p w14:paraId="431C4691">
            <w:pPr>
              <w:adjustRightInd w:val="0"/>
              <w:snapToGrid w:val="0"/>
              <w:spacing w:line="360" w:lineRule="auto"/>
              <w:rPr>
                <w:rFonts w:hint="default" w:ascii="Times New Roman" w:hAnsi="Times New Roman" w:eastAsia="宋体" w:cs="Times New Roman"/>
                <w:b/>
                <w:bCs w:val="0"/>
                <w:color w:val="000000" w:themeColor="text1"/>
                <w:spacing w:val="0"/>
                <w:kern w:val="0"/>
                <w:position w:val="0"/>
                <w:sz w:val="24"/>
                <w14:textFill>
                  <w14:solidFill>
                    <w14:schemeClr w14:val="tx1"/>
                  </w14:solidFill>
                </w14:textFill>
              </w:rPr>
            </w:pPr>
            <w:r>
              <w:rPr>
                <w:rFonts w:hint="default" w:ascii="Times New Roman" w:hAnsi="Times New Roman" w:eastAsia="宋体" w:cs="Times New Roman"/>
                <w:b/>
                <w:bCs w:val="0"/>
                <w:color w:val="000000" w:themeColor="text1"/>
                <w:spacing w:val="0"/>
                <w:kern w:val="0"/>
                <w:position w:val="0"/>
                <w:sz w:val="24"/>
                <w14:textFill>
                  <w14:solidFill>
                    <w14:schemeClr w14:val="tx1"/>
                  </w14:solidFill>
                </w14:textFill>
              </w:rPr>
              <w:t>4.</w:t>
            </w:r>
            <w:r>
              <w:rPr>
                <w:rFonts w:hint="eastAsia" w:ascii="Times New Roman" w:hAnsi="Times New Roman" w:eastAsia="宋体" w:cs="Times New Roman"/>
                <w:b/>
                <w:bCs w:val="0"/>
                <w:color w:val="000000" w:themeColor="text1"/>
                <w:spacing w:val="0"/>
                <w:kern w:val="0"/>
                <w:position w:val="0"/>
                <w:sz w:val="24"/>
                <w:lang w:val="en-US" w:eastAsia="zh-CN"/>
                <w14:textFill>
                  <w14:solidFill>
                    <w14:schemeClr w14:val="tx1"/>
                  </w14:solidFill>
                </w14:textFill>
              </w:rPr>
              <w:t>5</w:t>
            </w:r>
            <w:r>
              <w:rPr>
                <w:rFonts w:hint="default" w:ascii="Times New Roman" w:hAnsi="Times New Roman" w:eastAsia="宋体" w:cs="Times New Roman"/>
                <w:b/>
                <w:bCs w:val="0"/>
                <w:color w:val="000000" w:themeColor="text1"/>
                <w:spacing w:val="0"/>
                <w:kern w:val="0"/>
                <w:position w:val="0"/>
                <w:sz w:val="24"/>
                <w14:textFill>
                  <w14:solidFill>
                    <w14:schemeClr w14:val="tx1"/>
                  </w14:solidFill>
                </w14:textFill>
              </w:rPr>
              <w:t>.1运营期</w:t>
            </w:r>
            <w:r>
              <w:rPr>
                <w:rFonts w:hint="eastAsia" w:ascii="Times New Roman" w:hAnsi="Times New Roman" w:eastAsia="宋体" w:cs="Times New Roman"/>
                <w:b/>
                <w:bCs w:val="0"/>
                <w:color w:val="000000" w:themeColor="text1"/>
                <w:spacing w:val="0"/>
                <w:kern w:val="0"/>
                <w:position w:val="0"/>
                <w:sz w:val="24"/>
                <w:lang w:eastAsia="zh-CN"/>
                <w14:textFill>
                  <w14:solidFill>
                    <w14:schemeClr w14:val="tx1"/>
                  </w14:solidFill>
                </w14:textFill>
              </w:rPr>
              <w:t>固体废物</w:t>
            </w:r>
            <w:r>
              <w:rPr>
                <w:rFonts w:hint="default" w:ascii="Times New Roman" w:hAnsi="Times New Roman" w:eastAsia="宋体" w:cs="Times New Roman"/>
                <w:b/>
                <w:bCs w:val="0"/>
                <w:color w:val="000000" w:themeColor="text1"/>
                <w:spacing w:val="0"/>
                <w:kern w:val="0"/>
                <w:position w:val="0"/>
                <w:sz w:val="24"/>
                <w14:textFill>
                  <w14:solidFill>
                    <w14:schemeClr w14:val="tx1"/>
                  </w14:solidFill>
                </w14:textFill>
              </w:rPr>
              <w:t>源强核算</w:t>
            </w:r>
          </w:p>
          <w:p w14:paraId="47B8DD70">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bCs/>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0"/>
                <w:position w:val="0"/>
                <w:sz w:val="24"/>
                <w:szCs w:val="24"/>
                <w:highlight w:val="none"/>
                <w:u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pacing w:val="0"/>
                <w:position w:val="0"/>
                <w:sz w:val="24"/>
                <w:szCs w:val="24"/>
                <w:highlight w:val="none"/>
                <w:u w:val="none"/>
                <w:lang w:val="en-US" w:eastAsia="zh-CN"/>
                <w14:textFill>
                  <w14:solidFill>
                    <w14:schemeClr w14:val="tx1"/>
                  </w14:solidFill>
                </w14:textFill>
              </w:rPr>
              <w:t>）一般工业固废</w:t>
            </w:r>
          </w:p>
          <w:p w14:paraId="19CC667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color w:val="000000" w:themeColor="text1"/>
                <w:sz w:val="24"/>
                <w:szCs w:val="24"/>
                <w:lang w:val="en-US"/>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①纯水制备</w:t>
            </w:r>
            <w:r>
              <w:rPr>
                <w:rFonts w:hint="eastAsia"/>
                <w:color w:val="000000" w:themeColor="text1"/>
                <w:sz w:val="24"/>
                <w:szCs w:val="24"/>
                <w:lang w:val="en-US"/>
                <w14:textFill>
                  <w14:solidFill>
                    <w14:schemeClr w14:val="tx1"/>
                  </w14:solidFill>
                </w14:textFill>
              </w:rPr>
              <w:t>废</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RO</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膜</w:t>
            </w:r>
            <w:r>
              <w:rPr>
                <w:rFonts w:hint="eastAsia"/>
                <w:color w:val="000000" w:themeColor="text1"/>
                <w:sz w:val="24"/>
                <w:szCs w:val="24"/>
                <w:lang w:val="en-US"/>
                <w14:textFill>
                  <w14:solidFill>
                    <w14:schemeClr w14:val="tx1"/>
                  </w14:solidFill>
                </w14:textFill>
              </w:rPr>
              <w:t>、废过滤材料</w:t>
            </w:r>
          </w:p>
          <w:p w14:paraId="398A4EA5">
            <w:pPr>
              <w:spacing w:line="360" w:lineRule="auto"/>
              <w:ind w:firstLine="480" w:firstLineChars="200"/>
              <w:rPr>
                <w:rFonts w:hint="eastAsia"/>
                <w:color w:val="000000" w:themeColor="text1"/>
                <w:sz w:val="24"/>
                <w:szCs w:val="24"/>
                <w:lang w:bidi="ar"/>
                <w14:textFill>
                  <w14:solidFill>
                    <w14:schemeClr w14:val="tx1"/>
                  </w14:solidFill>
                </w14:textFill>
              </w:rPr>
            </w:pPr>
            <w:r>
              <w:rPr>
                <w:rFonts w:hint="eastAsia"/>
                <w:color w:val="000000" w:themeColor="text1"/>
                <w:sz w:val="24"/>
                <w:szCs w:val="24"/>
                <w:lang w:bidi="ar"/>
                <w14:textFill>
                  <w14:solidFill>
                    <w14:schemeClr w14:val="tx1"/>
                  </w14:solidFill>
                </w14:textFill>
              </w:rPr>
              <w:t>纯水制备过程中需定期更换各类滤芯，</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半年</w:t>
            </w:r>
            <w:r>
              <w:rPr>
                <w:rFonts w:hint="eastAsia"/>
                <w:color w:val="000000" w:themeColor="text1"/>
                <w:sz w:val="24"/>
                <w:szCs w:val="24"/>
                <w:lang w:bidi="ar"/>
                <w14:textFill>
                  <w14:solidFill>
                    <w14:schemeClr w14:val="tx1"/>
                  </w14:solidFill>
                </w14:textFill>
              </w:rPr>
              <w:t>更换一次，产生废</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RO</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膜</w:t>
            </w:r>
            <w:r>
              <w:rPr>
                <w:rFonts w:hint="eastAsia"/>
                <w:color w:val="000000" w:themeColor="text1"/>
                <w:sz w:val="24"/>
                <w:szCs w:val="24"/>
                <w:lang w:bidi="ar"/>
                <w14:textFill>
                  <w14:solidFill>
                    <w14:schemeClr w14:val="tx1"/>
                  </w14:solidFill>
                </w14:textFill>
              </w:rPr>
              <w:t>、废过滤材料等，各类滤芯主要为去除自来水</w:t>
            </w:r>
            <w:r>
              <w:rPr>
                <w:color w:val="000000" w:themeColor="text1"/>
                <w:sz w:val="24"/>
                <w:szCs w:val="24"/>
                <w:lang w:bidi="ar"/>
                <w14:textFill>
                  <w14:solidFill>
                    <w14:schemeClr w14:val="tx1"/>
                  </w14:solidFill>
                </w14:textFill>
              </w:rPr>
              <w:t>中</w:t>
            </w:r>
            <w:r>
              <w:rPr>
                <w:rFonts w:hint="eastAsia"/>
                <w:color w:val="000000" w:themeColor="text1"/>
                <w:sz w:val="24"/>
                <w:szCs w:val="24"/>
                <w:lang w:bidi="ar"/>
                <w14:textFill>
                  <w14:solidFill>
                    <w14:schemeClr w14:val="tx1"/>
                  </w14:solidFill>
                </w14:textFill>
              </w:rPr>
              <w:t>少量的</w:t>
            </w:r>
            <w:r>
              <w:rPr>
                <w:color w:val="000000" w:themeColor="text1"/>
                <w:sz w:val="24"/>
                <w:szCs w:val="24"/>
                <w:lang w:bidi="ar"/>
                <w14:textFill>
                  <w14:solidFill>
                    <w14:schemeClr w14:val="tx1"/>
                  </w14:solidFill>
                </w14:textFill>
              </w:rPr>
              <w:fldChar w:fldCharType="begin"/>
            </w:r>
            <w:r>
              <w:rPr>
                <w:color w:val="000000" w:themeColor="text1"/>
                <w:sz w:val="24"/>
                <w:szCs w:val="24"/>
                <w:lang w:bidi="ar"/>
                <w14:textFill>
                  <w14:solidFill>
                    <w14:schemeClr w14:val="tx1"/>
                  </w14:solidFill>
                </w14:textFill>
              </w:rPr>
              <w:instrText xml:space="preserve"> HYPERLINK "https://baike.so.com/doc/303971-321815.html" \t "https://baike.so.com/doc/_blank" </w:instrText>
            </w:r>
            <w:r>
              <w:rPr>
                <w:color w:val="000000" w:themeColor="text1"/>
                <w:sz w:val="24"/>
                <w:szCs w:val="24"/>
                <w:lang w:bidi="ar"/>
                <w14:textFill>
                  <w14:solidFill>
                    <w14:schemeClr w14:val="tx1"/>
                  </w14:solidFill>
                </w14:textFill>
              </w:rPr>
              <w:fldChar w:fldCharType="separate"/>
            </w:r>
            <w:r>
              <w:rPr>
                <w:color w:val="000000" w:themeColor="text1"/>
                <w:sz w:val="24"/>
                <w:szCs w:val="24"/>
                <w:lang w:bidi="ar"/>
                <w14:textFill>
                  <w14:solidFill>
                    <w14:schemeClr w14:val="tx1"/>
                  </w14:solidFill>
                </w14:textFill>
              </w:rPr>
              <w:t>钙盐</w:t>
            </w:r>
            <w:r>
              <w:rPr>
                <w:color w:val="000000" w:themeColor="text1"/>
                <w:sz w:val="24"/>
                <w:szCs w:val="24"/>
                <w:lang w:bidi="ar"/>
                <w14:textFill>
                  <w14:solidFill>
                    <w14:schemeClr w14:val="tx1"/>
                  </w14:solidFill>
                </w14:textFill>
              </w:rPr>
              <w:fldChar w:fldCharType="end"/>
            </w:r>
            <w:r>
              <w:rPr>
                <w:color w:val="000000" w:themeColor="text1"/>
                <w:sz w:val="24"/>
                <w:szCs w:val="24"/>
                <w:lang w:bidi="ar"/>
                <w14:textFill>
                  <w14:solidFill>
                    <w14:schemeClr w14:val="tx1"/>
                  </w14:solidFill>
                </w14:textFill>
              </w:rPr>
              <w:t>和镁盐</w:t>
            </w:r>
            <w:r>
              <w:rPr>
                <w:rFonts w:hint="eastAsia"/>
                <w:color w:val="000000" w:themeColor="text1"/>
                <w:sz w:val="24"/>
                <w:szCs w:val="24"/>
                <w:lang w:eastAsia="zh-CN" w:bidi="ar"/>
                <w14:textFill>
                  <w14:solidFill>
                    <w14:schemeClr w14:val="tx1"/>
                  </w14:solidFill>
                </w14:textFill>
              </w:rPr>
              <w:t>、</w:t>
            </w:r>
            <w:r>
              <w:rPr>
                <w:color w:val="000000" w:themeColor="text1"/>
                <w:sz w:val="24"/>
                <w:szCs w:val="24"/>
                <w:lang w:bidi="ar"/>
                <w14:textFill>
                  <w14:solidFill>
                    <w14:schemeClr w14:val="tx1"/>
                  </w14:solidFill>
                </w14:textFill>
              </w:rPr>
              <w:t>可溶性无机物、有机物、颗粒物等</w:t>
            </w:r>
            <w:r>
              <w:rPr>
                <w:rFonts w:hint="eastAsia"/>
                <w:color w:val="000000" w:themeColor="text1"/>
                <w:sz w:val="24"/>
                <w:szCs w:val="24"/>
                <w:lang w:bidi="ar"/>
                <w14:textFill>
                  <w14:solidFill>
                    <w14:schemeClr w14:val="tx1"/>
                  </w14:solidFill>
                </w14:textFill>
              </w:rPr>
              <w:t>，不含有毒、有害成分，不属于《国家危险废物名录(2025年版)》中规定的危险废物，属于一般工业固废</w:t>
            </w:r>
            <w:r>
              <w:rPr>
                <w:rFonts w:hint="eastAsia"/>
                <w:color w:val="000000" w:themeColor="text1"/>
                <w:sz w:val="24"/>
                <w:szCs w:val="24"/>
                <w:lang w:eastAsia="zh-CN" w:bidi="ar"/>
                <w14:textFill>
                  <w14:solidFill>
                    <w14:schemeClr w14:val="tx1"/>
                  </w14:solidFill>
                </w14:textFill>
              </w:rPr>
              <w:t>。</w:t>
            </w:r>
            <w:r>
              <w:rPr>
                <w:rFonts w:hint="eastAsia"/>
                <w:color w:val="000000" w:themeColor="text1"/>
                <w:sz w:val="24"/>
                <w:szCs w:val="24"/>
                <w:lang w:val="en-US" w:eastAsia="zh-CN" w:bidi="ar"/>
                <w14:textFill>
                  <w14:solidFill>
                    <w14:schemeClr w14:val="tx1"/>
                  </w14:solidFill>
                </w14:textFill>
              </w:rPr>
              <w:t>现有1台纯水机，本次新增1台，原环评未考虑该部分固废，</w:t>
            </w:r>
            <w:r>
              <w:rPr>
                <w:rFonts w:hint="eastAsia"/>
                <w:color w:val="000000" w:themeColor="text1"/>
                <w:sz w:val="24"/>
                <w:szCs w:val="24"/>
                <w:lang w:bidi="ar"/>
                <w14:textFill>
                  <w14:solidFill>
                    <w14:schemeClr w14:val="tx1"/>
                  </w14:solidFill>
                </w14:textFill>
              </w:rPr>
              <w:t>根据</w:t>
            </w:r>
            <w:r>
              <w:rPr>
                <w:rFonts w:hint="eastAsia"/>
                <w:color w:val="000000" w:themeColor="text1"/>
                <w:sz w:val="24"/>
                <w:szCs w:val="24"/>
                <w:lang w:val="en-US" w:eastAsia="zh-CN" w:bidi="ar"/>
                <w14:textFill>
                  <w14:solidFill>
                    <w14:schemeClr w14:val="tx1"/>
                  </w14:solidFill>
                </w14:textFill>
              </w:rPr>
              <w:t>企业提供实际运行情况</w:t>
            </w:r>
            <w:r>
              <w:rPr>
                <w:rFonts w:hint="eastAsia"/>
                <w:color w:val="000000" w:themeColor="text1"/>
                <w:sz w:val="24"/>
                <w:szCs w:val="24"/>
                <w:lang w:bidi="ar"/>
                <w14:textFill>
                  <w14:solidFill>
                    <w14:schemeClr w14:val="tx1"/>
                  </w14:solidFill>
                </w14:textFill>
              </w:rPr>
              <w:t>，预计</w:t>
            </w:r>
            <w:r>
              <w:rPr>
                <w:rFonts w:hint="eastAsia"/>
                <w:color w:val="000000" w:themeColor="text1"/>
                <w:sz w:val="24"/>
                <w:szCs w:val="24"/>
                <w:lang w:val="en-US" w:eastAsia="zh-CN" w:bidi="ar"/>
                <w14:textFill>
                  <w14:solidFill>
                    <w14:schemeClr w14:val="tx1"/>
                  </w14:solidFill>
                </w14:textFill>
              </w:rPr>
              <w:t>每年更换1次滤芯，</w:t>
            </w:r>
            <w:r>
              <w:rPr>
                <w:rFonts w:hint="eastAsia"/>
                <w:color w:val="000000" w:themeColor="text1"/>
                <w:sz w:val="24"/>
                <w:szCs w:val="24"/>
                <w:lang w:bidi="ar"/>
                <w14:textFill>
                  <w14:solidFill>
                    <w14:schemeClr w14:val="tx1"/>
                  </w14:solidFill>
                </w14:textFill>
              </w:rPr>
              <w:t>产生废</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RO</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膜</w:t>
            </w:r>
            <w:r>
              <w:rPr>
                <w:rFonts w:hint="eastAsia"/>
                <w:color w:val="000000" w:themeColor="text1"/>
                <w:sz w:val="24"/>
                <w:szCs w:val="24"/>
                <w:lang w:bidi="ar"/>
                <w14:textFill>
                  <w14:solidFill>
                    <w14:schemeClr w14:val="tx1"/>
                  </w14:solidFill>
                </w14:textFill>
              </w:rPr>
              <w:t>0.0</w:t>
            </w:r>
            <w:r>
              <w:rPr>
                <w:rFonts w:hint="eastAsia"/>
                <w:color w:val="000000" w:themeColor="text1"/>
                <w:sz w:val="24"/>
                <w:szCs w:val="24"/>
                <w:lang w:val="en-US" w:eastAsia="zh-CN" w:bidi="ar"/>
                <w14:textFill>
                  <w14:solidFill>
                    <w14:schemeClr w14:val="tx1"/>
                  </w14:solidFill>
                </w14:textFill>
              </w:rPr>
              <w:t>2</w:t>
            </w:r>
            <w:r>
              <w:rPr>
                <w:rFonts w:hint="eastAsia"/>
                <w:color w:val="000000" w:themeColor="text1"/>
                <w:sz w:val="24"/>
                <w:szCs w:val="24"/>
                <w:lang w:bidi="ar"/>
                <w14:textFill>
                  <w14:solidFill>
                    <w14:schemeClr w14:val="tx1"/>
                  </w14:solidFill>
                </w14:textFill>
              </w:rPr>
              <w:t>t、废过滤材料0.0</w:t>
            </w:r>
            <w:r>
              <w:rPr>
                <w:rFonts w:hint="eastAsia"/>
                <w:color w:val="000000" w:themeColor="text1"/>
                <w:sz w:val="24"/>
                <w:szCs w:val="24"/>
                <w:lang w:val="en-US" w:eastAsia="zh-CN" w:bidi="ar"/>
                <w14:textFill>
                  <w14:solidFill>
                    <w14:schemeClr w14:val="tx1"/>
                  </w14:solidFill>
                </w14:textFill>
              </w:rPr>
              <w:t>5</w:t>
            </w:r>
            <w:r>
              <w:rPr>
                <w:rFonts w:hint="eastAsia"/>
                <w:color w:val="000000" w:themeColor="text1"/>
                <w:sz w:val="24"/>
                <w:szCs w:val="24"/>
                <w:lang w:bidi="ar"/>
                <w14:textFill>
                  <w14:solidFill>
                    <w14:schemeClr w14:val="tx1"/>
                  </w14:solidFill>
                </w14:textFill>
              </w:rPr>
              <w:t>t/a，</w:t>
            </w:r>
            <w:r>
              <w:rPr>
                <w:rFonts w:hint="eastAsia" w:ascii="宋体" w:hAnsi="宋体" w:cs="宋体"/>
                <w:color w:val="000000" w:themeColor="text1"/>
                <w:kern w:val="0"/>
                <w:sz w:val="24"/>
                <w:szCs w:val="24"/>
                <w:lang w:bidi="ar"/>
                <w14:textFill>
                  <w14:solidFill>
                    <w14:schemeClr w14:val="tx1"/>
                  </w14:solidFill>
                </w14:textFill>
              </w:rPr>
              <w:t>交由专业回收公司处理</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，固体废物代码为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900-0</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09</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-S</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59</w:t>
            </w:r>
            <w:r>
              <w:rPr>
                <w:rFonts w:hint="eastAsia" w:ascii="宋体" w:hAnsi="宋体" w:cs="宋体"/>
                <w:color w:val="000000" w:themeColor="text1"/>
                <w:kern w:val="0"/>
                <w:sz w:val="24"/>
                <w:szCs w:val="24"/>
                <w:lang w:bidi="ar"/>
                <w14:textFill>
                  <w14:solidFill>
                    <w14:schemeClr w14:val="tx1"/>
                  </w14:solidFill>
                </w14:textFill>
              </w:rPr>
              <w:t>。</w:t>
            </w:r>
          </w:p>
          <w:p w14:paraId="0C81161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②车间地面收集的喷粉粉尘</w:t>
            </w:r>
          </w:p>
          <w:p w14:paraId="4B6E0B6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根据前文分析，本项目喷粉粉尘产生量为52.8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，未收集的部分约70%在喷粉房内沉降，则沉降粉尘约</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3.753</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t/a，定期清扫后外售相关单位利用，固体废物代码为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900-0</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99</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-S</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59。</w:t>
            </w:r>
          </w:p>
          <w:p w14:paraId="08F1708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③废包装材料</w:t>
            </w:r>
          </w:p>
          <w:p w14:paraId="4C34328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项目原料拆包、产品包装过程将产生塑料袋、纸箱等废包装材料，产生量约为</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，固体废物代码为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900-003-S17</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900-005-S17</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。收集后外售给资源回收单位利用。</w:t>
            </w:r>
          </w:p>
          <w:p w14:paraId="7C92E8A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④</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废遮蔽膜（喷粉用）</w:t>
            </w:r>
          </w:p>
          <w:p w14:paraId="2A2D14A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项目采用遮蔽膜确保工件喷涂准确性，撕膜工序会产生沾染涂料的废遮蔽膜，项目年用遮蔽膜为0.5t，其中用于喷粉前的量约0.2t，按照全部损耗计算，则废遮蔽膜（喷粉用）产生量为0.2t/a，其属于一般工业固体废物，固体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900-003-S17</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经收集后暂存于一般工业固体废物间，外售给资源回收单位利用</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w:t>
            </w:r>
          </w:p>
          <w:p w14:paraId="075A769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危险废物</w:t>
            </w:r>
          </w:p>
          <w:p w14:paraId="6F3DE13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项目危险废物包括槽渣、废槽液、废超滤芯、</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废涂料渣、</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废原料桶、废气处理过程中产生的废活性炭、废水处理站污泥、废机油和废机油桶等。</w:t>
            </w:r>
          </w:p>
          <w:p w14:paraId="48A9B8F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①槽渣</w:t>
            </w:r>
          </w:p>
          <w:p w14:paraId="51BD6B5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 xml:space="preserve">参考《排放源统计调查产排污核算方法和系数手册》（生态环境部 </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2021.6.11</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）电镀行业系数手册，“其他电镀生产线”危险废物槽渣产生量约</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0.002</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千克</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平方米</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产品，项目脱脂、磷化、酸洗、钝化、电泳处理总量约</w:t>
            </w:r>
            <w:r>
              <w:rPr>
                <w:rFonts w:hint="eastAsia"/>
                <w:bCs/>
                <w:color w:val="000000" w:themeColor="text1"/>
                <w:sz w:val="24"/>
                <w:szCs w:val="24"/>
                <w:lang w:val="en-US" w:eastAsia="zh-CN"/>
                <w14:textFill>
                  <w14:solidFill>
                    <w14:schemeClr w14:val="tx1"/>
                  </w14:solidFill>
                </w14:textFill>
              </w:rPr>
              <w:t>1382400</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平米</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年，则槽渣（含槽液经滤网过滤产生的残渣）产生量约2.77</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p>
          <w:p w14:paraId="4FDAD8F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根据《国家危险废物名录》（</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年版），项目槽渣属于危险废物，为“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HW17</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表面处理废物：金属或者塑料表面酸（碱）洗、除油、除锈（不包括喷砂除锈）、洗涤、磷化、出光、化抛工艺产生的废腐蚀液、废洗涤液、废槽液、槽渣和废水处理污泥”，废物代码为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336-064-17</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。经收集后暂存于危险废物贮存间，定期交由委托有危废资质的单位回收处理。</w:t>
            </w:r>
          </w:p>
          <w:p w14:paraId="705A633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②废槽液</w:t>
            </w:r>
          </w:p>
          <w:p w14:paraId="6B9FF0C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项目主脱脂槽、磷化槽、酸洗槽、钝化槽、电泳槽</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、脱漆槽</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中槽液日常循环使用，定期捞渣，</w:t>
            </w:r>
            <w:r>
              <w:rPr>
                <w:rFonts w:hint="eastAsia" w:ascii="宋体" w:hAnsi="宋体" w:eastAsia="宋体" w:cs="宋体"/>
                <w:color w:val="000000" w:themeColor="text1"/>
                <w:kern w:val="0"/>
                <w:position w:val="0"/>
                <w:sz w:val="24"/>
                <w:szCs w:val="24"/>
                <w:highlight w:val="none"/>
                <w:lang w:val="en-US" w:eastAsia="zh-CN" w:bidi="ar"/>
                <w14:textFill>
                  <w14:solidFill>
                    <w14:schemeClr w14:val="tx1"/>
                  </w14:solidFill>
                </w14:textFill>
              </w:rPr>
              <w:t>脱脂槽设有油水分离装置，</w:t>
            </w: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磷化</w:t>
            </w:r>
            <w:r>
              <w:rPr>
                <w:rFonts w:hint="eastAsia" w:ascii="宋体" w:hAnsi="宋体" w:eastAsia="宋体" w:cs="宋体"/>
                <w:color w:val="000000" w:themeColor="text1"/>
                <w:kern w:val="0"/>
                <w:position w:val="0"/>
                <w:sz w:val="24"/>
                <w:szCs w:val="24"/>
                <w:highlight w:val="none"/>
                <w:lang w:val="en-US" w:eastAsia="zh-CN" w:bidi="ar"/>
                <w14:textFill>
                  <w14:solidFill>
                    <w14:schemeClr w14:val="tx1"/>
                  </w14:solidFill>
                </w14:textFill>
              </w:rPr>
              <w:t>槽设有</w:t>
            </w: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自动除渣系统</w:t>
            </w:r>
            <w:r>
              <w:rPr>
                <w:rFonts w:hint="eastAsia"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，电泳槽设有超滤系统，</w:t>
            </w:r>
            <w:r>
              <w:rPr>
                <w:rFonts w:hint="eastAsia" w:ascii="宋体" w:hAnsi="宋体" w:eastAsia="宋体" w:cs="宋体"/>
                <w:color w:val="000000" w:themeColor="text1"/>
                <w:kern w:val="0"/>
                <w:position w:val="0"/>
                <w:sz w:val="24"/>
                <w:szCs w:val="24"/>
                <w:highlight w:val="none"/>
                <w:lang w:val="en-US" w:eastAsia="zh-CN" w:bidi="ar"/>
                <w14:textFill>
                  <w14:solidFill>
                    <w14:schemeClr w14:val="tx1"/>
                  </w14:solidFill>
                </w14:textFill>
              </w:rPr>
              <w:t>以延长各</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槽</w:t>
            </w:r>
            <w:r>
              <w:rPr>
                <w:rFonts w:hint="eastAsia" w:ascii="宋体" w:hAnsi="宋体" w:eastAsia="宋体" w:cs="宋体"/>
                <w:color w:val="000000" w:themeColor="text1"/>
                <w:kern w:val="0"/>
                <w:position w:val="0"/>
                <w:sz w:val="24"/>
                <w:szCs w:val="24"/>
                <w:highlight w:val="none"/>
                <w:lang w:val="en-US" w:eastAsia="zh-CN" w:bidi="ar"/>
                <w14:textFill>
                  <w14:solidFill>
                    <w14:schemeClr w14:val="tx1"/>
                  </w14:solidFill>
                </w14:textFill>
              </w:rPr>
              <w:t>液的使用寿命，但槽液循环使用一段时间后，仍需排放，</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主脱脂槽</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每年更换1次</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槽液</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，其他</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2年更换</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次槽液，</w:t>
            </w:r>
            <w:r>
              <w:rPr>
                <w:rFonts w:hint="eastAsia" w:cs="Times New Roman"/>
                <w:bCs/>
                <w:color w:val="000000" w:themeColor="text1"/>
                <w:sz w:val="24"/>
                <w:szCs w:val="24"/>
                <w:lang w:val="en-US" w:eastAsia="zh-CN"/>
                <w14:textFill>
                  <w14:solidFill>
                    <w14:schemeClr w14:val="tx1"/>
                  </w14:solidFill>
                </w14:textFill>
              </w:rPr>
              <w:t>则</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废槽液总产生量为</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137.95</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，为《国家危险废物名录》（</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年版）“</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HW17</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表面处理废物：金属或者塑料表面酸（碱）洗、除油、除锈（不包括喷砂除锈）、洗涤、磷化、出光、化抛工艺产生的废腐蚀液、废洗涤液、废槽液、槽渣和废水处理污泥”，废物代码为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336-064-17</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废槽液更换时联系危险废物运输公司到厂区内转运处置，不在厂区内贮存</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p>
          <w:p w14:paraId="25E3838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③废脱漆液</w:t>
            </w:r>
          </w:p>
          <w:p w14:paraId="0033DD5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脱漆槽每年使用5吨脱漆剂，其中有机溶剂50%挥发，其余作为废槽液定期更换，则废脱漆液总产生量为3.25</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，为《国家危险废物名录》（</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年版）“</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HW17</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表面处理废物：镀层剥除过程中产生的废槽液、槽渣和废水处理污泥”，废物代码为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336-</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066</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-17</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。废脱漆液更换时联系危险废物运输公司到厂区内转运处置，不在厂区内贮存。</w:t>
            </w:r>
          </w:p>
          <w:p w14:paraId="0354155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④废超滤芯</w:t>
            </w:r>
          </w:p>
          <w:p w14:paraId="0EFBC04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项目电泳回收槽中有超滤装置，在运行过程中由于滤芯具有时效性，需定期更换，</w:t>
            </w:r>
            <w:r>
              <w:rPr>
                <w:rFonts w:hint="eastAsia"/>
                <w:color w:val="000000" w:themeColor="text1"/>
                <w:sz w:val="24"/>
                <w:szCs w:val="24"/>
                <w:lang w:val="en-US" w:eastAsia="zh-CN" w:bidi="ar"/>
                <w14:textFill>
                  <w14:solidFill>
                    <w14:schemeClr w14:val="tx1"/>
                  </w14:solidFill>
                </w14:textFill>
              </w:rPr>
              <w:t>现有1台</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超滤装置</w:t>
            </w:r>
            <w:r>
              <w:rPr>
                <w:rFonts w:hint="eastAsia"/>
                <w:color w:val="000000" w:themeColor="text1"/>
                <w:sz w:val="24"/>
                <w:szCs w:val="24"/>
                <w:lang w:val="en-US" w:eastAsia="zh-CN" w:bidi="ar"/>
                <w14:textFill>
                  <w14:solidFill>
                    <w14:schemeClr w14:val="tx1"/>
                  </w14:solidFill>
                </w14:textFill>
              </w:rPr>
              <w:t>，本次新增1台，原环评未考虑该部分固废，</w:t>
            </w:r>
            <w:r>
              <w:rPr>
                <w:rFonts w:hint="eastAsia"/>
                <w:color w:val="000000" w:themeColor="text1"/>
                <w:sz w:val="24"/>
                <w:szCs w:val="24"/>
                <w:lang w:bidi="ar"/>
                <w14:textFill>
                  <w14:solidFill>
                    <w14:schemeClr w14:val="tx1"/>
                  </w14:solidFill>
                </w14:textFill>
              </w:rPr>
              <w:t>根据</w:t>
            </w:r>
            <w:r>
              <w:rPr>
                <w:rFonts w:hint="eastAsia"/>
                <w:color w:val="000000" w:themeColor="text1"/>
                <w:sz w:val="24"/>
                <w:szCs w:val="24"/>
                <w:lang w:val="en-US" w:eastAsia="zh-CN" w:bidi="ar"/>
                <w14:textFill>
                  <w14:solidFill>
                    <w14:schemeClr w14:val="tx1"/>
                  </w14:solidFill>
                </w14:textFill>
              </w:rPr>
              <w:t>企业提供实际运行情况</w:t>
            </w:r>
            <w:r>
              <w:rPr>
                <w:rFonts w:hint="eastAsia"/>
                <w:color w:val="000000" w:themeColor="text1"/>
                <w:sz w:val="24"/>
                <w:szCs w:val="24"/>
                <w:lang w:bidi="ar"/>
                <w14:textFill>
                  <w14:solidFill>
                    <w14:schemeClr w14:val="tx1"/>
                  </w14:solidFill>
                </w14:textFill>
              </w:rPr>
              <w:t>，预计</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滤芯平均1个季度更换一次，每次产生滤芯约为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，则滤芯年产生量为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。滤芯属于《国家危险废物名录》（</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年版）中的</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HW49</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其他废物（含有或沾染毒性、感染性危险废物的废弃包装物、容器、过滤吸附介质），废物代码为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900-041-49</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。经收集后暂存于危险废物贮存间，定期交由委托有危废资质的单位回收处理。</w:t>
            </w:r>
          </w:p>
          <w:p w14:paraId="583B0EA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⑤涂料渣</w:t>
            </w:r>
          </w:p>
          <w:p w14:paraId="415A091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color w:val="000000" w:themeColor="text1"/>
                <w:sz w:val="24"/>
                <w:szCs w:val="24"/>
                <w:lang w:val="en-US" w:eastAsia="zh-CN"/>
                <w14:textFill>
                  <w14:solidFill>
                    <w14:schemeClr w14:val="tx1"/>
                  </w14:solidFill>
                </w14:textFill>
              </w:rPr>
              <w:t>喷胶及喷漆</w:t>
            </w:r>
            <w:r>
              <w:rPr>
                <w:rFonts w:hint="eastAsia" w:ascii="Times New Roman" w:hAnsi="Times New Roman"/>
                <w:color w:val="000000" w:themeColor="text1"/>
                <w:sz w:val="24"/>
                <w:szCs w:val="24"/>
                <w14:textFill>
                  <w14:solidFill>
                    <w14:schemeClr w14:val="tx1"/>
                  </w14:solidFill>
                </w14:textFill>
              </w:rPr>
              <w:t>过程中部分涂料未附着至工件上，</w:t>
            </w:r>
            <w:r>
              <w:rPr>
                <w:rFonts w:hint="eastAsia" w:ascii="Times New Roman" w:hAnsi="Times New Roman"/>
                <w:color w:val="000000" w:themeColor="text1"/>
                <w:sz w:val="24"/>
                <w:szCs w:val="24"/>
                <w:lang w:val="en-US" w:eastAsia="zh-CN"/>
                <w14:textFill>
                  <w14:solidFill>
                    <w14:schemeClr w14:val="tx1"/>
                  </w14:solidFill>
                </w14:textFill>
              </w:rPr>
              <w:t>粘附在喷胶房四壁即喷涂工位附近，定期铲除，</w:t>
            </w:r>
            <w:r>
              <w:rPr>
                <w:rFonts w:hint="eastAsia" w:ascii="Times New Roman" w:hAnsi="Times New Roman"/>
                <w:color w:val="000000" w:themeColor="text1"/>
                <w:sz w:val="24"/>
                <w:szCs w:val="24"/>
                <w14:textFill>
                  <w14:solidFill>
                    <w14:schemeClr w14:val="tx1"/>
                  </w14:solidFill>
                </w14:textFill>
              </w:rPr>
              <w:t>上漆率以</w:t>
            </w:r>
            <w:r>
              <w:rPr>
                <w:rFonts w:hint="eastAsia" w:ascii="Times New Roman" w:hAnsi="Times New Roman"/>
                <w:color w:val="000000" w:themeColor="text1"/>
                <w:sz w:val="24"/>
                <w:szCs w:val="24"/>
                <w:lang w:val="en-US" w:eastAsia="zh-CN"/>
                <w14:textFill>
                  <w14:solidFill>
                    <w14:schemeClr w14:val="tx1"/>
                  </w14:solidFill>
                </w14:textFill>
              </w:rPr>
              <w:t>95</w:t>
            </w:r>
            <w:r>
              <w:rPr>
                <w:rFonts w:hint="eastAsia" w:ascii="Times New Roman" w:hAnsi="Times New Roman"/>
                <w:color w:val="000000" w:themeColor="text1"/>
                <w:sz w:val="24"/>
                <w:szCs w:val="24"/>
                <w14:textFill>
                  <w14:solidFill>
                    <w14:schemeClr w14:val="tx1"/>
                  </w14:solidFill>
                </w14:textFill>
              </w:rPr>
              <w:t>%计，</w:t>
            </w:r>
            <w:r>
              <w:rPr>
                <w:rFonts w:hint="eastAsia" w:ascii="Times New Roman" w:hAnsi="Times New Roman"/>
                <w:color w:val="000000" w:themeColor="text1"/>
                <w:sz w:val="24"/>
                <w:szCs w:val="24"/>
                <w:lang w:val="en-US" w:eastAsia="zh-CN"/>
                <w14:textFill>
                  <w14:solidFill>
                    <w14:schemeClr w14:val="tx1"/>
                  </w14:solidFill>
                </w14:textFill>
              </w:rPr>
              <w:t>产生PVC</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涂料（胶）</w:t>
            </w:r>
            <w:r>
              <w:rPr>
                <w:rFonts w:hint="eastAsia" w:ascii="Times New Roman" w:hAnsi="Times New Roman" w:cs="Times New Roman"/>
                <w:color w:val="000000" w:themeColor="text1"/>
                <w:sz w:val="24"/>
                <w:szCs w:val="24"/>
                <w:lang w:val="en-US" w:eastAsia="zh-CN"/>
                <w14:textFill>
                  <w14:solidFill>
                    <w14:schemeClr w14:val="tx1"/>
                  </w14:solidFill>
                </w14:textFill>
              </w:rPr>
              <w:t>渣</w:t>
            </w:r>
            <w:r>
              <w:rPr>
                <w:rFonts w:hint="eastAsia" w:ascii="Times New Roman" w:hAnsi="Times New Roman"/>
                <w:color w:val="000000" w:themeColor="text1"/>
                <w:sz w:val="24"/>
                <w:szCs w:val="24"/>
                <w14:textFill>
                  <w14:solidFill>
                    <w14:schemeClr w14:val="tx1"/>
                  </w14:solidFill>
                </w14:textFill>
              </w:rPr>
              <w:t>约为</w:t>
            </w:r>
            <w:r>
              <w:rPr>
                <w:rFonts w:hint="eastAsia" w:ascii="Times New Roman" w:hAnsi="Times New Roman"/>
                <w:color w:val="000000" w:themeColor="text1"/>
                <w:sz w:val="24"/>
                <w:szCs w:val="24"/>
                <w14:textFill>
                  <w14:solidFill>
                    <w14:schemeClr w14:val="tx1"/>
                  </w14:solidFill>
                </w14:textFill>
              </w:rPr>
              <w:fldChar w:fldCharType="begin"/>
            </w:r>
            <w:r>
              <w:rPr>
                <w:rFonts w:hint="eastAsia" w:ascii="Times New Roman" w:hAnsi="Times New Roman"/>
                <w:color w:val="000000" w:themeColor="text1"/>
                <w:sz w:val="24"/>
                <w:szCs w:val="24"/>
                <w14:textFill>
                  <w14:solidFill>
                    <w14:schemeClr w14:val="tx1"/>
                  </w14:solidFill>
                </w14:textFill>
              </w:rPr>
              <w:instrText xml:space="preserve"> = 152*0.05 \* MERGEFORMAT </w:instrText>
            </w:r>
            <w:r>
              <w:rPr>
                <w:rFonts w:hint="eastAsia" w:ascii="Times New Roman" w:hAnsi="Times New Roman"/>
                <w:color w:val="000000" w:themeColor="text1"/>
                <w:sz w:val="24"/>
                <w:szCs w:val="24"/>
                <w14:textFill>
                  <w14:solidFill>
                    <w14:schemeClr w14:val="tx1"/>
                  </w14:solidFill>
                </w14:textFill>
              </w:rPr>
              <w:fldChar w:fldCharType="separate"/>
            </w:r>
            <w:r>
              <w:rPr>
                <w:rFonts w:hint="eastAsia" w:ascii="Times New Roman" w:hAnsi="Times New Roman"/>
                <w:color w:val="000000" w:themeColor="text1"/>
                <w:sz w:val="24"/>
                <w:szCs w:val="24"/>
                <w14:textFill>
                  <w14:solidFill>
                    <w14:schemeClr w14:val="tx1"/>
                  </w14:solidFill>
                </w14:textFill>
              </w:rPr>
              <w:t>7.6</w:t>
            </w:r>
            <w:r>
              <w:rPr>
                <w:rFonts w:hint="eastAsia" w:ascii="Times New Roman" w:hAnsi="Times New Roman"/>
                <w:color w:val="000000" w:themeColor="text1"/>
                <w:sz w:val="24"/>
                <w:szCs w:val="24"/>
                <w14:textFill>
                  <w14:solidFill>
                    <w14:schemeClr w14:val="tx1"/>
                  </w14:solidFill>
                </w14:textFill>
              </w:rPr>
              <w:fldChar w:fldCharType="end"/>
            </w:r>
            <w:r>
              <w:rPr>
                <w:rFonts w:hint="eastAsia" w:ascii="Times New Roman" w:hAnsi="Times New Roman"/>
                <w:color w:val="000000" w:themeColor="text1"/>
                <w:sz w:val="24"/>
                <w:szCs w:val="24"/>
                <w14:textFill>
                  <w14:solidFill>
                    <w14:schemeClr w14:val="tx1"/>
                  </w14:solidFill>
                </w14:textFill>
              </w:rPr>
              <w:t>t/a，</w:t>
            </w:r>
            <w:r>
              <w:rPr>
                <w:rFonts w:hint="eastAsia" w:ascii="Times New Roman" w:hAnsi="Times New Roman"/>
                <w:color w:val="000000" w:themeColor="text1"/>
                <w:sz w:val="24"/>
                <w:szCs w:val="24"/>
                <w:lang w:val="en-US" w:eastAsia="zh-CN"/>
                <w14:textFill>
                  <w14:solidFill>
                    <w14:schemeClr w14:val="tx1"/>
                  </w14:solidFill>
                </w14:textFill>
              </w:rPr>
              <w:t>烤漆渣约</w:t>
            </w:r>
            <w:r>
              <w:rPr>
                <w:rFonts w:hint="eastAsia" w:ascii="Times New Roman" w:hAnsi="Times New Roman"/>
                <w:color w:val="000000" w:themeColor="text1"/>
                <w:sz w:val="24"/>
                <w:szCs w:val="24"/>
                <w:lang w:val="en-US" w:eastAsia="zh-CN"/>
                <w14:textFill>
                  <w14:solidFill>
                    <w14:schemeClr w14:val="tx1"/>
                  </w14:solidFill>
                </w14:textFill>
              </w:rPr>
              <w:fldChar w:fldCharType="begin"/>
            </w:r>
            <w:r>
              <w:rPr>
                <w:rFonts w:hint="eastAsia" w:ascii="Times New Roman" w:hAnsi="Times New Roman"/>
                <w:color w:val="000000" w:themeColor="text1"/>
                <w:sz w:val="24"/>
                <w:szCs w:val="24"/>
                <w:lang w:val="en-US" w:eastAsia="zh-CN"/>
                <w14:textFill>
                  <w14:solidFill>
                    <w14:schemeClr w14:val="tx1"/>
                  </w14:solidFill>
                </w14:textFill>
              </w:rPr>
              <w:instrText xml:space="preserve"> = 0.5*0.8*0.05 \* MERGEFORMAT </w:instrText>
            </w:r>
            <w:r>
              <w:rPr>
                <w:rFonts w:hint="eastAsia" w:ascii="Times New Roman" w:hAnsi="Times New Roman"/>
                <w:color w:val="000000" w:themeColor="text1"/>
                <w:sz w:val="24"/>
                <w:szCs w:val="24"/>
                <w:lang w:val="en-US" w:eastAsia="zh-CN"/>
                <w14:textFill>
                  <w14:solidFill>
                    <w14:schemeClr w14:val="tx1"/>
                  </w14:solidFill>
                </w14:textFill>
              </w:rPr>
              <w:fldChar w:fldCharType="separate"/>
            </w:r>
            <w:r>
              <w:rPr>
                <w:rFonts w:hint="eastAsia" w:ascii="Times New Roman" w:hAnsi="Times New Roman"/>
                <w:color w:val="000000" w:themeColor="text1"/>
                <w:sz w:val="24"/>
                <w:szCs w:val="24"/>
                <w:lang w:val="en-US" w:eastAsia="zh-CN"/>
                <w14:textFill>
                  <w14:solidFill>
                    <w14:schemeClr w14:val="tx1"/>
                  </w14:solidFill>
                </w14:textFill>
              </w:rPr>
              <w:t>0.02</w:t>
            </w:r>
            <w:r>
              <w:rPr>
                <w:rFonts w:hint="eastAsia" w:ascii="Times New Roman" w:hAnsi="Times New Roman"/>
                <w:color w:val="000000" w:themeColor="text1"/>
                <w:sz w:val="24"/>
                <w:szCs w:val="24"/>
                <w:lang w:val="en-US" w:eastAsia="zh-CN"/>
                <w14:textFill>
                  <w14:solidFill>
                    <w14:schemeClr w14:val="tx1"/>
                  </w14:solidFill>
                </w14:textFill>
              </w:rPr>
              <w:fldChar w:fldCharType="end"/>
            </w:r>
            <w:r>
              <w:rPr>
                <w:rFonts w:hint="eastAsia" w:ascii="Times New Roman" w:hAnsi="Times New Roman"/>
                <w:color w:val="000000" w:themeColor="text1"/>
                <w:sz w:val="24"/>
                <w:szCs w:val="24"/>
                <w14:textFill>
                  <w14:solidFill>
                    <w14:schemeClr w14:val="tx1"/>
                  </w14:solidFill>
                </w14:textFill>
              </w:rPr>
              <w:t>t/a</w:t>
            </w:r>
            <w:r>
              <w:rPr>
                <w:rFonts w:hint="eastAsia"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共计7.62</w:t>
            </w:r>
            <w:r>
              <w:rPr>
                <w:rFonts w:hint="eastAsia" w:ascii="Times New Roman" w:hAnsi="Times New Roman"/>
                <w:color w:val="000000" w:themeColor="text1"/>
                <w:sz w:val="24"/>
                <w:szCs w:val="24"/>
                <w14:textFill>
                  <w14:solidFill>
                    <w14:schemeClr w14:val="tx1"/>
                  </w14:solidFill>
                </w14:textFill>
              </w:rPr>
              <w:t>t/a。</w:t>
            </w:r>
            <w:r>
              <w:rPr>
                <w:rFonts w:hint="eastAsia"/>
                <w:color w:val="000000" w:themeColor="text1"/>
                <w:sz w:val="24"/>
                <w:szCs w:val="24"/>
                <w:lang w:val="en-US" w:eastAsia="zh-CN"/>
                <w14:textFill>
                  <w14:solidFill>
                    <w14:schemeClr w14:val="tx1"/>
                  </w14:solidFill>
                </w14:textFill>
              </w:rPr>
              <w:t>另外，喷粉、喷胶过程中经检测产生的不合格品，需打磨或铲除，产生</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漆渣</w:t>
            </w:r>
            <w:r>
              <w:rPr>
                <w:rFonts w:hint="eastAsia" w:cs="Times New Roman"/>
                <w:color w:val="000000" w:themeColor="text1"/>
                <w:spacing w:val="0"/>
                <w:sz w:val="24"/>
                <w:szCs w:val="24"/>
                <w:highlight w:val="none"/>
                <w:lang w:val="en-US" w:eastAsia="zh-CN"/>
                <w14:textFill>
                  <w14:solidFill>
                    <w14:schemeClr w14:val="tx1"/>
                  </w14:solidFill>
                </w14:textFill>
              </w:rPr>
              <w:t>，不合格品率按0.5%计，则产生废漆渣约</w:t>
            </w:r>
            <w:r>
              <w:rPr>
                <w:rFonts w:hint="eastAsia" w:cs="Times New Roman"/>
                <w:color w:val="000000" w:themeColor="text1"/>
                <w:spacing w:val="0"/>
                <w:sz w:val="24"/>
                <w:szCs w:val="24"/>
                <w:highlight w:val="none"/>
                <w:lang w:val="en-US" w:eastAsia="zh-CN"/>
                <w14:textFill>
                  <w14:solidFill>
                    <w14:schemeClr w14:val="tx1"/>
                  </w14:solidFill>
                </w14:textFill>
              </w:rPr>
              <w:fldChar w:fldCharType="begin"/>
            </w:r>
            <w:r>
              <w:rPr>
                <w:rFonts w:hint="eastAsia" w:cs="Times New Roman"/>
                <w:color w:val="000000" w:themeColor="text1"/>
                <w:spacing w:val="0"/>
                <w:sz w:val="24"/>
                <w:szCs w:val="24"/>
                <w:highlight w:val="none"/>
                <w:lang w:val="en-US" w:eastAsia="zh-CN"/>
                <w14:textFill>
                  <w14:solidFill>
                    <w14:schemeClr w14:val="tx1"/>
                  </w14:solidFill>
                </w14:textFill>
              </w:rPr>
              <w:instrText xml:space="preserve"> = 333.422*0.005 \# "0.00" \* MERGEFORMAT </w:instrText>
            </w:r>
            <w:r>
              <w:rPr>
                <w:rFonts w:hint="eastAsia" w:cs="Times New Roman"/>
                <w:color w:val="000000" w:themeColor="text1"/>
                <w:spacing w:val="0"/>
                <w:sz w:val="24"/>
                <w:szCs w:val="24"/>
                <w:highlight w:val="none"/>
                <w:lang w:val="en-US" w:eastAsia="zh-CN"/>
                <w14:textFill>
                  <w14:solidFill>
                    <w14:schemeClr w14:val="tx1"/>
                  </w14:solidFill>
                </w14:textFill>
              </w:rPr>
              <w:fldChar w:fldCharType="separate"/>
            </w:r>
            <w:r>
              <w:rPr>
                <w:color w:val="000000" w:themeColor="text1"/>
                <w:sz w:val="24"/>
                <w:szCs w:val="24"/>
                <w14:textFill>
                  <w14:solidFill>
                    <w14:schemeClr w14:val="tx1"/>
                  </w14:solidFill>
                </w14:textFill>
              </w:rPr>
              <w:t>1.67</w:t>
            </w:r>
            <w:r>
              <w:rPr>
                <w:rFonts w:hint="eastAsia" w:cs="Times New Roman"/>
                <w:color w:val="000000" w:themeColor="text1"/>
                <w:spacing w:val="0"/>
                <w:sz w:val="24"/>
                <w:szCs w:val="24"/>
                <w:highlight w:val="none"/>
                <w:lang w:val="en-US" w:eastAsia="zh-CN"/>
                <w14:textFill>
                  <w14:solidFill>
                    <w14:schemeClr w14:val="tx1"/>
                  </w14:solidFill>
                </w14:textFill>
              </w:rPr>
              <w:fldChar w:fldCharType="end"/>
            </w:r>
            <w:r>
              <w:rPr>
                <w:rFonts w:hint="eastAsia" w:ascii="Times New Roman" w:hAnsi="Times New Roman"/>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合计产生涂料渣共计9.29</w:t>
            </w:r>
            <w:r>
              <w:rPr>
                <w:rFonts w:hint="eastAsia" w:ascii="Times New Roman" w:hAnsi="Times New Roman"/>
                <w:color w:val="000000" w:themeColor="text1"/>
                <w:sz w:val="24"/>
                <w:szCs w:val="24"/>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涂料渣</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属于《国家危险废物名录》（</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年版）中的</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HW</w:t>
            </w:r>
            <w:r>
              <w:rPr>
                <w:rFonts w:hint="eastAsia" w:ascii="Times New Roman" w:hAnsi="Times New Roman" w:cs="Times New Roman"/>
                <w:b w:val="0"/>
                <w:bCs w:val="0"/>
                <w:color w:val="000000" w:themeColor="text1"/>
                <w:spacing w:val="0"/>
                <w:position w:val="0"/>
                <w:sz w:val="24"/>
                <w:szCs w:val="24"/>
                <w:highlight w:val="none"/>
                <w:u w:val="none"/>
                <w:lang w:val="en-US" w:eastAsia="zh-CN"/>
                <w14:textFill>
                  <w14:solidFill>
                    <w14:schemeClr w14:val="tx1"/>
                  </w14:solidFill>
                </w14:textFill>
              </w:rPr>
              <w:t>12染料、涂料</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废物（使用油漆（不包括水性漆）、有机溶剂进行喷漆、上漆过程</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中通</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过喷漆雾湿法捕集产生的漆渣、以及喷涂工位和管道清理过程产生的落地漆渣），废物代码为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900-</w:t>
            </w:r>
            <w:r>
              <w:rPr>
                <w:rFonts w:hint="eastAsia" w:ascii="Times New Roman" w:hAnsi="Times New Roman" w:cs="Times New Roman"/>
                <w:b w:val="0"/>
                <w:bCs w:val="0"/>
                <w:color w:val="000000" w:themeColor="text1"/>
                <w:spacing w:val="0"/>
                <w:position w:val="0"/>
                <w:sz w:val="24"/>
                <w:szCs w:val="24"/>
                <w:highlight w:val="none"/>
                <w:u w:val="none"/>
                <w:lang w:val="en-US" w:eastAsia="zh-CN"/>
                <w14:textFill>
                  <w14:solidFill>
                    <w14:schemeClr w14:val="tx1"/>
                  </w14:solidFill>
                </w14:textFill>
              </w:rPr>
              <w:t>252</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ascii="Times New Roman" w:hAnsi="Times New Roman" w:cs="Times New Roman"/>
                <w:b w:val="0"/>
                <w:bCs w:val="0"/>
                <w:color w:val="000000" w:themeColor="text1"/>
                <w:spacing w:val="0"/>
                <w:position w:val="0"/>
                <w:sz w:val="24"/>
                <w:szCs w:val="24"/>
                <w:highlight w:val="none"/>
                <w:u w:val="none"/>
                <w:lang w:val="en-US" w:eastAsia="zh-CN"/>
                <w14:textFill>
                  <w14:solidFill>
                    <w14:schemeClr w14:val="tx1"/>
                  </w14:solidFill>
                </w14:textFill>
              </w:rPr>
              <w:t>12</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。经收集后暂存于危险废物贮存间，定期交由委托有危废资质的单位回收处理。</w:t>
            </w:r>
          </w:p>
          <w:p w14:paraId="00DFB2FA">
            <w:pPr>
              <w:pStyle w:val="93"/>
              <w:ind w:firstLine="480"/>
              <w:jc w:val="both"/>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color w:val="000000" w:themeColor="text1"/>
                <w:sz w:val="24"/>
                <w:szCs w:val="24"/>
                <w:lang w:val="en-US" w:eastAsia="zh-CN"/>
                <w14:textFill>
                  <w14:solidFill>
                    <w14:schemeClr w14:val="tx1"/>
                  </w14:solidFill>
                </w14:textFill>
              </w:rPr>
              <w:t>⑥</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危险化学品包装桶</w:t>
            </w:r>
          </w:p>
          <w:p w14:paraId="6450B14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项目脱脂剂、表调</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剂</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、磷化剂、促进剂、</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涂料、硝酸</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、无铬钝化剂</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、油墨、洗网水、稀释剂、脱漆剂</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等原料均使用桶装，使用过程中会产生空包装桶。以上原料年用量为</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459.592</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，包装规格均为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25kg/</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桶，则空包装桶产生量为1</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8384</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个</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/a</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，按每个重量为0.5</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kg</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计算，则空包装桶产生量为</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9.19</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。属于《国家危险废物名录》（</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年版）中的</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HW49</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其他废物（含有或沾染毒性、感染性危险废物的废弃包装物、容器、过滤吸附介质），废物代码为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900-041-49</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。经收集后暂存于危险废物贮存间，定期交由委托有危废资质的单位回收处理。</w:t>
            </w:r>
          </w:p>
          <w:p w14:paraId="57C14AD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⑦</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废水处理设施污泥</w:t>
            </w:r>
          </w:p>
          <w:p w14:paraId="3FFFBDE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废水处理设施</w:t>
            </w:r>
            <w:r>
              <w:rPr>
                <w:rFonts w:hint="eastAsia"/>
                <w:color w:val="000000" w:themeColor="text1"/>
                <w:sz w:val="24"/>
                <w:lang w:bidi="ar"/>
                <w14:textFill>
                  <w14:solidFill>
                    <w14:schemeClr w14:val="tx1"/>
                  </w14:solidFill>
                </w14:textFill>
              </w:rPr>
              <w:t>污泥的产生量约为废水总重量的</w:t>
            </w:r>
            <w:r>
              <w:rPr>
                <w:color w:val="000000" w:themeColor="text1"/>
                <w:sz w:val="24"/>
                <w:szCs w:val="24"/>
                <w:lang w:bidi="ar"/>
                <w14:textFill>
                  <w14:solidFill>
                    <w14:schemeClr w14:val="tx1"/>
                  </w14:solidFill>
                </w14:textFill>
              </w:rPr>
              <w:t>0.</w:t>
            </w:r>
            <w:r>
              <w:rPr>
                <w:rFonts w:hint="eastAsia"/>
                <w:color w:val="000000" w:themeColor="text1"/>
                <w:sz w:val="24"/>
                <w:szCs w:val="24"/>
                <w:lang w:bidi="ar"/>
                <w14:textFill>
                  <w14:solidFill>
                    <w14:schemeClr w14:val="tx1"/>
                  </w14:solidFill>
                </w14:textFill>
              </w:rPr>
              <w:t>1</w:t>
            </w:r>
            <w:r>
              <w:rPr>
                <w:color w:val="000000" w:themeColor="text1"/>
                <w:sz w:val="24"/>
                <w:szCs w:val="24"/>
                <w:lang w:bidi="ar"/>
                <w14:textFill>
                  <w14:solidFill>
                    <w14:schemeClr w14:val="tx1"/>
                  </w14:solidFill>
                </w14:textFill>
              </w:rPr>
              <w:t>%</w:t>
            </w:r>
            <w:r>
              <w:rPr>
                <w:rFonts w:hint="eastAsia"/>
                <w:color w:val="000000" w:themeColor="text1"/>
                <w:sz w:val="24"/>
                <w:szCs w:val="24"/>
                <w:lang w:eastAsia="zh-CN" w:bidi="ar"/>
                <w14:textFill>
                  <w14:solidFill>
                    <w14:schemeClr w14:val="tx1"/>
                  </w14:solidFill>
                </w14:textFill>
              </w:rPr>
              <w:t>～</w:t>
            </w:r>
            <w:r>
              <w:rPr>
                <w:color w:val="000000" w:themeColor="text1"/>
                <w:sz w:val="24"/>
                <w:szCs w:val="24"/>
                <w:lang w:bidi="ar"/>
                <w14:textFill>
                  <w14:solidFill>
                    <w14:schemeClr w14:val="tx1"/>
                  </w14:solidFill>
                </w14:textFill>
              </w:rPr>
              <w:t>0.5%</w:t>
            </w:r>
            <w:r>
              <w:rPr>
                <w:rFonts w:hint="eastAsia"/>
                <w:color w:val="000000" w:themeColor="text1"/>
                <w:sz w:val="24"/>
                <w:szCs w:val="24"/>
                <w:lang w:bidi="ar"/>
                <w14:textFill>
                  <w14:solidFill>
                    <w14:schemeClr w14:val="tx1"/>
                  </w14:solidFill>
                </w14:textFill>
              </w:rPr>
              <w:t>，污泥产生量按</w:t>
            </w:r>
            <w:r>
              <w:rPr>
                <w:rFonts w:hint="eastAsia"/>
                <w:color w:val="000000" w:themeColor="text1"/>
                <w:sz w:val="24"/>
                <w:szCs w:val="24"/>
                <w:lang w:val="en-US" w:eastAsia="zh-CN" w:bidi="ar"/>
                <w14:textFill>
                  <w14:solidFill>
                    <w14:schemeClr w14:val="tx1"/>
                  </w14:solidFill>
                </w14:textFill>
              </w:rPr>
              <w:t>中间</w:t>
            </w:r>
            <w:r>
              <w:rPr>
                <w:rFonts w:hint="eastAsia"/>
                <w:color w:val="000000" w:themeColor="text1"/>
                <w:sz w:val="24"/>
                <w:szCs w:val="24"/>
                <w:lang w:bidi="ar"/>
                <w14:textFill>
                  <w14:solidFill>
                    <w14:schemeClr w14:val="tx1"/>
                  </w14:solidFill>
                </w14:textFill>
              </w:rPr>
              <w:t>值取</w:t>
            </w:r>
            <w:r>
              <w:rPr>
                <w:color w:val="000000" w:themeColor="text1"/>
                <w:sz w:val="24"/>
                <w:szCs w:val="24"/>
                <w:lang w:bidi="ar"/>
                <w14:textFill>
                  <w14:solidFill>
                    <w14:schemeClr w14:val="tx1"/>
                  </w14:solidFill>
                </w14:textFill>
              </w:rPr>
              <w:t>0.</w:t>
            </w:r>
            <w:r>
              <w:rPr>
                <w:rFonts w:hint="eastAsia"/>
                <w:color w:val="000000" w:themeColor="text1"/>
                <w:sz w:val="24"/>
                <w:szCs w:val="24"/>
                <w:lang w:val="en-US" w:eastAsia="zh-CN" w:bidi="ar"/>
                <w14:textFill>
                  <w14:solidFill>
                    <w14:schemeClr w14:val="tx1"/>
                  </w14:solidFill>
                </w14:textFill>
              </w:rPr>
              <w:t>3</w:t>
            </w:r>
            <w:r>
              <w:rPr>
                <w:color w:val="000000" w:themeColor="text1"/>
                <w:sz w:val="24"/>
                <w:szCs w:val="24"/>
                <w:lang w:bidi="ar"/>
                <w14:textFill>
                  <w14:solidFill>
                    <w14:schemeClr w14:val="tx1"/>
                  </w14:solidFill>
                </w14:textFill>
              </w:rPr>
              <w:t>%</w:t>
            </w:r>
            <w:r>
              <w:rPr>
                <w:rFonts w:hint="eastAsia"/>
                <w:color w:val="000000" w:themeColor="text1"/>
                <w:sz w:val="24"/>
                <w:szCs w:val="24"/>
                <w:lang w:bidi="ar"/>
                <w14:textFill>
                  <w14:solidFill>
                    <w14:schemeClr w14:val="tx1"/>
                  </w14:solidFill>
                </w14:textFill>
              </w:rPr>
              <w:t>计算，</w:t>
            </w:r>
            <w:r>
              <w:rPr>
                <w:rFonts w:hint="eastAsia"/>
                <w:color w:val="000000" w:themeColor="text1"/>
                <w:sz w:val="24"/>
                <w:szCs w:val="24"/>
                <w:lang w:val="en-US" w:eastAsia="zh-CN" w:bidi="ar"/>
                <w14:textFill>
                  <w14:solidFill>
                    <w14:schemeClr w14:val="tx1"/>
                  </w14:solidFill>
                </w14:textFill>
              </w:rPr>
              <w:t>全厂生产</w:t>
            </w:r>
            <w:r>
              <w:rPr>
                <w:rFonts w:hint="eastAsia"/>
                <w:color w:val="000000" w:themeColor="text1"/>
                <w:sz w:val="24"/>
                <w:szCs w:val="24"/>
                <w:lang w:bidi="ar"/>
                <w14:textFill>
                  <w14:solidFill>
                    <w14:schemeClr w14:val="tx1"/>
                  </w14:solidFill>
                </w14:textFill>
              </w:rPr>
              <w:t>废水处理量为</w:t>
            </w:r>
            <w:r>
              <w:rPr>
                <w:rFonts w:hint="eastAsia" w:cs="宋体"/>
                <w:color w:val="000000" w:themeColor="text1"/>
                <w:sz w:val="24"/>
                <w:szCs w:val="24"/>
                <w:lang w:val="en-US" w:eastAsia="zh-CN"/>
                <w14:textFill>
                  <w14:solidFill>
                    <w14:schemeClr w14:val="tx1"/>
                  </w14:solidFill>
                </w14:textFill>
              </w:rPr>
              <w:t>10402</w:t>
            </w:r>
            <w:r>
              <w:rPr>
                <w:rFonts w:hint="eastAsia" w:cs="宋体"/>
                <w:color w:val="000000" w:themeColor="text1"/>
                <w:sz w:val="24"/>
                <w:szCs w:val="24"/>
                <w14:textFill>
                  <w14:solidFill>
                    <w14:schemeClr w14:val="tx1"/>
                  </w14:solidFill>
                </w14:textFill>
              </w:rPr>
              <w:t>t/a</w:t>
            </w:r>
            <w:r>
              <w:rPr>
                <w:rFonts w:hint="eastAsia"/>
                <w:color w:val="000000" w:themeColor="text1"/>
                <w:sz w:val="24"/>
                <w:szCs w:val="24"/>
                <w:lang w:bidi="ar"/>
                <w14:textFill>
                  <w14:solidFill>
                    <w14:schemeClr w14:val="tx1"/>
                  </w14:solidFill>
                </w14:textFill>
              </w:rPr>
              <w:t>，则污泥产生量约为</w:t>
            </w:r>
            <w:r>
              <w:rPr>
                <w:rFonts w:hint="eastAsia"/>
                <w:color w:val="000000" w:themeColor="text1"/>
                <w:sz w:val="24"/>
                <w:szCs w:val="24"/>
                <w:lang w:bidi="ar"/>
                <w14:textFill>
                  <w14:solidFill>
                    <w14:schemeClr w14:val="tx1"/>
                  </w14:solidFill>
                </w14:textFill>
              </w:rPr>
              <w:fldChar w:fldCharType="begin"/>
            </w:r>
            <w:r>
              <w:rPr>
                <w:rFonts w:hint="eastAsia"/>
                <w:color w:val="000000" w:themeColor="text1"/>
                <w:sz w:val="24"/>
                <w:szCs w:val="24"/>
                <w:lang w:bidi="ar"/>
                <w14:textFill>
                  <w14:solidFill>
                    <w14:schemeClr w14:val="tx1"/>
                  </w14:solidFill>
                </w14:textFill>
              </w:rPr>
              <w:instrText xml:space="preserve"> =10402*0.3/100 \* MERGEFORMAT </w:instrText>
            </w:r>
            <w:r>
              <w:rPr>
                <w:rFonts w:hint="eastAsia"/>
                <w:color w:val="000000" w:themeColor="text1"/>
                <w:sz w:val="24"/>
                <w:szCs w:val="24"/>
                <w:lang w:bidi="ar"/>
                <w14:textFill>
                  <w14:solidFill>
                    <w14:schemeClr w14:val="tx1"/>
                  </w14:solidFill>
                </w14:textFill>
              </w:rPr>
              <w:fldChar w:fldCharType="separate"/>
            </w:r>
            <w:r>
              <w:rPr>
                <w:rFonts w:hint="eastAsia"/>
                <w:color w:val="000000" w:themeColor="text1"/>
                <w:sz w:val="24"/>
                <w:szCs w:val="24"/>
                <w:lang w:bidi="ar"/>
                <w14:textFill>
                  <w14:solidFill>
                    <w14:schemeClr w14:val="tx1"/>
                  </w14:solidFill>
                </w14:textFill>
              </w:rPr>
              <w:t>31.206</w:t>
            </w:r>
            <w:r>
              <w:rPr>
                <w:rFonts w:hint="eastAsia"/>
                <w:color w:val="000000" w:themeColor="text1"/>
                <w:sz w:val="24"/>
                <w:szCs w:val="24"/>
                <w:lang w:bidi="ar"/>
                <w14:textFill>
                  <w14:solidFill>
                    <w14:schemeClr w14:val="tx1"/>
                  </w14:solidFill>
                </w14:textFill>
              </w:rPr>
              <w:fldChar w:fldCharType="end"/>
            </w:r>
            <w:r>
              <w:rPr>
                <w:rFonts w:hint="eastAsia" w:cs="宋体"/>
                <w:color w:val="000000" w:themeColor="text1"/>
                <w:sz w:val="24"/>
                <w:szCs w:val="24"/>
                <w14:textFill>
                  <w14:solidFill>
                    <w14:schemeClr w14:val="tx1"/>
                  </w14:solidFill>
                </w14:textFill>
              </w:rPr>
              <w:t>t/a。</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污泥为《国家危险废物名录》（</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年版）“</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 xml:space="preserve">HW17 </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表面处理废物：金属或者塑料表面酸（碱）洗、除油、除锈（不包括喷砂除锈）、洗涤、磷化、出光、化抛工艺产生的废腐蚀液、废洗涤液、废槽液、槽渣和废水处理污泥”，废物代码为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336-064-17</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。经收集后暂存于危险废物贮存间，定期交由委托有危废资质的单位回收处理。</w:t>
            </w:r>
          </w:p>
          <w:p w14:paraId="362E350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⑧</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废活性炭</w:t>
            </w:r>
          </w:p>
          <w:p w14:paraId="0A461D0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本项目采用</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套活性炭吸附装置处理有机废气，处理设施定期更换活性炭时产生废活性炭。项目废气处理装置活性炭箱填充的活性炭为</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，有机废气污染物处理量</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分别</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为</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2.945-0.589</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2.356</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（DA002）</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2.702-0.540</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2.161</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（DA004）</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4.104-0.821</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3.283</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（DA005）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1.908-0.382</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1.526</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（DA009）</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，总计</w:t>
            </w:r>
            <w:r>
              <w:rPr>
                <w:rFonts w:hint="default" w:cs="Times New Roman"/>
                <w:b w:val="0"/>
                <w:bCs w:val="0"/>
                <w:color w:val="000000" w:themeColor="text1"/>
                <w:spacing w:val="0"/>
                <w:position w:val="0"/>
                <w:sz w:val="24"/>
                <w:szCs w:val="24"/>
                <w:highlight w:val="none"/>
                <w:u w:val="none"/>
                <w:lang w:eastAsia="zh-CN"/>
                <w14:textFill>
                  <w14:solidFill>
                    <w14:schemeClr w14:val="tx1"/>
                  </w14:solidFill>
                </w14:textFill>
              </w:rPr>
              <w:fldChar w:fldCharType="begin"/>
            </w:r>
            <w:r>
              <w:rPr>
                <w:rFonts w:hint="default" w:cs="Times New Roman"/>
                <w:b w:val="0"/>
                <w:bCs w:val="0"/>
                <w:color w:val="000000" w:themeColor="text1"/>
                <w:spacing w:val="0"/>
                <w:position w:val="0"/>
                <w:sz w:val="24"/>
                <w:szCs w:val="24"/>
                <w:highlight w:val="none"/>
                <w:u w:val="none"/>
                <w:lang w:eastAsia="zh-CN"/>
                <w14:textFill>
                  <w14:solidFill>
                    <w14:schemeClr w14:val="tx1"/>
                  </w14:solidFill>
                </w14:textFill>
              </w:rPr>
              <w:instrText xml:space="preserve"> = 2.356+2.161+3.283+1.526 \* MERGEFORMAT </w:instrText>
            </w:r>
            <w:r>
              <w:rPr>
                <w:rFonts w:hint="default" w:cs="Times New Roman"/>
                <w:b w:val="0"/>
                <w:bCs w:val="0"/>
                <w:color w:val="000000" w:themeColor="text1"/>
                <w:spacing w:val="0"/>
                <w:position w:val="0"/>
                <w:sz w:val="24"/>
                <w:szCs w:val="24"/>
                <w:highlight w:val="none"/>
                <w:u w:val="none"/>
                <w:lang w:eastAsia="zh-CN"/>
                <w14:textFill>
                  <w14:solidFill>
                    <w14:schemeClr w14:val="tx1"/>
                  </w14:solidFill>
                </w14:textFill>
              </w:rPr>
              <w:fldChar w:fldCharType="separate"/>
            </w:r>
            <w:r>
              <w:rPr>
                <w:rFonts w:hint="default" w:cs="Times New Roman"/>
                <w:b w:val="0"/>
                <w:bCs w:val="0"/>
                <w:color w:val="000000" w:themeColor="text1"/>
                <w:spacing w:val="0"/>
                <w:position w:val="0"/>
                <w:sz w:val="24"/>
                <w:szCs w:val="24"/>
                <w:highlight w:val="none"/>
                <w:u w:val="none"/>
                <w:lang w:eastAsia="zh-CN"/>
                <w14:textFill>
                  <w14:solidFill>
                    <w14:schemeClr w14:val="tx1"/>
                  </w14:solidFill>
                </w14:textFill>
              </w:rPr>
              <w:t>9.326</w:t>
            </w:r>
            <w:r>
              <w:rPr>
                <w:rFonts w:hint="default" w:cs="Times New Roman"/>
                <w:b w:val="0"/>
                <w:bCs w:val="0"/>
                <w:color w:val="000000" w:themeColor="text1"/>
                <w:spacing w:val="0"/>
                <w:position w:val="0"/>
                <w:sz w:val="24"/>
                <w:szCs w:val="24"/>
                <w:highlight w:val="none"/>
                <w:u w:val="none"/>
                <w:lang w:eastAsia="zh-CN"/>
                <w14:textFill>
                  <w14:solidFill>
                    <w14:schemeClr w14:val="tx1"/>
                  </w14:solidFill>
                </w14:textFill>
              </w:rPr>
              <w:fldChar w:fldCharType="end"/>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t/a。参考《广东省工业源挥发性有机物产排量核算方法》，活性炭吸附比例取</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15%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，则项目有机废气污染物完全被吸附理论所需的活性炭量约为</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15.71</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（DA002）</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14.41</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（DA004）</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21.89</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（DA005）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10.18t/a（DA009），</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其中DA00</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装置年更换</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11</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次</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、DA004</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年更换</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10</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次</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、DA005装置</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年更换</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15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次</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、DA005装置</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年更换</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7</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次可满足有机废气的吸附要求，活性炭用量约为</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（11+10+15+7）×1.5=</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fldChar w:fldCharType="begin"/>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instrText xml:space="preserve"> =( 11+10+15+7)*1.5 \* MERGEFORMAT </w:instrTex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fldChar w:fldCharType="separate"/>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64.5</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。废活性炭产生量等于活性炭装填量</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更换次数</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污染物吸附量，即项目废活性炭总产生量＝</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64.5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9.326</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default" w:cs="Times New Roman"/>
                <w:b w:val="0"/>
                <w:bCs w:val="0"/>
                <w:color w:val="000000" w:themeColor="text1"/>
                <w:spacing w:val="0"/>
                <w:position w:val="0"/>
                <w:sz w:val="24"/>
                <w:szCs w:val="24"/>
                <w:highlight w:val="none"/>
                <w:u w:val="none"/>
                <w:lang w:eastAsia="zh-CN"/>
                <w14:textFill>
                  <w14:solidFill>
                    <w14:schemeClr w14:val="tx1"/>
                  </w14:solidFill>
                </w14:textFill>
              </w:rPr>
              <w:fldChar w:fldCharType="begin"/>
            </w:r>
            <w:r>
              <w:rPr>
                <w:rFonts w:hint="default" w:cs="Times New Roman"/>
                <w:b w:val="0"/>
                <w:bCs w:val="0"/>
                <w:color w:val="000000" w:themeColor="text1"/>
                <w:spacing w:val="0"/>
                <w:position w:val="0"/>
                <w:sz w:val="24"/>
                <w:szCs w:val="24"/>
                <w:highlight w:val="none"/>
                <w:u w:val="none"/>
                <w:lang w:eastAsia="zh-CN"/>
                <w14:textFill>
                  <w14:solidFill>
                    <w14:schemeClr w14:val="tx1"/>
                  </w14:solidFill>
                </w14:textFill>
              </w:rPr>
              <w:instrText xml:space="preserve"> = 64.5+9.326 \* MERGEFORMAT </w:instrText>
            </w:r>
            <w:r>
              <w:rPr>
                <w:rFonts w:hint="default" w:cs="Times New Roman"/>
                <w:b w:val="0"/>
                <w:bCs w:val="0"/>
                <w:color w:val="000000" w:themeColor="text1"/>
                <w:spacing w:val="0"/>
                <w:position w:val="0"/>
                <w:sz w:val="24"/>
                <w:szCs w:val="24"/>
                <w:highlight w:val="none"/>
                <w:u w:val="none"/>
                <w:lang w:eastAsia="zh-CN"/>
                <w14:textFill>
                  <w14:solidFill>
                    <w14:schemeClr w14:val="tx1"/>
                  </w14:solidFill>
                </w14:textFill>
              </w:rPr>
              <w:fldChar w:fldCharType="separate"/>
            </w:r>
            <w:r>
              <w:rPr>
                <w:rFonts w:hint="default" w:cs="Times New Roman"/>
                <w:b w:val="0"/>
                <w:bCs w:val="0"/>
                <w:color w:val="000000" w:themeColor="text1"/>
                <w:spacing w:val="0"/>
                <w:position w:val="0"/>
                <w:sz w:val="24"/>
                <w:szCs w:val="24"/>
                <w:highlight w:val="none"/>
                <w:u w:val="none"/>
                <w:lang w:eastAsia="zh-CN"/>
                <w14:textFill>
                  <w14:solidFill>
                    <w14:schemeClr w14:val="tx1"/>
                  </w14:solidFill>
                </w14:textFill>
              </w:rPr>
              <w:t>73.826</w:t>
            </w:r>
            <w:r>
              <w:rPr>
                <w:rFonts w:hint="default" w:cs="Times New Roman"/>
                <w:b w:val="0"/>
                <w:bCs w:val="0"/>
                <w:color w:val="000000" w:themeColor="text1"/>
                <w:spacing w:val="0"/>
                <w:position w:val="0"/>
                <w:sz w:val="24"/>
                <w:szCs w:val="24"/>
                <w:highlight w:val="none"/>
                <w:u w:val="none"/>
                <w:lang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。根据《国家危险废物名录》（</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年版）可知，废活性炭属于</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HW49</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其他废物，代码为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900-039-49</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。更换的废活性炭应收集后暂存于危险废物贮存间，定期交由委托有危废资质的单位回收处理。</w:t>
            </w:r>
          </w:p>
          <w:p w14:paraId="3C06C43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⑨</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浮油</w:t>
            </w:r>
          </w:p>
          <w:p w14:paraId="264EA70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kern w:val="0"/>
                <w:position w:val="0"/>
                <w:sz w:val="24"/>
                <w:szCs w:val="24"/>
                <w:highlight w:val="none"/>
                <w:lang w:val="en-US" w:eastAsia="zh-CN" w:bidi="ar"/>
                <w14:textFill>
                  <w14:solidFill>
                    <w14:schemeClr w14:val="tx1"/>
                  </w14:solidFill>
                </w14:textFill>
              </w:rPr>
              <w:t>项目脱脂槽设有油水分离装置，</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脱脂槽槽液中含有的矿物油经</w:t>
            </w:r>
            <w:r>
              <w:rPr>
                <w:rFonts w:hint="eastAsia" w:ascii="宋体" w:hAnsi="宋体" w:eastAsia="宋体" w:cs="宋体"/>
                <w:color w:val="000000" w:themeColor="text1"/>
                <w:kern w:val="0"/>
                <w:position w:val="0"/>
                <w:sz w:val="24"/>
                <w:szCs w:val="24"/>
                <w:highlight w:val="none"/>
                <w:lang w:val="en-US" w:eastAsia="zh-CN" w:bidi="ar"/>
                <w14:textFill>
                  <w14:solidFill>
                    <w14:schemeClr w14:val="tx1"/>
                  </w14:solidFill>
                </w14:textFill>
              </w:rPr>
              <w:t>油水分离装置处理后</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，槽液回用于生产，</w:t>
            </w:r>
            <w:r>
              <w:rPr>
                <w:rFonts w:hint="eastAsia" w:ascii="宋体" w:hAnsi="宋体" w:eastAsia="宋体" w:cs="宋体"/>
                <w:color w:val="000000" w:themeColor="text1"/>
                <w:kern w:val="0"/>
                <w:position w:val="0"/>
                <w:sz w:val="24"/>
                <w:szCs w:val="24"/>
                <w:highlight w:val="none"/>
                <w:lang w:val="en-US" w:eastAsia="zh-CN" w:bidi="ar"/>
                <w14:textFill>
                  <w14:solidFill>
                    <w14:schemeClr w14:val="tx1"/>
                  </w14:solidFill>
                </w14:textFill>
              </w:rPr>
              <w:t>油水分离装置分离的浮油</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安排工人定期打捞，根据《国家危险废物名录》（</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年），其属于“</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 xml:space="preserve">HW08 </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废矿物油与含矿物油废物：含油废水处理中隔油、气浮、沉淀等处理过程中产生的浮油、浮渣和污泥(不包括废水生化处理污泥)”，废物代码为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900-2</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-08</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，打捞上来后用专用容器收集，暂存于危险废物贮存间，定期交由委托有危废资质的单位回收处理</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w:t>
            </w:r>
            <w:r>
              <w:rPr>
                <w:rFonts w:hint="eastAsia"/>
                <w:color w:val="000000" w:themeColor="text1"/>
                <w:sz w:val="24"/>
                <w:szCs w:val="24"/>
                <w:lang w:bidi="ar"/>
                <w14:textFill>
                  <w14:solidFill>
                    <w14:schemeClr w14:val="tx1"/>
                  </w14:solidFill>
                </w14:textFill>
              </w:rPr>
              <w:t>根据</w:t>
            </w:r>
            <w:r>
              <w:rPr>
                <w:rFonts w:hint="eastAsia"/>
                <w:color w:val="000000" w:themeColor="text1"/>
                <w:sz w:val="24"/>
                <w:szCs w:val="24"/>
                <w:lang w:val="en-US" w:eastAsia="zh-CN" w:bidi="ar"/>
                <w14:textFill>
                  <w14:solidFill>
                    <w14:schemeClr w14:val="tx1"/>
                  </w14:solidFill>
                </w14:textFill>
              </w:rPr>
              <w:t>企业提供实际运行情况</w:t>
            </w:r>
            <w:r>
              <w:rPr>
                <w:rFonts w:hint="eastAsia"/>
                <w:color w:val="000000" w:themeColor="text1"/>
                <w:sz w:val="24"/>
                <w:szCs w:val="24"/>
                <w:lang w:bidi="ar"/>
                <w14:textFill>
                  <w14:solidFill>
                    <w14:schemeClr w14:val="tx1"/>
                  </w14:solidFill>
                </w14:textFill>
              </w:rPr>
              <w:t>，</w:t>
            </w:r>
            <w:r>
              <w:rPr>
                <w:rFonts w:hint="eastAsia"/>
                <w:color w:val="000000" w:themeColor="text1"/>
                <w:sz w:val="24"/>
                <w:szCs w:val="24"/>
                <w:lang w:val="en-US" w:eastAsia="zh-CN" w:bidi="ar"/>
                <w14:textFill>
                  <w14:solidFill>
                    <w14:schemeClr w14:val="tx1"/>
                  </w14:solidFill>
                </w14:textFill>
              </w:rPr>
              <w:t>现有1条电泳线产生浮油量约0.2t/a，本次新增1条，预计增加</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量</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0.2t/a</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w:t>
            </w:r>
          </w:p>
          <w:p w14:paraId="397F827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⑩设备维护保养产生的废机油、废机油桶</w:t>
            </w:r>
          </w:p>
          <w:p w14:paraId="5043337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项目机器设备日常运转维护过程中会产生少量废机油，产生量约为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0.2t/a</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；以及废机油桶，产生量约为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0.0</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。根据《国家危险废物名录》（</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年），废机油及废机油桶属于“</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 xml:space="preserve">HW08 </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废矿物油与含矿物油废物：其他生产、销售、使用过程中产生的废矿物油及沾染矿物油的废弃包装物”，废物代码为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900-249-08</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，暂存于危险废物贮存间，定期交由委托有危废资质的单位回收处理。</w:t>
            </w:r>
          </w:p>
          <w:p w14:paraId="71909AC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0"/>
                <w:position w:val="0"/>
                <w:sz w:val="24"/>
                <w:szCs w:val="24"/>
                <w:highlight w:val="none"/>
                <w:u w:val="none"/>
                <w:lang w:val="en-US" w:eastAsia="zh-CN"/>
                <w14:textFill>
                  <w14:solidFill>
                    <w14:schemeClr w14:val="tx1"/>
                  </w14:solidFill>
                </w14:textFill>
              </w:rPr>
              <w:t>⑪</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废遮蔽膜</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（喷胶用）</w:t>
            </w:r>
          </w:p>
          <w:p w14:paraId="544F359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项目采用遮蔽膜确保工件喷涂准确性，撕膜工序会产生沾染涂料的废遮蔽膜，项目年用遮蔽膜为0.5t，</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其中喷胶前用量0.3t/a，</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按照全部损耗计算，则废遮蔽膜</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（喷胶用）</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产生量为0.</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，其沾染了PVC树脂，</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属于《国家危险废物名录》（</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年版）中的</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HW49</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其他废物（含有或沾染毒性、感染性危险废物的废弃包装物、容器、过滤吸附介质），废物代码为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900-041-49</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。经收集后暂存于危险废物贮存间，定期交由委托有危废资质的单位回收处理。</w:t>
            </w:r>
          </w:p>
          <w:p w14:paraId="08A9B92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0"/>
                <w:position w:val="0"/>
                <w:sz w:val="24"/>
                <w:szCs w:val="24"/>
                <w:highlight w:val="none"/>
                <w:u w:val="none"/>
                <w:lang w:val="en-US" w:eastAsia="zh-CN"/>
                <w14:textFill>
                  <w14:solidFill>
                    <w14:schemeClr w14:val="tx1"/>
                  </w14:solidFill>
                </w14:textFill>
              </w:rPr>
              <w:t>⑫</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擦拭废布</w:t>
            </w:r>
          </w:p>
          <w:p w14:paraId="2B22084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cs="Times New Roman"/>
                <w:b w:val="0"/>
                <w:bCs w:val="0"/>
                <w:color w:val="000000" w:themeColor="text1"/>
                <w:spacing w:val="0"/>
                <w:kern w:val="2"/>
                <w:position w:val="0"/>
                <w:sz w:val="24"/>
                <w:szCs w:val="24"/>
                <w:lang w:val="en-US" w:eastAsia="zh-CN" w:bidi="ar-SA"/>
                <w14:textFill>
                  <w14:solidFill>
                    <w14:schemeClr w14:val="tx1"/>
                  </w14:solidFill>
                </w14:textFill>
              </w:rPr>
              <w:t>项目采用洗网水擦拭网板工件时，会产生一定量的沾染洗网水的废布，根据建设单位提供资料，擦拭废布的产生量为</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0.5t/a。属于《国家危险废物名录》（</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2025</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年版）中的</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HW49</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其他废物（含有或沾染毒性、感染性危险废物的废弃包装物、容器、过滤吸附介质），废物代码为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900-041-49</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。经收集后暂存于危险废物贮存间，定期交由委托有危废资质的单位回收处理。</w:t>
            </w:r>
          </w:p>
          <w:p w14:paraId="5038C9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position w:val="0"/>
                <w:sz w:val="24"/>
                <w:szCs w:val="24"/>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生活垃圾</w:t>
            </w:r>
          </w:p>
          <w:p w14:paraId="2BDCC5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000000" w:themeColor="text1"/>
                <w:spacing w:val="0"/>
                <w:kern w:val="2"/>
                <w:position w:val="0"/>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项目</w:t>
            </w:r>
            <w:r>
              <w:rPr>
                <w:rFonts w:hint="eastAsia" w:cs="Times New Roman"/>
                <w:b w:val="0"/>
                <w:bCs w:val="0"/>
                <w:color w:val="000000" w:themeColor="text1"/>
                <w:spacing w:val="0"/>
                <w:position w:val="0"/>
                <w:sz w:val="24"/>
                <w:szCs w:val="24"/>
                <w:highlight w:val="none"/>
                <w:u w:val="none"/>
                <w:lang w:val="en-US" w:eastAsia="zh-CN"/>
                <w14:textFill>
                  <w14:solidFill>
                    <w14:schemeClr w14:val="tx1"/>
                  </w14:solidFill>
                </w14:textFill>
              </w:rPr>
              <w:t>新增</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职工人数共</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45</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人，</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均不住厂，</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职工生活垃圾排放量按0.</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kg/人</w:t>
            </w:r>
            <w:r>
              <w:rPr>
                <w:rFonts w:hint="eastAsia" w:ascii="宋体" w:hAnsi="宋体" w:eastAsia="宋体" w:cs="宋体"/>
                <w:b w:val="0"/>
                <w:bCs w:val="0"/>
                <w:color w:val="000000" w:themeColor="text1"/>
                <w:spacing w:val="0"/>
                <w:position w:val="0"/>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天计，则生活垃圾年产生量约为</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instrText xml:space="preserve"> = 45*0.5*300/1000 \* MERGEFORMAT </w:instrTex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6.75</w:t>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t/a（按年开工300天计）。</w:t>
            </w:r>
          </w:p>
          <w:p w14:paraId="092C14FB">
            <w:pPr>
              <w:spacing w:line="360" w:lineRule="auto"/>
              <w:ind w:firstLine="480" w:firstLineChars="200"/>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本项目固体废物源强核算结果详见表</w:t>
            </w:r>
            <w:r>
              <w:rPr>
                <w:rFonts w:hint="eastAsia" w:ascii="Times New Roman" w:hAnsi="Times New Roman" w:eastAsia="宋体" w:cs="Times New Roman"/>
                <w:b w:val="0"/>
                <w:bCs w:val="0"/>
                <w:color w:val="000000" w:themeColor="text1"/>
                <w:spacing w:val="0"/>
                <w:position w:val="0"/>
                <w:sz w:val="24"/>
                <w:szCs w:val="24"/>
                <w:highlight w:val="none"/>
                <w:u w:val="none"/>
                <w:lang w:val="en-US" w:eastAsia="zh-CN"/>
                <w14:textFill>
                  <w14:solidFill>
                    <w14:schemeClr w14:val="tx1"/>
                  </w14:solidFill>
                </w14:textFill>
              </w:rPr>
              <w:t>4.5-1、表4.5-2。</w:t>
            </w:r>
          </w:p>
          <w:p w14:paraId="605DC009">
            <w:pPr>
              <w:pStyle w:val="142"/>
              <w:keepNext/>
              <w:keepLines/>
              <w:pageBreakBefore w:val="0"/>
              <w:widowControl w:val="0"/>
              <w:kinsoku/>
              <w:wordWrap/>
              <w:overflowPunct/>
              <w:topLinePunct w:val="0"/>
              <w:autoSpaceDE/>
              <w:autoSpaceDN/>
              <w:bidi w:val="0"/>
              <w:adjustRightInd/>
              <w:snapToGrid/>
              <w:spacing w:before="157" w:beforeLines="50" w:after="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-1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项目一般工业固体废物及生活垃圾源强</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核算结果一览表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autofit"/>
              <w:tblCellMar>
                <w:top w:w="0" w:type="dxa"/>
                <w:left w:w="28" w:type="dxa"/>
                <w:bottom w:w="0" w:type="dxa"/>
                <w:right w:w="28" w:type="dxa"/>
              </w:tblCellMar>
            </w:tblPr>
            <w:tblGrid>
              <w:gridCol w:w="928"/>
              <w:gridCol w:w="1411"/>
              <w:gridCol w:w="1411"/>
              <w:gridCol w:w="780"/>
              <w:gridCol w:w="867"/>
              <w:gridCol w:w="841"/>
              <w:gridCol w:w="1056"/>
              <w:gridCol w:w="1403"/>
            </w:tblGrid>
            <w:tr w14:paraId="7FFEF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533" w:type="pct"/>
                  <w:vMerge w:val="restart"/>
                  <w:shd w:val="clear" w:color="auto" w:fill="FFFFFF"/>
                  <w:noWrap w:val="0"/>
                  <w:vAlign w:val="center"/>
                </w:tcPr>
                <w:p w14:paraId="49090F16">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产生工序/装置</w:t>
                  </w:r>
                </w:p>
              </w:tc>
              <w:tc>
                <w:tcPr>
                  <w:tcW w:w="811" w:type="pct"/>
                  <w:vMerge w:val="restart"/>
                  <w:shd w:val="clear" w:color="auto" w:fill="FFFFFF"/>
                  <w:noWrap w:val="0"/>
                  <w:vAlign w:val="center"/>
                </w:tcPr>
                <w:p w14:paraId="7925A85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固体废</w:t>
                  </w:r>
                </w:p>
                <w:p w14:paraId="4CD84E5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物名称</w:t>
                  </w:r>
                </w:p>
              </w:tc>
              <w:tc>
                <w:tcPr>
                  <w:tcW w:w="811" w:type="pct"/>
                  <w:vMerge w:val="restart"/>
                  <w:shd w:val="clear" w:color="auto" w:fill="FFFFFF"/>
                  <w:noWrap w:val="0"/>
                  <w:vAlign w:val="center"/>
                </w:tcPr>
                <w:p w14:paraId="2BD9711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废物代码</w:t>
                  </w:r>
                </w:p>
              </w:tc>
              <w:tc>
                <w:tcPr>
                  <w:tcW w:w="946" w:type="pct"/>
                  <w:gridSpan w:val="2"/>
                  <w:shd w:val="clear" w:color="auto" w:fill="FFFFFF"/>
                  <w:noWrap w:val="0"/>
                  <w:vAlign w:val="center"/>
                </w:tcPr>
                <w:p w14:paraId="5F0AFFC9">
                  <w:pPr>
                    <w:pStyle w:val="73"/>
                    <w:adjustRightInd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产生量</w:t>
                  </w:r>
                </w:p>
              </w:tc>
              <w:tc>
                <w:tcPr>
                  <w:tcW w:w="1090" w:type="pct"/>
                  <w:gridSpan w:val="2"/>
                  <w:shd w:val="clear" w:color="auto" w:fill="FFFFFF"/>
                  <w:noWrap w:val="0"/>
                  <w:vAlign w:val="center"/>
                </w:tcPr>
                <w:p w14:paraId="1935D015">
                  <w:pPr>
                    <w:pStyle w:val="73"/>
                    <w:adjustRightInd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处理与处置措施</w:t>
                  </w:r>
                </w:p>
              </w:tc>
              <w:tc>
                <w:tcPr>
                  <w:tcW w:w="806" w:type="pct"/>
                  <w:vMerge w:val="restart"/>
                  <w:shd w:val="clear" w:color="auto" w:fill="FFFFFF"/>
                  <w:noWrap w:val="0"/>
                  <w:vAlign w:val="center"/>
                </w:tcPr>
                <w:p w14:paraId="1E8EBFA3">
                  <w:pPr>
                    <w:pStyle w:val="73"/>
                    <w:adjustRightInd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最终去向</w:t>
                  </w:r>
                </w:p>
              </w:tc>
            </w:tr>
            <w:tr w14:paraId="47634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3" w:type="pct"/>
                  <w:vMerge w:val="continue"/>
                  <w:shd w:val="clear" w:color="auto" w:fill="FFFFFF"/>
                  <w:noWrap w:val="0"/>
                  <w:vAlign w:val="center"/>
                </w:tcPr>
                <w:p w14:paraId="1A9FAB28">
                  <w:pPr>
                    <w:adjustRightInd w:val="0"/>
                    <w:snapToGrid w:val="0"/>
                    <w:jc w:val="center"/>
                    <w:rPr>
                      <w:color w:val="000000" w:themeColor="text1"/>
                      <w:sz w:val="18"/>
                      <w:szCs w:val="18"/>
                      <w14:textFill>
                        <w14:solidFill>
                          <w14:schemeClr w14:val="tx1"/>
                        </w14:solidFill>
                      </w14:textFill>
                    </w:rPr>
                  </w:pPr>
                </w:p>
              </w:tc>
              <w:tc>
                <w:tcPr>
                  <w:tcW w:w="811" w:type="pct"/>
                  <w:vMerge w:val="continue"/>
                  <w:shd w:val="clear" w:color="auto" w:fill="FFFFFF"/>
                  <w:noWrap w:val="0"/>
                  <w:vAlign w:val="center"/>
                </w:tcPr>
                <w:p w14:paraId="57261F39">
                  <w:pPr>
                    <w:adjustRightInd w:val="0"/>
                    <w:snapToGrid w:val="0"/>
                    <w:jc w:val="center"/>
                    <w:rPr>
                      <w:color w:val="000000" w:themeColor="text1"/>
                      <w:sz w:val="18"/>
                      <w:szCs w:val="18"/>
                      <w14:textFill>
                        <w14:solidFill>
                          <w14:schemeClr w14:val="tx1"/>
                        </w14:solidFill>
                      </w14:textFill>
                    </w:rPr>
                  </w:pPr>
                </w:p>
              </w:tc>
              <w:tc>
                <w:tcPr>
                  <w:tcW w:w="811" w:type="pct"/>
                  <w:vMerge w:val="continue"/>
                  <w:shd w:val="clear" w:color="auto" w:fill="FFFFFF"/>
                  <w:noWrap w:val="0"/>
                  <w:vAlign w:val="center"/>
                </w:tcPr>
                <w:p w14:paraId="6ABA8B3E">
                  <w:pPr>
                    <w:adjustRightInd w:val="0"/>
                    <w:snapToGrid w:val="0"/>
                    <w:jc w:val="center"/>
                    <w:rPr>
                      <w:color w:val="000000" w:themeColor="text1"/>
                      <w:sz w:val="18"/>
                      <w:szCs w:val="18"/>
                      <w14:textFill>
                        <w14:solidFill>
                          <w14:schemeClr w14:val="tx1"/>
                        </w14:solidFill>
                      </w14:textFill>
                    </w:rPr>
                  </w:pPr>
                </w:p>
              </w:tc>
              <w:tc>
                <w:tcPr>
                  <w:tcW w:w="448" w:type="pct"/>
                  <w:shd w:val="clear" w:color="auto" w:fill="FFFFFF"/>
                  <w:noWrap w:val="0"/>
                  <w:vAlign w:val="center"/>
                </w:tcPr>
                <w:p w14:paraId="1F893701">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核算</w:t>
                  </w:r>
                </w:p>
                <w:p w14:paraId="51A7647A">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方法</w:t>
                  </w:r>
                </w:p>
              </w:tc>
              <w:tc>
                <w:tcPr>
                  <w:tcW w:w="498" w:type="pct"/>
                  <w:shd w:val="clear" w:color="auto" w:fill="FFFFFF"/>
                  <w:noWrap w:val="0"/>
                  <w:vAlign w:val="center"/>
                </w:tcPr>
                <w:p w14:paraId="43450FFB">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产生量</w:t>
                  </w:r>
                </w:p>
                <w:p w14:paraId="4E78394E">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/(t/a)</w:t>
                  </w:r>
                </w:p>
              </w:tc>
              <w:tc>
                <w:tcPr>
                  <w:tcW w:w="483" w:type="pct"/>
                  <w:shd w:val="clear" w:color="auto" w:fill="FFFFFF"/>
                  <w:noWrap w:val="0"/>
                  <w:vAlign w:val="center"/>
                </w:tcPr>
                <w:p w14:paraId="7CBC89CA">
                  <w:pPr>
                    <w:pStyle w:val="73"/>
                    <w:adjustRightInd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工艺</w:t>
                  </w:r>
                </w:p>
              </w:tc>
              <w:tc>
                <w:tcPr>
                  <w:tcW w:w="607" w:type="pct"/>
                  <w:shd w:val="clear" w:color="auto" w:fill="FFFFFF"/>
                  <w:noWrap w:val="0"/>
                  <w:vAlign w:val="center"/>
                </w:tcPr>
                <w:p w14:paraId="243386AE">
                  <w:pPr>
                    <w:pStyle w:val="73"/>
                    <w:adjustRightInd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处置量</w:t>
                  </w:r>
                  <w:r>
                    <w:rPr>
                      <w:bCs/>
                      <w:color w:val="000000" w:themeColor="text1"/>
                      <w:sz w:val="18"/>
                      <w:szCs w:val="18"/>
                      <w14:textFill>
                        <w14:solidFill>
                          <w14:schemeClr w14:val="tx1"/>
                        </w14:solidFill>
                      </w14:textFill>
                    </w:rPr>
                    <w:t>/(t/a)</w:t>
                  </w:r>
                </w:p>
              </w:tc>
              <w:tc>
                <w:tcPr>
                  <w:tcW w:w="806" w:type="pct"/>
                  <w:vMerge w:val="continue"/>
                  <w:shd w:val="clear" w:color="auto" w:fill="FFFFFF"/>
                  <w:noWrap w:val="0"/>
                  <w:vAlign w:val="center"/>
                </w:tcPr>
                <w:p w14:paraId="39C4EEDE">
                  <w:pPr>
                    <w:pStyle w:val="73"/>
                    <w:adjustRightInd w:val="0"/>
                    <w:rPr>
                      <w:color w:val="000000" w:themeColor="text1"/>
                      <w:sz w:val="18"/>
                      <w:szCs w:val="18"/>
                      <w14:textFill>
                        <w14:solidFill>
                          <w14:schemeClr w14:val="tx1"/>
                        </w14:solidFill>
                      </w14:textFill>
                    </w:rPr>
                  </w:pPr>
                </w:p>
              </w:tc>
            </w:tr>
            <w:tr w14:paraId="7A8DA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3" w:type="pct"/>
                  <w:shd w:val="clear" w:color="auto" w:fill="FFFFFF"/>
                  <w:noWrap w:val="0"/>
                  <w:vAlign w:val="center"/>
                </w:tcPr>
                <w:p w14:paraId="2FE86877">
                  <w:pPr>
                    <w:adjustRightInd w:val="0"/>
                    <w:snapToGrid w:val="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811" w:type="pct"/>
                  <w:shd w:val="clear" w:color="auto" w:fill="FFFFFF"/>
                  <w:noWrap w:val="0"/>
                  <w:vAlign w:val="center"/>
                </w:tcPr>
                <w:p w14:paraId="0EF6A8FE">
                  <w:pPr>
                    <w:adjustRightInd w:val="0"/>
                    <w:snapToGrid w:val="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生活垃圾</w:t>
                  </w:r>
                </w:p>
              </w:tc>
              <w:tc>
                <w:tcPr>
                  <w:tcW w:w="811" w:type="pct"/>
                  <w:shd w:val="clear" w:color="auto" w:fill="FFFFFF"/>
                  <w:noWrap w:val="0"/>
                  <w:vAlign w:val="center"/>
                </w:tcPr>
                <w:p w14:paraId="6EC9FC93">
                  <w:pPr>
                    <w:adjustRightInd w:val="0"/>
                    <w:snapToGrid w:val="0"/>
                    <w:jc w:val="center"/>
                    <w:rPr>
                      <w:color w:val="000000" w:themeColor="text1"/>
                      <w:sz w:val="18"/>
                      <w:szCs w:val="18"/>
                      <w14:textFill>
                        <w14:solidFill>
                          <w14:schemeClr w14:val="tx1"/>
                        </w14:solidFill>
                      </w14:textFill>
                    </w:rPr>
                  </w:pPr>
                </w:p>
              </w:tc>
              <w:tc>
                <w:tcPr>
                  <w:tcW w:w="448" w:type="pct"/>
                  <w:shd w:val="clear" w:color="auto" w:fill="FFFFFF"/>
                  <w:noWrap w:val="0"/>
                  <w:vAlign w:val="center"/>
                </w:tcPr>
                <w:p w14:paraId="161888AB">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系数法</w:t>
                  </w:r>
                </w:p>
              </w:tc>
              <w:tc>
                <w:tcPr>
                  <w:tcW w:w="498" w:type="pct"/>
                  <w:shd w:val="clear" w:color="auto" w:fill="FFFFFF"/>
                  <w:noWrap w:val="0"/>
                  <w:vAlign w:val="center"/>
                </w:tcPr>
                <w:p w14:paraId="18E94EE4">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6.75</w:t>
                  </w:r>
                </w:p>
              </w:tc>
              <w:tc>
                <w:tcPr>
                  <w:tcW w:w="483" w:type="pct"/>
                  <w:shd w:val="clear" w:color="auto" w:fill="FFFFFF"/>
                  <w:noWrap w:val="0"/>
                  <w:vAlign w:val="center"/>
                </w:tcPr>
                <w:p w14:paraId="39A06623">
                  <w:pPr>
                    <w:pStyle w:val="73"/>
                    <w:adjustRightInd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委托处置</w:t>
                  </w:r>
                </w:p>
              </w:tc>
              <w:tc>
                <w:tcPr>
                  <w:tcW w:w="607" w:type="pct"/>
                  <w:shd w:val="clear" w:color="auto" w:fill="FFFFFF"/>
                  <w:noWrap w:val="0"/>
                  <w:vAlign w:val="center"/>
                </w:tcPr>
                <w:p w14:paraId="1C8E819A">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6.75</w:t>
                  </w:r>
                </w:p>
              </w:tc>
              <w:tc>
                <w:tcPr>
                  <w:tcW w:w="806" w:type="pct"/>
                  <w:shd w:val="clear" w:color="auto" w:fill="FFFFFF"/>
                  <w:noWrap w:val="0"/>
                  <w:vAlign w:val="center"/>
                </w:tcPr>
                <w:p w14:paraId="32B9A1A0">
                  <w:pPr>
                    <w:widowControl/>
                    <w:adjustRightInd w:val="0"/>
                    <w:snapToGrid w:val="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环卫部门</w:t>
                  </w:r>
                  <w:r>
                    <w:rPr>
                      <w:rFonts w:ascii="Times New Roman" w:hAnsi="Times New Roman"/>
                      <w:color w:val="000000" w:themeColor="text1"/>
                      <w:spacing w:val="0"/>
                      <w:position w:val="0"/>
                      <w:sz w:val="18"/>
                      <w:szCs w:val="18"/>
                      <w14:textFill>
                        <w14:solidFill>
                          <w14:schemeClr w14:val="tx1"/>
                        </w14:solidFill>
                      </w14:textFill>
                    </w:rPr>
                    <w:t>清运处置</w:t>
                  </w:r>
                </w:p>
              </w:tc>
            </w:tr>
            <w:tr w14:paraId="47E76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3" w:type="pct"/>
                  <w:vMerge w:val="restart"/>
                  <w:shd w:val="clear" w:color="auto" w:fill="FFFFFF"/>
                  <w:noWrap w:val="0"/>
                  <w:vAlign w:val="center"/>
                </w:tcPr>
                <w:p w14:paraId="29490E76">
                  <w:pPr>
                    <w:widowControl/>
                    <w:jc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纯水</w:t>
                  </w:r>
                </w:p>
                <w:p w14:paraId="11BF422B">
                  <w:pPr>
                    <w:widowControl/>
                    <w:jc w:val="center"/>
                    <w:rPr>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系统</w:t>
                  </w:r>
                </w:p>
              </w:tc>
              <w:tc>
                <w:tcPr>
                  <w:tcW w:w="811" w:type="pct"/>
                  <w:shd w:val="clear" w:color="auto" w:fill="FFFFFF"/>
                  <w:noWrap w:val="0"/>
                  <w:vAlign w:val="center"/>
                </w:tcPr>
                <w:p w14:paraId="7F872EF6">
                  <w:pPr>
                    <w:adjustRightInd w:val="0"/>
                    <w:snapToGrid w:val="0"/>
                    <w:jc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废</w:t>
                  </w:r>
                  <w:r>
                    <w:rPr>
                      <w:rFonts w:hint="default"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RO</w:t>
                  </w:r>
                  <w:r>
                    <w:rPr>
                      <w:rFonts w:hint="eastAsia"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膜</w:t>
                  </w:r>
                </w:p>
              </w:tc>
              <w:tc>
                <w:tcPr>
                  <w:tcW w:w="811" w:type="pct"/>
                  <w:shd w:val="clear" w:color="auto" w:fill="FFFFFF"/>
                  <w:noWrap w:val="0"/>
                  <w:vAlign w:val="center"/>
                </w:tcPr>
                <w:p w14:paraId="538D02F9">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900-00</w:t>
                  </w:r>
                  <w:r>
                    <w:rPr>
                      <w:rFonts w:hint="eastAsia"/>
                      <w:color w:val="000000" w:themeColor="text1"/>
                      <w:sz w:val="18"/>
                      <w:szCs w:val="18"/>
                      <w:lang w:val="en-US" w:eastAsia="zh-CN"/>
                      <w14:textFill>
                        <w14:solidFill>
                          <w14:schemeClr w14:val="tx1"/>
                        </w14:solidFill>
                      </w14:textFill>
                    </w:rPr>
                    <w:t>9</w:t>
                  </w:r>
                  <w:r>
                    <w:rPr>
                      <w:rFonts w:hint="eastAsia"/>
                      <w:color w:val="000000" w:themeColor="text1"/>
                      <w:sz w:val="18"/>
                      <w:szCs w:val="18"/>
                      <w14:textFill>
                        <w14:solidFill>
                          <w14:schemeClr w14:val="tx1"/>
                        </w14:solidFill>
                      </w14:textFill>
                    </w:rPr>
                    <w:t xml:space="preserve">-S59  </w:t>
                  </w:r>
                </w:p>
              </w:tc>
              <w:tc>
                <w:tcPr>
                  <w:tcW w:w="448" w:type="pct"/>
                  <w:vMerge w:val="restart"/>
                  <w:shd w:val="clear" w:color="auto" w:fill="FFFFFF"/>
                  <w:noWrap w:val="0"/>
                  <w:vAlign w:val="center"/>
                </w:tcPr>
                <w:p w14:paraId="2C6072DF">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类比法</w:t>
                  </w:r>
                </w:p>
              </w:tc>
              <w:tc>
                <w:tcPr>
                  <w:tcW w:w="498" w:type="pct"/>
                  <w:shd w:val="clear" w:color="auto" w:fill="FFFFFF"/>
                  <w:noWrap w:val="0"/>
                  <w:vAlign w:val="center"/>
                </w:tcPr>
                <w:p w14:paraId="140DC97D">
                  <w:pPr>
                    <w:pStyle w:val="73"/>
                    <w:adjustRightInd w:val="0"/>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0.</w:t>
                  </w:r>
                  <w:r>
                    <w:rPr>
                      <w:rFonts w:hint="eastAsia"/>
                      <w:color w:val="000000" w:themeColor="text1"/>
                      <w:sz w:val="18"/>
                      <w:szCs w:val="18"/>
                      <w14:textFill>
                        <w14:solidFill>
                          <w14:schemeClr w14:val="tx1"/>
                        </w14:solidFill>
                      </w14:textFill>
                    </w:rPr>
                    <w:t>0</w:t>
                  </w:r>
                  <w:r>
                    <w:rPr>
                      <w:rFonts w:hint="eastAsia"/>
                      <w:color w:val="000000" w:themeColor="text1"/>
                      <w:sz w:val="18"/>
                      <w:szCs w:val="18"/>
                      <w:lang w:val="en-US" w:eastAsia="zh-CN"/>
                      <w14:textFill>
                        <w14:solidFill>
                          <w14:schemeClr w14:val="tx1"/>
                        </w14:solidFill>
                      </w14:textFill>
                    </w:rPr>
                    <w:t>2</w:t>
                  </w:r>
                </w:p>
              </w:tc>
              <w:tc>
                <w:tcPr>
                  <w:tcW w:w="483" w:type="pct"/>
                  <w:vMerge w:val="restart"/>
                  <w:shd w:val="clear" w:color="auto" w:fill="FFFFFF"/>
                  <w:noWrap w:val="0"/>
                  <w:vAlign w:val="center"/>
                </w:tcPr>
                <w:p w14:paraId="67FADBA4">
                  <w:pPr>
                    <w:pStyle w:val="73"/>
                    <w:adjustRightInd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综合</w:t>
                  </w:r>
                </w:p>
                <w:p w14:paraId="6488A0E8">
                  <w:pPr>
                    <w:pStyle w:val="73"/>
                    <w:adjustRightInd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利用</w:t>
                  </w:r>
                </w:p>
              </w:tc>
              <w:tc>
                <w:tcPr>
                  <w:tcW w:w="1047" w:type="dxa"/>
                  <w:shd w:val="clear" w:color="auto" w:fill="FFFFFF"/>
                  <w:noWrap w:val="0"/>
                  <w:vAlign w:val="center"/>
                </w:tcPr>
                <w:p w14:paraId="21191FC1">
                  <w:pPr>
                    <w:pStyle w:val="73"/>
                    <w:adjustRightInd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w:t>
                  </w:r>
                  <w:r>
                    <w:rPr>
                      <w:rFonts w:hint="eastAsia"/>
                      <w:color w:val="000000" w:themeColor="text1"/>
                      <w:sz w:val="18"/>
                      <w:szCs w:val="18"/>
                      <w14:textFill>
                        <w14:solidFill>
                          <w14:schemeClr w14:val="tx1"/>
                        </w14:solidFill>
                      </w14:textFill>
                    </w:rPr>
                    <w:t>0</w:t>
                  </w:r>
                  <w:r>
                    <w:rPr>
                      <w:rFonts w:hint="eastAsia"/>
                      <w:color w:val="000000" w:themeColor="text1"/>
                      <w:sz w:val="18"/>
                      <w:szCs w:val="18"/>
                      <w:lang w:val="en-US" w:eastAsia="zh-CN"/>
                      <w14:textFill>
                        <w14:solidFill>
                          <w14:schemeClr w14:val="tx1"/>
                        </w14:solidFill>
                      </w14:textFill>
                    </w:rPr>
                    <w:t>2</w:t>
                  </w:r>
                </w:p>
              </w:tc>
              <w:tc>
                <w:tcPr>
                  <w:tcW w:w="806" w:type="pct"/>
                  <w:vMerge w:val="restart"/>
                  <w:shd w:val="clear" w:color="auto" w:fill="FFFFFF"/>
                  <w:noWrap w:val="0"/>
                  <w:vAlign w:val="center"/>
                </w:tcPr>
                <w:p w14:paraId="006C699C">
                  <w:pPr>
                    <w:widowControl/>
                    <w:jc w:val="center"/>
                    <w:rPr>
                      <w:color w:val="000000" w:themeColor="text1"/>
                      <w:sz w:val="18"/>
                      <w:szCs w:val="18"/>
                      <w:highlight w:val="yellow"/>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交由专业回收公司处理</w:t>
                  </w:r>
                </w:p>
              </w:tc>
            </w:tr>
            <w:tr w14:paraId="442B9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3" w:type="pct"/>
                  <w:vMerge w:val="continue"/>
                  <w:shd w:val="clear" w:color="auto" w:fill="FFFFFF"/>
                  <w:noWrap w:val="0"/>
                  <w:vAlign w:val="center"/>
                </w:tcPr>
                <w:p w14:paraId="72AAAD34">
                  <w:pPr>
                    <w:adjustRightInd w:val="0"/>
                    <w:snapToGrid w:val="0"/>
                    <w:jc w:val="center"/>
                    <w:rPr>
                      <w:color w:val="000000" w:themeColor="text1"/>
                      <w:sz w:val="18"/>
                      <w:szCs w:val="18"/>
                      <w14:textFill>
                        <w14:solidFill>
                          <w14:schemeClr w14:val="tx1"/>
                        </w14:solidFill>
                      </w14:textFill>
                    </w:rPr>
                  </w:pPr>
                </w:p>
              </w:tc>
              <w:tc>
                <w:tcPr>
                  <w:tcW w:w="811" w:type="pct"/>
                  <w:shd w:val="clear" w:color="auto" w:fill="FFFFFF"/>
                  <w:noWrap w:val="0"/>
                  <w:vAlign w:val="center"/>
                </w:tcPr>
                <w:p w14:paraId="39D0D393">
                  <w:pPr>
                    <w:adjustRightInd w:val="0"/>
                    <w:snapToGrid w:val="0"/>
                    <w:jc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废过滤材料</w:t>
                  </w:r>
                </w:p>
              </w:tc>
              <w:tc>
                <w:tcPr>
                  <w:tcW w:w="811" w:type="pct"/>
                  <w:shd w:val="clear" w:color="auto" w:fill="FFFFFF"/>
                  <w:noWrap w:val="0"/>
                  <w:vAlign w:val="center"/>
                </w:tcPr>
                <w:p w14:paraId="131F85A2">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900-009-S59 </w:t>
                  </w:r>
                </w:p>
              </w:tc>
              <w:tc>
                <w:tcPr>
                  <w:tcW w:w="448" w:type="pct"/>
                  <w:vMerge w:val="continue"/>
                  <w:shd w:val="clear" w:color="auto" w:fill="FFFFFF"/>
                  <w:noWrap w:val="0"/>
                  <w:vAlign w:val="center"/>
                </w:tcPr>
                <w:p w14:paraId="2C5BCAC8">
                  <w:pPr>
                    <w:adjustRightInd w:val="0"/>
                    <w:snapToGrid w:val="0"/>
                    <w:jc w:val="center"/>
                    <w:rPr>
                      <w:bCs/>
                      <w:color w:val="000000" w:themeColor="text1"/>
                      <w:sz w:val="18"/>
                      <w:szCs w:val="18"/>
                      <w14:textFill>
                        <w14:solidFill>
                          <w14:schemeClr w14:val="tx1"/>
                        </w14:solidFill>
                      </w14:textFill>
                    </w:rPr>
                  </w:pPr>
                </w:p>
              </w:tc>
              <w:tc>
                <w:tcPr>
                  <w:tcW w:w="498" w:type="pct"/>
                  <w:shd w:val="clear" w:color="auto" w:fill="FFFFFF"/>
                  <w:noWrap w:val="0"/>
                  <w:vAlign w:val="center"/>
                </w:tcPr>
                <w:p w14:paraId="3207D414">
                  <w:pPr>
                    <w:pStyle w:val="73"/>
                    <w:adjustRightInd w:val="0"/>
                    <w:rPr>
                      <w:rFonts w:hint="eastAsia" w:eastAsia="宋体"/>
                      <w:color w:val="000000" w:themeColor="text1"/>
                      <w:sz w:val="18"/>
                      <w:szCs w:val="18"/>
                      <w:lang w:eastAsia="zh-CN"/>
                      <w14:textFill>
                        <w14:solidFill>
                          <w14:schemeClr w14:val="tx1"/>
                        </w14:solidFill>
                      </w14:textFill>
                    </w:rPr>
                  </w:pPr>
                  <w:r>
                    <w:rPr>
                      <w:color w:val="000000" w:themeColor="text1"/>
                      <w:sz w:val="18"/>
                      <w:szCs w:val="18"/>
                      <w14:textFill>
                        <w14:solidFill>
                          <w14:schemeClr w14:val="tx1"/>
                        </w14:solidFill>
                      </w14:textFill>
                    </w:rPr>
                    <w:t>0.</w:t>
                  </w:r>
                  <w:r>
                    <w:rPr>
                      <w:rFonts w:hint="eastAsia"/>
                      <w:color w:val="000000" w:themeColor="text1"/>
                      <w:sz w:val="18"/>
                      <w:szCs w:val="18"/>
                      <w14:textFill>
                        <w14:solidFill>
                          <w14:schemeClr w14:val="tx1"/>
                        </w14:solidFill>
                      </w14:textFill>
                    </w:rPr>
                    <w:t>0</w:t>
                  </w:r>
                  <w:r>
                    <w:rPr>
                      <w:rFonts w:hint="eastAsia"/>
                      <w:color w:val="000000" w:themeColor="text1"/>
                      <w:sz w:val="18"/>
                      <w:szCs w:val="18"/>
                      <w:lang w:val="en-US" w:eastAsia="zh-CN"/>
                      <w14:textFill>
                        <w14:solidFill>
                          <w14:schemeClr w14:val="tx1"/>
                        </w14:solidFill>
                      </w14:textFill>
                    </w:rPr>
                    <w:t>5</w:t>
                  </w:r>
                </w:p>
              </w:tc>
              <w:tc>
                <w:tcPr>
                  <w:tcW w:w="483" w:type="pct"/>
                  <w:vMerge w:val="continue"/>
                  <w:shd w:val="clear" w:color="auto" w:fill="FFFFFF"/>
                  <w:noWrap w:val="0"/>
                  <w:vAlign w:val="center"/>
                </w:tcPr>
                <w:p w14:paraId="353D76FD">
                  <w:pPr>
                    <w:pStyle w:val="73"/>
                    <w:adjustRightInd w:val="0"/>
                    <w:rPr>
                      <w:color w:val="000000" w:themeColor="text1"/>
                      <w:sz w:val="18"/>
                      <w:szCs w:val="18"/>
                      <w14:textFill>
                        <w14:solidFill>
                          <w14:schemeClr w14:val="tx1"/>
                        </w14:solidFill>
                      </w14:textFill>
                    </w:rPr>
                  </w:pPr>
                </w:p>
              </w:tc>
              <w:tc>
                <w:tcPr>
                  <w:tcW w:w="1047" w:type="dxa"/>
                  <w:shd w:val="clear" w:color="auto" w:fill="FFFFFF"/>
                  <w:noWrap w:val="0"/>
                  <w:vAlign w:val="center"/>
                </w:tcPr>
                <w:p w14:paraId="1F5DFBDA">
                  <w:pPr>
                    <w:pStyle w:val="73"/>
                    <w:adjustRightInd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w:t>
                  </w:r>
                  <w:r>
                    <w:rPr>
                      <w:rFonts w:hint="eastAsia"/>
                      <w:color w:val="000000" w:themeColor="text1"/>
                      <w:sz w:val="18"/>
                      <w:szCs w:val="18"/>
                      <w14:textFill>
                        <w14:solidFill>
                          <w14:schemeClr w14:val="tx1"/>
                        </w14:solidFill>
                      </w14:textFill>
                    </w:rPr>
                    <w:t>0</w:t>
                  </w:r>
                  <w:r>
                    <w:rPr>
                      <w:rFonts w:hint="eastAsia"/>
                      <w:color w:val="000000" w:themeColor="text1"/>
                      <w:sz w:val="18"/>
                      <w:szCs w:val="18"/>
                      <w:lang w:val="en-US" w:eastAsia="zh-CN"/>
                      <w14:textFill>
                        <w14:solidFill>
                          <w14:schemeClr w14:val="tx1"/>
                        </w14:solidFill>
                      </w14:textFill>
                    </w:rPr>
                    <w:t>5</w:t>
                  </w:r>
                </w:p>
              </w:tc>
              <w:tc>
                <w:tcPr>
                  <w:tcW w:w="806" w:type="pct"/>
                  <w:vMerge w:val="continue"/>
                  <w:shd w:val="clear" w:color="auto" w:fill="FFFFFF"/>
                  <w:noWrap w:val="0"/>
                  <w:vAlign w:val="center"/>
                </w:tcPr>
                <w:p w14:paraId="39D3F364">
                  <w:pPr>
                    <w:widowControl/>
                    <w:adjustRightInd w:val="0"/>
                    <w:snapToGrid w:val="0"/>
                    <w:jc w:val="center"/>
                    <w:rPr>
                      <w:color w:val="000000" w:themeColor="text1"/>
                      <w:sz w:val="18"/>
                      <w:szCs w:val="18"/>
                      <w14:textFill>
                        <w14:solidFill>
                          <w14:schemeClr w14:val="tx1"/>
                        </w14:solidFill>
                      </w14:textFill>
                    </w:rPr>
                  </w:pPr>
                </w:p>
              </w:tc>
            </w:tr>
            <w:tr w14:paraId="3970E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3" w:type="pct"/>
                  <w:shd w:val="clear" w:color="auto" w:fill="FFFFFF"/>
                  <w:noWrap w:val="0"/>
                  <w:vAlign w:val="center"/>
                </w:tcPr>
                <w:p w14:paraId="400BA2E9">
                  <w:pPr>
                    <w:adjustRightInd w:val="0"/>
                    <w:snapToGrid w:val="0"/>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喷粉</w:t>
                  </w:r>
                </w:p>
              </w:tc>
              <w:tc>
                <w:tcPr>
                  <w:tcW w:w="811" w:type="pct"/>
                  <w:shd w:val="clear" w:color="auto" w:fill="FFFFFF"/>
                  <w:noWrap w:val="0"/>
                  <w:vAlign w:val="center"/>
                </w:tcPr>
                <w:p w14:paraId="6B65F272">
                  <w:pPr>
                    <w:adjustRightInd w:val="0"/>
                    <w:snapToGrid w:val="0"/>
                    <w:jc w:val="center"/>
                    <w:rPr>
                      <w:rFonts w:hint="default" w:eastAsia="宋体"/>
                      <w:color w:val="000000" w:themeColor="text1"/>
                      <w:kern w:val="0"/>
                      <w:sz w:val="18"/>
                      <w:szCs w:val="18"/>
                      <w:lang w:val="en-US" w:eastAsia="zh-CN" w:bidi="ar"/>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清扫粉尘</w:t>
                  </w:r>
                </w:p>
              </w:tc>
              <w:tc>
                <w:tcPr>
                  <w:tcW w:w="811" w:type="pct"/>
                  <w:shd w:val="clear" w:color="auto" w:fill="FFFFFF"/>
                  <w:noWrap w:val="0"/>
                  <w:vAlign w:val="center"/>
                </w:tcPr>
                <w:p w14:paraId="7DB05C68">
                  <w:pPr>
                    <w:adjustRightInd w:val="0"/>
                    <w:snapToGrid w:val="0"/>
                    <w:jc w:val="center"/>
                    <w:rPr>
                      <w:rFonts w:hint="default" w:eastAsia="宋体"/>
                      <w:color w:val="000000" w:themeColor="text1"/>
                      <w:sz w:val="18"/>
                      <w:szCs w:val="18"/>
                      <w:lang w:val="en-US" w:eastAsia="zh-CN"/>
                      <w14:textFill>
                        <w14:solidFill>
                          <w14:schemeClr w14:val="tx1"/>
                        </w14:solidFill>
                      </w14:textFill>
                    </w:rPr>
                  </w:pPr>
                  <w:r>
                    <w:rPr>
                      <w:color w:val="000000" w:themeColor="text1"/>
                      <w:sz w:val="18"/>
                      <w:szCs w:val="18"/>
                      <w:lang w:bidi="ar"/>
                      <w14:textFill>
                        <w14:solidFill>
                          <w14:schemeClr w14:val="tx1"/>
                        </w14:solidFill>
                      </w14:textFill>
                    </w:rPr>
                    <w:t>900-0</w:t>
                  </w:r>
                  <w:r>
                    <w:rPr>
                      <w:rFonts w:hint="eastAsia"/>
                      <w:color w:val="000000" w:themeColor="text1"/>
                      <w:sz w:val="18"/>
                      <w:szCs w:val="18"/>
                      <w:lang w:val="en-US" w:eastAsia="zh-CN" w:bidi="ar"/>
                      <w14:textFill>
                        <w14:solidFill>
                          <w14:schemeClr w14:val="tx1"/>
                        </w14:solidFill>
                      </w14:textFill>
                    </w:rPr>
                    <w:t>99</w:t>
                  </w:r>
                  <w:r>
                    <w:rPr>
                      <w:color w:val="000000" w:themeColor="text1"/>
                      <w:sz w:val="18"/>
                      <w:szCs w:val="18"/>
                      <w:lang w:bidi="ar"/>
                      <w14:textFill>
                        <w14:solidFill>
                          <w14:schemeClr w14:val="tx1"/>
                        </w14:solidFill>
                      </w14:textFill>
                    </w:rPr>
                    <w:t>-S</w:t>
                  </w:r>
                  <w:r>
                    <w:rPr>
                      <w:rFonts w:hint="eastAsia"/>
                      <w:color w:val="000000" w:themeColor="text1"/>
                      <w:sz w:val="18"/>
                      <w:szCs w:val="18"/>
                      <w:lang w:val="en-US" w:eastAsia="zh-CN" w:bidi="ar"/>
                      <w14:textFill>
                        <w14:solidFill>
                          <w14:schemeClr w14:val="tx1"/>
                        </w14:solidFill>
                      </w14:textFill>
                    </w:rPr>
                    <w:t>59</w:t>
                  </w:r>
                </w:p>
              </w:tc>
              <w:tc>
                <w:tcPr>
                  <w:tcW w:w="448" w:type="pct"/>
                  <w:vMerge w:val="continue"/>
                  <w:shd w:val="clear" w:color="auto" w:fill="FFFFFF"/>
                  <w:noWrap w:val="0"/>
                  <w:vAlign w:val="center"/>
                </w:tcPr>
                <w:p w14:paraId="66C57C09">
                  <w:pPr>
                    <w:adjustRightInd w:val="0"/>
                    <w:snapToGrid w:val="0"/>
                    <w:jc w:val="center"/>
                    <w:rPr>
                      <w:bCs/>
                      <w:color w:val="000000" w:themeColor="text1"/>
                      <w:sz w:val="18"/>
                      <w:szCs w:val="18"/>
                      <w14:textFill>
                        <w14:solidFill>
                          <w14:schemeClr w14:val="tx1"/>
                        </w14:solidFill>
                      </w14:textFill>
                    </w:rPr>
                  </w:pPr>
                </w:p>
              </w:tc>
              <w:tc>
                <w:tcPr>
                  <w:tcW w:w="498" w:type="pct"/>
                  <w:shd w:val="clear" w:color="auto" w:fill="FFFFFF"/>
                  <w:noWrap w:val="0"/>
                  <w:vAlign w:val="center"/>
                </w:tcPr>
                <w:p w14:paraId="3CA6EA62">
                  <w:pPr>
                    <w:pStyle w:val="73"/>
                    <w:adjustRightInd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3.753</w:t>
                  </w:r>
                </w:p>
              </w:tc>
              <w:tc>
                <w:tcPr>
                  <w:tcW w:w="483" w:type="pct"/>
                  <w:vMerge w:val="continue"/>
                  <w:shd w:val="clear" w:color="auto" w:fill="FFFFFF"/>
                  <w:noWrap w:val="0"/>
                  <w:vAlign w:val="center"/>
                </w:tcPr>
                <w:p w14:paraId="3E3DE49D">
                  <w:pPr>
                    <w:pStyle w:val="73"/>
                    <w:adjustRightInd w:val="0"/>
                    <w:rPr>
                      <w:color w:val="000000" w:themeColor="text1"/>
                      <w:sz w:val="18"/>
                      <w:szCs w:val="18"/>
                      <w14:textFill>
                        <w14:solidFill>
                          <w14:schemeClr w14:val="tx1"/>
                        </w14:solidFill>
                      </w14:textFill>
                    </w:rPr>
                  </w:pPr>
                </w:p>
              </w:tc>
              <w:tc>
                <w:tcPr>
                  <w:tcW w:w="1047" w:type="dxa"/>
                  <w:shd w:val="clear" w:color="auto" w:fill="FFFFFF"/>
                  <w:noWrap w:val="0"/>
                  <w:vAlign w:val="center"/>
                </w:tcPr>
                <w:p w14:paraId="7EE25C70">
                  <w:pPr>
                    <w:pStyle w:val="73"/>
                    <w:adjustRightInd w:val="0"/>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3.753</w:t>
                  </w:r>
                </w:p>
              </w:tc>
              <w:tc>
                <w:tcPr>
                  <w:tcW w:w="806" w:type="pct"/>
                  <w:vMerge w:val="restart"/>
                  <w:shd w:val="clear" w:color="auto" w:fill="FFFFFF"/>
                  <w:noWrap w:val="0"/>
                  <w:vAlign w:val="center"/>
                </w:tcPr>
                <w:p w14:paraId="6001E5D5">
                  <w:pPr>
                    <w:widowControl/>
                    <w:adjustRightInd w:val="0"/>
                    <w:snapToGrid w:val="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外售综合利用</w:t>
                  </w:r>
                </w:p>
              </w:tc>
            </w:tr>
            <w:tr w14:paraId="6576B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3" w:type="pct"/>
                  <w:shd w:val="clear" w:color="auto" w:fill="FFFFFF"/>
                  <w:noWrap w:val="0"/>
                  <w:vAlign w:val="center"/>
                </w:tcPr>
                <w:p w14:paraId="200D82DC">
                  <w:pPr>
                    <w:adjustRightInd w:val="0"/>
                    <w:snapToGrid w:val="0"/>
                    <w:jc w:val="center"/>
                    <w:rPr>
                      <w:rFonts w:hint="eastAsia"/>
                      <w:color w:val="000000" w:themeColor="text1"/>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bidi="ar-SA"/>
                      <w14:textFill>
                        <w14:solidFill>
                          <w14:schemeClr w14:val="tx1"/>
                        </w14:solidFill>
                      </w14:textFill>
                    </w:rPr>
                    <w:t>遮蔽</w:t>
                  </w:r>
                </w:p>
              </w:tc>
              <w:tc>
                <w:tcPr>
                  <w:tcW w:w="811" w:type="pct"/>
                  <w:shd w:val="clear" w:color="auto" w:fill="FFFFFF"/>
                  <w:noWrap w:val="0"/>
                  <w:vAlign w:val="center"/>
                </w:tcPr>
                <w:p w14:paraId="7D09291A">
                  <w:pPr>
                    <w:adjustRightInd w:val="0"/>
                    <w:snapToGrid w:val="0"/>
                    <w:jc w:val="center"/>
                    <w:rPr>
                      <w:rFonts w:hint="eastAsia"/>
                      <w:color w:val="000000" w:themeColor="text1"/>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bidi="ar-SA"/>
                      <w14:textFill>
                        <w14:solidFill>
                          <w14:schemeClr w14:val="tx1"/>
                        </w14:solidFill>
                      </w14:textFill>
                    </w:rPr>
                    <w:t>废遮蔽膜（喷粉用）</w:t>
                  </w:r>
                </w:p>
              </w:tc>
              <w:tc>
                <w:tcPr>
                  <w:tcW w:w="811" w:type="pct"/>
                  <w:shd w:val="clear" w:color="auto" w:fill="FFFFFF"/>
                  <w:noWrap w:val="0"/>
                  <w:vAlign w:val="center"/>
                </w:tcPr>
                <w:p w14:paraId="09BF664D">
                  <w:pPr>
                    <w:adjustRightInd w:val="0"/>
                    <w:snapToGrid w:val="0"/>
                    <w:jc w:val="center"/>
                    <w:rPr>
                      <w:color w:val="000000" w:themeColor="text1"/>
                      <w:sz w:val="18"/>
                      <w:szCs w:val="18"/>
                      <w:lang w:bidi="ar"/>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900-003-S17</w:t>
                  </w:r>
                </w:p>
              </w:tc>
              <w:tc>
                <w:tcPr>
                  <w:tcW w:w="448" w:type="pct"/>
                  <w:vMerge w:val="continue"/>
                  <w:shd w:val="clear" w:color="auto" w:fill="FFFFFF"/>
                  <w:noWrap w:val="0"/>
                  <w:vAlign w:val="center"/>
                </w:tcPr>
                <w:p w14:paraId="3A7AE983">
                  <w:pPr>
                    <w:adjustRightInd w:val="0"/>
                    <w:snapToGrid w:val="0"/>
                    <w:jc w:val="center"/>
                    <w:rPr>
                      <w:bCs/>
                      <w:color w:val="000000" w:themeColor="text1"/>
                      <w:sz w:val="18"/>
                      <w:szCs w:val="18"/>
                      <w14:textFill>
                        <w14:solidFill>
                          <w14:schemeClr w14:val="tx1"/>
                        </w14:solidFill>
                      </w14:textFill>
                    </w:rPr>
                  </w:pPr>
                </w:p>
              </w:tc>
              <w:tc>
                <w:tcPr>
                  <w:tcW w:w="498" w:type="pct"/>
                  <w:shd w:val="clear" w:color="auto" w:fill="FFFFFF"/>
                  <w:noWrap w:val="0"/>
                  <w:vAlign w:val="center"/>
                </w:tcPr>
                <w:p w14:paraId="3A7F6395">
                  <w:pPr>
                    <w:pStyle w:val="73"/>
                    <w:adjustRightInd w:val="0"/>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0.2</w:t>
                  </w:r>
                </w:p>
              </w:tc>
              <w:tc>
                <w:tcPr>
                  <w:tcW w:w="483" w:type="pct"/>
                  <w:vMerge w:val="continue"/>
                  <w:shd w:val="clear" w:color="auto" w:fill="FFFFFF"/>
                  <w:noWrap w:val="0"/>
                  <w:vAlign w:val="center"/>
                </w:tcPr>
                <w:p w14:paraId="2FD0F168">
                  <w:pPr>
                    <w:pStyle w:val="73"/>
                    <w:adjustRightInd w:val="0"/>
                    <w:rPr>
                      <w:color w:val="000000" w:themeColor="text1"/>
                      <w:sz w:val="18"/>
                      <w:szCs w:val="18"/>
                      <w14:textFill>
                        <w14:solidFill>
                          <w14:schemeClr w14:val="tx1"/>
                        </w14:solidFill>
                      </w14:textFill>
                    </w:rPr>
                  </w:pPr>
                </w:p>
              </w:tc>
              <w:tc>
                <w:tcPr>
                  <w:tcW w:w="1047" w:type="dxa"/>
                  <w:shd w:val="clear" w:color="auto" w:fill="FFFFFF"/>
                  <w:noWrap w:val="0"/>
                  <w:vAlign w:val="center"/>
                </w:tcPr>
                <w:p w14:paraId="2AE99FF8">
                  <w:pPr>
                    <w:pStyle w:val="73"/>
                    <w:adjustRightInd w:val="0"/>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0.2</w:t>
                  </w:r>
                </w:p>
              </w:tc>
              <w:tc>
                <w:tcPr>
                  <w:tcW w:w="806" w:type="pct"/>
                  <w:vMerge w:val="continue"/>
                  <w:shd w:val="clear" w:color="auto" w:fill="FFFFFF"/>
                  <w:noWrap w:val="0"/>
                  <w:vAlign w:val="center"/>
                </w:tcPr>
                <w:p w14:paraId="3432A365">
                  <w:pPr>
                    <w:widowControl/>
                    <w:adjustRightInd w:val="0"/>
                    <w:snapToGrid w:val="0"/>
                    <w:jc w:val="center"/>
                    <w:rPr>
                      <w:rFonts w:hint="eastAsia"/>
                      <w:color w:val="000000" w:themeColor="text1"/>
                      <w:sz w:val="18"/>
                      <w:szCs w:val="18"/>
                      <w:lang w:val="en-US" w:eastAsia="zh-CN"/>
                      <w14:textFill>
                        <w14:solidFill>
                          <w14:schemeClr w14:val="tx1"/>
                        </w14:solidFill>
                      </w14:textFill>
                    </w:rPr>
                  </w:pPr>
                </w:p>
              </w:tc>
            </w:tr>
            <w:tr w14:paraId="044CF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33" w:type="pct"/>
                  <w:shd w:val="clear" w:color="auto" w:fill="FFFFFF"/>
                  <w:noWrap w:val="0"/>
                  <w:vAlign w:val="center"/>
                </w:tcPr>
                <w:p w14:paraId="33BB9A66">
                  <w:pPr>
                    <w:adjustRightInd w:val="0"/>
                    <w:snapToGrid w:val="0"/>
                    <w:jc w:val="center"/>
                    <w:rPr>
                      <w:rFonts w:hint="default"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原料拆包、产品包装</w:t>
                  </w:r>
                </w:p>
              </w:tc>
              <w:tc>
                <w:tcPr>
                  <w:tcW w:w="811" w:type="pct"/>
                  <w:shd w:val="clear" w:color="auto" w:fill="FFFFFF"/>
                  <w:noWrap w:val="0"/>
                  <w:vAlign w:val="center"/>
                </w:tcPr>
                <w:p w14:paraId="53347DAA">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废包装材料</w:t>
                  </w:r>
                </w:p>
              </w:tc>
              <w:tc>
                <w:tcPr>
                  <w:tcW w:w="811" w:type="pct"/>
                  <w:shd w:val="clear" w:color="auto" w:fill="FFFFFF"/>
                  <w:noWrap w:val="0"/>
                  <w:vAlign w:val="center"/>
                </w:tcPr>
                <w:p w14:paraId="46466C34">
                  <w:pPr>
                    <w:adjustRightInd w:val="0"/>
                    <w:snapToGrid w:val="0"/>
                    <w:jc w:val="center"/>
                    <w:rPr>
                      <w:color w:val="000000" w:themeColor="text1"/>
                      <w:sz w:val="18"/>
                      <w:szCs w:val="18"/>
                      <w:lang w:bidi="ar"/>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900-003-S17</w:t>
                  </w:r>
                  <w:r>
                    <w:rPr>
                      <w:rFonts w:hint="eastAsia"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900-005-S17</w:t>
                  </w:r>
                </w:p>
              </w:tc>
              <w:tc>
                <w:tcPr>
                  <w:tcW w:w="448" w:type="pct"/>
                  <w:vMerge w:val="continue"/>
                  <w:shd w:val="clear" w:color="auto" w:fill="FFFFFF"/>
                  <w:noWrap w:val="0"/>
                  <w:vAlign w:val="center"/>
                </w:tcPr>
                <w:p w14:paraId="7E88F6CA">
                  <w:pPr>
                    <w:adjustRightInd w:val="0"/>
                    <w:snapToGrid w:val="0"/>
                    <w:jc w:val="center"/>
                    <w:rPr>
                      <w:bCs/>
                      <w:color w:val="000000" w:themeColor="text1"/>
                      <w:sz w:val="18"/>
                      <w:szCs w:val="18"/>
                      <w14:textFill>
                        <w14:solidFill>
                          <w14:schemeClr w14:val="tx1"/>
                        </w14:solidFill>
                      </w14:textFill>
                    </w:rPr>
                  </w:pPr>
                </w:p>
              </w:tc>
              <w:tc>
                <w:tcPr>
                  <w:tcW w:w="498" w:type="pct"/>
                  <w:shd w:val="clear" w:color="auto" w:fill="FFFFFF"/>
                  <w:noWrap w:val="0"/>
                  <w:vAlign w:val="center"/>
                </w:tcPr>
                <w:p w14:paraId="3CAAC438">
                  <w:pPr>
                    <w:pStyle w:val="73"/>
                    <w:adjustRightInd w:val="0"/>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c>
                <w:tcPr>
                  <w:tcW w:w="483" w:type="pct"/>
                  <w:vMerge w:val="continue"/>
                  <w:shd w:val="clear" w:color="auto" w:fill="FFFFFF"/>
                  <w:noWrap w:val="0"/>
                  <w:vAlign w:val="center"/>
                </w:tcPr>
                <w:p w14:paraId="079C6A81">
                  <w:pPr>
                    <w:pStyle w:val="73"/>
                    <w:adjustRightInd w:val="0"/>
                    <w:rPr>
                      <w:color w:val="000000" w:themeColor="text1"/>
                      <w:sz w:val="18"/>
                      <w:szCs w:val="18"/>
                      <w14:textFill>
                        <w14:solidFill>
                          <w14:schemeClr w14:val="tx1"/>
                        </w14:solidFill>
                      </w14:textFill>
                    </w:rPr>
                  </w:pPr>
                </w:p>
              </w:tc>
              <w:tc>
                <w:tcPr>
                  <w:tcW w:w="1047" w:type="dxa"/>
                  <w:shd w:val="clear" w:color="auto" w:fill="FFFFFF"/>
                  <w:noWrap w:val="0"/>
                  <w:vAlign w:val="center"/>
                </w:tcPr>
                <w:p w14:paraId="3F504869">
                  <w:pPr>
                    <w:pStyle w:val="73"/>
                    <w:adjustRightInd w:val="0"/>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c>
                <w:tcPr>
                  <w:tcW w:w="806" w:type="pct"/>
                  <w:vMerge w:val="continue"/>
                  <w:shd w:val="clear" w:color="auto" w:fill="FFFFFF"/>
                  <w:noWrap w:val="0"/>
                  <w:vAlign w:val="center"/>
                </w:tcPr>
                <w:p w14:paraId="098191E6">
                  <w:pPr>
                    <w:widowControl/>
                    <w:adjustRightInd w:val="0"/>
                    <w:snapToGrid w:val="0"/>
                    <w:jc w:val="center"/>
                    <w:rPr>
                      <w:color w:val="000000" w:themeColor="text1"/>
                      <w:sz w:val="18"/>
                      <w:szCs w:val="18"/>
                      <w14:textFill>
                        <w14:solidFill>
                          <w14:schemeClr w14:val="tx1"/>
                        </w14:solidFill>
                      </w14:textFill>
                    </w:rPr>
                  </w:pPr>
                </w:p>
              </w:tc>
            </w:tr>
          </w:tbl>
          <w:p w14:paraId="7B59B368">
            <w:pPr>
              <w:pStyle w:val="142"/>
              <w:keepNext/>
              <w:keepLines/>
              <w:pageBreakBefore w:val="0"/>
              <w:widowControl w:val="0"/>
              <w:kinsoku/>
              <w:wordWrap/>
              <w:overflowPunct/>
              <w:topLinePunct w:val="0"/>
              <w:autoSpaceDE/>
              <w:autoSpaceDN/>
              <w:bidi w:val="0"/>
              <w:adjustRightInd/>
              <w:snapToGrid/>
              <w:spacing w:before="157" w:beforeLines="50" w:after="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危险废物源</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强核算结果一览表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850"/>
              <w:gridCol w:w="1337"/>
              <w:gridCol w:w="796"/>
              <w:gridCol w:w="817"/>
              <w:gridCol w:w="637"/>
              <w:gridCol w:w="637"/>
              <w:gridCol w:w="683"/>
              <w:gridCol w:w="663"/>
              <w:gridCol w:w="622"/>
              <w:gridCol w:w="970"/>
            </w:tblGrid>
            <w:tr w14:paraId="48A95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5" w:type="pct"/>
                  <w:noWrap w:val="0"/>
                  <w:vAlign w:val="center"/>
                </w:tcPr>
                <w:p w14:paraId="599D0FC1">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危险废物名称</w:t>
                  </w:r>
                </w:p>
              </w:tc>
              <w:tc>
                <w:tcPr>
                  <w:tcW w:w="488" w:type="pct"/>
                  <w:noWrap w:val="0"/>
                  <w:vAlign w:val="center"/>
                </w:tcPr>
                <w:p w14:paraId="2F8EBEA4">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危险废物类别</w:t>
                  </w:r>
                </w:p>
              </w:tc>
              <w:tc>
                <w:tcPr>
                  <w:tcW w:w="768" w:type="pct"/>
                  <w:noWrap w:val="0"/>
                  <w:vAlign w:val="center"/>
                </w:tcPr>
                <w:p w14:paraId="3BB9BD33">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废物</w:t>
                  </w:r>
                </w:p>
                <w:p w14:paraId="0210315B">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代码</w:t>
                  </w:r>
                </w:p>
              </w:tc>
              <w:tc>
                <w:tcPr>
                  <w:tcW w:w="457" w:type="pct"/>
                  <w:noWrap w:val="0"/>
                  <w:vAlign w:val="center"/>
                </w:tcPr>
                <w:p w14:paraId="11C96278">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产生量(</w:t>
                  </w:r>
                  <w:r>
                    <w:rPr>
                      <w:rFonts w:hint="eastAsia"/>
                      <w:color w:val="000000" w:themeColor="text1"/>
                      <w:kern w:val="0"/>
                      <w:sz w:val="18"/>
                      <w:szCs w:val="18"/>
                      <w14:textFill>
                        <w14:solidFill>
                          <w14:schemeClr w14:val="tx1"/>
                        </w14:solidFill>
                      </w14:textFill>
                    </w:rPr>
                    <w:t>t</w:t>
                  </w:r>
                  <w:r>
                    <w:rPr>
                      <w:color w:val="000000" w:themeColor="text1"/>
                      <w:kern w:val="0"/>
                      <w:sz w:val="18"/>
                      <w:szCs w:val="18"/>
                      <w14:textFill>
                        <w14:solidFill>
                          <w14:schemeClr w14:val="tx1"/>
                        </w14:solidFill>
                      </w14:textFill>
                    </w:rPr>
                    <w:t>/</w:t>
                  </w:r>
                  <w:r>
                    <w:rPr>
                      <w:rFonts w:hint="eastAsia"/>
                      <w:color w:val="000000" w:themeColor="text1"/>
                      <w:kern w:val="0"/>
                      <w:sz w:val="18"/>
                      <w:szCs w:val="18"/>
                      <w14:textFill>
                        <w14:solidFill>
                          <w14:schemeClr w14:val="tx1"/>
                        </w14:solidFill>
                      </w14:textFill>
                    </w:rPr>
                    <w:t>a</w:t>
                  </w:r>
                  <w:r>
                    <w:rPr>
                      <w:color w:val="000000" w:themeColor="text1"/>
                      <w:kern w:val="0"/>
                      <w:sz w:val="18"/>
                      <w:szCs w:val="18"/>
                      <w14:textFill>
                        <w14:solidFill>
                          <w14:schemeClr w14:val="tx1"/>
                        </w14:solidFill>
                      </w14:textFill>
                    </w:rPr>
                    <w:t>)</w:t>
                  </w:r>
                </w:p>
              </w:tc>
              <w:tc>
                <w:tcPr>
                  <w:tcW w:w="469" w:type="pct"/>
                  <w:noWrap w:val="0"/>
                  <w:vAlign w:val="center"/>
                </w:tcPr>
                <w:p w14:paraId="73317FB3">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产生工序及装置</w:t>
                  </w:r>
                </w:p>
              </w:tc>
              <w:tc>
                <w:tcPr>
                  <w:tcW w:w="366" w:type="pct"/>
                  <w:noWrap w:val="0"/>
                  <w:vAlign w:val="center"/>
                </w:tcPr>
                <w:p w14:paraId="5472B023">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形态</w:t>
                  </w:r>
                </w:p>
              </w:tc>
              <w:tc>
                <w:tcPr>
                  <w:tcW w:w="366" w:type="pct"/>
                  <w:noWrap w:val="0"/>
                  <w:vAlign w:val="center"/>
                </w:tcPr>
                <w:p w14:paraId="744BC796">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主要</w:t>
                  </w:r>
                </w:p>
                <w:p w14:paraId="3AE33C85">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成分</w:t>
                  </w:r>
                </w:p>
              </w:tc>
              <w:tc>
                <w:tcPr>
                  <w:tcW w:w="392" w:type="pct"/>
                  <w:noWrap w:val="0"/>
                  <w:vAlign w:val="center"/>
                </w:tcPr>
                <w:p w14:paraId="1B0217EE">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有害成分</w:t>
                  </w:r>
                </w:p>
              </w:tc>
              <w:tc>
                <w:tcPr>
                  <w:tcW w:w="381" w:type="pct"/>
                  <w:noWrap w:val="0"/>
                  <w:vAlign w:val="center"/>
                </w:tcPr>
                <w:p w14:paraId="71B5AC4A">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产废周期</w:t>
                  </w:r>
                </w:p>
              </w:tc>
              <w:tc>
                <w:tcPr>
                  <w:tcW w:w="357" w:type="pct"/>
                  <w:noWrap w:val="0"/>
                  <w:vAlign w:val="center"/>
                </w:tcPr>
                <w:p w14:paraId="202F4214">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危险</w:t>
                  </w:r>
                </w:p>
                <w:p w14:paraId="000D7D6E">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特性</w:t>
                  </w:r>
                </w:p>
              </w:tc>
              <w:tc>
                <w:tcPr>
                  <w:tcW w:w="557" w:type="pct"/>
                  <w:noWrap w:val="0"/>
                  <w:vAlign w:val="center"/>
                </w:tcPr>
                <w:p w14:paraId="4024CD3E">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污染防治措施</w:t>
                  </w:r>
                </w:p>
              </w:tc>
            </w:tr>
            <w:tr w14:paraId="4DBD1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5" w:type="pct"/>
                  <w:noWrap w:val="0"/>
                  <w:vAlign w:val="center"/>
                </w:tcPr>
                <w:p w14:paraId="4F370513">
                  <w:pPr>
                    <w:topLinePunct/>
                    <w:adjustRightInd w:val="0"/>
                    <w:snapToGrid w:val="0"/>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槽渣</w:t>
                  </w:r>
                </w:p>
              </w:tc>
              <w:tc>
                <w:tcPr>
                  <w:tcW w:w="488" w:type="pct"/>
                  <w:noWrap w:val="0"/>
                  <w:vAlign w:val="center"/>
                </w:tcPr>
                <w:p w14:paraId="06618601">
                  <w:pPr>
                    <w:topLinePunct/>
                    <w:adjustRightInd w:val="0"/>
                    <w:snapToGrid w:val="0"/>
                    <w:jc w:val="center"/>
                    <w:rPr>
                      <w:rFonts w:hint="default" w:eastAsia="宋体"/>
                      <w:color w:val="000000" w:themeColor="text1"/>
                      <w:kern w:val="0"/>
                      <w:sz w:val="18"/>
                      <w:szCs w:val="18"/>
                      <w:lang w:val="en-US" w:eastAsia="zh-CN"/>
                      <w14:textFill>
                        <w14:solidFill>
                          <w14:schemeClr w14:val="tx1"/>
                        </w14:solidFill>
                      </w14:textFill>
                    </w:rPr>
                  </w:pPr>
                  <w:r>
                    <w:rPr>
                      <w:color w:val="000000" w:themeColor="text1"/>
                      <w:kern w:val="0"/>
                      <w:sz w:val="18"/>
                      <w:szCs w:val="18"/>
                      <w14:textFill>
                        <w14:solidFill>
                          <w14:schemeClr w14:val="tx1"/>
                        </w14:solidFill>
                      </w14:textFill>
                    </w:rPr>
                    <w:t>HW</w:t>
                  </w:r>
                  <w:r>
                    <w:rPr>
                      <w:rFonts w:hint="eastAsia"/>
                      <w:color w:val="000000" w:themeColor="text1"/>
                      <w:kern w:val="0"/>
                      <w:sz w:val="18"/>
                      <w:szCs w:val="18"/>
                      <w:lang w:val="en-US" w:eastAsia="zh-CN"/>
                      <w14:textFill>
                        <w14:solidFill>
                          <w14:schemeClr w14:val="tx1"/>
                        </w14:solidFill>
                      </w14:textFill>
                    </w:rPr>
                    <w:t>17</w:t>
                  </w:r>
                </w:p>
              </w:tc>
              <w:tc>
                <w:tcPr>
                  <w:tcW w:w="768" w:type="pct"/>
                  <w:noWrap w:val="0"/>
                  <w:vAlign w:val="center"/>
                </w:tcPr>
                <w:p w14:paraId="10912ED9">
                  <w:pPr>
                    <w:topLinePunct/>
                    <w:adjustRightInd w:val="0"/>
                    <w:snapToGrid w:val="0"/>
                    <w:jc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336-064-17</w:t>
                  </w:r>
                </w:p>
              </w:tc>
              <w:tc>
                <w:tcPr>
                  <w:tcW w:w="457" w:type="pct"/>
                  <w:noWrap w:val="0"/>
                  <w:vAlign w:val="center"/>
                </w:tcPr>
                <w:p w14:paraId="2DDB97FB">
                  <w:pPr>
                    <w:topLinePunct/>
                    <w:adjustRightInd w:val="0"/>
                    <w:snapToGrid w:val="0"/>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sz w:val="18"/>
                      <w:szCs w:val="18"/>
                      <w:lang w:val="en-US" w:eastAsia="zh-CN" w:bidi="ar"/>
                      <w14:textFill>
                        <w14:solidFill>
                          <w14:schemeClr w14:val="tx1"/>
                        </w14:solidFill>
                      </w14:textFill>
                    </w:rPr>
                    <w:t>2.77</w:t>
                  </w:r>
                </w:p>
              </w:tc>
              <w:tc>
                <w:tcPr>
                  <w:tcW w:w="469" w:type="pct"/>
                  <w:noWrap w:val="0"/>
                  <w:vAlign w:val="center"/>
                </w:tcPr>
                <w:p w14:paraId="1BF471BE">
                  <w:pPr>
                    <w:topLinePunct/>
                    <w:adjustRightInd w:val="0"/>
                    <w:snapToGrid w:val="0"/>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前处理及电泳</w:t>
                  </w:r>
                </w:p>
              </w:tc>
              <w:tc>
                <w:tcPr>
                  <w:tcW w:w="366" w:type="pct"/>
                  <w:noWrap w:val="0"/>
                  <w:vAlign w:val="center"/>
                </w:tcPr>
                <w:p w14:paraId="1D9BFE38">
                  <w:pPr>
                    <w:topLinePunct/>
                    <w:adjustRightInd w:val="0"/>
                    <w:snapToGri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固液混合</w:t>
                  </w:r>
                </w:p>
              </w:tc>
              <w:tc>
                <w:tcPr>
                  <w:tcW w:w="758" w:type="pct"/>
                  <w:gridSpan w:val="2"/>
                  <w:vMerge w:val="restart"/>
                  <w:noWrap w:val="0"/>
                  <w:vAlign w:val="center"/>
                </w:tcPr>
                <w:p w14:paraId="50415F28">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酸碱废液、有机废液及含金属物质废液</w:t>
                  </w:r>
                </w:p>
              </w:tc>
              <w:tc>
                <w:tcPr>
                  <w:tcW w:w="381" w:type="pct"/>
                  <w:noWrap w:val="0"/>
                  <w:vAlign w:val="center"/>
                </w:tcPr>
                <w:p w14:paraId="0C5761B8">
                  <w:pPr>
                    <w:topLinePunct/>
                    <w:adjustRightInd w:val="0"/>
                    <w:snapToGrid w:val="0"/>
                    <w:jc w:val="center"/>
                    <w:rPr>
                      <w:rFonts w:hint="eastAsia" w:eastAsia="宋体"/>
                      <w:color w:val="000000" w:themeColor="text1"/>
                      <w:kern w:val="0"/>
                      <w:sz w:val="18"/>
                      <w:szCs w:val="18"/>
                      <w:lang w:eastAsia="zh-CN"/>
                      <w14:textFill>
                        <w14:solidFill>
                          <w14:schemeClr w14:val="tx1"/>
                        </w14:solidFill>
                      </w14:textFill>
                    </w:rPr>
                  </w:pPr>
                  <w:r>
                    <w:rPr>
                      <w:color w:val="000000" w:themeColor="text1"/>
                      <w:kern w:val="0"/>
                      <w:sz w:val="18"/>
                      <w:szCs w:val="18"/>
                      <w14:textFill>
                        <w14:solidFill>
                          <w14:schemeClr w14:val="tx1"/>
                        </w14:solidFill>
                      </w14:textFill>
                    </w:rPr>
                    <w:t>每</w:t>
                  </w:r>
                  <w:r>
                    <w:rPr>
                      <w:rFonts w:hint="eastAsia"/>
                      <w:color w:val="000000" w:themeColor="text1"/>
                      <w:kern w:val="0"/>
                      <w:sz w:val="18"/>
                      <w:szCs w:val="18"/>
                      <w:lang w:val="en-US" w:eastAsia="zh-CN"/>
                      <w14:textFill>
                        <w14:solidFill>
                          <w14:schemeClr w14:val="tx1"/>
                        </w14:solidFill>
                      </w14:textFill>
                    </w:rPr>
                    <w:t>半年</w:t>
                  </w:r>
                </w:p>
              </w:tc>
              <w:tc>
                <w:tcPr>
                  <w:tcW w:w="357" w:type="pct"/>
                  <w:noWrap w:val="0"/>
                  <w:vAlign w:val="center"/>
                </w:tcPr>
                <w:p w14:paraId="22776274">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T/C</w:t>
                  </w:r>
                </w:p>
              </w:tc>
              <w:tc>
                <w:tcPr>
                  <w:tcW w:w="557" w:type="pct"/>
                  <w:vMerge w:val="restart"/>
                  <w:noWrap w:val="0"/>
                  <w:vAlign w:val="center"/>
                </w:tcPr>
                <w:p w14:paraId="6916431E">
                  <w:pPr>
                    <w:topLinePunct/>
                    <w:adjustRightInd w:val="0"/>
                    <w:snapToGrid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设置规范化的危险废物</w:t>
                  </w:r>
                  <w:r>
                    <w:rPr>
                      <w:rFonts w:hint="eastAsia"/>
                      <w:color w:val="000000" w:themeColor="text1"/>
                      <w:sz w:val="18"/>
                      <w:szCs w:val="18"/>
                      <w14:textFill>
                        <w14:solidFill>
                          <w14:schemeClr w14:val="tx1"/>
                        </w14:solidFill>
                      </w14:textFill>
                    </w:rPr>
                    <w:t>贮存</w:t>
                  </w:r>
                  <w:r>
                    <w:rPr>
                      <w:color w:val="000000" w:themeColor="text1"/>
                      <w:sz w:val="18"/>
                      <w:szCs w:val="18"/>
                      <w14:textFill>
                        <w14:solidFill>
                          <w14:schemeClr w14:val="tx1"/>
                        </w14:solidFill>
                      </w14:textFill>
                    </w:rPr>
                    <w:t>间，自行暂存后，委托有资质单位统一处置</w:t>
                  </w:r>
                </w:p>
              </w:tc>
            </w:tr>
            <w:tr w14:paraId="14A81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5" w:type="pct"/>
                  <w:shd w:val="clear" w:color="auto" w:fill="auto"/>
                  <w:noWrap w:val="0"/>
                  <w:vAlign w:val="center"/>
                </w:tcPr>
                <w:p w14:paraId="34D423DF">
                  <w:pPr>
                    <w:topLinePunct/>
                    <w:adjustRightInd w:val="0"/>
                    <w:snapToGrid w:val="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废槽液</w:t>
                  </w:r>
                </w:p>
              </w:tc>
              <w:tc>
                <w:tcPr>
                  <w:tcW w:w="488" w:type="pct"/>
                  <w:shd w:val="clear" w:color="auto" w:fill="auto"/>
                  <w:noWrap w:val="0"/>
                  <w:vAlign w:val="center"/>
                </w:tcPr>
                <w:p w14:paraId="6D1391AF">
                  <w:pPr>
                    <w:topLinePunct/>
                    <w:adjustRightInd w:val="0"/>
                    <w:snapToGrid w:val="0"/>
                    <w:jc w:val="center"/>
                    <w:rPr>
                      <w:rFonts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HW</w:t>
                  </w:r>
                  <w:r>
                    <w:rPr>
                      <w:rFonts w:hint="eastAsia"/>
                      <w:color w:val="000000" w:themeColor="text1"/>
                      <w:kern w:val="0"/>
                      <w:sz w:val="18"/>
                      <w:szCs w:val="18"/>
                      <w:lang w:val="en-US" w:eastAsia="zh-CN"/>
                      <w14:textFill>
                        <w14:solidFill>
                          <w14:schemeClr w14:val="tx1"/>
                        </w14:solidFill>
                      </w14:textFill>
                    </w:rPr>
                    <w:t>17</w:t>
                  </w:r>
                </w:p>
              </w:tc>
              <w:tc>
                <w:tcPr>
                  <w:tcW w:w="768" w:type="pct"/>
                  <w:shd w:val="clear" w:color="auto" w:fill="auto"/>
                  <w:noWrap w:val="0"/>
                  <w:vAlign w:val="center"/>
                </w:tcPr>
                <w:p w14:paraId="27574128">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336-064-17</w:t>
                  </w:r>
                </w:p>
              </w:tc>
              <w:tc>
                <w:tcPr>
                  <w:tcW w:w="457" w:type="pct"/>
                  <w:shd w:val="clear" w:color="auto" w:fill="auto"/>
                  <w:noWrap w:val="0"/>
                  <w:vAlign w:val="center"/>
                </w:tcPr>
                <w:p w14:paraId="6A5008FA">
                  <w:pPr>
                    <w:topLinePunct/>
                    <w:adjustRightInd w:val="0"/>
                    <w:snapToGrid w:val="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137.95</w:t>
                  </w:r>
                </w:p>
              </w:tc>
              <w:tc>
                <w:tcPr>
                  <w:tcW w:w="469" w:type="pct"/>
                  <w:shd w:val="clear" w:color="auto" w:fill="auto"/>
                  <w:noWrap w:val="0"/>
                  <w:vAlign w:val="center"/>
                </w:tcPr>
                <w:p w14:paraId="429B7A72">
                  <w:pPr>
                    <w:topLinePunct/>
                    <w:adjustRightInd w:val="0"/>
                    <w:snapToGrid w:val="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前处理及电泳</w:t>
                  </w:r>
                </w:p>
              </w:tc>
              <w:tc>
                <w:tcPr>
                  <w:tcW w:w="366" w:type="pct"/>
                  <w:shd w:val="clear" w:color="auto" w:fill="auto"/>
                  <w:noWrap w:val="0"/>
                  <w:vAlign w:val="center"/>
                </w:tcPr>
                <w:p w14:paraId="30BB9883">
                  <w:pPr>
                    <w:topLinePunct/>
                    <w:adjustRightInd w:val="0"/>
                    <w:snapToGrid w:val="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液态</w:t>
                  </w:r>
                </w:p>
              </w:tc>
              <w:tc>
                <w:tcPr>
                  <w:tcW w:w="758" w:type="pct"/>
                  <w:gridSpan w:val="2"/>
                  <w:vMerge w:val="continue"/>
                  <w:noWrap w:val="0"/>
                  <w:vAlign w:val="center"/>
                </w:tcPr>
                <w:p w14:paraId="38AE4CB9">
                  <w:pPr>
                    <w:topLinePunct/>
                    <w:adjustRightInd w:val="0"/>
                    <w:snapToGrid w:val="0"/>
                    <w:jc w:val="center"/>
                    <w:rPr>
                      <w:color w:val="000000" w:themeColor="text1"/>
                      <w:kern w:val="0"/>
                      <w:sz w:val="18"/>
                      <w:szCs w:val="18"/>
                      <w14:textFill>
                        <w14:solidFill>
                          <w14:schemeClr w14:val="tx1"/>
                        </w14:solidFill>
                      </w14:textFill>
                    </w:rPr>
                  </w:pPr>
                </w:p>
              </w:tc>
              <w:tc>
                <w:tcPr>
                  <w:tcW w:w="381" w:type="pct"/>
                  <w:shd w:val="clear" w:color="auto" w:fill="auto"/>
                  <w:noWrap w:val="0"/>
                  <w:vAlign w:val="center"/>
                </w:tcPr>
                <w:p w14:paraId="35341B19">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每</w:t>
                  </w:r>
                  <w:r>
                    <w:rPr>
                      <w:rFonts w:hint="eastAsia"/>
                      <w:color w:val="000000" w:themeColor="text1"/>
                      <w:kern w:val="0"/>
                      <w:sz w:val="18"/>
                      <w:szCs w:val="18"/>
                      <w:lang w:val="en-US" w:eastAsia="zh-CN"/>
                      <w14:textFill>
                        <w14:solidFill>
                          <w14:schemeClr w14:val="tx1"/>
                        </w14:solidFill>
                      </w14:textFill>
                    </w:rPr>
                    <w:t>1~2年</w:t>
                  </w:r>
                </w:p>
              </w:tc>
              <w:tc>
                <w:tcPr>
                  <w:tcW w:w="357" w:type="pct"/>
                  <w:shd w:val="clear" w:color="auto" w:fill="auto"/>
                  <w:noWrap w:val="0"/>
                  <w:vAlign w:val="center"/>
                </w:tcPr>
                <w:p w14:paraId="3973A9BF">
                  <w:pPr>
                    <w:widowControl/>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T/C</w:t>
                  </w:r>
                </w:p>
              </w:tc>
              <w:tc>
                <w:tcPr>
                  <w:tcW w:w="557" w:type="pct"/>
                  <w:vMerge w:val="continue"/>
                  <w:noWrap w:val="0"/>
                  <w:vAlign w:val="center"/>
                </w:tcPr>
                <w:p w14:paraId="2882090E">
                  <w:pPr>
                    <w:topLinePunct/>
                    <w:adjustRightInd w:val="0"/>
                    <w:snapToGrid w:val="0"/>
                    <w:jc w:val="center"/>
                    <w:rPr>
                      <w:color w:val="000000" w:themeColor="text1"/>
                      <w:sz w:val="18"/>
                      <w:szCs w:val="18"/>
                      <w14:textFill>
                        <w14:solidFill>
                          <w14:schemeClr w14:val="tx1"/>
                        </w14:solidFill>
                      </w14:textFill>
                    </w:rPr>
                  </w:pPr>
                </w:p>
              </w:tc>
            </w:tr>
            <w:tr w14:paraId="1F298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5" w:type="pct"/>
                  <w:noWrap w:val="0"/>
                  <w:vAlign w:val="center"/>
                </w:tcPr>
                <w:p w14:paraId="7DF99619">
                  <w:pPr>
                    <w:topLinePunct/>
                    <w:adjustRightInd w:val="0"/>
                    <w:snapToGrid w:val="0"/>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废脱漆液</w:t>
                  </w:r>
                </w:p>
              </w:tc>
              <w:tc>
                <w:tcPr>
                  <w:tcW w:w="488" w:type="pct"/>
                  <w:noWrap w:val="0"/>
                  <w:vAlign w:val="center"/>
                </w:tcPr>
                <w:p w14:paraId="67F8E885">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HW</w:t>
                  </w:r>
                  <w:r>
                    <w:rPr>
                      <w:rFonts w:hint="eastAsia"/>
                      <w:color w:val="000000" w:themeColor="text1"/>
                      <w:kern w:val="0"/>
                      <w:sz w:val="18"/>
                      <w:szCs w:val="18"/>
                      <w:lang w:val="en-US" w:eastAsia="zh-CN"/>
                      <w14:textFill>
                        <w14:solidFill>
                          <w14:schemeClr w14:val="tx1"/>
                        </w14:solidFill>
                      </w14:textFill>
                    </w:rPr>
                    <w:t>17</w:t>
                  </w:r>
                </w:p>
              </w:tc>
              <w:tc>
                <w:tcPr>
                  <w:tcW w:w="768" w:type="pct"/>
                  <w:shd w:val="clear" w:color="auto" w:fill="auto"/>
                  <w:noWrap w:val="0"/>
                  <w:vAlign w:val="center"/>
                </w:tcPr>
                <w:p w14:paraId="5FEF2D0F">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336</w:t>
                  </w:r>
                  <w:r>
                    <w:rPr>
                      <w:rFonts w:hint="eastAsia" w:cs="Times New Roman"/>
                      <w:b w:val="0"/>
                      <w:bCs w:val="0"/>
                      <w:color w:val="000000" w:themeColor="text1"/>
                      <w:spacing w:val="0"/>
                      <w:position w:val="0"/>
                      <w:sz w:val="18"/>
                      <w:szCs w:val="18"/>
                      <w:highlight w:val="none"/>
                      <w:u w:val="none"/>
                      <w:lang w:val="en-US" w:eastAsia="zh-CN"/>
                      <w14:textFill>
                        <w14:solidFill>
                          <w14:schemeClr w14:val="tx1"/>
                        </w14:solidFill>
                      </w14:textFill>
                    </w:rPr>
                    <w:t>-066-17</w:t>
                  </w:r>
                </w:p>
              </w:tc>
              <w:tc>
                <w:tcPr>
                  <w:tcW w:w="457" w:type="pct"/>
                  <w:shd w:val="clear" w:color="auto" w:fill="auto"/>
                  <w:noWrap w:val="0"/>
                  <w:vAlign w:val="center"/>
                </w:tcPr>
                <w:p w14:paraId="7A39841A">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3.25</w:t>
                  </w:r>
                </w:p>
              </w:tc>
              <w:tc>
                <w:tcPr>
                  <w:tcW w:w="469" w:type="pct"/>
                  <w:shd w:val="clear" w:color="auto" w:fill="auto"/>
                  <w:noWrap w:val="0"/>
                  <w:vAlign w:val="center"/>
                </w:tcPr>
                <w:p w14:paraId="317DD243">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电泳漆脱除</w:t>
                  </w:r>
                </w:p>
              </w:tc>
              <w:tc>
                <w:tcPr>
                  <w:tcW w:w="366" w:type="pct"/>
                  <w:shd w:val="clear" w:color="auto" w:fill="auto"/>
                  <w:noWrap w:val="0"/>
                  <w:vAlign w:val="center"/>
                </w:tcPr>
                <w:p w14:paraId="420FB1C9">
                  <w:pPr>
                    <w:topLinePunct/>
                    <w:adjustRightInd w:val="0"/>
                    <w:snapToGrid w:val="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液态</w:t>
                  </w:r>
                </w:p>
              </w:tc>
              <w:tc>
                <w:tcPr>
                  <w:tcW w:w="758" w:type="pct"/>
                  <w:gridSpan w:val="2"/>
                  <w:noWrap w:val="0"/>
                  <w:vAlign w:val="center"/>
                </w:tcPr>
                <w:p w14:paraId="0AFDB756">
                  <w:pPr>
                    <w:autoSpaceDE w:val="0"/>
                    <w:autoSpaceDN w:val="0"/>
                    <w:adjustRightInd w:val="0"/>
                    <w:snapToGrid w:val="0"/>
                    <w:jc w:val="center"/>
                    <w:textAlignment w:val="bottom"/>
                    <w:rPr>
                      <w:color w:val="000000" w:themeColor="text1"/>
                      <w:sz w:val="18"/>
                      <w:szCs w:val="18"/>
                      <w14:textFill>
                        <w14:solidFill>
                          <w14:schemeClr w14:val="tx1"/>
                        </w14:solidFill>
                      </w14:textFill>
                    </w:rPr>
                  </w:pPr>
                  <w:r>
                    <w:rPr>
                      <w:color w:val="000000" w:themeColor="text1"/>
                      <w:kern w:val="0"/>
                      <w:sz w:val="18"/>
                      <w:szCs w:val="18"/>
                      <w14:textFill>
                        <w14:solidFill>
                          <w14:schemeClr w14:val="tx1"/>
                        </w14:solidFill>
                      </w14:textFill>
                    </w:rPr>
                    <w:t>有机废液</w:t>
                  </w:r>
                </w:p>
              </w:tc>
              <w:tc>
                <w:tcPr>
                  <w:tcW w:w="381" w:type="pct"/>
                  <w:noWrap w:val="0"/>
                  <w:vAlign w:val="center"/>
                </w:tcPr>
                <w:p w14:paraId="66696C0A">
                  <w:pPr>
                    <w:topLinePunct/>
                    <w:adjustRightInd w:val="0"/>
                    <w:snapToGrid w:val="0"/>
                    <w:jc w:val="center"/>
                    <w:rPr>
                      <w:rFonts w:hint="default" w:eastAsia="宋体"/>
                      <w:color w:val="000000" w:themeColor="text1"/>
                      <w:kern w:val="0"/>
                      <w:sz w:val="18"/>
                      <w:szCs w:val="18"/>
                      <w:lang w:val="en-US" w:eastAsia="zh-CN"/>
                      <w14:textFill>
                        <w14:solidFill>
                          <w14:schemeClr w14:val="tx1"/>
                        </w14:solidFill>
                      </w14:textFill>
                    </w:rPr>
                  </w:pPr>
                  <w:r>
                    <w:rPr>
                      <w:color w:val="000000" w:themeColor="text1"/>
                      <w:kern w:val="0"/>
                      <w:sz w:val="18"/>
                      <w:szCs w:val="18"/>
                      <w14:textFill>
                        <w14:solidFill>
                          <w14:schemeClr w14:val="tx1"/>
                        </w14:solidFill>
                      </w14:textFill>
                    </w:rPr>
                    <w:t>每</w:t>
                  </w:r>
                  <w:r>
                    <w:rPr>
                      <w:rFonts w:hint="eastAsia"/>
                      <w:color w:val="000000" w:themeColor="text1"/>
                      <w:kern w:val="0"/>
                      <w:sz w:val="18"/>
                      <w:szCs w:val="18"/>
                      <w:lang w:val="en-US" w:eastAsia="zh-CN"/>
                      <w14:textFill>
                        <w14:solidFill>
                          <w14:schemeClr w14:val="tx1"/>
                        </w14:solidFill>
                      </w14:textFill>
                    </w:rPr>
                    <w:t>年</w:t>
                  </w:r>
                </w:p>
              </w:tc>
              <w:tc>
                <w:tcPr>
                  <w:tcW w:w="357" w:type="pct"/>
                  <w:noWrap w:val="0"/>
                  <w:vAlign w:val="center"/>
                </w:tcPr>
                <w:p w14:paraId="4D24B747">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T/C</w:t>
                  </w:r>
                </w:p>
              </w:tc>
              <w:tc>
                <w:tcPr>
                  <w:tcW w:w="557" w:type="pct"/>
                  <w:vMerge w:val="continue"/>
                  <w:noWrap w:val="0"/>
                  <w:vAlign w:val="center"/>
                </w:tcPr>
                <w:p w14:paraId="1FFAF608">
                  <w:pPr>
                    <w:topLinePunct/>
                    <w:adjustRightInd w:val="0"/>
                    <w:snapToGrid w:val="0"/>
                    <w:jc w:val="center"/>
                    <w:rPr>
                      <w:color w:val="000000" w:themeColor="text1"/>
                      <w:kern w:val="0"/>
                      <w:sz w:val="18"/>
                      <w:szCs w:val="18"/>
                      <w14:textFill>
                        <w14:solidFill>
                          <w14:schemeClr w14:val="tx1"/>
                        </w14:solidFill>
                      </w14:textFill>
                    </w:rPr>
                  </w:pPr>
                </w:p>
              </w:tc>
            </w:tr>
            <w:tr w14:paraId="62741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5" w:type="pct"/>
                  <w:noWrap w:val="0"/>
                  <w:vAlign w:val="center"/>
                </w:tcPr>
                <w:p w14:paraId="02750874">
                  <w:pPr>
                    <w:topLinePunct/>
                    <w:adjustRightInd w:val="0"/>
                    <w:snapToGrid w:val="0"/>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废超滤芯</w:t>
                  </w:r>
                </w:p>
              </w:tc>
              <w:tc>
                <w:tcPr>
                  <w:tcW w:w="488" w:type="pct"/>
                  <w:noWrap w:val="0"/>
                  <w:vAlign w:val="center"/>
                </w:tcPr>
                <w:p w14:paraId="40A26743">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HW49</w:t>
                  </w:r>
                </w:p>
              </w:tc>
              <w:tc>
                <w:tcPr>
                  <w:tcW w:w="768" w:type="pct"/>
                  <w:noWrap w:val="0"/>
                  <w:vAlign w:val="center"/>
                </w:tcPr>
                <w:p w14:paraId="58FAFC74">
                  <w:pPr>
                    <w:topLinePunct/>
                    <w:adjustRightInd w:val="0"/>
                    <w:snapToGrid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900-04</w:t>
                  </w:r>
                  <w:r>
                    <w:rPr>
                      <w:rFonts w:hint="eastAsia"/>
                      <w:color w:val="000000" w:themeColor="text1"/>
                      <w:sz w:val="18"/>
                      <w:szCs w:val="18"/>
                      <w:lang w:val="en-US" w:eastAsia="zh-CN"/>
                      <w14:textFill>
                        <w14:solidFill>
                          <w14:schemeClr w14:val="tx1"/>
                        </w14:solidFill>
                      </w14:textFill>
                    </w:rPr>
                    <w:t>1</w:t>
                  </w:r>
                  <w:r>
                    <w:rPr>
                      <w:color w:val="000000" w:themeColor="text1"/>
                      <w:sz w:val="18"/>
                      <w:szCs w:val="18"/>
                      <w14:textFill>
                        <w14:solidFill>
                          <w14:schemeClr w14:val="tx1"/>
                        </w14:solidFill>
                      </w14:textFill>
                    </w:rPr>
                    <w:t>-49</w:t>
                  </w:r>
                </w:p>
              </w:tc>
              <w:tc>
                <w:tcPr>
                  <w:tcW w:w="457" w:type="pct"/>
                  <w:noWrap w:val="0"/>
                  <w:vAlign w:val="center"/>
                </w:tcPr>
                <w:p w14:paraId="476A148E">
                  <w:pPr>
                    <w:topLinePunct/>
                    <w:adjustRightInd w:val="0"/>
                    <w:snapToGrid w:val="0"/>
                    <w:jc w:val="center"/>
                    <w:rPr>
                      <w:rFonts w:hint="default"/>
                      <w:color w:val="000000" w:themeColor="text1"/>
                      <w:sz w:val="18"/>
                      <w:szCs w:val="18"/>
                      <w:lang w:val="en-US" w:eastAsia="zh-CN"/>
                      <w14:textFill>
                        <w14:solidFill>
                          <w14:schemeClr w14:val="tx1"/>
                        </w14:solidFill>
                      </w14:textFill>
                    </w:rPr>
                  </w:pPr>
                  <w:r>
                    <w:rPr>
                      <w:color w:val="000000" w:themeColor="text1"/>
                      <w:kern w:val="0"/>
                      <w:sz w:val="18"/>
                      <w:szCs w:val="18"/>
                      <w14:textFill>
                        <w14:solidFill>
                          <w14:schemeClr w14:val="tx1"/>
                        </w14:solidFill>
                      </w14:textFill>
                    </w:rPr>
                    <w:t>0</w:t>
                  </w:r>
                  <w:r>
                    <w:rPr>
                      <w:rFonts w:hint="eastAsia"/>
                      <w:color w:val="000000" w:themeColor="text1"/>
                      <w:kern w:val="0"/>
                      <w:sz w:val="18"/>
                      <w:szCs w:val="18"/>
                      <w:lang w:val="en-US" w:eastAsia="zh-CN"/>
                      <w14:textFill>
                        <w14:solidFill>
                          <w14:schemeClr w14:val="tx1"/>
                        </w14:solidFill>
                      </w14:textFill>
                    </w:rPr>
                    <w:t>.8</w:t>
                  </w:r>
                </w:p>
              </w:tc>
              <w:tc>
                <w:tcPr>
                  <w:tcW w:w="469" w:type="pct"/>
                  <w:noWrap w:val="0"/>
                  <w:vAlign w:val="center"/>
                </w:tcPr>
                <w:p w14:paraId="2A8C7668">
                  <w:pPr>
                    <w:topLinePunct/>
                    <w:adjustRightInd w:val="0"/>
                    <w:snapToGrid w:val="0"/>
                    <w:jc w:val="center"/>
                    <w:rPr>
                      <w:rFonts w:hint="eastAsia" w:eastAsia="宋体"/>
                      <w:color w:val="000000" w:themeColor="text1"/>
                      <w:kern w:val="0"/>
                      <w:sz w:val="18"/>
                      <w:szCs w:val="18"/>
                      <w:lang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电泳</w:t>
                  </w:r>
                </w:p>
              </w:tc>
              <w:tc>
                <w:tcPr>
                  <w:tcW w:w="366" w:type="pct"/>
                  <w:noWrap w:val="0"/>
                  <w:vAlign w:val="center"/>
                </w:tcPr>
                <w:p w14:paraId="539A55D3">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固态</w:t>
                  </w:r>
                </w:p>
              </w:tc>
              <w:tc>
                <w:tcPr>
                  <w:tcW w:w="366" w:type="pct"/>
                  <w:tcBorders>
                    <w:right w:val="single" w:color="000000" w:sz="4" w:space="0"/>
                  </w:tcBorders>
                  <w:noWrap w:val="0"/>
                  <w:vAlign w:val="center"/>
                </w:tcPr>
                <w:p w14:paraId="220ABC20">
                  <w:pPr>
                    <w:topLinePunct/>
                    <w:adjustRightInd w:val="0"/>
                    <w:snapToGrid w:val="0"/>
                    <w:jc w:val="center"/>
                    <w:rPr>
                      <w:color w:val="000000" w:themeColor="text1"/>
                      <w:kern w:val="0"/>
                      <w:sz w:val="18"/>
                      <w:szCs w:val="18"/>
                      <w:lang w:bidi="ar"/>
                      <w14:textFill>
                        <w14:solidFill>
                          <w14:schemeClr w14:val="tx1"/>
                        </w14:solidFill>
                      </w14:textFill>
                    </w:rPr>
                  </w:pPr>
                  <w:r>
                    <w:rPr>
                      <w:color w:val="000000" w:themeColor="text1"/>
                      <w:kern w:val="0"/>
                      <w:sz w:val="18"/>
                      <w:szCs w:val="18"/>
                      <w14:textFill>
                        <w14:solidFill>
                          <w14:schemeClr w14:val="tx1"/>
                        </w14:solidFill>
                      </w14:textFill>
                    </w:rPr>
                    <w:t>有机物等</w:t>
                  </w:r>
                </w:p>
              </w:tc>
              <w:tc>
                <w:tcPr>
                  <w:tcW w:w="392" w:type="pct"/>
                  <w:tcBorders>
                    <w:left w:val="single" w:color="000000" w:sz="4" w:space="0"/>
                  </w:tcBorders>
                  <w:noWrap w:val="0"/>
                  <w:vAlign w:val="center"/>
                </w:tcPr>
                <w:p w14:paraId="78DCA6D6">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有机物等</w:t>
                  </w:r>
                </w:p>
              </w:tc>
              <w:tc>
                <w:tcPr>
                  <w:tcW w:w="381" w:type="pct"/>
                  <w:noWrap w:val="0"/>
                  <w:vAlign w:val="center"/>
                </w:tcPr>
                <w:p w14:paraId="0852F77F">
                  <w:pPr>
                    <w:topLinePunct/>
                    <w:adjustRightInd w:val="0"/>
                    <w:snapToGrid w:val="0"/>
                    <w:jc w:val="center"/>
                    <w:rPr>
                      <w:rFonts w:hint="eastAsia" w:eastAsia="宋体"/>
                      <w:color w:val="000000" w:themeColor="text1"/>
                      <w:kern w:val="0"/>
                      <w:sz w:val="18"/>
                      <w:szCs w:val="18"/>
                      <w:lang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每季</w:t>
                  </w:r>
                </w:p>
              </w:tc>
              <w:tc>
                <w:tcPr>
                  <w:tcW w:w="357" w:type="pct"/>
                  <w:noWrap w:val="0"/>
                  <w:vAlign w:val="center"/>
                </w:tcPr>
                <w:p w14:paraId="65874056">
                  <w:pPr>
                    <w:widowControl/>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T</w:t>
                  </w:r>
                  <w:r>
                    <w:rPr>
                      <w:rFonts w:hint="eastAsia"/>
                      <w:color w:val="000000" w:themeColor="text1"/>
                      <w:sz w:val="18"/>
                      <w:szCs w:val="18"/>
                      <w14:textFill>
                        <w14:solidFill>
                          <w14:schemeClr w14:val="tx1"/>
                        </w14:solidFill>
                      </w14:textFill>
                    </w:rPr>
                    <w:t>/In</w:t>
                  </w:r>
                </w:p>
              </w:tc>
              <w:tc>
                <w:tcPr>
                  <w:tcW w:w="557" w:type="pct"/>
                  <w:vMerge w:val="continue"/>
                  <w:noWrap w:val="0"/>
                  <w:vAlign w:val="center"/>
                </w:tcPr>
                <w:p w14:paraId="673245D9">
                  <w:pPr>
                    <w:topLinePunct/>
                    <w:adjustRightInd w:val="0"/>
                    <w:snapToGrid w:val="0"/>
                    <w:jc w:val="center"/>
                    <w:rPr>
                      <w:color w:val="000000" w:themeColor="text1"/>
                      <w:kern w:val="0"/>
                      <w:sz w:val="18"/>
                      <w:szCs w:val="18"/>
                      <w14:textFill>
                        <w14:solidFill>
                          <w14:schemeClr w14:val="tx1"/>
                        </w14:solidFill>
                      </w14:textFill>
                    </w:rPr>
                  </w:pPr>
                </w:p>
              </w:tc>
            </w:tr>
            <w:tr w14:paraId="0E328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5" w:type="pct"/>
                  <w:noWrap w:val="0"/>
                  <w:vAlign w:val="center"/>
                </w:tcPr>
                <w:p w14:paraId="4A123B34">
                  <w:pPr>
                    <w:topLinePunct/>
                    <w:adjustRightInd w:val="0"/>
                    <w:snapToGrid w:val="0"/>
                    <w:jc w:val="center"/>
                    <w:rPr>
                      <w:rFonts w:hint="default"/>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涂料渣</w:t>
                  </w:r>
                </w:p>
              </w:tc>
              <w:tc>
                <w:tcPr>
                  <w:tcW w:w="488" w:type="pct"/>
                  <w:shd w:val="clear" w:color="auto" w:fill="auto"/>
                  <w:noWrap w:val="0"/>
                  <w:vAlign w:val="center"/>
                </w:tcPr>
                <w:p w14:paraId="41C9E94C">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HW</w:t>
                  </w:r>
                  <w:r>
                    <w:rPr>
                      <w:rFonts w:hint="eastAsia"/>
                      <w:color w:val="000000" w:themeColor="text1"/>
                      <w:kern w:val="0"/>
                      <w:sz w:val="18"/>
                      <w:szCs w:val="18"/>
                      <w:lang w:val="en-US" w:eastAsia="zh-CN"/>
                      <w14:textFill>
                        <w14:solidFill>
                          <w14:schemeClr w14:val="tx1"/>
                        </w14:solidFill>
                      </w14:textFill>
                    </w:rPr>
                    <w:t>12</w:t>
                  </w:r>
                </w:p>
              </w:tc>
              <w:tc>
                <w:tcPr>
                  <w:tcW w:w="768" w:type="pct"/>
                  <w:shd w:val="clear" w:color="auto" w:fill="auto"/>
                  <w:noWrap w:val="0"/>
                  <w:vAlign w:val="center"/>
                </w:tcPr>
                <w:p w14:paraId="5758C7D5">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900-</w:t>
                  </w:r>
                  <w:r>
                    <w:rPr>
                      <w:rFonts w:hint="eastAsia"/>
                      <w:color w:val="000000" w:themeColor="text1"/>
                      <w:sz w:val="18"/>
                      <w:szCs w:val="18"/>
                      <w:lang w:val="en-US" w:eastAsia="zh-CN"/>
                      <w14:textFill>
                        <w14:solidFill>
                          <w14:schemeClr w14:val="tx1"/>
                        </w14:solidFill>
                      </w14:textFill>
                    </w:rPr>
                    <w:t>252-12</w:t>
                  </w:r>
                </w:p>
              </w:tc>
              <w:tc>
                <w:tcPr>
                  <w:tcW w:w="457" w:type="pct"/>
                  <w:shd w:val="clear" w:color="auto" w:fill="auto"/>
                  <w:noWrap w:val="0"/>
                  <w:vAlign w:val="center"/>
                </w:tcPr>
                <w:p w14:paraId="6F66C0D8">
                  <w:pPr>
                    <w:topLinePunct/>
                    <w:adjustRightInd w:val="0"/>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9.29</w:t>
                  </w:r>
                </w:p>
              </w:tc>
              <w:tc>
                <w:tcPr>
                  <w:tcW w:w="469" w:type="pct"/>
                  <w:shd w:val="clear" w:color="auto" w:fill="auto"/>
                  <w:noWrap w:val="0"/>
                  <w:vAlign w:val="center"/>
                </w:tcPr>
                <w:p w14:paraId="65C0B9BC">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喷粉、喷胶、喷漆</w:t>
                  </w:r>
                </w:p>
              </w:tc>
              <w:tc>
                <w:tcPr>
                  <w:tcW w:w="366" w:type="pct"/>
                  <w:shd w:val="clear" w:color="auto" w:fill="auto"/>
                  <w:noWrap w:val="0"/>
                  <w:vAlign w:val="center"/>
                </w:tcPr>
                <w:p w14:paraId="5B8E54CC">
                  <w:pPr>
                    <w:topLinePunct/>
                    <w:adjustRightInd w:val="0"/>
                    <w:snapToGrid w:val="0"/>
                    <w:jc w:val="center"/>
                    <w:rPr>
                      <w:rFonts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固态</w:t>
                  </w:r>
                </w:p>
              </w:tc>
              <w:tc>
                <w:tcPr>
                  <w:tcW w:w="366" w:type="pct"/>
                  <w:tcBorders>
                    <w:right w:val="single" w:color="000000" w:sz="4" w:space="0"/>
                  </w:tcBorders>
                  <w:shd w:val="clear" w:color="auto" w:fill="auto"/>
                  <w:noWrap w:val="0"/>
                  <w:vAlign w:val="center"/>
                </w:tcPr>
                <w:p w14:paraId="0765AC42">
                  <w:pPr>
                    <w:topLinePunct/>
                    <w:adjustRightInd w:val="0"/>
                    <w:snapToGrid w:val="0"/>
                    <w:jc w:val="center"/>
                    <w:rPr>
                      <w:rFonts w:ascii="Times New Roman" w:hAnsi="Times New Roman" w:eastAsia="宋体" w:cs="Times New Roman"/>
                      <w:color w:val="000000" w:themeColor="text1"/>
                      <w:kern w:val="0"/>
                      <w:sz w:val="18"/>
                      <w:szCs w:val="18"/>
                      <w:lang w:val="en-US" w:eastAsia="zh-CN" w:bidi="ar"/>
                      <w14:textFill>
                        <w14:solidFill>
                          <w14:schemeClr w14:val="tx1"/>
                        </w14:solidFill>
                      </w14:textFill>
                    </w:rPr>
                  </w:pPr>
                  <w:r>
                    <w:rPr>
                      <w:color w:val="000000" w:themeColor="text1"/>
                      <w:kern w:val="0"/>
                      <w:sz w:val="18"/>
                      <w:szCs w:val="18"/>
                      <w14:textFill>
                        <w14:solidFill>
                          <w14:schemeClr w14:val="tx1"/>
                        </w14:solidFill>
                      </w14:textFill>
                    </w:rPr>
                    <w:t>有机物等</w:t>
                  </w:r>
                </w:p>
              </w:tc>
              <w:tc>
                <w:tcPr>
                  <w:tcW w:w="392" w:type="pct"/>
                  <w:tcBorders>
                    <w:left w:val="single" w:color="000000" w:sz="4" w:space="0"/>
                  </w:tcBorders>
                  <w:shd w:val="clear" w:color="auto" w:fill="auto"/>
                  <w:noWrap w:val="0"/>
                  <w:vAlign w:val="center"/>
                </w:tcPr>
                <w:p w14:paraId="3AFE69C5">
                  <w:pPr>
                    <w:topLinePunct/>
                    <w:adjustRightInd w:val="0"/>
                    <w:snapToGrid w:val="0"/>
                    <w:jc w:val="center"/>
                    <w:rPr>
                      <w:rFonts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有机物等</w:t>
                  </w:r>
                </w:p>
              </w:tc>
              <w:tc>
                <w:tcPr>
                  <w:tcW w:w="381" w:type="pct"/>
                  <w:shd w:val="clear" w:color="auto" w:fill="auto"/>
                  <w:noWrap w:val="0"/>
                  <w:vAlign w:val="center"/>
                </w:tcPr>
                <w:p w14:paraId="3759C0E6">
                  <w:pPr>
                    <w:topLinePunct/>
                    <w:adjustRightInd w:val="0"/>
                    <w:snapToGrid w:val="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每日</w:t>
                  </w:r>
                </w:p>
              </w:tc>
              <w:tc>
                <w:tcPr>
                  <w:tcW w:w="357" w:type="pct"/>
                  <w:shd w:val="clear" w:color="auto" w:fill="auto"/>
                  <w:noWrap w:val="0"/>
                  <w:vAlign w:val="center"/>
                </w:tcPr>
                <w:p w14:paraId="09E59D8D">
                  <w:pPr>
                    <w:widowControl/>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T</w:t>
                  </w:r>
                  <w:r>
                    <w:rPr>
                      <w:rFonts w:hint="eastAsia"/>
                      <w:color w:val="000000" w:themeColor="text1"/>
                      <w:sz w:val="18"/>
                      <w:szCs w:val="18"/>
                      <w14:textFill>
                        <w14:solidFill>
                          <w14:schemeClr w14:val="tx1"/>
                        </w14:solidFill>
                      </w14:textFill>
                    </w:rPr>
                    <w:t>/In</w:t>
                  </w:r>
                </w:p>
              </w:tc>
              <w:tc>
                <w:tcPr>
                  <w:tcW w:w="557" w:type="pct"/>
                  <w:vMerge w:val="continue"/>
                  <w:noWrap w:val="0"/>
                  <w:vAlign w:val="center"/>
                </w:tcPr>
                <w:p w14:paraId="4E4A3962">
                  <w:pPr>
                    <w:topLinePunct/>
                    <w:adjustRightInd w:val="0"/>
                    <w:snapToGrid w:val="0"/>
                    <w:jc w:val="center"/>
                    <w:rPr>
                      <w:color w:val="000000" w:themeColor="text1"/>
                      <w:kern w:val="0"/>
                      <w:sz w:val="18"/>
                      <w:szCs w:val="18"/>
                      <w14:textFill>
                        <w14:solidFill>
                          <w14:schemeClr w14:val="tx1"/>
                        </w14:solidFill>
                      </w14:textFill>
                    </w:rPr>
                  </w:pPr>
                </w:p>
              </w:tc>
            </w:tr>
            <w:tr w14:paraId="78242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5" w:type="pct"/>
                  <w:noWrap w:val="0"/>
                  <w:vAlign w:val="center"/>
                </w:tcPr>
                <w:p w14:paraId="5FFBE3C1">
                  <w:pPr>
                    <w:topLinePunct/>
                    <w:adjustRightInd w:val="0"/>
                    <w:snapToGrid w:val="0"/>
                    <w:jc w:val="center"/>
                    <w:rPr>
                      <w:color w:val="000000" w:themeColor="text1"/>
                      <w:kern w:val="0"/>
                      <w:sz w:val="18"/>
                      <w:szCs w:val="18"/>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危险化学品包装桶</w:t>
                  </w:r>
                </w:p>
              </w:tc>
              <w:tc>
                <w:tcPr>
                  <w:tcW w:w="488" w:type="pct"/>
                  <w:noWrap w:val="0"/>
                  <w:vAlign w:val="center"/>
                </w:tcPr>
                <w:p w14:paraId="5A2D20CD">
                  <w:pPr>
                    <w:topLinePunct/>
                    <w:adjustRightInd w:val="0"/>
                    <w:snapToGrid w:val="0"/>
                    <w:jc w:val="center"/>
                    <w:rPr>
                      <w:rFonts w:hint="default" w:eastAsia="宋体"/>
                      <w:color w:val="000000" w:themeColor="text1"/>
                      <w:kern w:val="0"/>
                      <w:sz w:val="18"/>
                      <w:szCs w:val="18"/>
                      <w:lang w:val="en-US" w:eastAsia="zh-CN"/>
                      <w14:textFill>
                        <w14:solidFill>
                          <w14:schemeClr w14:val="tx1"/>
                        </w14:solidFill>
                      </w14:textFill>
                    </w:rPr>
                  </w:pPr>
                  <w:r>
                    <w:rPr>
                      <w:color w:val="000000" w:themeColor="text1"/>
                      <w:sz w:val="18"/>
                      <w:szCs w:val="18"/>
                      <w14:textFill>
                        <w14:solidFill>
                          <w14:schemeClr w14:val="tx1"/>
                        </w14:solidFill>
                      </w14:textFill>
                    </w:rPr>
                    <w:t>HW</w:t>
                  </w:r>
                  <w:r>
                    <w:rPr>
                      <w:rFonts w:hint="eastAsia"/>
                      <w:color w:val="000000" w:themeColor="text1"/>
                      <w:sz w:val="18"/>
                      <w:szCs w:val="18"/>
                      <w:lang w:val="en-US" w:eastAsia="zh-CN"/>
                      <w14:textFill>
                        <w14:solidFill>
                          <w14:schemeClr w14:val="tx1"/>
                        </w14:solidFill>
                      </w14:textFill>
                    </w:rPr>
                    <w:t>49</w:t>
                  </w:r>
                </w:p>
              </w:tc>
              <w:tc>
                <w:tcPr>
                  <w:tcW w:w="768" w:type="pct"/>
                  <w:noWrap w:val="0"/>
                  <w:vAlign w:val="center"/>
                </w:tcPr>
                <w:p w14:paraId="4B68EA16">
                  <w:pPr>
                    <w:topLinePunct/>
                    <w:adjustRightInd w:val="0"/>
                    <w:snapToGrid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900-04</w:t>
                  </w:r>
                  <w:r>
                    <w:rPr>
                      <w:rFonts w:hint="eastAsia"/>
                      <w:color w:val="000000" w:themeColor="text1"/>
                      <w:sz w:val="18"/>
                      <w:szCs w:val="18"/>
                      <w:lang w:val="en-US" w:eastAsia="zh-CN"/>
                      <w14:textFill>
                        <w14:solidFill>
                          <w14:schemeClr w14:val="tx1"/>
                        </w14:solidFill>
                      </w14:textFill>
                    </w:rPr>
                    <w:t>1</w:t>
                  </w:r>
                  <w:r>
                    <w:rPr>
                      <w:color w:val="000000" w:themeColor="text1"/>
                      <w:sz w:val="18"/>
                      <w:szCs w:val="18"/>
                      <w14:textFill>
                        <w14:solidFill>
                          <w14:schemeClr w14:val="tx1"/>
                        </w14:solidFill>
                      </w14:textFill>
                    </w:rPr>
                    <w:t>-49</w:t>
                  </w:r>
                </w:p>
              </w:tc>
              <w:tc>
                <w:tcPr>
                  <w:tcW w:w="457" w:type="pct"/>
                  <w:noWrap w:val="0"/>
                  <w:vAlign w:val="center"/>
                </w:tcPr>
                <w:p w14:paraId="022E8E0D">
                  <w:pPr>
                    <w:topLinePunct/>
                    <w:adjustRightInd w:val="0"/>
                    <w:snapToGrid w:val="0"/>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9.19</w:t>
                  </w:r>
                </w:p>
              </w:tc>
              <w:tc>
                <w:tcPr>
                  <w:tcW w:w="469" w:type="pct"/>
                  <w:noWrap w:val="0"/>
                  <w:vAlign w:val="center"/>
                </w:tcPr>
                <w:p w14:paraId="0FAC1711">
                  <w:pPr>
                    <w:topLinePunct/>
                    <w:adjustRightInd w:val="0"/>
                    <w:snapToGrid w:val="0"/>
                    <w:jc w:val="center"/>
                    <w:rPr>
                      <w:rFonts w:hint="default"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原料使用</w:t>
                  </w:r>
                </w:p>
              </w:tc>
              <w:tc>
                <w:tcPr>
                  <w:tcW w:w="366" w:type="pct"/>
                  <w:noWrap w:val="0"/>
                  <w:vAlign w:val="center"/>
                </w:tcPr>
                <w:p w14:paraId="4F21C794">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固态</w:t>
                  </w:r>
                </w:p>
              </w:tc>
              <w:tc>
                <w:tcPr>
                  <w:tcW w:w="366" w:type="pct"/>
                  <w:tcBorders>
                    <w:right w:val="single" w:color="000000" w:sz="4" w:space="0"/>
                  </w:tcBorders>
                  <w:noWrap w:val="0"/>
                  <w:vAlign w:val="center"/>
                </w:tcPr>
                <w:p w14:paraId="2DB7ED17">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酸碱、有机</w:t>
                  </w:r>
                  <w:r>
                    <w:rPr>
                      <w:rFonts w:hint="eastAsia"/>
                      <w:color w:val="000000" w:themeColor="text1"/>
                      <w:kern w:val="0"/>
                      <w:sz w:val="18"/>
                      <w:szCs w:val="18"/>
                      <w:lang w:val="en-US" w:eastAsia="zh-CN"/>
                      <w14:textFill>
                        <w14:solidFill>
                          <w14:schemeClr w14:val="tx1"/>
                        </w14:solidFill>
                      </w14:textFill>
                    </w:rPr>
                    <w:t>物</w:t>
                  </w:r>
                  <w:r>
                    <w:rPr>
                      <w:color w:val="000000" w:themeColor="text1"/>
                      <w:kern w:val="0"/>
                      <w:sz w:val="18"/>
                      <w:szCs w:val="18"/>
                      <w14:textFill>
                        <w14:solidFill>
                          <w14:schemeClr w14:val="tx1"/>
                        </w14:solidFill>
                      </w14:textFill>
                    </w:rPr>
                    <w:t>及金属等</w:t>
                  </w:r>
                </w:p>
              </w:tc>
              <w:tc>
                <w:tcPr>
                  <w:tcW w:w="392" w:type="pct"/>
                  <w:tcBorders>
                    <w:left w:val="single" w:color="000000" w:sz="4" w:space="0"/>
                  </w:tcBorders>
                  <w:noWrap w:val="0"/>
                  <w:vAlign w:val="center"/>
                </w:tcPr>
                <w:p w14:paraId="5C5613FD">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酸碱、有机</w:t>
                  </w:r>
                  <w:r>
                    <w:rPr>
                      <w:rFonts w:hint="eastAsia"/>
                      <w:color w:val="000000" w:themeColor="text1"/>
                      <w:kern w:val="0"/>
                      <w:sz w:val="18"/>
                      <w:szCs w:val="18"/>
                      <w:lang w:val="en-US" w:eastAsia="zh-CN"/>
                      <w14:textFill>
                        <w14:solidFill>
                          <w14:schemeClr w14:val="tx1"/>
                        </w14:solidFill>
                      </w14:textFill>
                    </w:rPr>
                    <w:t>物</w:t>
                  </w:r>
                  <w:r>
                    <w:rPr>
                      <w:color w:val="000000" w:themeColor="text1"/>
                      <w:kern w:val="0"/>
                      <w:sz w:val="18"/>
                      <w:szCs w:val="18"/>
                      <w14:textFill>
                        <w14:solidFill>
                          <w14:schemeClr w14:val="tx1"/>
                        </w14:solidFill>
                      </w14:textFill>
                    </w:rPr>
                    <w:t>及金属等</w:t>
                  </w:r>
                </w:p>
              </w:tc>
              <w:tc>
                <w:tcPr>
                  <w:tcW w:w="381" w:type="pct"/>
                  <w:noWrap w:val="0"/>
                  <w:vAlign w:val="center"/>
                </w:tcPr>
                <w:p w14:paraId="1088BD44">
                  <w:pPr>
                    <w:topLinePunct/>
                    <w:adjustRightInd w:val="0"/>
                    <w:snapToGrid w:val="0"/>
                    <w:jc w:val="center"/>
                    <w:rPr>
                      <w:rFonts w:hint="eastAsia" w:eastAsia="宋体"/>
                      <w:color w:val="000000" w:themeColor="text1"/>
                      <w:kern w:val="0"/>
                      <w:sz w:val="18"/>
                      <w:szCs w:val="18"/>
                      <w:lang w:eastAsia="zh-CN"/>
                      <w14:textFill>
                        <w14:solidFill>
                          <w14:schemeClr w14:val="tx1"/>
                        </w14:solidFill>
                      </w14:textFill>
                    </w:rPr>
                  </w:pPr>
                  <w:r>
                    <w:rPr>
                      <w:color w:val="000000" w:themeColor="text1"/>
                      <w:kern w:val="0"/>
                      <w:sz w:val="18"/>
                      <w:szCs w:val="18"/>
                      <w14:textFill>
                        <w14:solidFill>
                          <w14:schemeClr w14:val="tx1"/>
                        </w14:solidFill>
                      </w14:textFill>
                    </w:rPr>
                    <w:t>每</w:t>
                  </w:r>
                  <w:r>
                    <w:rPr>
                      <w:rFonts w:hint="eastAsia"/>
                      <w:color w:val="000000" w:themeColor="text1"/>
                      <w:kern w:val="0"/>
                      <w:sz w:val="18"/>
                      <w:szCs w:val="18"/>
                      <w:lang w:val="en-US" w:eastAsia="zh-CN"/>
                      <w14:textFill>
                        <w14:solidFill>
                          <w14:schemeClr w14:val="tx1"/>
                        </w14:solidFill>
                      </w14:textFill>
                    </w:rPr>
                    <w:t>日</w:t>
                  </w:r>
                </w:p>
              </w:tc>
              <w:tc>
                <w:tcPr>
                  <w:tcW w:w="357" w:type="pct"/>
                  <w:noWrap w:val="0"/>
                  <w:vAlign w:val="center"/>
                </w:tcPr>
                <w:p w14:paraId="461E9AFF">
                  <w:pPr>
                    <w:topLinePunct/>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T</w:t>
                  </w:r>
                  <w:r>
                    <w:rPr>
                      <w:rFonts w:hint="eastAsia"/>
                      <w:color w:val="000000" w:themeColor="text1"/>
                      <w:sz w:val="18"/>
                      <w:szCs w:val="18"/>
                      <w14:textFill>
                        <w14:solidFill>
                          <w14:schemeClr w14:val="tx1"/>
                        </w14:solidFill>
                      </w14:textFill>
                    </w:rPr>
                    <w:t>/In</w:t>
                  </w:r>
                </w:p>
              </w:tc>
              <w:tc>
                <w:tcPr>
                  <w:tcW w:w="557" w:type="pct"/>
                  <w:vMerge w:val="continue"/>
                  <w:noWrap w:val="0"/>
                  <w:vAlign w:val="center"/>
                </w:tcPr>
                <w:p w14:paraId="5E1860B7">
                  <w:pPr>
                    <w:adjustRightInd w:val="0"/>
                    <w:snapToGrid w:val="0"/>
                    <w:jc w:val="center"/>
                    <w:rPr>
                      <w:color w:val="000000" w:themeColor="text1"/>
                      <w:sz w:val="18"/>
                      <w:szCs w:val="18"/>
                      <w14:textFill>
                        <w14:solidFill>
                          <w14:schemeClr w14:val="tx1"/>
                        </w14:solidFill>
                      </w14:textFill>
                    </w:rPr>
                  </w:pPr>
                </w:p>
              </w:tc>
            </w:tr>
            <w:tr w14:paraId="69D73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5" w:type="pct"/>
                  <w:noWrap w:val="0"/>
                  <w:vAlign w:val="center"/>
                </w:tcPr>
                <w:p w14:paraId="470A9767">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废活性炭</w:t>
                  </w:r>
                </w:p>
              </w:tc>
              <w:tc>
                <w:tcPr>
                  <w:tcW w:w="488" w:type="pct"/>
                  <w:noWrap w:val="0"/>
                  <w:vAlign w:val="center"/>
                </w:tcPr>
                <w:p w14:paraId="39364DC4">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HW49</w:t>
                  </w:r>
                </w:p>
              </w:tc>
              <w:tc>
                <w:tcPr>
                  <w:tcW w:w="768" w:type="pct"/>
                  <w:noWrap w:val="0"/>
                  <w:vAlign w:val="center"/>
                </w:tcPr>
                <w:p w14:paraId="0AF976D0">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900-039-49</w:t>
                  </w:r>
                </w:p>
              </w:tc>
              <w:tc>
                <w:tcPr>
                  <w:tcW w:w="457" w:type="pct"/>
                  <w:noWrap w:val="0"/>
                  <w:vAlign w:val="center"/>
                </w:tcPr>
                <w:p w14:paraId="723D1619">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default" w:cs="Times New Roman"/>
                      <w:b w:val="0"/>
                      <w:bCs w:val="0"/>
                      <w:color w:val="000000" w:themeColor="text1"/>
                      <w:spacing w:val="0"/>
                      <w:position w:val="0"/>
                      <w:sz w:val="18"/>
                      <w:szCs w:val="18"/>
                      <w:highlight w:val="none"/>
                      <w:u w:val="none"/>
                      <w:lang w:eastAsia="zh-CN"/>
                      <w14:textFill>
                        <w14:solidFill>
                          <w14:schemeClr w14:val="tx1"/>
                        </w14:solidFill>
                      </w14:textFill>
                    </w:rPr>
                    <w:fldChar w:fldCharType="begin"/>
                  </w:r>
                  <w:r>
                    <w:rPr>
                      <w:rFonts w:hint="default" w:cs="Times New Roman"/>
                      <w:b w:val="0"/>
                      <w:bCs w:val="0"/>
                      <w:color w:val="000000" w:themeColor="text1"/>
                      <w:spacing w:val="0"/>
                      <w:position w:val="0"/>
                      <w:sz w:val="18"/>
                      <w:szCs w:val="18"/>
                      <w:highlight w:val="none"/>
                      <w:u w:val="none"/>
                      <w:lang w:eastAsia="zh-CN"/>
                      <w14:textFill>
                        <w14:solidFill>
                          <w14:schemeClr w14:val="tx1"/>
                        </w14:solidFill>
                      </w14:textFill>
                    </w:rPr>
                    <w:instrText xml:space="preserve"> = 64.5+9.326 \* MERGEFORMAT </w:instrText>
                  </w:r>
                  <w:r>
                    <w:rPr>
                      <w:rFonts w:hint="default" w:cs="Times New Roman"/>
                      <w:b w:val="0"/>
                      <w:bCs w:val="0"/>
                      <w:color w:val="000000" w:themeColor="text1"/>
                      <w:spacing w:val="0"/>
                      <w:position w:val="0"/>
                      <w:sz w:val="18"/>
                      <w:szCs w:val="18"/>
                      <w:highlight w:val="none"/>
                      <w:u w:val="none"/>
                      <w:lang w:eastAsia="zh-CN"/>
                      <w14:textFill>
                        <w14:solidFill>
                          <w14:schemeClr w14:val="tx1"/>
                        </w14:solidFill>
                      </w14:textFill>
                    </w:rPr>
                    <w:fldChar w:fldCharType="separate"/>
                  </w:r>
                  <w:r>
                    <w:rPr>
                      <w:rFonts w:hint="default" w:cs="Times New Roman"/>
                      <w:b w:val="0"/>
                      <w:bCs w:val="0"/>
                      <w:color w:val="000000" w:themeColor="text1"/>
                      <w:spacing w:val="0"/>
                      <w:position w:val="0"/>
                      <w:sz w:val="18"/>
                      <w:szCs w:val="18"/>
                      <w:highlight w:val="none"/>
                      <w:u w:val="none"/>
                      <w:lang w:eastAsia="zh-CN"/>
                      <w14:textFill>
                        <w14:solidFill>
                          <w14:schemeClr w14:val="tx1"/>
                        </w14:solidFill>
                      </w14:textFill>
                    </w:rPr>
                    <w:t>73.826</w:t>
                  </w:r>
                  <w:r>
                    <w:rPr>
                      <w:rFonts w:hint="default" w:cs="Times New Roman"/>
                      <w:b w:val="0"/>
                      <w:bCs w:val="0"/>
                      <w:color w:val="000000" w:themeColor="text1"/>
                      <w:spacing w:val="0"/>
                      <w:position w:val="0"/>
                      <w:sz w:val="18"/>
                      <w:szCs w:val="18"/>
                      <w:highlight w:val="none"/>
                      <w:u w:val="none"/>
                      <w:lang w:eastAsia="zh-CN"/>
                      <w14:textFill>
                        <w14:solidFill>
                          <w14:schemeClr w14:val="tx1"/>
                        </w14:solidFill>
                      </w14:textFill>
                    </w:rPr>
                    <w:fldChar w:fldCharType="end"/>
                  </w:r>
                </w:p>
              </w:tc>
              <w:tc>
                <w:tcPr>
                  <w:tcW w:w="469" w:type="pct"/>
                  <w:noWrap w:val="0"/>
                  <w:vAlign w:val="center"/>
                </w:tcPr>
                <w:p w14:paraId="050538E8">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废气处理设施</w:t>
                  </w:r>
                </w:p>
              </w:tc>
              <w:tc>
                <w:tcPr>
                  <w:tcW w:w="366" w:type="pct"/>
                  <w:noWrap w:val="0"/>
                  <w:vAlign w:val="center"/>
                </w:tcPr>
                <w:p w14:paraId="4C081C78">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固态</w:t>
                  </w:r>
                </w:p>
              </w:tc>
              <w:tc>
                <w:tcPr>
                  <w:tcW w:w="366" w:type="pct"/>
                  <w:tcBorders>
                    <w:right w:val="single" w:color="000000" w:sz="4" w:space="0"/>
                  </w:tcBorders>
                  <w:noWrap w:val="0"/>
                  <w:vAlign w:val="center"/>
                </w:tcPr>
                <w:p w14:paraId="105D0988">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有机物、废活性炭</w:t>
                  </w:r>
                </w:p>
              </w:tc>
              <w:tc>
                <w:tcPr>
                  <w:tcW w:w="392" w:type="pct"/>
                  <w:tcBorders>
                    <w:left w:val="single" w:color="000000" w:sz="4" w:space="0"/>
                  </w:tcBorders>
                  <w:noWrap w:val="0"/>
                  <w:vAlign w:val="center"/>
                </w:tcPr>
                <w:p w14:paraId="1F8711D4">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有机物</w:t>
                  </w:r>
                </w:p>
              </w:tc>
              <w:tc>
                <w:tcPr>
                  <w:tcW w:w="381" w:type="pct"/>
                  <w:noWrap w:val="0"/>
                  <w:vAlign w:val="center"/>
                </w:tcPr>
                <w:p w14:paraId="20DA5CD4">
                  <w:pPr>
                    <w:topLinePunct/>
                    <w:adjustRightInd w:val="0"/>
                    <w:snapToGrid w:val="0"/>
                    <w:jc w:val="center"/>
                    <w:rPr>
                      <w:rFonts w:hint="eastAsia" w:eastAsia="宋体"/>
                      <w:color w:val="000000" w:themeColor="text1"/>
                      <w:kern w:val="0"/>
                      <w:sz w:val="18"/>
                      <w:szCs w:val="18"/>
                      <w:lang w:eastAsia="zh-CN"/>
                      <w14:textFill>
                        <w14:solidFill>
                          <w14:schemeClr w14:val="tx1"/>
                        </w14:solidFill>
                      </w14:textFill>
                    </w:rPr>
                  </w:pPr>
                  <w:r>
                    <w:rPr>
                      <w:color w:val="000000" w:themeColor="text1"/>
                      <w:kern w:val="0"/>
                      <w:sz w:val="18"/>
                      <w:szCs w:val="18"/>
                      <w14:textFill>
                        <w14:solidFill>
                          <w14:schemeClr w14:val="tx1"/>
                        </w14:solidFill>
                      </w14:textFill>
                    </w:rPr>
                    <w:t>每</w:t>
                  </w:r>
                  <w:r>
                    <w:rPr>
                      <w:rFonts w:hint="eastAsia"/>
                      <w:color w:val="000000" w:themeColor="text1"/>
                      <w:kern w:val="0"/>
                      <w:sz w:val="18"/>
                      <w:szCs w:val="18"/>
                      <w:lang w:val="en-US" w:eastAsia="zh-CN"/>
                      <w14:textFill>
                        <w14:solidFill>
                          <w14:schemeClr w14:val="tx1"/>
                        </w14:solidFill>
                      </w14:textFill>
                    </w:rPr>
                    <w:t>月</w:t>
                  </w:r>
                </w:p>
              </w:tc>
              <w:tc>
                <w:tcPr>
                  <w:tcW w:w="357" w:type="pct"/>
                  <w:noWrap w:val="0"/>
                  <w:vAlign w:val="center"/>
                </w:tcPr>
                <w:p w14:paraId="546F9610">
                  <w:pPr>
                    <w:topLinePunct/>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T</w:t>
                  </w:r>
                </w:p>
              </w:tc>
              <w:tc>
                <w:tcPr>
                  <w:tcW w:w="557" w:type="pct"/>
                  <w:vMerge w:val="continue"/>
                  <w:noWrap w:val="0"/>
                  <w:vAlign w:val="center"/>
                </w:tcPr>
                <w:p w14:paraId="64AC62A6">
                  <w:pPr>
                    <w:adjustRightInd w:val="0"/>
                    <w:snapToGrid w:val="0"/>
                    <w:jc w:val="center"/>
                    <w:rPr>
                      <w:color w:val="000000" w:themeColor="text1"/>
                      <w:sz w:val="18"/>
                      <w:szCs w:val="18"/>
                      <w14:textFill>
                        <w14:solidFill>
                          <w14:schemeClr w14:val="tx1"/>
                        </w14:solidFill>
                      </w14:textFill>
                    </w:rPr>
                  </w:pPr>
                </w:p>
              </w:tc>
            </w:tr>
            <w:tr w14:paraId="52C9D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5" w:type="pct"/>
                  <w:noWrap w:val="0"/>
                  <w:vAlign w:val="center"/>
                </w:tcPr>
                <w:p w14:paraId="2A4BF010">
                  <w:pPr>
                    <w:topLinePunct/>
                    <w:adjustRightInd w:val="0"/>
                    <w:snapToGrid w:val="0"/>
                    <w:jc w:val="center"/>
                    <w:rPr>
                      <w:rFonts w:hint="eastAsia"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浮油</w:t>
                  </w:r>
                </w:p>
              </w:tc>
              <w:tc>
                <w:tcPr>
                  <w:tcW w:w="488" w:type="pct"/>
                  <w:noWrap w:val="0"/>
                  <w:vAlign w:val="center"/>
                </w:tcPr>
                <w:p w14:paraId="62DAB55D">
                  <w:pPr>
                    <w:topLinePunct/>
                    <w:adjustRightInd w:val="0"/>
                    <w:snapToGrid w:val="0"/>
                    <w:jc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HW08</w:t>
                  </w:r>
                </w:p>
              </w:tc>
              <w:tc>
                <w:tcPr>
                  <w:tcW w:w="768" w:type="pct"/>
                  <w:noWrap w:val="0"/>
                  <w:vAlign w:val="center"/>
                </w:tcPr>
                <w:p w14:paraId="7FC55ADB">
                  <w:pPr>
                    <w:topLinePunct/>
                    <w:adjustRightInd w:val="0"/>
                    <w:snapToGrid w:val="0"/>
                    <w:jc w:val="center"/>
                    <w:rPr>
                      <w:color w:val="000000" w:themeColor="text1"/>
                      <w:kern w:val="0"/>
                      <w:sz w:val="18"/>
                      <w:szCs w:val="18"/>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900-2</w:t>
                  </w:r>
                  <w:r>
                    <w:rPr>
                      <w:rFonts w:hint="eastAsia"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-08</w:t>
                  </w:r>
                </w:p>
              </w:tc>
              <w:tc>
                <w:tcPr>
                  <w:tcW w:w="457" w:type="pct"/>
                  <w:noWrap w:val="0"/>
                  <w:vAlign w:val="center"/>
                </w:tcPr>
                <w:p w14:paraId="3D38354C">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14:textFill>
                        <w14:solidFill>
                          <w14:schemeClr w14:val="tx1"/>
                        </w14:solidFill>
                      </w14:textFill>
                    </w:rPr>
                    <w:t>0.2</w:t>
                  </w:r>
                </w:p>
              </w:tc>
              <w:tc>
                <w:tcPr>
                  <w:tcW w:w="469" w:type="pct"/>
                  <w:noWrap w:val="0"/>
                  <w:vAlign w:val="center"/>
                </w:tcPr>
                <w:p w14:paraId="328E70F0">
                  <w:pPr>
                    <w:topLinePunct/>
                    <w:adjustRightInd w:val="0"/>
                    <w:snapToGrid w:val="0"/>
                    <w:jc w:val="center"/>
                    <w:rPr>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position w:val="0"/>
                      <w:sz w:val="18"/>
                      <w:szCs w:val="18"/>
                      <w:highlight w:val="none"/>
                      <w:lang w:val="en-US" w:eastAsia="zh-CN" w:bidi="ar"/>
                      <w14:textFill>
                        <w14:solidFill>
                          <w14:schemeClr w14:val="tx1"/>
                        </w14:solidFill>
                      </w14:textFill>
                    </w:rPr>
                    <w:t>油水分离装置</w:t>
                  </w:r>
                </w:p>
              </w:tc>
              <w:tc>
                <w:tcPr>
                  <w:tcW w:w="366" w:type="pct"/>
                  <w:noWrap w:val="0"/>
                  <w:vAlign w:val="center"/>
                </w:tcPr>
                <w:p w14:paraId="009E6CF6">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液态</w:t>
                  </w:r>
                </w:p>
              </w:tc>
              <w:tc>
                <w:tcPr>
                  <w:tcW w:w="366" w:type="pct"/>
                  <w:noWrap w:val="0"/>
                  <w:vAlign w:val="center"/>
                </w:tcPr>
                <w:p w14:paraId="395A3CED">
                  <w:pPr>
                    <w:topLinePunct/>
                    <w:adjustRightInd w:val="0"/>
                    <w:snapToGrid w:val="0"/>
                    <w:jc w:val="center"/>
                    <w:rPr>
                      <w:rFonts w:hint="eastAsia" w:eastAsia="宋体"/>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矿物油</w:t>
                  </w:r>
                </w:p>
              </w:tc>
              <w:tc>
                <w:tcPr>
                  <w:tcW w:w="392" w:type="pct"/>
                  <w:noWrap w:val="0"/>
                  <w:vAlign w:val="center"/>
                </w:tcPr>
                <w:p w14:paraId="6A71C8D3">
                  <w:pPr>
                    <w:topLinePunct/>
                    <w:adjustRightInd w:val="0"/>
                    <w:snapToGri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矿物油</w:t>
                  </w:r>
                </w:p>
              </w:tc>
              <w:tc>
                <w:tcPr>
                  <w:tcW w:w="381" w:type="pct"/>
                  <w:noWrap w:val="0"/>
                  <w:vAlign w:val="center"/>
                </w:tcPr>
                <w:p w14:paraId="48246E1F">
                  <w:pPr>
                    <w:topLinePunct/>
                    <w:adjustRightInd w:val="0"/>
                    <w:snapToGri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每</w:t>
                  </w:r>
                  <w:r>
                    <w:rPr>
                      <w:rFonts w:hint="eastAsia"/>
                      <w:color w:val="000000" w:themeColor="text1"/>
                      <w:kern w:val="0"/>
                      <w:sz w:val="18"/>
                      <w:szCs w:val="18"/>
                      <w:lang w:val="en-US" w:eastAsia="zh-CN"/>
                      <w14:textFill>
                        <w14:solidFill>
                          <w14:schemeClr w14:val="tx1"/>
                        </w14:solidFill>
                      </w14:textFill>
                    </w:rPr>
                    <w:t>月</w:t>
                  </w:r>
                </w:p>
              </w:tc>
              <w:tc>
                <w:tcPr>
                  <w:tcW w:w="357" w:type="pct"/>
                  <w:noWrap w:val="0"/>
                  <w:vAlign w:val="center"/>
                </w:tcPr>
                <w:p w14:paraId="1EA8BC0F">
                  <w:pPr>
                    <w:topLinePunct/>
                    <w:adjustRightInd w:val="0"/>
                    <w:snapToGrid w:val="0"/>
                    <w:jc w:val="center"/>
                    <w:rPr>
                      <w:rFonts w:hint="eastAsia" w:eastAsia="宋体"/>
                      <w:color w:val="000000" w:themeColor="text1"/>
                      <w:sz w:val="18"/>
                      <w:szCs w:val="18"/>
                      <w:lang w:val="en-US" w:eastAsia="zh-CN"/>
                      <w14:textFill>
                        <w14:solidFill>
                          <w14:schemeClr w14:val="tx1"/>
                        </w14:solidFill>
                      </w14:textFill>
                    </w:rPr>
                  </w:pPr>
                  <w:r>
                    <w:rPr>
                      <w:color w:val="000000" w:themeColor="text1"/>
                      <w:sz w:val="18"/>
                      <w:szCs w:val="18"/>
                      <w14:textFill>
                        <w14:solidFill>
                          <w14:schemeClr w14:val="tx1"/>
                        </w14:solidFill>
                      </w14:textFill>
                    </w:rPr>
                    <w:t>T</w:t>
                  </w:r>
                  <w:r>
                    <w:rPr>
                      <w:rFonts w:hint="eastAsia"/>
                      <w:color w:val="000000" w:themeColor="text1"/>
                      <w:sz w:val="18"/>
                      <w:szCs w:val="18"/>
                      <w:lang w:val="en-US" w:eastAsia="zh-CN"/>
                      <w14:textFill>
                        <w14:solidFill>
                          <w14:schemeClr w14:val="tx1"/>
                        </w14:solidFill>
                      </w14:textFill>
                    </w:rPr>
                    <w:t>，</w:t>
                  </w:r>
                  <w:r>
                    <w:rPr>
                      <w:color w:val="000000" w:themeColor="text1"/>
                      <w:sz w:val="18"/>
                      <w:szCs w:val="18"/>
                      <w14:textFill>
                        <w14:solidFill>
                          <w14:schemeClr w14:val="tx1"/>
                        </w14:solidFill>
                      </w14:textFill>
                    </w:rPr>
                    <w:t>I</w:t>
                  </w:r>
                </w:p>
              </w:tc>
              <w:tc>
                <w:tcPr>
                  <w:tcW w:w="557" w:type="pct"/>
                  <w:vMerge w:val="continue"/>
                  <w:noWrap w:val="0"/>
                  <w:vAlign w:val="center"/>
                </w:tcPr>
                <w:p w14:paraId="0C1769BB">
                  <w:pPr>
                    <w:adjustRightInd w:val="0"/>
                    <w:snapToGrid w:val="0"/>
                    <w:jc w:val="center"/>
                    <w:rPr>
                      <w:color w:val="000000" w:themeColor="text1"/>
                      <w:sz w:val="18"/>
                      <w:szCs w:val="18"/>
                      <w14:textFill>
                        <w14:solidFill>
                          <w14:schemeClr w14:val="tx1"/>
                        </w14:solidFill>
                      </w14:textFill>
                    </w:rPr>
                  </w:pPr>
                </w:p>
              </w:tc>
            </w:tr>
            <w:tr w14:paraId="666ED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5" w:type="pct"/>
                  <w:noWrap w:val="0"/>
                  <w:vAlign w:val="center"/>
                </w:tcPr>
                <w:p w14:paraId="3383990C">
                  <w:pPr>
                    <w:topLinePunct/>
                    <w:adjustRightInd w:val="0"/>
                    <w:snapToGrid w:val="0"/>
                    <w:jc w:val="center"/>
                    <w:rPr>
                      <w:rFonts w:hint="eastAsia"/>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废机油、废机油桶</w:t>
                  </w:r>
                </w:p>
              </w:tc>
              <w:tc>
                <w:tcPr>
                  <w:tcW w:w="488" w:type="pct"/>
                  <w:noWrap w:val="0"/>
                  <w:vAlign w:val="center"/>
                </w:tcPr>
                <w:p w14:paraId="28B52704">
                  <w:pPr>
                    <w:topLinePunct/>
                    <w:adjustRightInd w:val="0"/>
                    <w:snapToGrid w:val="0"/>
                    <w:jc w:val="center"/>
                    <w:rPr>
                      <w:rFonts w:hint="default"/>
                      <w:color w:val="000000" w:themeColor="text1"/>
                      <w:kern w:val="0"/>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HW08</w:t>
                  </w:r>
                </w:p>
              </w:tc>
              <w:tc>
                <w:tcPr>
                  <w:tcW w:w="768" w:type="pct"/>
                  <w:noWrap w:val="0"/>
                  <w:vAlign w:val="center"/>
                </w:tcPr>
                <w:p w14:paraId="78FDBA6F">
                  <w:pPr>
                    <w:topLinePunct/>
                    <w:adjustRightInd w:val="0"/>
                    <w:snapToGrid w:val="0"/>
                    <w:jc w:val="center"/>
                    <w:rPr>
                      <w:rFonts w:hint="default"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900-249-08</w:t>
                  </w:r>
                </w:p>
              </w:tc>
              <w:tc>
                <w:tcPr>
                  <w:tcW w:w="457" w:type="pct"/>
                  <w:noWrap w:val="0"/>
                  <w:vAlign w:val="center"/>
                </w:tcPr>
                <w:p w14:paraId="61EAAD97">
                  <w:pPr>
                    <w:topLinePunct/>
                    <w:adjustRightInd w:val="0"/>
                    <w:snapToGrid w:val="0"/>
                    <w:jc w:val="center"/>
                    <w:rPr>
                      <w:rFonts w:hint="default"/>
                      <w:color w:val="000000" w:themeColor="text1"/>
                      <w:kern w:val="0"/>
                      <w:sz w:val="18"/>
                      <w:szCs w:val="18"/>
                      <w:lang w:val="en-US" w:eastAsia="zh-CN"/>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0.22</w:t>
                  </w:r>
                </w:p>
              </w:tc>
              <w:tc>
                <w:tcPr>
                  <w:tcW w:w="469" w:type="pct"/>
                  <w:noWrap w:val="0"/>
                  <w:vAlign w:val="center"/>
                </w:tcPr>
                <w:p w14:paraId="4AF920ED">
                  <w:pPr>
                    <w:topLinePunct/>
                    <w:adjustRightInd w:val="0"/>
                    <w:snapToGrid w:val="0"/>
                    <w:jc w:val="center"/>
                    <w:rPr>
                      <w:rFonts w:hint="eastAsia" w:ascii="宋体" w:hAnsi="宋体" w:eastAsia="宋体" w:cs="宋体"/>
                      <w:color w:val="000000" w:themeColor="text1"/>
                      <w:kern w:val="0"/>
                      <w:positio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设备维护保养</w:t>
                  </w:r>
                </w:p>
              </w:tc>
              <w:tc>
                <w:tcPr>
                  <w:tcW w:w="366" w:type="pct"/>
                  <w:noWrap w:val="0"/>
                  <w:vAlign w:val="center"/>
                </w:tcPr>
                <w:p w14:paraId="156A4930">
                  <w:pPr>
                    <w:topLinePunct/>
                    <w:adjustRightInd w:val="0"/>
                    <w:snapToGrid w:val="0"/>
                    <w:jc w:val="center"/>
                    <w:rPr>
                      <w:rFonts w:hint="default" w:eastAsia="宋体"/>
                      <w:color w:val="000000" w:themeColor="text1"/>
                      <w:kern w:val="0"/>
                      <w:sz w:val="18"/>
                      <w:szCs w:val="18"/>
                      <w:lang w:val="en-US" w:eastAsia="zh-CN"/>
                      <w14:textFill>
                        <w14:solidFill>
                          <w14:schemeClr w14:val="tx1"/>
                        </w14:solidFill>
                      </w14:textFill>
                    </w:rPr>
                  </w:pPr>
                  <w:r>
                    <w:rPr>
                      <w:color w:val="000000" w:themeColor="text1"/>
                      <w:kern w:val="0"/>
                      <w:sz w:val="18"/>
                      <w:szCs w:val="18"/>
                      <w14:textFill>
                        <w14:solidFill>
                          <w14:schemeClr w14:val="tx1"/>
                        </w14:solidFill>
                      </w14:textFill>
                    </w:rPr>
                    <w:t>液态</w:t>
                  </w:r>
                  <w:r>
                    <w:rPr>
                      <w:rFonts w:hint="eastAsia"/>
                      <w:color w:val="000000" w:themeColor="text1"/>
                      <w:kern w:val="0"/>
                      <w:sz w:val="18"/>
                      <w:szCs w:val="18"/>
                      <w:lang w:eastAsia="zh-CN"/>
                      <w14:textFill>
                        <w14:solidFill>
                          <w14:schemeClr w14:val="tx1"/>
                        </w14:solidFill>
                      </w14:textFill>
                    </w:rPr>
                    <w:t>、</w:t>
                  </w:r>
                  <w:r>
                    <w:rPr>
                      <w:rFonts w:hint="eastAsia"/>
                      <w:color w:val="000000" w:themeColor="text1"/>
                      <w:kern w:val="0"/>
                      <w:sz w:val="18"/>
                      <w:szCs w:val="18"/>
                      <w:lang w:val="en-US" w:eastAsia="zh-CN"/>
                      <w14:textFill>
                        <w14:solidFill>
                          <w14:schemeClr w14:val="tx1"/>
                        </w14:solidFill>
                      </w14:textFill>
                    </w:rPr>
                    <w:t>固态</w:t>
                  </w:r>
                </w:p>
              </w:tc>
              <w:tc>
                <w:tcPr>
                  <w:tcW w:w="366" w:type="pct"/>
                  <w:noWrap w:val="0"/>
                  <w:vAlign w:val="center"/>
                </w:tcPr>
                <w:p w14:paraId="2B63AA73">
                  <w:pPr>
                    <w:topLinePunct/>
                    <w:adjustRightInd w:val="0"/>
                    <w:snapToGrid w:val="0"/>
                    <w:jc w:val="center"/>
                    <w:rPr>
                      <w:rFonts w:hint="eastAsia" w:eastAsia="宋体"/>
                      <w:color w:val="000000" w:themeColor="text1"/>
                      <w:kern w:val="0"/>
                      <w:sz w:val="18"/>
                      <w:szCs w:val="18"/>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矿物油</w:t>
                  </w:r>
                </w:p>
              </w:tc>
              <w:tc>
                <w:tcPr>
                  <w:tcW w:w="392" w:type="pct"/>
                  <w:noWrap w:val="0"/>
                  <w:vAlign w:val="center"/>
                </w:tcPr>
                <w:p w14:paraId="02FA03B0">
                  <w:pPr>
                    <w:topLinePunct/>
                    <w:adjustRightInd w:val="0"/>
                    <w:snapToGrid w:val="0"/>
                    <w:jc w:val="center"/>
                    <w:rPr>
                      <w:rFonts w:hint="eastAsia"/>
                      <w:color w:val="000000" w:themeColor="text1"/>
                      <w:kern w:val="0"/>
                      <w:sz w:val="18"/>
                      <w:szCs w:val="18"/>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矿物油</w:t>
                  </w:r>
                </w:p>
              </w:tc>
              <w:tc>
                <w:tcPr>
                  <w:tcW w:w="381" w:type="pct"/>
                  <w:noWrap w:val="0"/>
                  <w:vAlign w:val="center"/>
                </w:tcPr>
                <w:p w14:paraId="3F29B2B6">
                  <w:pPr>
                    <w:topLinePunct/>
                    <w:adjustRightInd w:val="0"/>
                    <w:snapToGrid w:val="0"/>
                    <w:jc w:val="center"/>
                    <w:rPr>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每</w:t>
                  </w:r>
                  <w:r>
                    <w:rPr>
                      <w:rFonts w:hint="eastAsia"/>
                      <w:color w:val="000000" w:themeColor="text1"/>
                      <w:kern w:val="0"/>
                      <w:sz w:val="18"/>
                      <w:szCs w:val="18"/>
                      <w:lang w:val="en-US" w:eastAsia="zh-CN"/>
                      <w14:textFill>
                        <w14:solidFill>
                          <w14:schemeClr w14:val="tx1"/>
                        </w14:solidFill>
                      </w14:textFill>
                    </w:rPr>
                    <w:t>年</w:t>
                  </w:r>
                </w:p>
              </w:tc>
              <w:tc>
                <w:tcPr>
                  <w:tcW w:w="357" w:type="pct"/>
                  <w:noWrap w:val="0"/>
                  <w:vAlign w:val="center"/>
                </w:tcPr>
                <w:p w14:paraId="77020E31">
                  <w:pPr>
                    <w:topLinePunct/>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T</w:t>
                  </w:r>
                  <w:r>
                    <w:rPr>
                      <w:rFonts w:hint="eastAsia"/>
                      <w:color w:val="000000" w:themeColor="text1"/>
                      <w:sz w:val="18"/>
                      <w:szCs w:val="18"/>
                      <w:lang w:eastAsia="zh-CN"/>
                      <w14:textFill>
                        <w14:solidFill>
                          <w14:schemeClr w14:val="tx1"/>
                        </w14:solidFill>
                      </w14:textFill>
                    </w:rPr>
                    <w:t>，</w:t>
                  </w:r>
                  <w:r>
                    <w:rPr>
                      <w:color w:val="000000" w:themeColor="text1"/>
                      <w:sz w:val="18"/>
                      <w:szCs w:val="18"/>
                      <w14:textFill>
                        <w14:solidFill>
                          <w14:schemeClr w14:val="tx1"/>
                        </w14:solidFill>
                      </w14:textFill>
                    </w:rPr>
                    <w:t>I</w:t>
                  </w:r>
                </w:p>
              </w:tc>
              <w:tc>
                <w:tcPr>
                  <w:tcW w:w="557" w:type="pct"/>
                  <w:vMerge w:val="continue"/>
                  <w:noWrap w:val="0"/>
                  <w:vAlign w:val="center"/>
                </w:tcPr>
                <w:p w14:paraId="0BB9595E">
                  <w:pPr>
                    <w:adjustRightInd w:val="0"/>
                    <w:snapToGrid w:val="0"/>
                    <w:jc w:val="center"/>
                    <w:rPr>
                      <w:color w:val="000000" w:themeColor="text1"/>
                      <w:sz w:val="18"/>
                      <w:szCs w:val="18"/>
                      <w14:textFill>
                        <w14:solidFill>
                          <w14:schemeClr w14:val="tx1"/>
                        </w14:solidFill>
                      </w14:textFill>
                    </w:rPr>
                  </w:pPr>
                </w:p>
              </w:tc>
            </w:tr>
            <w:tr w14:paraId="46EDD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5" w:type="pct"/>
                  <w:noWrap w:val="0"/>
                  <w:vAlign w:val="center"/>
                </w:tcPr>
                <w:p w14:paraId="0563877E">
                  <w:pPr>
                    <w:topLinePunct/>
                    <w:adjustRightInd w:val="0"/>
                    <w:snapToGrid w:val="0"/>
                    <w:jc w:val="center"/>
                    <w:rPr>
                      <w:rFonts w:hint="eastAsia"/>
                      <w:color w:val="000000" w:themeColor="text1"/>
                      <w:kern w:val="0"/>
                      <w:sz w:val="18"/>
                      <w:szCs w:val="18"/>
                      <w:lang w:val="en-US" w:eastAsia="zh-CN" w:bidi="ar-SA"/>
                      <w14:textFill>
                        <w14:solidFill>
                          <w14:schemeClr w14:val="tx1"/>
                        </w14:solidFill>
                      </w14:textFill>
                    </w:rPr>
                  </w:pPr>
                  <w:r>
                    <w:rPr>
                      <w:rFonts w:hint="eastAsia"/>
                      <w:color w:val="000000" w:themeColor="text1"/>
                      <w:kern w:val="0"/>
                      <w:sz w:val="18"/>
                      <w:szCs w:val="18"/>
                      <w14:textFill>
                        <w14:solidFill>
                          <w14:schemeClr w14:val="tx1"/>
                        </w14:solidFill>
                      </w14:textFill>
                    </w:rPr>
                    <w:t>污泥</w:t>
                  </w:r>
                </w:p>
              </w:tc>
              <w:tc>
                <w:tcPr>
                  <w:tcW w:w="488" w:type="pct"/>
                  <w:noWrap w:val="0"/>
                  <w:vAlign w:val="center"/>
                </w:tcPr>
                <w:p w14:paraId="527171D6">
                  <w:pPr>
                    <w:topLinePunct/>
                    <w:adjustRightInd w:val="0"/>
                    <w:snapToGrid w:val="0"/>
                    <w:jc w:val="center"/>
                    <w:rPr>
                      <w:rFonts w:hint="default"/>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HW</w:t>
                  </w:r>
                  <w:r>
                    <w:rPr>
                      <w:rFonts w:hint="eastAsia"/>
                      <w:color w:val="000000" w:themeColor="text1"/>
                      <w:kern w:val="0"/>
                      <w:sz w:val="18"/>
                      <w:szCs w:val="18"/>
                      <w:lang w:val="en-US" w:eastAsia="zh-CN"/>
                      <w14:textFill>
                        <w14:solidFill>
                          <w14:schemeClr w14:val="tx1"/>
                        </w14:solidFill>
                      </w14:textFill>
                    </w:rPr>
                    <w:t>17</w:t>
                  </w:r>
                </w:p>
              </w:tc>
              <w:tc>
                <w:tcPr>
                  <w:tcW w:w="768" w:type="pct"/>
                  <w:noWrap w:val="0"/>
                  <w:vAlign w:val="center"/>
                </w:tcPr>
                <w:p w14:paraId="19E6C138">
                  <w:pPr>
                    <w:topLinePunct/>
                    <w:adjustRightInd w:val="0"/>
                    <w:snapToGrid w:val="0"/>
                    <w:jc w:val="center"/>
                    <w:rPr>
                      <w:rFonts w:hint="default"/>
                      <w:color w:val="000000" w:themeColor="text1"/>
                      <w:kern w:val="0"/>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18"/>
                      <w:szCs w:val="18"/>
                      <w:highlight w:val="none"/>
                      <w:u w:val="none"/>
                      <w:lang w:val="en-US" w:eastAsia="zh-CN"/>
                      <w14:textFill>
                        <w14:solidFill>
                          <w14:schemeClr w14:val="tx1"/>
                        </w14:solidFill>
                      </w14:textFill>
                    </w:rPr>
                    <w:t>336-064-17</w:t>
                  </w:r>
                </w:p>
              </w:tc>
              <w:tc>
                <w:tcPr>
                  <w:tcW w:w="457" w:type="pct"/>
                  <w:noWrap w:val="0"/>
                  <w:vAlign w:val="center"/>
                </w:tcPr>
                <w:p w14:paraId="3664C50D">
                  <w:pPr>
                    <w:topLinePunct/>
                    <w:adjustRightInd w:val="0"/>
                    <w:snapToGrid w:val="0"/>
                    <w:jc w:val="center"/>
                    <w:rPr>
                      <w:rFonts w:hint="default" w:eastAsia="宋体"/>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lang w:val="en-US" w:eastAsia="zh-CN" w:bidi="ar"/>
                      <w14:textFill>
                        <w14:solidFill>
                          <w14:schemeClr w14:val="tx1"/>
                        </w14:solidFill>
                      </w14:textFill>
                    </w:rPr>
                    <w:t>31.206</w:t>
                  </w:r>
                </w:p>
              </w:tc>
              <w:tc>
                <w:tcPr>
                  <w:tcW w:w="469" w:type="pct"/>
                  <w:noWrap w:val="0"/>
                  <w:vAlign w:val="center"/>
                </w:tcPr>
                <w:p w14:paraId="78FA5F8F">
                  <w:pPr>
                    <w:topLinePunct/>
                    <w:adjustRightInd w:val="0"/>
                    <w:snapToGrid w:val="0"/>
                    <w:jc w:val="center"/>
                    <w:rPr>
                      <w:rFonts w:hint="eastAsia"/>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废</w:t>
                  </w:r>
                  <w:r>
                    <w:rPr>
                      <w:rFonts w:hint="eastAsia"/>
                      <w:color w:val="000000" w:themeColor="text1"/>
                      <w:kern w:val="0"/>
                      <w:sz w:val="18"/>
                      <w:szCs w:val="18"/>
                      <w:lang w:val="en-US" w:eastAsia="zh-CN"/>
                      <w14:textFill>
                        <w14:solidFill>
                          <w14:schemeClr w14:val="tx1"/>
                        </w14:solidFill>
                      </w14:textFill>
                    </w:rPr>
                    <w:t>水</w:t>
                  </w:r>
                  <w:r>
                    <w:rPr>
                      <w:color w:val="000000" w:themeColor="text1"/>
                      <w:kern w:val="0"/>
                      <w:sz w:val="18"/>
                      <w:szCs w:val="18"/>
                      <w14:textFill>
                        <w14:solidFill>
                          <w14:schemeClr w14:val="tx1"/>
                        </w14:solidFill>
                      </w14:textFill>
                    </w:rPr>
                    <w:t>处理设施</w:t>
                  </w:r>
                </w:p>
              </w:tc>
              <w:tc>
                <w:tcPr>
                  <w:tcW w:w="366" w:type="pct"/>
                  <w:noWrap w:val="0"/>
                  <w:vAlign w:val="center"/>
                </w:tcPr>
                <w:p w14:paraId="605E521E">
                  <w:pPr>
                    <w:topLinePunct/>
                    <w:adjustRightInd w:val="0"/>
                    <w:snapToGrid w:val="0"/>
                    <w:jc w:val="center"/>
                    <w:rPr>
                      <w:color w:val="000000" w:themeColor="text1"/>
                      <w:kern w:val="0"/>
                      <w:sz w:val="18"/>
                      <w:szCs w:val="18"/>
                      <w:lang w:val="en-US" w:eastAsia="zh-CN" w:bidi="ar-SA"/>
                      <w14:textFill>
                        <w14:solidFill>
                          <w14:schemeClr w14:val="tx1"/>
                        </w14:solidFill>
                      </w14:textFill>
                    </w:rPr>
                  </w:pPr>
                  <w:r>
                    <w:rPr>
                      <w:rFonts w:hint="eastAsia"/>
                      <w:color w:val="000000" w:themeColor="text1"/>
                      <w:kern w:val="0"/>
                      <w:sz w:val="18"/>
                      <w:szCs w:val="18"/>
                      <w14:textFill>
                        <w14:solidFill>
                          <w14:schemeClr w14:val="tx1"/>
                        </w14:solidFill>
                      </w14:textFill>
                    </w:rPr>
                    <w:t>泥态</w:t>
                  </w:r>
                </w:p>
              </w:tc>
              <w:tc>
                <w:tcPr>
                  <w:tcW w:w="366" w:type="pct"/>
                  <w:noWrap w:val="0"/>
                  <w:vAlign w:val="center"/>
                </w:tcPr>
                <w:p w14:paraId="3815E41F">
                  <w:pPr>
                    <w:topLinePunct/>
                    <w:adjustRightInd w:val="0"/>
                    <w:snapToGrid w:val="0"/>
                    <w:jc w:val="center"/>
                    <w:rPr>
                      <w:rFonts w:hint="eastAsia"/>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酸碱、有机物</w:t>
                  </w:r>
                  <w:r>
                    <w:rPr>
                      <w:rFonts w:hint="eastAsia"/>
                      <w:color w:val="000000" w:themeColor="text1"/>
                      <w:kern w:val="0"/>
                      <w:sz w:val="18"/>
                      <w:szCs w:val="18"/>
                      <w:lang w:eastAsia="zh-CN"/>
                      <w14:textFill>
                        <w14:solidFill>
                          <w14:schemeClr w14:val="tx1"/>
                        </w14:solidFill>
                      </w14:textFill>
                    </w:rPr>
                    <w:t>、</w:t>
                  </w:r>
                  <w:r>
                    <w:rPr>
                      <w:rFonts w:hint="eastAsia"/>
                      <w:color w:val="000000" w:themeColor="text1"/>
                      <w:kern w:val="0"/>
                      <w:sz w:val="18"/>
                      <w:szCs w:val="18"/>
                      <w:lang w:val="en-US" w:eastAsia="zh-CN"/>
                      <w14:textFill>
                        <w14:solidFill>
                          <w14:schemeClr w14:val="tx1"/>
                        </w14:solidFill>
                      </w14:textFill>
                    </w:rPr>
                    <w:t>污泥</w:t>
                  </w:r>
                  <w:r>
                    <w:rPr>
                      <w:color w:val="000000" w:themeColor="text1"/>
                      <w:kern w:val="0"/>
                      <w:sz w:val="18"/>
                      <w:szCs w:val="18"/>
                      <w14:textFill>
                        <w14:solidFill>
                          <w14:schemeClr w14:val="tx1"/>
                        </w14:solidFill>
                      </w14:textFill>
                    </w:rPr>
                    <w:t>等</w:t>
                  </w:r>
                </w:p>
              </w:tc>
              <w:tc>
                <w:tcPr>
                  <w:tcW w:w="392" w:type="pct"/>
                  <w:noWrap w:val="0"/>
                  <w:vAlign w:val="center"/>
                </w:tcPr>
                <w:p w14:paraId="26E3AB50">
                  <w:pPr>
                    <w:topLinePunct/>
                    <w:adjustRightInd w:val="0"/>
                    <w:snapToGrid w:val="0"/>
                    <w:jc w:val="center"/>
                    <w:rPr>
                      <w:rFonts w:hint="eastAsia"/>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酸碱、有机物等</w:t>
                  </w:r>
                </w:p>
              </w:tc>
              <w:tc>
                <w:tcPr>
                  <w:tcW w:w="381" w:type="pct"/>
                  <w:noWrap w:val="0"/>
                  <w:vAlign w:val="center"/>
                </w:tcPr>
                <w:p w14:paraId="6A8CB0D8">
                  <w:pPr>
                    <w:topLinePunct/>
                    <w:adjustRightInd w:val="0"/>
                    <w:snapToGrid w:val="0"/>
                    <w:jc w:val="center"/>
                    <w:rPr>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每</w:t>
                  </w:r>
                  <w:r>
                    <w:rPr>
                      <w:rFonts w:hint="eastAsia"/>
                      <w:color w:val="000000" w:themeColor="text1"/>
                      <w:kern w:val="0"/>
                      <w:sz w:val="18"/>
                      <w:szCs w:val="18"/>
                      <w:lang w:val="en-US" w:eastAsia="zh-CN"/>
                      <w14:textFill>
                        <w14:solidFill>
                          <w14:schemeClr w14:val="tx1"/>
                        </w14:solidFill>
                      </w14:textFill>
                    </w:rPr>
                    <w:t>月</w:t>
                  </w:r>
                </w:p>
              </w:tc>
              <w:tc>
                <w:tcPr>
                  <w:tcW w:w="357" w:type="pct"/>
                  <w:noWrap w:val="0"/>
                  <w:vAlign w:val="center"/>
                </w:tcPr>
                <w:p w14:paraId="1E417FCC">
                  <w:pPr>
                    <w:topLinePunct/>
                    <w:adjustRightInd w:val="0"/>
                    <w:snapToGrid w:val="0"/>
                    <w:jc w:val="center"/>
                    <w:rPr>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T/C</w:t>
                  </w:r>
                </w:p>
              </w:tc>
              <w:tc>
                <w:tcPr>
                  <w:tcW w:w="557" w:type="pct"/>
                  <w:vMerge w:val="continue"/>
                  <w:noWrap w:val="0"/>
                  <w:vAlign w:val="center"/>
                </w:tcPr>
                <w:p w14:paraId="13B5ABE9">
                  <w:pPr>
                    <w:adjustRightInd w:val="0"/>
                    <w:snapToGrid w:val="0"/>
                    <w:jc w:val="center"/>
                    <w:rPr>
                      <w:color w:val="000000" w:themeColor="text1"/>
                      <w:sz w:val="18"/>
                      <w:szCs w:val="18"/>
                      <w14:textFill>
                        <w14:solidFill>
                          <w14:schemeClr w14:val="tx1"/>
                        </w14:solidFill>
                      </w14:textFill>
                    </w:rPr>
                  </w:pPr>
                </w:p>
              </w:tc>
            </w:tr>
            <w:tr w14:paraId="0824A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5" w:type="pct"/>
                  <w:shd w:val="clear" w:color="auto" w:fill="auto"/>
                  <w:noWrap w:val="0"/>
                  <w:vAlign w:val="center"/>
                </w:tcPr>
                <w:p w14:paraId="11AAFE80">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bidi="ar-SA"/>
                      <w14:textFill>
                        <w14:solidFill>
                          <w14:schemeClr w14:val="tx1"/>
                        </w14:solidFill>
                      </w14:textFill>
                    </w:rPr>
                    <w:t>废遮蔽膜（喷胶用）</w:t>
                  </w:r>
                </w:p>
              </w:tc>
              <w:tc>
                <w:tcPr>
                  <w:tcW w:w="488" w:type="pct"/>
                  <w:shd w:val="clear" w:color="auto" w:fill="auto"/>
                  <w:noWrap w:val="0"/>
                  <w:vAlign w:val="center"/>
                </w:tcPr>
                <w:p w14:paraId="0639AC66">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HW</w:t>
                  </w:r>
                  <w:r>
                    <w:rPr>
                      <w:rFonts w:hint="eastAsia"/>
                      <w:color w:val="000000" w:themeColor="text1"/>
                      <w:sz w:val="18"/>
                      <w:szCs w:val="18"/>
                      <w:lang w:val="en-US" w:eastAsia="zh-CN"/>
                      <w14:textFill>
                        <w14:solidFill>
                          <w14:schemeClr w14:val="tx1"/>
                        </w14:solidFill>
                      </w14:textFill>
                    </w:rPr>
                    <w:t>49</w:t>
                  </w:r>
                </w:p>
              </w:tc>
              <w:tc>
                <w:tcPr>
                  <w:tcW w:w="768" w:type="pct"/>
                  <w:shd w:val="clear" w:color="auto" w:fill="auto"/>
                  <w:noWrap w:val="0"/>
                  <w:vAlign w:val="center"/>
                </w:tcPr>
                <w:p w14:paraId="5E0C0485">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900-04</w:t>
                  </w:r>
                  <w:r>
                    <w:rPr>
                      <w:rFonts w:hint="eastAsia"/>
                      <w:color w:val="000000" w:themeColor="text1"/>
                      <w:sz w:val="18"/>
                      <w:szCs w:val="18"/>
                      <w:lang w:val="en-US" w:eastAsia="zh-CN"/>
                      <w14:textFill>
                        <w14:solidFill>
                          <w14:schemeClr w14:val="tx1"/>
                        </w14:solidFill>
                      </w14:textFill>
                    </w:rPr>
                    <w:t>1</w:t>
                  </w:r>
                  <w:r>
                    <w:rPr>
                      <w:color w:val="000000" w:themeColor="text1"/>
                      <w:sz w:val="18"/>
                      <w:szCs w:val="18"/>
                      <w14:textFill>
                        <w14:solidFill>
                          <w14:schemeClr w14:val="tx1"/>
                        </w14:solidFill>
                      </w14:textFill>
                    </w:rPr>
                    <w:t>-49</w:t>
                  </w:r>
                </w:p>
              </w:tc>
              <w:tc>
                <w:tcPr>
                  <w:tcW w:w="457" w:type="pct"/>
                  <w:shd w:val="clear" w:color="auto" w:fill="auto"/>
                  <w:noWrap w:val="0"/>
                  <w:vAlign w:val="center"/>
                </w:tcPr>
                <w:p w14:paraId="00D9A88C">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0.3</w:t>
                  </w:r>
                </w:p>
              </w:tc>
              <w:tc>
                <w:tcPr>
                  <w:tcW w:w="469" w:type="pct"/>
                  <w:shd w:val="clear" w:color="auto" w:fill="auto"/>
                  <w:noWrap w:val="0"/>
                  <w:vAlign w:val="center"/>
                </w:tcPr>
                <w:p w14:paraId="2ADF8992">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遮蔽</w:t>
                  </w:r>
                </w:p>
              </w:tc>
              <w:tc>
                <w:tcPr>
                  <w:tcW w:w="366" w:type="pct"/>
                  <w:shd w:val="clear" w:color="auto" w:fill="auto"/>
                  <w:noWrap w:val="0"/>
                  <w:vAlign w:val="center"/>
                </w:tcPr>
                <w:p w14:paraId="3E9957A8">
                  <w:pPr>
                    <w:topLinePunct/>
                    <w:adjustRightInd w:val="0"/>
                    <w:snapToGrid w:val="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固态</w:t>
                  </w:r>
                </w:p>
              </w:tc>
              <w:tc>
                <w:tcPr>
                  <w:tcW w:w="366" w:type="pct"/>
                  <w:shd w:val="clear" w:color="auto" w:fill="auto"/>
                  <w:noWrap w:val="0"/>
                  <w:vAlign w:val="center"/>
                </w:tcPr>
                <w:p w14:paraId="6A9F124E">
                  <w:pPr>
                    <w:topLinePunct/>
                    <w:adjustRightInd w:val="0"/>
                    <w:snapToGrid w:val="0"/>
                    <w:jc w:val="center"/>
                    <w:rPr>
                      <w:rFonts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有机</w:t>
                  </w:r>
                  <w:r>
                    <w:rPr>
                      <w:rFonts w:hint="eastAsia"/>
                      <w:color w:val="000000" w:themeColor="text1"/>
                      <w:kern w:val="0"/>
                      <w:sz w:val="18"/>
                      <w:szCs w:val="18"/>
                      <w:lang w:val="en-US" w:eastAsia="zh-CN"/>
                      <w14:textFill>
                        <w14:solidFill>
                          <w14:schemeClr w14:val="tx1"/>
                        </w14:solidFill>
                      </w14:textFill>
                    </w:rPr>
                    <w:t>物</w:t>
                  </w:r>
                </w:p>
              </w:tc>
              <w:tc>
                <w:tcPr>
                  <w:tcW w:w="392" w:type="pct"/>
                  <w:shd w:val="clear" w:color="auto" w:fill="auto"/>
                  <w:noWrap w:val="0"/>
                  <w:vAlign w:val="center"/>
                </w:tcPr>
                <w:p w14:paraId="6D3CBAC8">
                  <w:pPr>
                    <w:topLinePunct/>
                    <w:adjustRightInd w:val="0"/>
                    <w:snapToGrid w:val="0"/>
                    <w:jc w:val="center"/>
                    <w:rPr>
                      <w:rFonts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有机</w:t>
                  </w:r>
                  <w:r>
                    <w:rPr>
                      <w:rFonts w:hint="eastAsia"/>
                      <w:color w:val="000000" w:themeColor="text1"/>
                      <w:kern w:val="0"/>
                      <w:sz w:val="18"/>
                      <w:szCs w:val="18"/>
                      <w:lang w:val="en-US" w:eastAsia="zh-CN"/>
                      <w14:textFill>
                        <w14:solidFill>
                          <w14:schemeClr w14:val="tx1"/>
                        </w14:solidFill>
                      </w14:textFill>
                    </w:rPr>
                    <w:t>物</w:t>
                  </w:r>
                </w:p>
              </w:tc>
              <w:tc>
                <w:tcPr>
                  <w:tcW w:w="381" w:type="pct"/>
                  <w:shd w:val="clear" w:color="auto" w:fill="auto"/>
                  <w:noWrap w:val="0"/>
                  <w:vAlign w:val="center"/>
                </w:tcPr>
                <w:p w14:paraId="1C426B81">
                  <w:pPr>
                    <w:topLinePunct/>
                    <w:adjustRightInd w:val="0"/>
                    <w:snapToGrid w:val="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每</w:t>
                  </w:r>
                  <w:r>
                    <w:rPr>
                      <w:rFonts w:hint="eastAsia"/>
                      <w:color w:val="000000" w:themeColor="text1"/>
                      <w:kern w:val="0"/>
                      <w:sz w:val="18"/>
                      <w:szCs w:val="18"/>
                      <w:lang w:val="en-US" w:eastAsia="zh-CN"/>
                      <w14:textFill>
                        <w14:solidFill>
                          <w14:schemeClr w14:val="tx1"/>
                        </w14:solidFill>
                      </w14:textFill>
                    </w:rPr>
                    <w:t>天</w:t>
                  </w:r>
                </w:p>
              </w:tc>
              <w:tc>
                <w:tcPr>
                  <w:tcW w:w="357" w:type="pct"/>
                  <w:shd w:val="clear" w:color="auto" w:fill="auto"/>
                  <w:noWrap w:val="0"/>
                  <w:vAlign w:val="center"/>
                </w:tcPr>
                <w:p w14:paraId="72A57438">
                  <w:pPr>
                    <w:topLinePunct/>
                    <w:adjustRightInd w:val="0"/>
                    <w:snapToGrid w:val="0"/>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T</w:t>
                  </w:r>
                  <w:r>
                    <w:rPr>
                      <w:rFonts w:hint="eastAsia"/>
                      <w:color w:val="000000" w:themeColor="text1"/>
                      <w:sz w:val="18"/>
                      <w:szCs w:val="18"/>
                      <w14:textFill>
                        <w14:solidFill>
                          <w14:schemeClr w14:val="tx1"/>
                        </w14:solidFill>
                      </w14:textFill>
                    </w:rPr>
                    <w:t>/In</w:t>
                  </w:r>
                </w:p>
              </w:tc>
              <w:tc>
                <w:tcPr>
                  <w:tcW w:w="557" w:type="pct"/>
                  <w:vMerge w:val="continue"/>
                  <w:noWrap w:val="0"/>
                  <w:vAlign w:val="center"/>
                </w:tcPr>
                <w:p w14:paraId="0990ABF6">
                  <w:pPr>
                    <w:adjustRightInd w:val="0"/>
                    <w:snapToGrid w:val="0"/>
                    <w:jc w:val="center"/>
                    <w:rPr>
                      <w:color w:val="000000" w:themeColor="text1"/>
                      <w:sz w:val="18"/>
                      <w:szCs w:val="18"/>
                      <w14:textFill>
                        <w14:solidFill>
                          <w14:schemeClr w14:val="tx1"/>
                        </w14:solidFill>
                      </w14:textFill>
                    </w:rPr>
                  </w:pPr>
                </w:p>
              </w:tc>
            </w:tr>
            <w:tr w14:paraId="65392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5" w:type="pct"/>
                  <w:shd w:val="clear" w:color="auto" w:fill="auto"/>
                  <w:noWrap w:val="0"/>
                  <w:vAlign w:val="center"/>
                </w:tcPr>
                <w:p w14:paraId="36186743">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bidi="ar-SA"/>
                      <w14:textFill>
                        <w14:solidFill>
                          <w14:schemeClr w14:val="tx1"/>
                        </w14:solidFill>
                      </w14:textFill>
                    </w:rPr>
                    <w:t>擦拭废布</w:t>
                  </w:r>
                </w:p>
              </w:tc>
              <w:tc>
                <w:tcPr>
                  <w:tcW w:w="488" w:type="pct"/>
                  <w:shd w:val="clear" w:color="auto" w:fill="auto"/>
                  <w:noWrap w:val="0"/>
                  <w:vAlign w:val="center"/>
                </w:tcPr>
                <w:p w14:paraId="5F11B1BB">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HW</w:t>
                  </w:r>
                  <w:r>
                    <w:rPr>
                      <w:rFonts w:hint="eastAsia"/>
                      <w:color w:val="000000" w:themeColor="text1"/>
                      <w:sz w:val="18"/>
                      <w:szCs w:val="18"/>
                      <w:lang w:val="en-US" w:eastAsia="zh-CN"/>
                      <w14:textFill>
                        <w14:solidFill>
                          <w14:schemeClr w14:val="tx1"/>
                        </w14:solidFill>
                      </w14:textFill>
                    </w:rPr>
                    <w:t>49</w:t>
                  </w:r>
                </w:p>
              </w:tc>
              <w:tc>
                <w:tcPr>
                  <w:tcW w:w="768" w:type="pct"/>
                  <w:shd w:val="clear" w:color="auto" w:fill="auto"/>
                  <w:noWrap w:val="0"/>
                  <w:vAlign w:val="center"/>
                </w:tcPr>
                <w:p w14:paraId="18EE37AD">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900-04</w:t>
                  </w:r>
                  <w:r>
                    <w:rPr>
                      <w:rFonts w:hint="eastAsia"/>
                      <w:color w:val="000000" w:themeColor="text1"/>
                      <w:sz w:val="18"/>
                      <w:szCs w:val="18"/>
                      <w:lang w:val="en-US" w:eastAsia="zh-CN"/>
                      <w14:textFill>
                        <w14:solidFill>
                          <w14:schemeClr w14:val="tx1"/>
                        </w14:solidFill>
                      </w14:textFill>
                    </w:rPr>
                    <w:t>1</w:t>
                  </w:r>
                  <w:r>
                    <w:rPr>
                      <w:color w:val="000000" w:themeColor="text1"/>
                      <w:sz w:val="18"/>
                      <w:szCs w:val="18"/>
                      <w14:textFill>
                        <w14:solidFill>
                          <w14:schemeClr w14:val="tx1"/>
                        </w14:solidFill>
                      </w14:textFill>
                    </w:rPr>
                    <w:t>-49</w:t>
                  </w:r>
                </w:p>
              </w:tc>
              <w:tc>
                <w:tcPr>
                  <w:tcW w:w="457" w:type="pct"/>
                  <w:shd w:val="clear" w:color="auto" w:fill="auto"/>
                  <w:noWrap w:val="0"/>
                  <w:vAlign w:val="center"/>
                </w:tcPr>
                <w:p w14:paraId="55F8ECB5">
                  <w:pPr>
                    <w:topLinePunct/>
                    <w:adjustRightInd w:val="0"/>
                    <w:snapToGrid w:val="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0.5</w:t>
                  </w:r>
                </w:p>
              </w:tc>
              <w:tc>
                <w:tcPr>
                  <w:tcW w:w="469" w:type="pct"/>
                  <w:shd w:val="clear" w:color="auto" w:fill="auto"/>
                  <w:noWrap w:val="0"/>
                  <w:vAlign w:val="center"/>
                </w:tcPr>
                <w:p w14:paraId="09DAC7E0">
                  <w:pPr>
                    <w:topLinePunct/>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擦拭</w:t>
                  </w:r>
                </w:p>
              </w:tc>
              <w:tc>
                <w:tcPr>
                  <w:tcW w:w="366" w:type="pct"/>
                  <w:shd w:val="clear" w:color="auto" w:fill="auto"/>
                  <w:noWrap w:val="0"/>
                  <w:vAlign w:val="center"/>
                </w:tcPr>
                <w:p w14:paraId="5ED3DBEF">
                  <w:pPr>
                    <w:topLinePunct/>
                    <w:adjustRightInd w:val="0"/>
                    <w:snapToGrid w:val="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固态</w:t>
                  </w:r>
                </w:p>
              </w:tc>
              <w:tc>
                <w:tcPr>
                  <w:tcW w:w="366" w:type="pct"/>
                  <w:shd w:val="clear" w:color="auto" w:fill="auto"/>
                  <w:noWrap w:val="0"/>
                  <w:vAlign w:val="center"/>
                </w:tcPr>
                <w:p w14:paraId="3A97BF53">
                  <w:pPr>
                    <w:topLinePunct/>
                    <w:adjustRightInd w:val="0"/>
                    <w:snapToGrid w:val="0"/>
                    <w:jc w:val="center"/>
                    <w:rPr>
                      <w:rFonts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有机</w:t>
                  </w:r>
                  <w:r>
                    <w:rPr>
                      <w:rFonts w:hint="eastAsia"/>
                      <w:color w:val="000000" w:themeColor="text1"/>
                      <w:kern w:val="0"/>
                      <w:sz w:val="18"/>
                      <w:szCs w:val="18"/>
                      <w:lang w:val="en-US" w:eastAsia="zh-CN"/>
                      <w14:textFill>
                        <w14:solidFill>
                          <w14:schemeClr w14:val="tx1"/>
                        </w14:solidFill>
                      </w14:textFill>
                    </w:rPr>
                    <w:t>物</w:t>
                  </w:r>
                </w:p>
              </w:tc>
              <w:tc>
                <w:tcPr>
                  <w:tcW w:w="392" w:type="pct"/>
                  <w:shd w:val="clear" w:color="auto" w:fill="auto"/>
                  <w:noWrap w:val="0"/>
                  <w:vAlign w:val="center"/>
                </w:tcPr>
                <w:p w14:paraId="343FA02A">
                  <w:pPr>
                    <w:topLinePunct/>
                    <w:adjustRightInd w:val="0"/>
                    <w:snapToGrid w:val="0"/>
                    <w:jc w:val="center"/>
                    <w:rPr>
                      <w:rFonts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有机</w:t>
                  </w:r>
                  <w:r>
                    <w:rPr>
                      <w:rFonts w:hint="eastAsia"/>
                      <w:color w:val="000000" w:themeColor="text1"/>
                      <w:kern w:val="0"/>
                      <w:sz w:val="18"/>
                      <w:szCs w:val="18"/>
                      <w:lang w:val="en-US" w:eastAsia="zh-CN"/>
                      <w14:textFill>
                        <w14:solidFill>
                          <w14:schemeClr w14:val="tx1"/>
                        </w14:solidFill>
                      </w14:textFill>
                    </w:rPr>
                    <w:t>物</w:t>
                  </w:r>
                </w:p>
              </w:tc>
              <w:tc>
                <w:tcPr>
                  <w:tcW w:w="381" w:type="pct"/>
                  <w:shd w:val="clear" w:color="auto" w:fill="auto"/>
                  <w:noWrap w:val="0"/>
                  <w:vAlign w:val="center"/>
                </w:tcPr>
                <w:p w14:paraId="0201C7E8">
                  <w:pPr>
                    <w:topLinePunct/>
                    <w:adjustRightInd w:val="0"/>
                    <w:snapToGrid w:val="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kern w:val="0"/>
                      <w:sz w:val="18"/>
                      <w:szCs w:val="18"/>
                      <w14:textFill>
                        <w14:solidFill>
                          <w14:schemeClr w14:val="tx1"/>
                        </w14:solidFill>
                      </w14:textFill>
                    </w:rPr>
                    <w:t>每</w:t>
                  </w:r>
                  <w:r>
                    <w:rPr>
                      <w:rFonts w:hint="eastAsia"/>
                      <w:color w:val="000000" w:themeColor="text1"/>
                      <w:kern w:val="0"/>
                      <w:sz w:val="18"/>
                      <w:szCs w:val="18"/>
                      <w:lang w:val="en-US" w:eastAsia="zh-CN"/>
                      <w14:textFill>
                        <w14:solidFill>
                          <w14:schemeClr w14:val="tx1"/>
                        </w14:solidFill>
                      </w14:textFill>
                    </w:rPr>
                    <w:t>天</w:t>
                  </w:r>
                </w:p>
              </w:tc>
              <w:tc>
                <w:tcPr>
                  <w:tcW w:w="357" w:type="pct"/>
                  <w:shd w:val="clear" w:color="auto" w:fill="auto"/>
                  <w:noWrap w:val="0"/>
                  <w:vAlign w:val="center"/>
                </w:tcPr>
                <w:p w14:paraId="6D4A8C85">
                  <w:pPr>
                    <w:topLinePunct/>
                    <w:adjustRightInd w:val="0"/>
                    <w:snapToGrid w:val="0"/>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T</w:t>
                  </w:r>
                  <w:r>
                    <w:rPr>
                      <w:rFonts w:hint="eastAsia"/>
                      <w:color w:val="000000" w:themeColor="text1"/>
                      <w:sz w:val="18"/>
                      <w:szCs w:val="18"/>
                      <w14:textFill>
                        <w14:solidFill>
                          <w14:schemeClr w14:val="tx1"/>
                        </w14:solidFill>
                      </w14:textFill>
                    </w:rPr>
                    <w:t>/In</w:t>
                  </w:r>
                </w:p>
              </w:tc>
              <w:tc>
                <w:tcPr>
                  <w:tcW w:w="557" w:type="pct"/>
                  <w:vMerge w:val="continue"/>
                  <w:noWrap w:val="0"/>
                  <w:vAlign w:val="center"/>
                </w:tcPr>
                <w:p w14:paraId="49F2D23C">
                  <w:pPr>
                    <w:adjustRightInd w:val="0"/>
                    <w:snapToGrid w:val="0"/>
                    <w:jc w:val="center"/>
                    <w:rPr>
                      <w:color w:val="000000" w:themeColor="text1"/>
                      <w:sz w:val="18"/>
                      <w:szCs w:val="18"/>
                      <w14:textFill>
                        <w14:solidFill>
                          <w14:schemeClr w14:val="tx1"/>
                        </w14:solidFill>
                      </w14:textFill>
                    </w:rPr>
                  </w:pPr>
                </w:p>
              </w:tc>
            </w:tr>
          </w:tbl>
          <w:p w14:paraId="78E14CDC">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ascii="Times New Roman" w:hAnsi="Times New Roman" w:eastAsia="黑体"/>
                <w:b/>
                <w:color w:val="000000" w:themeColor="text1"/>
                <w:spacing w:val="0"/>
                <w:position w:val="0"/>
                <w:sz w:val="24"/>
                <w14:textFill>
                  <w14:solidFill>
                    <w14:schemeClr w14:val="tx1"/>
                  </w14:solidFill>
                </w14:textFill>
              </w:rPr>
            </w:pPr>
            <w:r>
              <w:rPr>
                <w:rFonts w:ascii="Times New Roman" w:hAnsi="Times New Roman" w:eastAsia="黑体"/>
                <w:b/>
                <w:bCs/>
                <w:color w:val="000000" w:themeColor="text1"/>
                <w:spacing w:val="0"/>
                <w:kern w:val="0"/>
                <w:position w:val="0"/>
                <w:sz w:val="24"/>
                <w14:textFill>
                  <w14:solidFill>
                    <w14:schemeClr w14:val="tx1"/>
                  </w14:solidFill>
                </w14:textFill>
              </w:rPr>
              <w:t>4.</w:t>
            </w:r>
            <w:r>
              <w:rPr>
                <w:rFonts w:hint="eastAsia" w:ascii="Times New Roman" w:hAnsi="Times New Roman" w:eastAsia="黑体"/>
                <w:b/>
                <w:bCs/>
                <w:color w:val="000000" w:themeColor="text1"/>
                <w:spacing w:val="0"/>
                <w:kern w:val="0"/>
                <w:position w:val="0"/>
                <w:sz w:val="24"/>
                <w:lang w:val="en-US" w:eastAsia="zh-CN"/>
                <w14:textFill>
                  <w14:solidFill>
                    <w14:schemeClr w14:val="tx1"/>
                  </w14:solidFill>
                </w14:textFill>
              </w:rPr>
              <w:t>5</w:t>
            </w:r>
            <w:r>
              <w:rPr>
                <w:rFonts w:ascii="Times New Roman" w:hAnsi="Times New Roman" w:eastAsia="黑体"/>
                <w:b/>
                <w:bCs/>
                <w:color w:val="000000" w:themeColor="text1"/>
                <w:spacing w:val="0"/>
                <w:kern w:val="0"/>
                <w:position w:val="0"/>
                <w:sz w:val="24"/>
                <w14:textFill>
                  <w14:solidFill>
                    <w14:schemeClr w14:val="tx1"/>
                  </w14:solidFill>
                </w14:textFill>
              </w:rPr>
              <w:t>.2</w:t>
            </w:r>
            <w:r>
              <w:rPr>
                <w:rFonts w:hint="default" w:ascii="Times New Roman" w:hAnsi="Times New Roman" w:eastAsia="宋体" w:cs="Times New Roman"/>
                <w:b/>
                <w:color w:val="000000" w:themeColor="text1"/>
                <w:spacing w:val="0"/>
                <w:position w:val="0"/>
                <w:sz w:val="24"/>
                <w14:textFill>
                  <w14:solidFill>
                    <w14:schemeClr w14:val="tx1"/>
                  </w14:solidFill>
                </w14:textFill>
              </w:rPr>
              <w:t>运营期固体废物影响分析及环境管理要求</w:t>
            </w:r>
          </w:p>
          <w:p w14:paraId="5D8D7F4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spacing w:val="0"/>
                <w:position w:val="0"/>
                <w:sz w:val="24"/>
                <w:szCs w:val="24"/>
                <w:highlight w:val="none"/>
                <w14:textFill>
                  <w14:solidFill>
                    <w14:schemeClr w14:val="tx1"/>
                  </w14:solidFill>
                </w14:textFill>
              </w:rPr>
            </w:pPr>
            <w:r>
              <w:rPr>
                <w:rFonts w:hint="eastAsia" w:ascii="Times New Roman" w:hAnsi="Times New Roman" w:cs="Times New Roman"/>
                <w:b/>
                <w:bCs/>
                <w:color w:val="000000" w:themeColor="text1"/>
                <w:spacing w:val="0"/>
                <w:position w:val="0"/>
                <w:sz w:val="24"/>
                <w:szCs w:val="24"/>
                <w:highlight w:val="none"/>
                <w:lang w:val="en-US" w:eastAsia="zh-CN"/>
                <w14:textFill>
                  <w14:solidFill>
                    <w14:schemeClr w14:val="tx1"/>
                  </w14:solidFill>
                </w14:textFill>
              </w:rPr>
              <w:t>4.5.2.1</w:t>
            </w:r>
            <w:r>
              <w:rPr>
                <w:rFonts w:hint="default" w:ascii="Times New Roman" w:hAnsi="Times New Roman" w:cs="Times New Roman"/>
                <w:b/>
                <w:bCs/>
                <w:color w:val="000000" w:themeColor="text1"/>
                <w:spacing w:val="0"/>
                <w:position w:val="0"/>
                <w:sz w:val="24"/>
                <w:szCs w:val="24"/>
                <w:highlight w:val="none"/>
                <w14:textFill>
                  <w14:solidFill>
                    <w14:schemeClr w14:val="tx1"/>
                  </w14:solidFill>
                </w14:textFill>
              </w:rPr>
              <w:t>一般工业固废</w:t>
            </w:r>
          </w:p>
          <w:p w14:paraId="0A5B3C45">
            <w:pPr>
              <w:spacing w:line="360" w:lineRule="auto"/>
              <w:ind w:firstLine="482" w:firstLineChars="200"/>
              <w:jc w:val="both"/>
              <w:rPr>
                <w:rFonts w:hint="default" w:ascii="Times New Roman" w:hAnsi="Times New Roman" w:eastAsia="宋体" w:cs="Times New Roman"/>
                <w:b/>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）一般工业固废储存情况</w:t>
            </w:r>
          </w:p>
          <w:p w14:paraId="759D0A64">
            <w:pPr>
              <w:spacing w:line="360" w:lineRule="auto"/>
              <w:ind w:firstLine="480" w:firstLineChars="200"/>
              <w:jc w:val="both"/>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企业现有一间一般工业固废暂存间，</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建筑面积约</w:t>
            </w:r>
            <w:r>
              <w:rPr>
                <w:rFonts w:hint="eastAsia" w:cs="Times New Roman"/>
                <w:color w:val="000000" w:themeColor="text1"/>
                <w:sz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，暂存能力约</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instrText xml:space="preserve"> = 6*1.5*0.6 \* MERGEFORMAT </w:instrTex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w:t>
            </w:r>
            <w:r>
              <w:rPr>
                <w:rFonts w:hint="eastAsia" w:cs="Times New Roman"/>
                <w:color w:val="000000" w:themeColor="text1"/>
                <w:sz w:val="24"/>
                <w:highlight w:val="none"/>
                <w:lang w:val="en-US" w:eastAsia="zh-CN"/>
                <w14:textFill>
                  <w14:solidFill>
                    <w14:schemeClr w14:val="tx1"/>
                  </w14:solidFill>
                </w14:textFill>
              </w:rPr>
              <w:t>，为全封闭式仓库</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。本次拟将一般工业固废暂存间面积扩大至20m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，暂存能力约</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instrText xml:space="preserve"> = 20*1.5*0.6 \* MERGEFORMAT </w:instrTex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18</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项目扩建后全厂一般工业固废产生量约为</w:t>
            </w:r>
            <w:r>
              <w:rPr>
                <w:rFonts w:hint="eastAsia" w:cs="Times New Roman"/>
                <w:color w:val="000000" w:themeColor="text1"/>
                <w:sz w:val="24"/>
                <w:highlight w:val="none"/>
                <w:lang w:val="en-US" w:eastAsia="zh-CN"/>
                <w14:textFill>
                  <w14:solidFill>
                    <w14:schemeClr w14:val="tx1"/>
                  </w14:solidFill>
                </w14:textFill>
              </w:rPr>
              <w:t>9.023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扩建后</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一般固废暂存间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满足本项目一般工业固废的暂存需求</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13649920">
            <w:pPr>
              <w:spacing w:line="360" w:lineRule="auto"/>
              <w:ind w:firstLine="482" w:firstLineChars="200"/>
              <w:jc w:val="both"/>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）储存管理要求</w:t>
            </w:r>
          </w:p>
          <w:p w14:paraId="63BAE13D">
            <w:pPr>
              <w:spacing w:line="360" w:lineRule="auto"/>
              <w:ind w:firstLine="480" w:firstLineChars="200"/>
              <w:jc w:val="both"/>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本评价要求项目产生的一般工业固废应按</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一般工业固体废物贮存和填埋污染控制标准</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GB18599-2020</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要求进行规范化的处理处置</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对一般工业固废暂存场所按照《一般工业固体废物贮存和填埋污染控制标准》（GB18599-2020）相关规定建设：</w:t>
            </w:r>
          </w:p>
          <w:p w14:paraId="1A47E8B3">
            <w:pPr>
              <w:spacing w:line="360" w:lineRule="auto"/>
              <w:ind w:firstLine="480" w:firstLineChars="200"/>
              <w:jc w:val="both"/>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①地面应采取硬化措施并满足承载力要求，必要时采取相应措施防止地基下沉。I类场技术要求：当天然基础层饱和渗透系数不大于1.0×10</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-5</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 xml:space="preserve"> cm/s，且厚度不小于0.75m时，可以采用天然基础层作为防渗衬层。当天然基础层不能满足上条防渗要求时，可采用改性压实粘土类衬层或具有同等以上隔水效力的其他材料防渗衬层，其防渗性能应至少相当于渗透系数为1.0×10</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-5</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 xml:space="preserve"> cm/s 且厚度为0.75 m的天然基础层。</w:t>
            </w:r>
          </w:p>
          <w:p w14:paraId="6DC8D0F0">
            <w:pPr>
              <w:spacing w:line="360" w:lineRule="auto"/>
              <w:ind w:firstLine="480" w:firstLineChars="200"/>
              <w:jc w:val="both"/>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②要求设置必要的防风、防雨、防晒措施，并采取相应的防尘措施。</w:t>
            </w:r>
          </w:p>
          <w:p w14:paraId="47766D09">
            <w:pPr>
              <w:spacing w:line="360" w:lineRule="auto"/>
              <w:ind w:firstLine="480" w:firstLineChars="200"/>
              <w:jc w:val="both"/>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③按《环境保护图形标识－固体废物贮存（处置）场》（GB15562.2）及其修改单设置环境保护图形标志。</w:t>
            </w:r>
          </w:p>
          <w:p w14:paraId="7F2A905B">
            <w:pPr>
              <w:spacing w:line="360" w:lineRule="auto"/>
              <w:ind w:firstLine="480" w:firstLineChars="200"/>
              <w:jc w:val="both"/>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④一般固体废物区内一般工业固废应按类别分区存放，不得随意堆放，严禁一般工业固废混合堆放。禁止生活垃圾、危险废物混入一般工业固废仓库堆放。</w:t>
            </w:r>
          </w:p>
          <w:p w14:paraId="180F3DDC">
            <w:pPr>
              <w:spacing w:line="360" w:lineRule="auto"/>
              <w:ind w:firstLine="480" w:firstLineChars="200"/>
              <w:jc w:val="both"/>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同时，</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项目</w:t>
            </w:r>
            <w:r>
              <w:rPr>
                <w:rFonts w:hint="default" w:ascii="Times New Roman" w:hAnsi="Times New Roman" w:eastAsia="宋体" w:cs="Times New Roman"/>
                <w:color w:val="000000" w:themeColor="text1"/>
                <w:sz w:val="24"/>
                <w:highlight w:val="none"/>
                <w14:textFill>
                  <w14:solidFill>
                    <w14:schemeClr w14:val="tx1"/>
                  </w14:solidFill>
                </w14:textFill>
              </w:rPr>
              <w:t>应当采取防扬散、防流失、防渗漏或者其他防止污染环境的措施，不得擅自倾倒、堆放、丢弃、遗撒固体废物。应当建立健全工业固体废物产生、收集、贮存、运输、利用、处置全过程的污染环境防治责任制度，建立工业固体废物管理台账，如实记录产生工业</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固</w:t>
            </w:r>
            <w:r>
              <w:rPr>
                <w:rFonts w:hint="default" w:ascii="Times New Roman" w:hAnsi="Times New Roman" w:eastAsia="宋体" w:cs="Times New Roman"/>
                <w:color w:val="000000" w:themeColor="text1"/>
                <w:sz w:val="24"/>
                <w:highlight w:val="none"/>
                <w14:textFill>
                  <w14:solidFill>
                    <w14:schemeClr w14:val="tx1"/>
                  </w14:solidFill>
                </w14:textFill>
              </w:rPr>
              <w:t>体废物的种类、数量、流向、贮存、利用、处置等信息，实现工业固体废物可追溯、可查询，并采取防治工业固体废物污染环境的措施</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0F7642AC">
            <w:pPr>
              <w:spacing w:line="360" w:lineRule="auto"/>
              <w:ind w:firstLine="480" w:firstLineChars="200"/>
              <w:jc w:val="both"/>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中华人民共和国固体废物污染环境防治法》要求，产生工业固体废物的单位在委托他人运输、‌利用、‌处置工业固体废物时，‌应当对受托方的主体资格和技术能力进行核实，‌并依法签订书面合同，‌在合同中约定污染防治要求。因此建设单位对一般工业固废委托综合利用前，将对物资回收单位审查，‌‌审查</w:t>
            </w:r>
            <w:r>
              <w:rPr>
                <w:rFonts w:hint="eastAsia" w:cs="Times New Roman"/>
                <w:color w:val="000000" w:themeColor="text1"/>
                <w:sz w:val="24"/>
                <w:highlight w:val="none"/>
                <w:lang w:val="en-US" w:eastAsia="zh-CN"/>
                <w14:textFill>
                  <w14:solidFill>
                    <w14:schemeClr w14:val="tx1"/>
                  </w14:solidFill>
                </w14:textFill>
              </w:rPr>
              <w:t>内容</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包括但不限于包括对企业的营业执照、环保资质、安全生产许可证等证照进行检查，核实企业是否具备从事工业固废处理活动的合法资质。同时，还需审查企业的组织机构、管理体系、人员配备等方面，确保企业具备完善的管理制度和专业的技术团队，确保回收单位的合规性。</w:t>
            </w:r>
          </w:p>
          <w:p w14:paraId="178B2A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spacing w:val="0"/>
                <w:position w:val="0"/>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4"/>
                <w:szCs w:val="24"/>
                <w:highlight w:val="none"/>
                <w:lang w:val="en-US" w:eastAsia="zh-CN"/>
                <w14:textFill>
                  <w14:solidFill>
                    <w14:schemeClr w14:val="tx1"/>
                  </w14:solidFill>
                </w14:textFill>
              </w:rPr>
              <w:t>4.5.2.2</w:t>
            </w:r>
            <w:r>
              <w:rPr>
                <w:rFonts w:hint="default" w:ascii="Times New Roman" w:hAnsi="Times New Roman" w:cs="Times New Roman"/>
                <w:b/>
                <w:bCs/>
                <w:color w:val="000000" w:themeColor="text1"/>
                <w:spacing w:val="0"/>
                <w:position w:val="0"/>
                <w:sz w:val="24"/>
                <w:szCs w:val="24"/>
                <w:highlight w:val="none"/>
                <w:lang w:val="en-US" w:eastAsia="zh-CN"/>
                <w14:textFill>
                  <w14:solidFill>
                    <w14:schemeClr w14:val="tx1"/>
                  </w14:solidFill>
                </w14:textFill>
              </w:rPr>
              <w:t>危险废物</w:t>
            </w:r>
          </w:p>
          <w:p w14:paraId="07CC8882">
            <w:pPr>
              <w:spacing w:line="360" w:lineRule="auto"/>
              <w:ind w:firstLine="480" w:firstLineChars="200"/>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危险废物贮存场所环境影响分析</w:t>
            </w:r>
          </w:p>
          <w:p w14:paraId="60073E82">
            <w:pPr>
              <w:spacing w:line="360" w:lineRule="auto"/>
              <w:ind w:firstLine="480" w:firstLineChars="200"/>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本项目扩建后全厂危险</w:t>
            </w:r>
            <w:r>
              <w:rPr>
                <w:rFonts w:hint="eastAsia"/>
                <w:color w:val="000000" w:themeColor="text1"/>
                <w:sz w:val="24"/>
                <w:szCs w:val="24"/>
                <w:lang w:val="en-US" w:eastAsia="zh-CN"/>
                <w14:textFill>
                  <w14:solidFill>
                    <w14:schemeClr w14:val="tx1"/>
                  </w14:solidFill>
                </w14:textFill>
              </w:rPr>
              <w:t>废物产生量约269.502t/a，扣除废槽液、污泥不在危险废物主车间贮存，剩余需贮存危险废物量约100.346t/a，现有13m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危废间不能满足贮存要求，因此，企业拟在</w:t>
            </w:r>
            <w:r>
              <w:rPr>
                <w:rFonts w:hint="eastAsia" w:cs="Times New Roman"/>
                <w:color w:val="000000" w:themeColor="text1"/>
                <w:sz w:val="24"/>
                <w:szCs w:val="24"/>
                <w:lang w:val="en-US" w:eastAsia="zh-CN"/>
                <w14:textFill>
                  <w14:solidFill>
                    <w14:schemeClr w14:val="tx1"/>
                  </w14:solidFill>
                </w14:textFill>
              </w:rPr>
              <w:t>仓库及综合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楼4F西北侧新建</w:t>
            </w:r>
            <w:r>
              <w:rPr>
                <w:rFonts w:ascii="Times New Roman" w:hAnsi="Times New Roman" w:eastAsia="宋体" w:cs="Times New Roman"/>
                <w:color w:val="000000" w:themeColor="text1"/>
                <w:sz w:val="24"/>
                <w:szCs w:val="24"/>
                <w14:textFill>
                  <w14:solidFill>
                    <w14:schemeClr w14:val="tx1"/>
                  </w14:solidFill>
                </w14:textFill>
              </w:rPr>
              <w:t>1座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w:t>
            </w:r>
            <w:r>
              <w:rPr>
                <w:rFonts w:ascii="Times New Roman" w:hAnsi="Times New Roman" w:eastAsia="宋体" w:cs="Times New Roman"/>
                <w:color w:val="000000" w:themeColor="text1"/>
                <w:sz w:val="24"/>
                <w:szCs w:val="24"/>
                <w14:textFill>
                  <w14:solidFill>
                    <w14:schemeClr w14:val="tx1"/>
                  </w14:solidFill>
                </w14:textFill>
              </w:rPr>
              <w:t>m</w:t>
            </w:r>
            <w:r>
              <w:rPr>
                <w:rFonts w:ascii="Times New Roman" w:hAnsi="Times New Roman" w:eastAsia="宋体" w:cs="Times New Roman"/>
                <w:color w:val="000000" w:themeColor="text1"/>
                <w:sz w:val="24"/>
                <w:szCs w:val="24"/>
                <w:vertAlign w:val="super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危险废物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贮存</w:t>
            </w:r>
            <w:r>
              <w:rPr>
                <w:rFonts w:ascii="Times New Roman" w:hAnsi="Times New Roman" w:eastAsia="宋体" w:cs="Times New Roman"/>
                <w:color w:val="000000" w:themeColor="text1"/>
                <w:sz w:val="24"/>
                <w:szCs w:val="24"/>
                <w14:textFill>
                  <w14:solidFill>
                    <w14:schemeClr w14:val="tx1"/>
                  </w14:solidFill>
                </w14:textFill>
              </w:rPr>
              <w:t>间</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14:paraId="54DAB1A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危险废物</w:t>
            </w:r>
            <w:r>
              <w:rPr>
                <w:rFonts w:hint="eastAsia"/>
                <w:color w:val="000000" w:themeColor="text1"/>
                <w:sz w:val="24"/>
                <w:lang w:val="en-US" w:eastAsia="zh-CN"/>
                <w14:textFill>
                  <w14:solidFill>
                    <w14:schemeClr w14:val="tx1"/>
                  </w14:solidFill>
                </w14:textFill>
              </w:rPr>
              <w:t>贮存间</w:t>
            </w:r>
            <w:r>
              <w:rPr>
                <w:color w:val="000000" w:themeColor="text1"/>
                <w:sz w:val="24"/>
                <w14:textFill>
                  <w14:solidFill>
                    <w14:schemeClr w14:val="tx1"/>
                  </w14:solidFill>
                </w14:textFill>
              </w:rPr>
              <w:t>应按照《危险废物贮存污染控制标准》(GB18597-2023)要求进行建设，具备防风、防雨、防晒、防渗漏。危险废物贮存场所基础必须防渗，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cm/s)，或至少2mm厚高密度聚乙烯膜等人工防渗材料(渗透系数不大于10</w:t>
            </w:r>
            <w:r>
              <w:rPr>
                <w:color w:val="000000" w:themeColor="text1"/>
                <w:sz w:val="24"/>
                <w:vertAlign w:val="superscript"/>
                <w14:textFill>
                  <w14:solidFill>
                    <w14:schemeClr w14:val="tx1"/>
                  </w14:solidFill>
                </w14:textFill>
              </w:rPr>
              <w:t>-10</w:t>
            </w:r>
            <w:r>
              <w:rPr>
                <w:color w:val="000000" w:themeColor="text1"/>
                <w:sz w:val="24"/>
                <w14:textFill>
                  <w14:solidFill>
                    <w14:schemeClr w14:val="tx1"/>
                  </w14:solidFill>
                </w14:textFill>
              </w:rPr>
              <w:t>cm/s)，或其他防渗性能等效的材料。</w:t>
            </w:r>
            <w:r>
              <w:rPr>
                <w:rFonts w:hint="eastAsia"/>
                <w:color w:val="000000" w:themeColor="text1"/>
                <w:kern w:val="0"/>
                <w:sz w:val="24"/>
                <w14:textFill>
                  <w14:solidFill>
                    <w14:schemeClr w14:val="tx1"/>
                  </w14:solidFill>
                </w14:textFill>
              </w:rPr>
              <w:t>危险废物</w:t>
            </w:r>
            <w:r>
              <w:rPr>
                <w:rFonts w:hint="eastAsia"/>
                <w:color w:val="000000" w:themeColor="text1"/>
                <w:kern w:val="0"/>
                <w:sz w:val="24"/>
                <w:lang w:val="en-US" w:eastAsia="zh-CN"/>
                <w14:textFill>
                  <w14:solidFill>
                    <w14:schemeClr w14:val="tx1"/>
                  </w14:solidFill>
                </w14:textFill>
              </w:rPr>
              <w:t>贮存</w:t>
            </w:r>
            <w:r>
              <w:rPr>
                <w:rFonts w:hint="eastAsia"/>
                <w:color w:val="000000" w:themeColor="text1"/>
                <w:kern w:val="0"/>
                <w:sz w:val="24"/>
                <w14:textFill>
                  <w14:solidFill>
                    <w14:schemeClr w14:val="tx1"/>
                  </w14:solidFill>
                </w14:textFill>
              </w:rPr>
              <w:t>标志按照《危险废物识别标志设置技术规范》(HJ 1276-2022)要求进行，</w:t>
            </w:r>
            <w:r>
              <w:rPr>
                <w:color w:val="000000" w:themeColor="text1"/>
                <w:sz w:val="24"/>
                <w14:textFill>
                  <w14:solidFill>
                    <w14:schemeClr w14:val="tx1"/>
                  </w14:solidFill>
                </w14:textFill>
              </w:rPr>
              <w:t>危险废物贮存间具体详见表</w:t>
            </w:r>
            <w:r>
              <w:rPr>
                <w:rFonts w:hint="eastAsia"/>
                <w:color w:val="000000" w:themeColor="text1"/>
                <w:sz w:val="24"/>
                <w14:textFill>
                  <w14:solidFill>
                    <w14:schemeClr w14:val="tx1"/>
                  </w14:solidFill>
                </w14:textFill>
              </w:rPr>
              <w:t>4.5</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p>
          <w:p w14:paraId="6596953A">
            <w:pPr>
              <w:pStyle w:val="4"/>
              <w:rPr>
                <w:color w:val="000000" w:themeColor="text1"/>
                <w14:textFill>
                  <w14:solidFill>
                    <w14:schemeClr w14:val="tx1"/>
                  </w14:solidFill>
                </w14:textFill>
              </w:rPr>
            </w:pPr>
          </w:p>
          <w:p w14:paraId="398DA4BF">
            <w:pPr>
              <w:pStyle w:val="142"/>
              <w:keepNext/>
              <w:keepLines/>
              <w:pageBreakBefore w:val="0"/>
              <w:widowControl w:val="0"/>
              <w:kinsoku/>
              <w:wordWrap/>
              <w:overflowPunct/>
              <w:topLinePunct w:val="0"/>
              <w:autoSpaceDE/>
              <w:autoSpaceDN/>
              <w:bidi w:val="0"/>
              <w:adjustRightInd/>
              <w:snapToGrid/>
              <w:spacing w:before="157" w:beforeLines="50" w:after="0"/>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表4.5-3 建设项目危险废物贮存场所（设施）基本情况表</w:t>
            </w:r>
          </w:p>
          <w:tbl>
            <w:tblPr>
              <w:tblStyle w:val="30"/>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1271"/>
              <w:gridCol w:w="838"/>
              <w:gridCol w:w="1415"/>
              <w:gridCol w:w="928"/>
              <w:gridCol w:w="742"/>
              <w:gridCol w:w="1071"/>
              <w:gridCol w:w="981"/>
              <w:gridCol w:w="618"/>
            </w:tblGrid>
            <w:tr w14:paraId="161B6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noWrap w:val="0"/>
                  <w:vAlign w:val="center"/>
                </w:tcPr>
                <w:p w14:paraId="50D2A47E">
                  <w:pPr>
                    <w:topLinePunct/>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贮存场所名称</w:t>
                  </w:r>
                </w:p>
              </w:tc>
              <w:tc>
                <w:tcPr>
                  <w:tcW w:w="731" w:type="pct"/>
                  <w:noWrap w:val="0"/>
                  <w:vAlign w:val="center"/>
                </w:tcPr>
                <w:p w14:paraId="17A60966">
                  <w:pPr>
                    <w:topLinePunct/>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危险废物名称</w:t>
                  </w:r>
                </w:p>
              </w:tc>
              <w:tc>
                <w:tcPr>
                  <w:tcW w:w="482" w:type="pct"/>
                  <w:noWrap w:val="0"/>
                  <w:vAlign w:val="center"/>
                </w:tcPr>
                <w:p w14:paraId="21A5BA28">
                  <w:pPr>
                    <w:topLinePunct/>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危险废物类别</w:t>
                  </w:r>
                </w:p>
              </w:tc>
              <w:tc>
                <w:tcPr>
                  <w:tcW w:w="814" w:type="pct"/>
                  <w:noWrap w:val="0"/>
                  <w:vAlign w:val="center"/>
                </w:tcPr>
                <w:p w14:paraId="6EAA18D2">
                  <w:pPr>
                    <w:topLinePunct/>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危险废物代码</w:t>
                  </w:r>
                </w:p>
              </w:tc>
              <w:tc>
                <w:tcPr>
                  <w:tcW w:w="534" w:type="pct"/>
                  <w:noWrap w:val="0"/>
                  <w:vAlign w:val="center"/>
                </w:tcPr>
                <w:p w14:paraId="60C802FE">
                  <w:pPr>
                    <w:topLinePunct/>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位置</w:t>
                  </w:r>
                </w:p>
              </w:tc>
              <w:tc>
                <w:tcPr>
                  <w:tcW w:w="427" w:type="pct"/>
                  <w:noWrap w:val="0"/>
                  <w:vAlign w:val="center"/>
                </w:tcPr>
                <w:p w14:paraId="1054CE33">
                  <w:pPr>
                    <w:topLinePunct/>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占地面积</w:t>
                  </w:r>
                </w:p>
              </w:tc>
              <w:tc>
                <w:tcPr>
                  <w:tcW w:w="616" w:type="pct"/>
                  <w:noWrap w:val="0"/>
                  <w:vAlign w:val="center"/>
                </w:tcPr>
                <w:p w14:paraId="4E02F12E">
                  <w:pPr>
                    <w:topLinePunct/>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贮存方式</w:t>
                  </w:r>
                </w:p>
              </w:tc>
              <w:tc>
                <w:tcPr>
                  <w:tcW w:w="564" w:type="pct"/>
                  <w:noWrap w:val="0"/>
                  <w:vAlign w:val="center"/>
                </w:tcPr>
                <w:p w14:paraId="2C526D83">
                  <w:pPr>
                    <w:topLinePunct/>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贮存</w:t>
                  </w:r>
                </w:p>
                <w:p w14:paraId="5C30E0A9">
                  <w:pPr>
                    <w:topLinePunct/>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能力</w:t>
                  </w:r>
                </w:p>
              </w:tc>
              <w:tc>
                <w:tcPr>
                  <w:tcW w:w="354" w:type="pct"/>
                  <w:noWrap w:val="0"/>
                  <w:vAlign w:val="center"/>
                </w:tcPr>
                <w:p w14:paraId="2BEDEB79">
                  <w:pPr>
                    <w:topLinePunct/>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贮存</w:t>
                  </w:r>
                </w:p>
                <w:p w14:paraId="62927F30">
                  <w:pPr>
                    <w:topLinePunct/>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周期</w:t>
                  </w:r>
                </w:p>
              </w:tc>
            </w:tr>
            <w:tr w14:paraId="70500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restart"/>
                  <w:noWrap w:val="0"/>
                  <w:vAlign w:val="center"/>
                </w:tcPr>
                <w:p w14:paraId="58E2757E">
                  <w:pPr>
                    <w:topLinePunct/>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危险废物</w:t>
                  </w:r>
                  <w:r>
                    <w:rPr>
                      <w:rFonts w:hint="eastAsia"/>
                      <w:color w:val="000000" w:themeColor="text1"/>
                      <w:kern w:val="0"/>
                      <w:sz w:val="21"/>
                      <w:szCs w:val="21"/>
                      <w14:textFill>
                        <w14:solidFill>
                          <w14:schemeClr w14:val="tx1"/>
                        </w14:solidFill>
                      </w14:textFill>
                    </w:rPr>
                    <w:t>贮存</w:t>
                  </w:r>
                  <w:r>
                    <w:rPr>
                      <w:color w:val="000000" w:themeColor="text1"/>
                      <w:kern w:val="0"/>
                      <w:sz w:val="21"/>
                      <w:szCs w:val="21"/>
                      <w14:textFill>
                        <w14:solidFill>
                          <w14:schemeClr w14:val="tx1"/>
                        </w14:solidFill>
                      </w14:textFill>
                    </w:rPr>
                    <w:t>间</w:t>
                  </w:r>
                </w:p>
              </w:tc>
              <w:tc>
                <w:tcPr>
                  <w:tcW w:w="731" w:type="pct"/>
                  <w:noWrap w:val="0"/>
                  <w:vAlign w:val="center"/>
                </w:tcPr>
                <w:p w14:paraId="3D8FE421">
                  <w:pPr>
                    <w:topLinePunct/>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槽渣</w:t>
                  </w:r>
                </w:p>
              </w:tc>
              <w:tc>
                <w:tcPr>
                  <w:tcW w:w="482" w:type="pct"/>
                  <w:noWrap w:val="0"/>
                  <w:vAlign w:val="center"/>
                </w:tcPr>
                <w:p w14:paraId="01919B72">
                  <w:pPr>
                    <w:topLinePunct/>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HW</w:t>
                  </w:r>
                  <w:r>
                    <w:rPr>
                      <w:rFonts w:hint="eastAsia"/>
                      <w:color w:val="000000" w:themeColor="text1"/>
                      <w:kern w:val="0"/>
                      <w:sz w:val="21"/>
                      <w:szCs w:val="21"/>
                      <w:lang w:val="en-US" w:eastAsia="zh-CN"/>
                      <w14:textFill>
                        <w14:solidFill>
                          <w14:schemeClr w14:val="tx1"/>
                        </w14:solidFill>
                      </w14:textFill>
                    </w:rPr>
                    <w:t>17</w:t>
                  </w:r>
                </w:p>
              </w:tc>
              <w:tc>
                <w:tcPr>
                  <w:tcW w:w="814" w:type="pct"/>
                  <w:noWrap w:val="0"/>
                  <w:vAlign w:val="center"/>
                </w:tcPr>
                <w:p w14:paraId="684BC273">
                  <w:pPr>
                    <w:topLinePunct/>
                    <w:adjustRightInd w:val="0"/>
                    <w:snapToGrid w:val="0"/>
                    <w:jc w:val="center"/>
                    <w:rPr>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336-064-17</w:t>
                  </w:r>
                </w:p>
              </w:tc>
              <w:tc>
                <w:tcPr>
                  <w:tcW w:w="534" w:type="pct"/>
                  <w:vMerge w:val="restart"/>
                  <w:noWrap w:val="0"/>
                  <w:vAlign w:val="center"/>
                </w:tcPr>
                <w:p w14:paraId="5CEF2C3E">
                  <w:pPr>
                    <w:topLinePunct/>
                    <w:adjustRightInd w:val="0"/>
                    <w:snapToGrid w:val="0"/>
                    <w:jc w:val="center"/>
                    <w:rPr>
                      <w:rFonts w:hint="default"/>
                      <w:color w:val="000000" w:themeColor="text1"/>
                      <w:kern w:val="0"/>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仓库及综合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楼</w:t>
                  </w:r>
                  <w:r>
                    <w:rPr>
                      <w:rFonts w:hint="eastAsia"/>
                      <w:color w:val="000000" w:themeColor="text1"/>
                      <w:sz w:val="21"/>
                      <w:szCs w:val="21"/>
                      <w:lang w:val="en-US" w:eastAsia="zh-CN"/>
                      <w14:textFill>
                        <w14:solidFill>
                          <w14:schemeClr w14:val="tx1"/>
                        </w14:solidFill>
                      </w14:textFill>
                    </w:rPr>
                    <w:t>4F</w:t>
                  </w:r>
                </w:p>
              </w:tc>
              <w:tc>
                <w:tcPr>
                  <w:tcW w:w="427" w:type="pct"/>
                  <w:vMerge w:val="restart"/>
                  <w:noWrap w:val="0"/>
                  <w:vAlign w:val="center"/>
                </w:tcPr>
                <w:p w14:paraId="4016476E">
                  <w:pPr>
                    <w:topLinePunct/>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30</w:t>
                  </w:r>
                  <w:r>
                    <w:rPr>
                      <w:color w:val="000000" w:themeColor="text1"/>
                      <w:kern w:val="0"/>
                      <w:sz w:val="21"/>
                      <w:szCs w:val="21"/>
                      <w14:textFill>
                        <w14:solidFill>
                          <w14:schemeClr w14:val="tx1"/>
                        </w14:solidFill>
                      </w14:textFill>
                    </w:rPr>
                    <w:t>m</w:t>
                  </w:r>
                  <w:r>
                    <w:rPr>
                      <w:color w:val="000000" w:themeColor="text1"/>
                      <w:kern w:val="0"/>
                      <w:sz w:val="21"/>
                      <w:szCs w:val="21"/>
                      <w:vertAlign w:val="superscript"/>
                      <w14:textFill>
                        <w14:solidFill>
                          <w14:schemeClr w14:val="tx1"/>
                        </w14:solidFill>
                      </w14:textFill>
                    </w:rPr>
                    <w:t>2</w:t>
                  </w:r>
                </w:p>
              </w:tc>
              <w:tc>
                <w:tcPr>
                  <w:tcW w:w="616" w:type="pct"/>
                  <w:noWrap w:val="0"/>
                  <w:vAlign w:val="center"/>
                </w:tcPr>
                <w:p w14:paraId="1F670B7E">
                  <w:pPr>
                    <w:pStyle w:val="81"/>
                    <w:numPr>
                      <w:ilvl w:val="0"/>
                      <w:numId w:val="0"/>
                    </w:numPr>
                    <w:adjustRightInd w:val="0"/>
                    <w:snapToGrid w:val="0"/>
                    <w:spacing w:line="240" w:lineRule="auto"/>
                    <w:rPr>
                      <w:rFonts w:cs="Times New Roman"/>
                      <w:b w:val="0"/>
                      <w:bCs/>
                      <w:color w:val="000000" w:themeColor="text1"/>
                      <w:sz w:val="21"/>
                      <w:szCs w:val="21"/>
                      <w:lang w:val="en-US"/>
                      <w14:textFill>
                        <w14:solidFill>
                          <w14:schemeClr w14:val="tx1"/>
                        </w14:solidFill>
                      </w14:textFill>
                    </w:rPr>
                  </w:pPr>
                  <w:r>
                    <w:rPr>
                      <w:rFonts w:cs="Times New Roman"/>
                      <w:b w:val="0"/>
                      <w:bCs/>
                      <w:color w:val="000000" w:themeColor="text1"/>
                      <w:sz w:val="21"/>
                      <w:szCs w:val="21"/>
                      <w:lang w:val="en-US"/>
                      <w14:textFill>
                        <w14:solidFill>
                          <w14:schemeClr w14:val="tx1"/>
                        </w14:solidFill>
                      </w14:textFill>
                    </w:rPr>
                    <w:t>密闭桶装</w:t>
                  </w:r>
                </w:p>
              </w:tc>
              <w:tc>
                <w:tcPr>
                  <w:tcW w:w="564" w:type="pct"/>
                  <w:vMerge w:val="restart"/>
                  <w:noWrap w:val="0"/>
                  <w:vAlign w:val="center"/>
                </w:tcPr>
                <w:p w14:paraId="00A77CED">
                  <w:pPr>
                    <w:topLinePunct/>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21.6</w:t>
                  </w:r>
                  <w:r>
                    <w:rPr>
                      <w:color w:val="000000" w:themeColor="text1"/>
                      <w:kern w:val="0"/>
                      <w:sz w:val="21"/>
                      <w:szCs w:val="21"/>
                      <w14:textFill>
                        <w14:solidFill>
                          <w14:schemeClr w14:val="tx1"/>
                        </w14:solidFill>
                      </w14:textFill>
                    </w:rPr>
                    <w:t>t</w:t>
                  </w:r>
                </w:p>
              </w:tc>
              <w:tc>
                <w:tcPr>
                  <w:tcW w:w="354" w:type="pct"/>
                  <w:vMerge w:val="restart"/>
                  <w:noWrap w:val="0"/>
                  <w:vAlign w:val="center"/>
                </w:tcPr>
                <w:p w14:paraId="61A7C594">
                  <w:pPr>
                    <w:topLinePunct/>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每</w:t>
                  </w:r>
                  <w:r>
                    <w:rPr>
                      <w:rFonts w:hint="eastAsia"/>
                      <w:color w:val="000000" w:themeColor="text1"/>
                      <w:kern w:val="0"/>
                      <w:sz w:val="21"/>
                      <w:szCs w:val="21"/>
                      <w:lang w:val="en-US" w:eastAsia="zh-CN"/>
                      <w14:textFill>
                        <w14:solidFill>
                          <w14:schemeClr w14:val="tx1"/>
                        </w14:solidFill>
                      </w14:textFill>
                    </w:rPr>
                    <w:t>月</w:t>
                  </w:r>
                </w:p>
              </w:tc>
            </w:tr>
            <w:tr w14:paraId="23B96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19854D61">
                  <w:pPr>
                    <w:topLinePunct/>
                    <w:adjustRightInd w:val="0"/>
                    <w:snapToGrid w:val="0"/>
                    <w:jc w:val="center"/>
                    <w:rPr>
                      <w:color w:val="000000" w:themeColor="text1"/>
                      <w:kern w:val="0"/>
                      <w:sz w:val="21"/>
                      <w:szCs w:val="21"/>
                      <w14:textFill>
                        <w14:solidFill>
                          <w14:schemeClr w14:val="tx1"/>
                        </w14:solidFill>
                      </w14:textFill>
                    </w:rPr>
                  </w:pPr>
                </w:p>
              </w:tc>
              <w:tc>
                <w:tcPr>
                  <w:tcW w:w="1259" w:type="dxa"/>
                  <w:noWrap w:val="0"/>
                  <w:vAlign w:val="center"/>
                </w:tcPr>
                <w:p w14:paraId="54ECC2CB">
                  <w:pPr>
                    <w:keepNext w:val="0"/>
                    <w:keepLines w:val="0"/>
                    <w:widowControl/>
                    <w:suppressLineNumbers w:val="0"/>
                    <w:jc w:val="center"/>
                    <w:textAlignment w:val="center"/>
                    <w:rPr>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废脱漆液</w:t>
                  </w:r>
                </w:p>
              </w:tc>
              <w:tc>
                <w:tcPr>
                  <w:tcW w:w="830" w:type="dxa"/>
                  <w:noWrap w:val="0"/>
                  <w:vAlign w:val="center"/>
                </w:tcPr>
                <w:p w14:paraId="06C4823B">
                  <w:pPr>
                    <w:keepNext w:val="0"/>
                    <w:keepLines w:val="0"/>
                    <w:widowControl/>
                    <w:suppressLineNumbers w:val="0"/>
                    <w:jc w:val="center"/>
                    <w:textAlignment w:val="center"/>
                    <w:rPr>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HW17</w:t>
                  </w:r>
                </w:p>
              </w:tc>
              <w:tc>
                <w:tcPr>
                  <w:tcW w:w="1402" w:type="dxa"/>
                  <w:noWrap w:val="0"/>
                  <w:vAlign w:val="center"/>
                </w:tcPr>
                <w:p w14:paraId="1F95C678">
                  <w:pPr>
                    <w:keepNext w:val="0"/>
                    <w:keepLines w:val="0"/>
                    <w:widowControl/>
                    <w:suppressLineNumbers w:val="0"/>
                    <w:jc w:val="center"/>
                    <w:textAlignment w:val="center"/>
                    <w:rPr>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336-066-17</w:t>
                  </w:r>
                </w:p>
              </w:tc>
              <w:tc>
                <w:tcPr>
                  <w:tcW w:w="534" w:type="pct"/>
                  <w:vMerge w:val="continue"/>
                  <w:noWrap w:val="0"/>
                  <w:vAlign w:val="center"/>
                </w:tcPr>
                <w:p w14:paraId="2B173EE9">
                  <w:pPr>
                    <w:topLinePunct/>
                    <w:adjustRightInd w:val="0"/>
                    <w:snapToGrid w:val="0"/>
                    <w:jc w:val="center"/>
                    <w:rPr>
                      <w:color w:val="000000" w:themeColor="text1"/>
                      <w:kern w:val="0"/>
                      <w:sz w:val="21"/>
                      <w:szCs w:val="21"/>
                      <w14:textFill>
                        <w14:solidFill>
                          <w14:schemeClr w14:val="tx1"/>
                        </w14:solidFill>
                      </w14:textFill>
                    </w:rPr>
                  </w:pPr>
                </w:p>
              </w:tc>
              <w:tc>
                <w:tcPr>
                  <w:tcW w:w="427" w:type="pct"/>
                  <w:vMerge w:val="continue"/>
                  <w:noWrap w:val="0"/>
                  <w:vAlign w:val="center"/>
                </w:tcPr>
                <w:p w14:paraId="251F056D">
                  <w:pPr>
                    <w:topLinePunct/>
                    <w:adjustRightInd w:val="0"/>
                    <w:snapToGrid w:val="0"/>
                    <w:jc w:val="center"/>
                    <w:rPr>
                      <w:color w:val="000000" w:themeColor="text1"/>
                      <w:kern w:val="0"/>
                      <w:sz w:val="21"/>
                      <w:szCs w:val="21"/>
                      <w14:textFill>
                        <w14:solidFill>
                          <w14:schemeClr w14:val="tx1"/>
                        </w14:solidFill>
                      </w14:textFill>
                    </w:rPr>
                  </w:pPr>
                </w:p>
              </w:tc>
              <w:tc>
                <w:tcPr>
                  <w:tcW w:w="616" w:type="pct"/>
                  <w:noWrap w:val="0"/>
                  <w:vAlign w:val="center"/>
                </w:tcPr>
                <w:p w14:paraId="3A8B7069">
                  <w:pPr>
                    <w:pStyle w:val="81"/>
                    <w:numPr>
                      <w:ilvl w:val="0"/>
                      <w:numId w:val="0"/>
                    </w:numPr>
                    <w:adjustRightInd w:val="0"/>
                    <w:snapToGrid w:val="0"/>
                    <w:spacing w:line="240" w:lineRule="auto"/>
                    <w:rPr>
                      <w:rFonts w:cs="Times New Roman"/>
                      <w:b w:val="0"/>
                      <w:bCs/>
                      <w:color w:val="000000" w:themeColor="text1"/>
                      <w:sz w:val="21"/>
                      <w:szCs w:val="21"/>
                      <w:lang w:val="en-US"/>
                      <w14:textFill>
                        <w14:solidFill>
                          <w14:schemeClr w14:val="tx1"/>
                        </w14:solidFill>
                      </w14:textFill>
                    </w:rPr>
                  </w:pPr>
                  <w:r>
                    <w:rPr>
                      <w:rFonts w:cs="Times New Roman"/>
                      <w:b w:val="0"/>
                      <w:bCs/>
                      <w:color w:val="000000" w:themeColor="text1"/>
                      <w:sz w:val="21"/>
                      <w:szCs w:val="21"/>
                      <w:lang w:val="en-US"/>
                      <w14:textFill>
                        <w14:solidFill>
                          <w14:schemeClr w14:val="tx1"/>
                        </w14:solidFill>
                      </w14:textFill>
                    </w:rPr>
                    <w:t>密闭</w:t>
                  </w:r>
                  <w:r>
                    <w:rPr>
                      <w:rFonts w:hint="eastAsia" w:cs="Times New Roman"/>
                      <w:b w:val="0"/>
                      <w:bCs/>
                      <w:color w:val="000000" w:themeColor="text1"/>
                      <w:sz w:val="21"/>
                      <w:szCs w:val="21"/>
                      <w:lang w:val="en-US" w:eastAsia="zh-CN"/>
                      <w14:textFill>
                        <w14:solidFill>
                          <w14:schemeClr w14:val="tx1"/>
                        </w14:solidFill>
                      </w14:textFill>
                    </w:rPr>
                    <w:t>袋</w:t>
                  </w:r>
                  <w:r>
                    <w:rPr>
                      <w:rFonts w:cs="Times New Roman"/>
                      <w:b w:val="0"/>
                      <w:bCs/>
                      <w:color w:val="000000" w:themeColor="text1"/>
                      <w:sz w:val="21"/>
                      <w:szCs w:val="21"/>
                      <w:lang w:val="en-US"/>
                      <w14:textFill>
                        <w14:solidFill>
                          <w14:schemeClr w14:val="tx1"/>
                        </w14:solidFill>
                      </w14:textFill>
                    </w:rPr>
                    <w:t>装</w:t>
                  </w:r>
                </w:p>
              </w:tc>
              <w:tc>
                <w:tcPr>
                  <w:tcW w:w="564" w:type="pct"/>
                  <w:vMerge w:val="continue"/>
                  <w:noWrap w:val="0"/>
                  <w:vAlign w:val="center"/>
                </w:tcPr>
                <w:p w14:paraId="5B004C1E">
                  <w:pPr>
                    <w:topLinePunct/>
                    <w:adjustRightInd w:val="0"/>
                    <w:snapToGrid w:val="0"/>
                    <w:jc w:val="center"/>
                    <w:rPr>
                      <w:color w:val="000000" w:themeColor="text1"/>
                      <w:kern w:val="0"/>
                      <w:sz w:val="21"/>
                      <w:szCs w:val="21"/>
                      <w14:textFill>
                        <w14:solidFill>
                          <w14:schemeClr w14:val="tx1"/>
                        </w14:solidFill>
                      </w14:textFill>
                    </w:rPr>
                  </w:pPr>
                </w:p>
              </w:tc>
              <w:tc>
                <w:tcPr>
                  <w:tcW w:w="354" w:type="pct"/>
                  <w:vMerge w:val="continue"/>
                  <w:noWrap w:val="0"/>
                  <w:vAlign w:val="center"/>
                </w:tcPr>
                <w:p w14:paraId="56C273F7">
                  <w:pPr>
                    <w:topLinePunct/>
                    <w:adjustRightInd w:val="0"/>
                    <w:snapToGrid w:val="0"/>
                    <w:jc w:val="center"/>
                    <w:rPr>
                      <w:color w:val="000000" w:themeColor="text1"/>
                      <w:kern w:val="0"/>
                      <w:sz w:val="21"/>
                      <w:szCs w:val="21"/>
                      <w14:textFill>
                        <w14:solidFill>
                          <w14:schemeClr w14:val="tx1"/>
                        </w14:solidFill>
                      </w14:textFill>
                    </w:rPr>
                  </w:pPr>
                </w:p>
              </w:tc>
            </w:tr>
            <w:tr w14:paraId="7BA0F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720CF979">
                  <w:pPr>
                    <w:topLinePunct/>
                    <w:adjustRightInd w:val="0"/>
                    <w:snapToGrid w:val="0"/>
                    <w:jc w:val="center"/>
                    <w:rPr>
                      <w:color w:val="000000" w:themeColor="text1"/>
                      <w:kern w:val="0"/>
                      <w:sz w:val="21"/>
                      <w:szCs w:val="21"/>
                      <w14:textFill>
                        <w14:solidFill>
                          <w14:schemeClr w14:val="tx1"/>
                        </w14:solidFill>
                      </w14:textFill>
                    </w:rPr>
                  </w:pPr>
                </w:p>
              </w:tc>
              <w:tc>
                <w:tcPr>
                  <w:tcW w:w="1259" w:type="dxa"/>
                  <w:noWrap w:val="0"/>
                  <w:vAlign w:val="center"/>
                </w:tcPr>
                <w:p w14:paraId="1EBD388B">
                  <w:pPr>
                    <w:keepNext w:val="0"/>
                    <w:keepLines w:val="0"/>
                    <w:widowControl/>
                    <w:suppressLineNumbers w:val="0"/>
                    <w:jc w:val="center"/>
                    <w:textAlignment w:val="center"/>
                    <w:rPr>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废超滤芯</w:t>
                  </w:r>
                </w:p>
              </w:tc>
              <w:tc>
                <w:tcPr>
                  <w:tcW w:w="830" w:type="dxa"/>
                  <w:noWrap w:val="0"/>
                  <w:vAlign w:val="center"/>
                </w:tcPr>
                <w:p w14:paraId="57E13BF3">
                  <w:pPr>
                    <w:keepNext w:val="0"/>
                    <w:keepLines w:val="0"/>
                    <w:widowControl/>
                    <w:suppressLineNumbers w:val="0"/>
                    <w:jc w:val="center"/>
                    <w:textAlignment w:val="center"/>
                    <w:rPr>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HW49</w:t>
                  </w:r>
                </w:p>
              </w:tc>
              <w:tc>
                <w:tcPr>
                  <w:tcW w:w="1402" w:type="dxa"/>
                  <w:noWrap w:val="0"/>
                  <w:vAlign w:val="center"/>
                </w:tcPr>
                <w:p w14:paraId="69B335D4">
                  <w:pPr>
                    <w:keepNext w:val="0"/>
                    <w:keepLines w:val="0"/>
                    <w:widowControl/>
                    <w:suppressLineNumbers w:val="0"/>
                    <w:jc w:val="center"/>
                    <w:textAlignment w:val="center"/>
                    <w:rPr>
                      <w:rFonts w:hint="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900-041-49</w:t>
                  </w:r>
                </w:p>
              </w:tc>
              <w:tc>
                <w:tcPr>
                  <w:tcW w:w="534" w:type="pct"/>
                  <w:vMerge w:val="continue"/>
                  <w:noWrap w:val="0"/>
                  <w:vAlign w:val="center"/>
                </w:tcPr>
                <w:p w14:paraId="5B6C1F40">
                  <w:pPr>
                    <w:topLinePunct/>
                    <w:adjustRightInd w:val="0"/>
                    <w:snapToGrid w:val="0"/>
                    <w:jc w:val="center"/>
                    <w:rPr>
                      <w:color w:val="000000" w:themeColor="text1"/>
                      <w:kern w:val="0"/>
                      <w:sz w:val="21"/>
                      <w:szCs w:val="21"/>
                      <w14:textFill>
                        <w14:solidFill>
                          <w14:schemeClr w14:val="tx1"/>
                        </w14:solidFill>
                      </w14:textFill>
                    </w:rPr>
                  </w:pPr>
                </w:p>
              </w:tc>
              <w:tc>
                <w:tcPr>
                  <w:tcW w:w="427" w:type="pct"/>
                  <w:vMerge w:val="continue"/>
                  <w:noWrap w:val="0"/>
                  <w:vAlign w:val="center"/>
                </w:tcPr>
                <w:p w14:paraId="691AFE2D">
                  <w:pPr>
                    <w:topLinePunct/>
                    <w:adjustRightInd w:val="0"/>
                    <w:snapToGrid w:val="0"/>
                    <w:jc w:val="center"/>
                    <w:rPr>
                      <w:color w:val="000000" w:themeColor="text1"/>
                      <w:kern w:val="0"/>
                      <w:sz w:val="21"/>
                      <w:szCs w:val="21"/>
                      <w14:textFill>
                        <w14:solidFill>
                          <w14:schemeClr w14:val="tx1"/>
                        </w14:solidFill>
                      </w14:textFill>
                    </w:rPr>
                  </w:pPr>
                </w:p>
              </w:tc>
              <w:tc>
                <w:tcPr>
                  <w:tcW w:w="616" w:type="pct"/>
                  <w:noWrap w:val="0"/>
                  <w:vAlign w:val="center"/>
                </w:tcPr>
                <w:p w14:paraId="1E5006AC">
                  <w:pPr>
                    <w:pStyle w:val="81"/>
                    <w:numPr>
                      <w:ilvl w:val="0"/>
                      <w:numId w:val="0"/>
                    </w:numPr>
                    <w:adjustRightInd w:val="0"/>
                    <w:snapToGrid w:val="0"/>
                    <w:spacing w:line="240" w:lineRule="auto"/>
                    <w:rPr>
                      <w:rFonts w:cs="Times New Roman"/>
                      <w:b w:val="0"/>
                      <w:bCs/>
                      <w:color w:val="000000" w:themeColor="text1"/>
                      <w:sz w:val="21"/>
                      <w:szCs w:val="21"/>
                      <w:lang w:val="en-US"/>
                      <w14:textFill>
                        <w14:solidFill>
                          <w14:schemeClr w14:val="tx1"/>
                        </w14:solidFill>
                      </w14:textFill>
                    </w:rPr>
                  </w:pPr>
                  <w:r>
                    <w:rPr>
                      <w:rFonts w:cs="Times New Roman"/>
                      <w:b w:val="0"/>
                      <w:bCs/>
                      <w:color w:val="000000" w:themeColor="text1"/>
                      <w:sz w:val="21"/>
                      <w:szCs w:val="21"/>
                      <w:lang w:val="en-US"/>
                      <w14:textFill>
                        <w14:solidFill>
                          <w14:schemeClr w14:val="tx1"/>
                        </w14:solidFill>
                      </w14:textFill>
                    </w:rPr>
                    <w:t>密闭桶装</w:t>
                  </w:r>
                </w:p>
              </w:tc>
              <w:tc>
                <w:tcPr>
                  <w:tcW w:w="564" w:type="pct"/>
                  <w:vMerge w:val="continue"/>
                  <w:noWrap w:val="0"/>
                  <w:vAlign w:val="center"/>
                </w:tcPr>
                <w:p w14:paraId="02DA34E1">
                  <w:pPr>
                    <w:topLinePunct/>
                    <w:adjustRightInd w:val="0"/>
                    <w:snapToGrid w:val="0"/>
                    <w:jc w:val="center"/>
                    <w:rPr>
                      <w:color w:val="000000" w:themeColor="text1"/>
                      <w:kern w:val="0"/>
                      <w:sz w:val="21"/>
                      <w:szCs w:val="21"/>
                      <w14:textFill>
                        <w14:solidFill>
                          <w14:schemeClr w14:val="tx1"/>
                        </w14:solidFill>
                      </w14:textFill>
                    </w:rPr>
                  </w:pPr>
                </w:p>
              </w:tc>
              <w:tc>
                <w:tcPr>
                  <w:tcW w:w="354" w:type="pct"/>
                  <w:vMerge w:val="continue"/>
                  <w:noWrap w:val="0"/>
                  <w:vAlign w:val="center"/>
                </w:tcPr>
                <w:p w14:paraId="77C82932">
                  <w:pPr>
                    <w:topLinePunct/>
                    <w:adjustRightInd w:val="0"/>
                    <w:snapToGrid w:val="0"/>
                    <w:jc w:val="center"/>
                    <w:rPr>
                      <w:color w:val="000000" w:themeColor="text1"/>
                      <w:kern w:val="0"/>
                      <w:sz w:val="21"/>
                      <w:szCs w:val="21"/>
                      <w14:textFill>
                        <w14:solidFill>
                          <w14:schemeClr w14:val="tx1"/>
                        </w14:solidFill>
                      </w14:textFill>
                    </w:rPr>
                  </w:pPr>
                </w:p>
              </w:tc>
            </w:tr>
            <w:tr w14:paraId="44FA7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316C5929">
                  <w:pPr>
                    <w:topLinePunct/>
                    <w:adjustRightInd w:val="0"/>
                    <w:snapToGrid w:val="0"/>
                    <w:jc w:val="center"/>
                    <w:rPr>
                      <w:color w:val="000000" w:themeColor="text1"/>
                      <w:kern w:val="0"/>
                      <w:sz w:val="21"/>
                      <w:szCs w:val="21"/>
                      <w14:textFill>
                        <w14:solidFill>
                          <w14:schemeClr w14:val="tx1"/>
                        </w14:solidFill>
                      </w14:textFill>
                    </w:rPr>
                  </w:pPr>
                </w:p>
              </w:tc>
              <w:tc>
                <w:tcPr>
                  <w:tcW w:w="1259" w:type="dxa"/>
                  <w:noWrap w:val="0"/>
                  <w:vAlign w:val="center"/>
                </w:tcPr>
                <w:p w14:paraId="0CC71EFF">
                  <w:pPr>
                    <w:keepNext w:val="0"/>
                    <w:keepLines w:val="0"/>
                    <w:widowControl/>
                    <w:suppressLineNumbers w:val="0"/>
                    <w:jc w:val="center"/>
                    <w:textAlignment w:val="center"/>
                    <w:rPr>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涂料渣</w:t>
                  </w:r>
                </w:p>
              </w:tc>
              <w:tc>
                <w:tcPr>
                  <w:tcW w:w="830" w:type="dxa"/>
                  <w:noWrap w:val="0"/>
                  <w:vAlign w:val="center"/>
                </w:tcPr>
                <w:p w14:paraId="2B79B3B3">
                  <w:pPr>
                    <w:keepNext w:val="0"/>
                    <w:keepLines w:val="0"/>
                    <w:widowControl/>
                    <w:suppressLineNumbers w:val="0"/>
                    <w:jc w:val="center"/>
                    <w:textAlignment w:val="center"/>
                    <w:rPr>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HW12</w:t>
                  </w:r>
                </w:p>
              </w:tc>
              <w:tc>
                <w:tcPr>
                  <w:tcW w:w="1402" w:type="dxa"/>
                  <w:noWrap w:val="0"/>
                  <w:vAlign w:val="center"/>
                </w:tcPr>
                <w:p w14:paraId="3DDBA27A">
                  <w:pPr>
                    <w:keepNext w:val="0"/>
                    <w:keepLines w:val="0"/>
                    <w:widowControl/>
                    <w:suppressLineNumbers w:val="0"/>
                    <w:jc w:val="center"/>
                    <w:textAlignment w:val="center"/>
                    <w:rPr>
                      <w:rFonts w:hint="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900-252-12</w:t>
                  </w:r>
                </w:p>
              </w:tc>
              <w:tc>
                <w:tcPr>
                  <w:tcW w:w="534" w:type="pct"/>
                  <w:vMerge w:val="continue"/>
                  <w:noWrap w:val="0"/>
                  <w:vAlign w:val="center"/>
                </w:tcPr>
                <w:p w14:paraId="2CABF466">
                  <w:pPr>
                    <w:topLinePunct/>
                    <w:adjustRightInd w:val="0"/>
                    <w:snapToGrid w:val="0"/>
                    <w:jc w:val="center"/>
                    <w:rPr>
                      <w:color w:val="000000" w:themeColor="text1"/>
                      <w:kern w:val="0"/>
                      <w:sz w:val="21"/>
                      <w:szCs w:val="21"/>
                      <w14:textFill>
                        <w14:solidFill>
                          <w14:schemeClr w14:val="tx1"/>
                        </w14:solidFill>
                      </w14:textFill>
                    </w:rPr>
                  </w:pPr>
                </w:p>
              </w:tc>
              <w:tc>
                <w:tcPr>
                  <w:tcW w:w="427" w:type="pct"/>
                  <w:vMerge w:val="continue"/>
                  <w:noWrap w:val="0"/>
                  <w:vAlign w:val="center"/>
                </w:tcPr>
                <w:p w14:paraId="324CF372">
                  <w:pPr>
                    <w:topLinePunct/>
                    <w:adjustRightInd w:val="0"/>
                    <w:snapToGrid w:val="0"/>
                    <w:jc w:val="center"/>
                    <w:rPr>
                      <w:color w:val="000000" w:themeColor="text1"/>
                      <w:kern w:val="0"/>
                      <w:sz w:val="21"/>
                      <w:szCs w:val="21"/>
                      <w14:textFill>
                        <w14:solidFill>
                          <w14:schemeClr w14:val="tx1"/>
                        </w14:solidFill>
                      </w14:textFill>
                    </w:rPr>
                  </w:pPr>
                </w:p>
              </w:tc>
              <w:tc>
                <w:tcPr>
                  <w:tcW w:w="616" w:type="pct"/>
                  <w:noWrap w:val="0"/>
                  <w:vAlign w:val="center"/>
                </w:tcPr>
                <w:p w14:paraId="09EF19AE">
                  <w:pPr>
                    <w:pStyle w:val="81"/>
                    <w:numPr>
                      <w:ilvl w:val="0"/>
                      <w:numId w:val="0"/>
                    </w:numPr>
                    <w:adjustRightInd w:val="0"/>
                    <w:snapToGrid w:val="0"/>
                    <w:spacing w:line="240" w:lineRule="auto"/>
                    <w:rPr>
                      <w:rFonts w:cs="Times New Roman"/>
                      <w:b w:val="0"/>
                      <w:bCs/>
                      <w:color w:val="000000" w:themeColor="text1"/>
                      <w:sz w:val="21"/>
                      <w:szCs w:val="21"/>
                      <w:lang w:val="en-US"/>
                      <w14:textFill>
                        <w14:solidFill>
                          <w14:schemeClr w14:val="tx1"/>
                        </w14:solidFill>
                      </w14:textFill>
                    </w:rPr>
                  </w:pPr>
                  <w:r>
                    <w:rPr>
                      <w:rFonts w:cs="Times New Roman"/>
                      <w:b w:val="0"/>
                      <w:bCs/>
                      <w:color w:val="000000" w:themeColor="text1"/>
                      <w:sz w:val="21"/>
                      <w:szCs w:val="21"/>
                      <w:lang w:val="en-US"/>
                      <w14:textFill>
                        <w14:solidFill>
                          <w14:schemeClr w14:val="tx1"/>
                        </w14:solidFill>
                      </w14:textFill>
                    </w:rPr>
                    <w:t>密闭</w:t>
                  </w:r>
                  <w:r>
                    <w:rPr>
                      <w:rFonts w:hint="eastAsia" w:cs="Times New Roman"/>
                      <w:b w:val="0"/>
                      <w:bCs/>
                      <w:color w:val="000000" w:themeColor="text1"/>
                      <w:sz w:val="21"/>
                      <w:szCs w:val="21"/>
                      <w:lang w:val="en-US" w:eastAsia="zh-CN"/>
                      <w14:textFill>
                        <w14:solidFill>
                          <w14:schemeClr w14:val="tx1"/>
                        </w14:solidFill>
                      </w14:textFill>
                    </w:rPr>
                    <w:t>袋</w:t>
                  </w:r>
                  <w:r>
                    <w:rPr>
                      <w:rFonts w:cs="Times New Roman"/>
                      <w:b w:val="0"/>
                      <w:bCs/>
                      <w:color w:val="000000" w:themeColor="text1"/>
                      <w:sz w:val="21"/>
                      <w:szCs w:val="21"/>
                      <w:lang w:val="en-US"/>
                      <w14:textFill>
                        <w14:solidFill>
                          <w14:schemeClr w14:val="tx1"/>
                        </w14:solidFill>
                      </w14:textFill>
                    </w:rPr>
                    <w:t>装</w:t>
                  </w:r>
                </w:p>
              </w:tc>
              <w:tc>
                <w:tcPr>
                  <w:tcW w:w="564" w:type="pct"/>
                  <w:vMerge w:val="continue"/>
                  <w:noWrap w:val="0"/>
                  <w:vAlign w:val="center"/>
                </w:tcPr>
                <w:p w14:paraId="16034A03">
                  <w:pPr>
                    <w:topLinePunct/>
                    <w:adjustRightInd w:val="0"/>
                    <w:snapToGrid w:val="0"/>
                    <w:jc w:val="center"/>
                    <w:rPr>
                      <w:color w:val="000000" w:themeColor="text1"/>
                      <w:kern w:val="0"/>
                      <w:sz w:val="21"/>
                      <w:szCs w:val="21"/>
                      <w14:textFill>
                        <w14:solidFill>
                          <w14:schemeClr w14:val="tx1"/>
                        </w14:solidFill>
                      </w14:textFill>
                    </w:rPr>
                  </w:pPr>
                </w:p>
              </w:tc>
              <w:tc>
                <w:tcPr>
                  <w:tcW w:w="354" w:type="pct"/>
                  <w:vMerge w:val="continue"/>
                  <w:noWrap w:val="0"/>
                  <w:vAlign w:val="center"/>
                </w:tcPr>
                <w:p w14:paraId="67E351B2">
                  <w:pPr>
                    <w:topLinePunct/>
                    <w:adjustRightInd w:val="0"/>
                    <w:snapToGrid w:val="0"/>
                    <w:jc w:val="center"/>
                    <w:rPr>
                      <w:color w:val="000000" w:themeColor="text1"/>
                      <w:kern w:val="0"/>
                      <w:sz w:val="21"/>
                      <w:szCs w:val="21"/>
                      <w14:textFill>
                        <w14:solidFill>
                          <w14:schemeClr w14:val="tx1"/>
                        </w14:solidFill>
                      </w14:textFill>
                    </w:rPr>
                  </w:pPr>
                </w:p>
              </w:tc>
            </w:tr>
            <w:tr w14:paraId="11B70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25451BF4">
                  <w:pPr>
                    <w:topLinePunct/>
                    <w:adjustRightInd w:val="0"/>
                    <w:snapToGrid w:val="0"/>
                    <w:jc w:val="center"/>
                    <w:rPr>
                      <w:color w:val="000000" w:themeColor="text1"/>
                      <w:kern w:val="0"/>
                      <w:sz w:val="21"/>
                      <w:szCs w:val="21"/>
                      <w14:textFill>
                        <w14:solidFill>
                          <w14:schemeClr w14:val="tx1"/>
                        </w14:solidFill>
                      </w14:textFill>
                    </w:rPr>
                  </w:pPr>
                </w:p>
              </w:tc>
              <w:tc>
                <w:tcPr>
                  <w:tcW w:w="1259" w:type="dxa"/>
                  <w:noWrap w:val="0"/>
                  <w:vAlign w:val="center"/>
                </w:tcPr>
                <w:p w14:paraId="22FDD577">
                  <w:pPr>
                    <w:keepNext w:val="0"/>
                    <w:keepLines w:val="0"/>
                    <w:widowControl/>
                    <w:suppressLineNumbers w:val="0"/>
                    <w:jc w:val="center"/>
                    <w:textAlignment w:val="center"/>
                    <w:rPr>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危险化学品包装桶</w:t>
                  </w:r>
                </w:p>
              </w:tc>
              <w:tc>
                <w:tcPr>
                  <w:tcW w:w="830" w:type="dxa"/>
                  <w:noWrap w:val="0"/>
                  <w:vAlign w:val="center"/>
                </w:tcPr>
                <w:p w14:paraId="54516EDB">
                  <w:pPr>
                    <w:keepNext w:val="0"/>
                    <w:keepLines w:val="0"/>
                    <w:widowControl/>
                    <w:suppressLineNumbers w:val="0"/>
                    <w:jc w:val="center"/>
                    <w:textAlignment w:val="center"/>
                    <w:rPr>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HW49</w:t>
                  </w:r>
                </w:p>
              </w:tc>
              <w:tc>
                <w:tcPr>
                  <w:tcW w:w="1402" w:type="dxa"/>
                  <w:noWrap w:val="0"/>
                  <w:vAlign w:val="center"/>
                </w:tcPr>
                <w:p w14:paraId="3DC780A6">
                  <w:pPr>
                    <w:keepNext w:val="0"/>
                    <w:keepLines w:val="0"/>
                    <w:widowControl/>
                    <w:suppressLineNumbers w:val="0"/>
                    <w:jc w:val="center"/>
                    <w:textAlignment w:val="center"/>
                    <w:rPr>
                      <w:rFonts w:hint="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900-041-49</w:t>
                  </w:r>
                </w:p>
              </w:tc>
              <w:tc>
                <w:tcPr>
                  <w:tcW w:w="534" w:type="pct"/>
                  <w:vMerge w:val="continue"/>
                  <w:noWrap w:val="0"/>
                  <w:vAlign w:val="center"/>
                </w:tcPr>
                <w:p w14:paraId="0BBE0590">
                  <w:pPr>
                    <w:topLinePunct/>
                    <w:adjustRightInd w:val="0"/>
                    <w:snapToGrid w:val="0"/>
                    <w:jc w:val="center"/>
                    <w:rPr>
                      <w:color w:val="000000" w:themeColor="text1"/>
                      <w:kern w:val="0"/>
                      <w:sz w:val="21"/>
                      <w:szCs w:val="21"/>
                      <w14:textFill>
                        <w14:solidFill>
                          <w14:schemeClr w14:val="tx1"/>
                        </w14:solidFill>
                      </w14:textFill>
                    </w:rPr>
                  </w:pPr>
                </w:p>
              </w:tc>
              <w:tc>
                <w:tcPr>
                  <w:tcW w:w="427" w:type="pct"/>
                  <w:vMerge w:val="continue"/>
                  <w:noWrap w:val="0"/>
                  <w:vAlign w:val="center"/>
                </w:tcPr>
                <w:p w14:paraId="33982126">
                  <w:pPr>
                    <w:topLinePunct/>
                    <w:adjustRightInd w:val="0"/>
                    <w:snapToGrid w:val="0"/>
                    <w:jc w:val="center"/>
                    <w:rPr>
                      <w:color w:val="000000" w:themeColor="text1"/>
                      <w:kern w:val="0"/>
                      <w:sz w:val="21"/>
                      <w:szCs w:val="21"/>
                      <w14:textFill>
                        <w14:solidFill>
                          <w14:schemeClr w14:val="tx1"/>
                        </w14:solidFill>
                      </w14:textFill>
                    </w:rPr>
                  </w:pPr>
                </w:p>
              </w:tc>
              <w:tc>
                <w:tcPr>
                  <w:tcW w:w="616" w:type="pct"/>
                  <w:noWrap w:val="0"/>
                  <w:vAlign w:val="center"/>
                </w:tcPr>
                <w:p w14:paraId="669B3CC0">
                  <w:pPr>
                    <w:pStyle w:val="81"/>
                    <w:numPr>
                      <w:ilvl w:val="0"/>
                      <w:numId w:val="0"/>
                    </w:numPr>
                    <w:adjustRightInd w:val="0"/>
                    <w:snapToGrid w:val="0"/>
                    <w:spacing w:line="240" w:lineRule="auto"/>
                    <w:rPr>
                      <w:rFonts w:cs="Times New Roman"/>
                      <w:b w:val="0"/>
                      <w:bCs/>
                      <w:color w:val="000000" w:themeColor="text1"/>
                      <w:sz w:val="21"/>
                      <w:szCs w:val="21"/>
                      <w:lang w:val="en-US"/>
                      <w14:textFill>
                        <w14:solidFill>
                          <w14:schemeClr w14:val="tx1"/>
                        </w14:solidFill>
                      </w14:textFill>
                    </w:rPr>
                  </w:pPr>
                  <w:r>
                    <w:rPr>
                      <w:rFonts w:cs="Times New Roman"/>
                      <w:b w:val="0"/>
                      <w:bCs/>
                      <w:color w:val="000000" w:themeColor="text1"/>
                      <w:sz w:val="21"/>
                      <w:szCs w:val="21"/>
                      <w:lang w:val="en-US"/>
                      <w14:textFill>
                        <w14:solidFill>
                          <w14:schemeClr w14:val="tx1"/>
                        </w14:solidFill>
                      </w14:textFill>
                    </w:rPr>
                    <w:t>密闭</w:t>
                  </w:r>
                  <w:r>
                    <w:rPr>
                      <w:rFonts w:hint="eastAsia" w:cs="Times New Roman"/>
                      <w:b w:val="0"/>
                      <w:bCs/>
                      <w:color w:val="000000" w:themeColor="text1"/>
                      <w:sz w:val="21"/>
                      <w:szCs w:val="21"/>
                      <w:lang w:val="en-US" w:eastAsia="zh-CN"/>
                      <w14:textFill>
                        <w14:solidFill>
                          <w14:schemeClr w14:val="tx1"/>
                        </w14:solidFill>
                      </w14:textFill>
                    </w:rPr>
                    <w:t>桶</w:t>
                  </w:r>
                  <w:r>
                    <w:rPr>
                      <w:rFonts w:cs="Times New Roman"/>
                      <w:b w:val="0"/>
                      <w:bCs/>
                      <w:color w:val="000000" w:themeColor="text1"/>
                      <w:sz w:val="21"/>
                      <w:szCs w:val="21"/>
                      <w:lang w:val="en-US"/>
                      <w14:textFill>
                        <w14:solidFill>
                          <w14:schemeClr w14:val="tx1"/>
                        </w14:solidFill>
                      </w14:textFill>
                    </w:rPr>
                    <w:t>装</w:t>
                  </w:r>
                </w:p>
              </w:tc>
              <w:tc>
                <w:tcPr>
                  <w:tcW w:w="564" w:type="pct"/>
                  <w:vMerge w:val="continue"/>
                  <w:noWrap w:val="0"/>
                  <w:vAlign w:val="center"/>
                </w:tcPr>
                <w:p w14:paraId="7098CE00">
                  <w:pPr>
                    <w:topLinePunct/>
                    <w:adjustRightInd w:val="0"/>
                    <w:snapToGrid w:val="0"/>
                    <w:jc w:val="center"/>
                    <w:rPr>
                      <w:color w:val="000000" w:themeColor="text1"/>
                      <w:kern w:val="0"/>
                      <w:sz w:val="21"/>
                      <w:szCs w:val="21"/>
                      <w14:textFill>
                        <w14:solidFill>
                          <w14:schemeClr w14:val="tx1"/>
                        </w14:solidFill>
                      </w14:textFill>
                    </w:rPr>
                  </w:pPr>
                </w:p>
              </w:tc>
              <w:tc>
                <w:tcPr>
                  <w:tcW w:w="354" w:type="pct"/>
                  <w:vMerge w:val="continue"/>
                  <w:noWrap w:val="0"/>
                  <w:vAlign w:val="center"/>
                </w:tcPr>
                <w:p w14:paraId="6797296C">
                  <w:pPr>
                    <w:topLinePunct/>
                    <w:adjustRightInd w:val="0"/>
                    <w:snapToGrid w:val="0"/>
                    <w:jc w:val="center"/>
                    <w:rPr>
                      <w:color w:val="000000" w:themeColor="text1"/>
                      <w:kern w:val="0"/>
                      <w:sz w:val="21"/>
                      <w:szCs w:val="21"/>
                      <w14:textFill>
                        <w14:solidFill>
                          <w14:schemeClr w14:val="tx1"/>
                        </w14:solidFill>
                      </w14:textFill>
                    </w:rPr>
                  </w:pPr>
                </w:p>
              </w:tc>
            </w:tr>
            <w:tr w14:paraId="35A97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2073BA89">
                  <w:pPr>
                    <w:topLinePunct/>
                    <w:adjustRightInd w:val="0"/>
                    <w:snapToGrid w:val="0"/>
                    <w:jc w:val="center"/>
                    <w:rPr>
                      <w:color w:val="000000" w:themeColor="text1"/>
                      <w:kern w:val="0"/>
                      <w:sz w:val="21"/>
                      <w:szCs w:val="21"/>
                      <w14:textFill>
                        <w14:solidFill>
                          <w14:schemeClr w14:val="tx1"/>
                        </w14:solidFill>
                      </w14:textFill>
                    </w:rPr>
                  </w:pPr>
                </w:p>
              </w:tc>
              <w:tc>
                <w:tcPr>
                  <w:tcW w:w="1259" w:type="dxa"/>
                  <w:noWrap w:val="0"/>
                  <w:vAlign w:val="center"/>
                </w:tcPr>
                <w:p w14:paraId="7515D6E0">
                  <w:pPr>
                    <w:keepNext w:val="0"/>
                    <w:keepLines w:val="0"/>
                    <w:widowControl/>
                    <w:suppressLineNumbers w:val="0"/>
                    <w:jc w:val="center"/>
                    <w:textAlignment w:val="center"/>
                    <w:rPr>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废活性炭</w:t>
                  </w:r>
                </w:p>
              </w:tc>
              <w:tc>
                <w:tcPr>
                  <w:tcW w:w="830" w:type="dxa"/>
                  <w:noWrap w:val="0"/>
                  <w:vAlign w:val="center"/>
                </w:tcPr>
                <w:p w14:paraId="2B7AA5AC">
                  <w:pPr>
                    <w:keepNext w:val="0"/>
                    <w:keepLines w:val="0"/>
                    <w:widowControl/>
                    <w:suppressLineNumbers w:val="0"/>
                    <w:jc w:val="center"/>
                    <w:textAlignment w:val="center"/>
                    <w:rPr>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HW49</w:t>
                  </w:r>
                </w:p>
              </w:tc>
              <w:tc>
                <w:tcPr>
                  <w:tcW w:w="1402" w:type="dxa"/>
                  <w:noWrap w:val="0"/>
                  <w:vAlign w:val="center"/>
                </w:tcPr>
                <w:p w14:paraId="039EB138">
                  <w:pPr>
                    <w:keepNext w:val="0"/>
                    <w:keepLines w:val="0"/>
                    <w:widowControl/>
                    <w:suppressLineNumbers w:val="0"/>
                    <w:jc w:val="center"/>
                    <w:textAlignment w:val="center"/>
                    <w:rPr>
                      <w:rFonts w:hint="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900-039-49</w:t>
                  </w:r>
                </w:p>
              </w:tc>
              <w:tc>
                <w:tcPr>
                  <w:tcW w:w="534" w:type="pct"/>
                  <w:vMerge w:val="continue"/>
                  <w:noWrap w:val="0"/>
                  <w:vAlign w:val="center"/>
                </w:tcPr>
                <w:p w14:paraId="5AC61C05">
                  <w:pPr>
                    <w:topLinePunct/>
                    <w:adjustRightInd w:val="0"/>
                    <w:snapToGrid w:val="0"/>
                    <w:jc w:val="center"/>
                    <w:rPr>
                      <w:color w:val="000000" w:themeColor="text1"/>
                      <w:kern w:val="0"/>
                      <w:sz w:val="21"/>
                      <w:szCs w:val="21"/>
                      <w14:textFill>
                        <w14:solidFill>
                          <w14:schemeClr w14:val="tx1"/>
                        </w14:solidFill>
                      </w14:textFill>
                    </w:rPr>
                  </w:pPr>
                </w:p>
              </w:tc>
              <w:tc>
                <w:tcPr>
                  <w:tcW w:w="427" w:type="pct"/>
                  <w:vMerge w:val="continue"/>
                  <w:noWrap w:val="0"/>
                  <w:vAlign w:val="center"/>
                </w:tcPr>
                <w:p w14:paraId="5C8BE1D9">
                  <w:pPr>
                    <w:topLinePunct/>
                    <w:adjustRightInd w:val="0"/>
                    <w:snapToGrid w:val="0"/>
                    <w:jc w:val="center"/>
                    <w:rPr>
                      <w:color w:val="000000" w:themeColor="text1"/>
                      <w:kern w:val="0"/>
                      <w:sz w:val="21"/>
                      <w:szCs w:val="21"/>
                      <w14:textFill>
                        <w14:solidFill>
                          <w14:schemeClr w14:val="tx1"/>
                        </w14:solidFill>
                      </w14:textFill>
                    </w:rPr>
                  </w:pPr>
                </w:p>
              </w:tc>
              <w:tc>
                <w:tcPr>
                  <w:tcW w:w="616" w:type="pct"/>
                  <w:noWrap w:val="0"/>
                  <w:vAlign w:val="center"/>
                </w:tcPr>
                <w:p w14:paraId="1B028DA4">
                  <w:pPr>
                    <w:pStyle w:val="81"/>
                    <w:numPr>
                      <w:ilvl w:val="0"/>
                      <w:numId w:val="0"/>
                    </w:numPr>
                    <w:adjustRightInd w:val="0"/>
                    <w:snapToGrid w:val="0"/>
                    <w:spacing w:line="240" w:lineRule="auto"/>
                    <w:rPr>
                      <w:rFonts w:cs="Times New Roman"/>
                      <w:b w:val="0"/>
                      <w:bCs/>
                      <w:color w:val="000000" w:themeColor="text1"/>
                      <w:sz w:val="21"/>
                      <w:szCs w:val="21"/>
                      <w:lang w:val="en-US"/>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袋装</w:t>
                  </w:r>
                </w:p>
              </w:tc>
              <w:tc>
                <w:tcPr>
                  <w:tcW w:w="564" w:type="pct"/>
                  <w:vMerge w:val="continue"/>
                  <w:noWrap w:val="0"/>
                  <w:vAlign w:val="center"/>
                </w:tcPr>
                <w:p w14:paraId="11D6B342">
                  <w:pPr>
                    <w:topLinePunct/>
                    <w:adjustRightInd w:val="0"/>
                    <w:snapToGrid w:val="0"/>
                    <w:jc w:val="center"/>
                    <w:rPr>
                      <w:color w:val="000000" w:themeColor="text1"/>
                      <w:kern w:val="0"/>
                      <w:sz w:val="21"/>
                      <w:szCs w:val="21"/>
                      <w14:textFill>
                        <w14:solidFill>
                          <w14:schemeClr w14:val="tx1"/>
                        </w14:solidFill>
                      </w14:textFill>
                    </w:rPr>
                  </w:pPr>
                </w:p>
              </w:tc>
              <w:tc>
                <w:tcPr>
                  <w:tcW w:w="354" w:type="pct"/>
                  <w:vMerge w:val="continue"/>
                  <w:noWrap w:val="0"/>
                  <w:vAlign w:val="center"/>
                </w:tcPr>
                <w:p w14:paraId="0E94D06B">
                  <w:pPr>
                    <w:topLinePunct/>
                    <w:adjustRightInd w:val="0"/>
                    <w:snapToGrid w:val="0"/>
                    <w:jc w:val="center"/>
                    <w:rPr>
                      <w:color w:val="000000" w:themeColor="text1"/>
                      <w:kern w:val="0"/>
                      <w:sz w:val="21"/>
                      <w:szCs w:val="21"/>
                      <w14:textFill>
                        <w14:solidFill>
                          <w14:schemeClr w14:val="tx1"/>
                        </w14:solidFill>
                      </w14:textFill>
                    </w:rPr>
                  </w:pPr>
                </w:p>
              </w:tc>
            </w:tr>
            <w:tr w14:paraId="5D2F5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17260C06">
                  <w:pPr>
                    <w:topLinePunct/>
                    <w:adjustRightInd w:val="0"/>
                    <w:snapToGrid w:val="0"/>
                    <w:jc w:val="center"/>
                    <w:rPr>
                      <w:color w:val="000000" w:themeColor="text1"/>
                      <w:kern w:val="0"/>
                      <w:sz w:val="21"/>
                      <w:szCs w:val="21"/>
                      <w14:textFill>
                        <w14:solidFill>
                          <w14:schemeClr w14:val="tx1"/>
                        </w14:solidFill>
                      </w14:textFill>
                    </w:rPr>
                  </w:pPr>
                </w:p>
              </w:tc>
              <w:tc>
                <w:tcPr>
                  <w:tcW w:w="1259" w:type="dxa"/>
                  <w:noWrap w:val="0"/>
                  <w:vAlign w:val="center"/>
                </w:tcPr>
                <w:p w14:paraId="2B0A85F8">
                  <w:pPr>
                    <w:keepNext w:val="0"/>
                    <w:keepLines w:val="0"/>
                    <w:widowControl/>
                    <w:suppressLineNumbers w:val="0"/>
                    <w:jc w:val="center"/>
                    <w:textAlignment w:val="cente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浮油</w:t>
                  </w:r>
                </w:p>
              </w:tc>
              <w:tc>
                <w:tcPr>
                  <w:tcW w:w="830" w:type="dxa"/>
                  <w:noWrap w:val="0"/>
                  <w:vAlign w:val="center"/>
                </w:tcPr>
                <w:p w14:paraId="348DA25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HW08</w:t>
                  </w:r>
                </w:p>
              </w:tc>
              <w:tc>
                <w:tcPr>
                  <w:tcW w:w="1402" w:type="dxa"/>
                  <w:noWrap w:val="0"/>
                  <w:vAlign w:val="center"/>
                </w:tcPr>
                <w:p w14:paraId="0B9961D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900-210-08</w:t>
                  </w:r>
                </w:p>
              </w:tc>
              <w:tc>
                <w:tcPr>
                  <w:tcW w:w="534" w:type="pct"/>
                  <w:vMerge w:val="continue"/>
                  <w:noWrap w:val="0"/>
                  <w:vAlign w:val="center"/>
                </w:tcPr>
                <w:p w14:paraId="4892AD0E">
                  <w:pPr>
                    <w:topLinePunct/>
                    <w:adjustRightInd w:val="0"/>
                    <w:snapToGrid w:val="0"/>
                    <w:jc w:val="center"/>
                    <w:rPr>
                      <w:color w:val="000000" w:themeColor="text1"/>
                      <w:kern w:val="0"/>
                      <w:sz w:val="21"/>
                      <w:szCs w:val="21"/>
                      <w14:textFill>
                        <w14:solidFill>
                          <w14:schemeClr w14:val="tx1"/>
                        </w14:solidFill>
                      </w14:textFill>
                    </w:rPr>
                  </w:pPr>
                </w:p>
              </w:tc>
              <w:tc>
                <w:tcPr>
                  <w:tcW w:w="427" w:type="pct"/>
                  <w:vMerge w:val="continue"/>
                  <w:noWrap w:val="0"/>
                  <w:vAlign w:val="center"/>
                </w:tcPr>
                <w:p w14:paraId="398CD38F">
                  <w:pPr>
                    <w:topLinePunct/>
                    <w:adjustRightInd w:val="0"/>
                    <w:snapToGrid w:val="0"/>
                    <w:jc w:val="center"/>
                    <w:rPr>
                      <w:color w:val="000000" w:themeColor="text1"/>
                      <w:kern w:val="0"/>
                      <w:sz w:val="21"/>
                      <w:szCs w:val="21"/>
                      <w14:textFill>
                        <w14:solidFill>
                          <w14:schemeClr w14:val="tx1"/>
                        </w14:solidFill>
                      </w14:textFill>
                    </w:rPr>
                  </w:pPr>
                </w:p>
              </w:tc>
              <w:tc>
                <w:tcPr>
                  <w:tcW w:w="616" w:type="pct"/>
                  <w:noWrap w:val="0"/>
                  <w:vAlign w:val="center"/>
                </w:tcPr>
                <w:p w14:paraId="6953662B">
                  <w:pPr>
                    <w:pStyle w:val="81"/>
                    <w:numPr>
                      <w:ilvl w:val="0"/>
                      <w:numId w:val="0"/>
                    </w:numPr>
                    <w:adjustRightInd w:val="0"/>
                    <w:snapToGrid w:val="0"/>
                    <w:spacing w:line="240" w:lineRule="auto"/>
                    <w:rPr>
                      <w:rFonts w:cs="Times New Roman"/>
                      <w:b w:val="0"/>
                      <w:bCs/>
                      <w:color w:val="000000" w:themeColor="text1"/>
                      <w:sz w:val="21"/>
                      <w:szCs w:val="21"/>
                      <w:lang w:val="en-US"/>
                      <w14:textFill>
                        <w14:solidFill>
                          <w14:schemeClr w14:val="tx1"/>
                        </w14:solidFill>
                      </w14:textFill>
                    </w:rPr>
                  </w:pPr>
                  <w:r>
                    <w:rPr>
                      <w:rFonts w:cs="Times New Roman"/>
                      <w:b w:val="0"/>
                      <w:bCs/>
                      <w:color w:val="000000" w:themeColor="text1"/>
                      <w:sz w:val="21"/>
                      <w:szCs w:val="21"/>
                      <w:lang w:val="en-US"/>
                      <w14:textFill>
                        <w14:solidFill>
                          <w14:schemeClr w14:val="tx1"/>
                        </w14:solidFill>
                      </w14:textFill>
                    </w:rPr>
                    <w:t>密闭桶装</w:t>
                  </w:r>
                </w:p>
              </w:tc>
              <w:tc>
                <w:tcPr>
                  <w:tcW w:w="564" w:type="pct"/>
                  <w:vMerge w:val="continue"/>
                  <w:noWrap w:val="0"/>
                  <w:vAlign w:val="center"/>
                </w:tcPr>
                <w:p w14:paraId="4F34B41B">
                  <w:pPr>
                    <w:topLinePunct/>
                    <w:adjustRightInd w:val="0"/>
                    <w:snapToGrid w:val="0"/>
                    <w:jc w:val="center"/>
                    <w:rPr>
                      <w:color w:val="000000" w:themeColor="text1"/>
                      <w:kern w:val="0"/>
                      <w:sz w:val="21"/>
                      <w:szCs w:val="21"/>
                      <w14:textFill>
                        <w14:solidFill>
                          <w14:schemeClr w14:val="tx1"/>
                        </w14:solidFill>
                      </w14:textFill>
                    </w:rPr>
                  </w:pPr>
                </w:p>
              </w:tc>
              <w:tc>
                <w:tcPr>
                  <w:tcW w:w="354" w:type="pct"/>
                  <w:vMerge w:val="continue"/>
                  <w:noWrap w:val="0"/>
                  <w:vAlign w:val="center"/>
                </w:tcPr>
                <w:p w14:paraId="5E0B407C">
                  <w:pPr>
                    <w:topLinePunct/>
                    <w:adjustRightInd w:val="0"/>
                    <w:snapToGrid w:val="0"/>
                    <w:jc w:val="center"/>
                    <w:rPr>
                      <w:color w:val="000000" w:themeColor="text1"/>
                      <w:kern w:val="0"/>
                      <w:sz w:val="21"/>
                      <w:szCs w:val="21"/>
                      <w14:textFill>
                        <w14:solidFill>
                          <w14:schemeClr w14:val="tx1"/>
                        </w14:solidFill>
                      </w14:textFill>
                    </w:rPr>
                  </w:pPr>
                </w:p>
              </w:tc>
            </w:tr>
            <w:tr w14:paraId="002F3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60DF1300">
                  <w:pPr>
                    <w:topLinePunct/>
                    <w:adjustRightInd w:val="0"/>
                    <w:snapToGrid w:val="0"/>
                    <w:jc w:val="center"/>
                    <w:rPr>
                      <w:color w:val="000000" w:themeColor="text1"/>
                      <w:kern w:val="0"/>
                      <w:sz w:val="21"/>
                      <w:szCs w:val="21"/>
                      <w14:textFill>
                        <w14:solidFill>
                          <w14:schemeClr w14:val="tx1"/>
                        </w14:solidFill>
                      </w14:textFill>
                    </w:rPr>
                  </w:pPr>
                </w:p>
              </w:tc>
              <w:tc>
                <w:tcPr>
                  <w:tcW w:w="1259" w:type="dxa"/>
                  <w:shd w:val="clear" w:color="auto" w:fill="auto"/>
                  <w:noWrap w:val="0"/>
                  <w:vAlign w:val="center"/>
                </w:tcPr>
                <w:p w14:paraId="341B641B">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废机油、废机油桶</w:t>
                  </w:r>
                </w:p>
              </w:tc>
              <w:tc>
                <w:tcPr>
                  <w:tcW w:w="830" w:type="dxa"/>
                  <w:shd w:val="clear" w:color="auto" w:fill="auto"/>
                  <w:noWrap w:val="0"/>
                  <w:vAlign w:val="center"/>
                </w:tcPr>
                <w:p w14:paraId="57FF06F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HW08</w:t>
                  </w:r>
                </w:p>
              </w:tc>
              <w:tc>
                <w:tcPr>
                  <w:tcW w:w="1402" w:type="dxa"/>
                  <w:shd w:val="clear" w:color="auto" w:fill="auto"/>
                  <w:noWrap w:val="0"/>
                  <w:vAlign w:val="center"/>
                </w:tcPr>
                <w:p w14:paraId="484B744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900-249-08</w:t>
                  </w:r>
                </w:p>
              </w:tc>
              <w:tc>
                <w:tcPr>
                  <w:tcW w:w="534" w:type="pct"/>
                  <w:vMerge w:val="continue"/>
                  <w:noWrap w:val="0"/>
                  <w:vAlign w:val="center"/>
                </w:tcPr>
                <w:p w14:paraId="689B9BCF">
                  <w:pPr>
                    <w:topLinePunct/>
                    <w:adjustRightInd w:val="0"/>
                    <w:snapToGrid w:val="0"/>
                    <w:jc w:val="center"/>
                    <w:rPr>
                      <w:color w:val="000000" w:themeColor="text1"/>
                      <w:kern w:val="0"/>
                      <w:sz w:val="21"/>
                      <w:szCs w:val="21"/>
                      <w14:textFill>
                        <w14:solidFill>
                          <w14:schemeClr w14:val="tx1"/>
                        </w14:solidFill>
                      </w14:textFill>
                    </w:rPr>
                  </w:pPr>
                </w:p>
              </w:tc>
              <w:tc>
                <w:tcPr>
                  <w:tcW w:w="427" w:type="pct"/>
                  <w:vMerge w:val="continue"/>
                  <w:noWrap w:val="0"/>
                  <w:vAlign w:val="center"/>
                </w:tcPr>
                <w:p w14:paraId="09BA2A7B">
                  <w:pPr>
                    <w:topLinePunct/>
                    <w:adjustRightInd w:val="0"/>
                    <w:snapToGrid w:val="0"/>
                    <w:jc w:val="center"/>
                    <w:rPr>
                      <w:color w:val="000000" w:themeColor="text1"/>
                      <w:kern w:val="0"/>
                      <w:sz w:val="21"/>
                      <w:szCs w:val="21"/>
                      <w14:textFill>
                        <w14:solidFill>
                          <w14:schemeClr w14:val="tx1"/>
                        </w14:solidFill>
                      </w14:textFill>
                    </w:rPr>
                  </w:pPr>
                </w:p>
              </w:tc>
              <w:tc>
                <w:tcPr>
                  <w:tcW w:w="616" w:type="pct"/>
                  <w:noWrap w:val="0"/>
                  <w:vAlign w:val="center"/>
                </w:tcPr>
                <w:p w14:paraId="694A74AA">
                  <w:pPr>
                    <w:pStyle w:val="81"/>
                    <w:numPr>
                      <w:ilvl w:val="0"/>
                      <w:numId w:val="0"/>
                    </w:numPr>
                    <w:adjustRightInd w:val="0"/>
                    <w:snapToGrid w:val="0"/>
                    <w:spacing w:line="240" w:lineRule="auto"/>
                    <w:rPr>
                      <w:rFonts w:hint="eastAsia" w:eastAsia="宋体" w:cs="Times New Roman"/>
                      <w:b w:val="0"/>
                      <w:bCs/>
                      <w:color w:val="000000" w:themeColor="text1"/>
                      <w:sz w:val="21"/>
                      <w:szCs w:val="21"/>
                      <w:lang w:val="en-US" w:eastAsia="zh-CN"/>
                      <w14:textFill>
                        <w14:solidFill>
                          <w14:schemeClr w14:val="tx1"/>
                        </w14:solidFill>
                      </w14:textFill>
                    </w:rPr>
                  </w:pPr>
                  <w:r>
                    <w:rPr>
                      <w:rFonts w:cs="Times New Roman"/>
                      <w:b w:val="0"/>
                      <w:bCs/>
                      <w:color w:val="000000" w:themeColor="text1"/>
                      <w:sz w:val="21"/>
                      <w:szCs w:val="21"/>
                      <w:lang w:val="en-US"/>
                      <w14:textFill>
                        <w14:solidFill>
                          <w14:schemeClr w14:val="tx1"/>
                        </w14:solidFill>
                      </w14:textFill>
                    </w:rPr>
                    <w:t>密闭桶装</w:t>
                  </w:r>
                </w:p>
              </w:tc>
              <w:tc>
                <w:tcPr>
                  <w:tcW w:w="564" w:type="pct"/>
                  <w:vMerge w:val="continue"/>
                  <w:noWrap w:val="0"/>
                  <w:vAlign w:val="center"/>
                </w:tcPr>
                <w:p w14:paraId="5A1D38B9">
                  <w:pPr>
                    <w:topLinePunct/>
                    <w:adjustRightInd w:val="0"/>
                    <w:snapToGrid w:val="0"/>
                    <w:jc w:val="center"/>
                    <w:rPr>
                      <w:color w:val="000000" w:themeColor="text1"/>
                      <w:kern w:val="0"/>
                      <w:sz w:val="21"/>
                      <w:szCs w:val="21"/>
                      <w14:textFill>
                        <w14:solidFill>
                          <w14:schemeClr w14:val="tx1"/>
                        </w14:solidFill>
                      </w14:textFill>
                    </w:rPr>
                  </w:pPr>
                </w:p>
              </w:tc>
              <w:tc>
                <w:tcPr>
                  <w:tcW w:w="354" w:type="pct"/>
                  <w:vMerge w:val="continue"/>
                  <w:noWrap w:val="0"/>
                  <w:vAlign w:val="center"/>
                </w:tcPr>
                <w:p w14:paraId="6253A4CA">
                  <w:pPr>
                    <w:topLinePunct/>
                    <w:adjustRightInd w:val="0"/>
                    <w:snapToGrid w:val="0"/>
                    <w:jc w:val="center"/>
                    <w:rPr>
                      <w:color w:val="000000" w:themeColor="text1"/>
                      <w:kern w:val="0"/>
                      <w:sz w:val="21"/>
                      <w:szCs w:val="21"/>
                      <w14:textFill>
                        <w14:solidFill>
                          <w14:schemeClr w14:val="tx1"/>
                        </w14:solidFill>
                      </w14:textFill>
                    </w:rPr>
                  </w:pPr>
                </w:p>
              </w:tc>
            </w:tr>
            <w:tr w14:paraId="19F98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7F1F315A">
                  <w:pPr>
                    <w:topLinePunct/>
                    <w:adjustRightInd w:val="0"/>
                    <w:snapToGrid w:val="0"/>
                    <w:jc w:val="center"/>
                    <w:rPr>
                      <w:color w:val="000000" w:themeColor="text1"/>
                      <w:kern w:val="0"/>
                      <w:sz w:val="21"/>
                      <w:szCs w:val="21"/>
                      <w14:textFill>
                        <w14:solidFill>
                          <w14:schemeClr w14:val="tx1"/>
                        </w14:solidFill>
                      </w14:textFill>
                    </w:rPr>
                  </w:pPr>
                </w:p>
              </w:tc>
              <w:tc>
                <w:tcPr>
                  <w:tcW w:w="1259" w:type="dxa"/>
                  <w:shd w:val="clear" w:color="auto" w:fill="auto"/>
                  <w:noWrap w:val="0"/>
                  <w:vAlign w:val="center"/>
                </w:tcPr>
                <w:p w14:paraId="792013F8">
                  <w:pPr>
                    <w:keepNext w:val="0"/>
                    <w:keepLines w:val="0"/>
                    <w:widowControl/>
                    <w:suppressLineNumbers w:val="0"/>
                    <w:jc w:val="center"/>
                    <w:textAlignment w:val="center"/>
                    <w:rPr>
                      <w:rFonts w:hint="eastAsia" w:cs="Times New Roman"/>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废遮蔽膜（喷胶用）</w:t>
                  </w:r>
                </w:p>
              </w:tc>
              <w:tc>
                <w:tcPr>
                  <w:tcW w:w="830" w:type="dxa"/>
                  <w:shd w:val="clear" w:color="auto" w:fill="auto"/>
                  <w:noWrap w:val="0"/>
                  <w:vAlign w:val="center"/>
                </w:tcPr>
                <w:p w14:paraId="7AC6FB81">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HW49</w:t>
                  </w:r>
                </w:p>
              </w:tc>
              <w:tc>
                <w:tcPr>
                  <w:tcW w:w="1402" w:type="dxa"/>
                  <w:shd w:val="clear" w:color="auto" w:fill="auto"/>
                  <w:noWrap w:val="0"/>
                  <w:vAlign w:val="center"/>
                </w:tcPr>
                <w:p w14:paraId="115DB9EB">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900-041-49</w:t>
                  </w:r>
                </w:p>
              </w:tc>
              <w:tc>
                <w:tcPr>
                  <w:tcW w:w="534" w:type="pct"/>
                  <w:vMerge w:val="continue"/>
                  <w:noWrap w:val="0"/>
                  <w:vAlign w:val="center"/>
                </w:tcPr>
                <w:p w14:paraId="2814720E">
                  <w:pPr>
                    <w:topLinePunct/>
                    <w:adjustRightInd w:val="0"/>
                    <w:snapToGrid w:val="0"/>
                    <w:jc w:val="center"/>
                    <w:rPr>
                      <w:color w:val="000000" w:themeColor="text1"/>
                      <w:kern w:val="0"/>
                      <w:sz w:val="21"/>
                      <w:szCs w:val="21"/>
                      <w14:textFill>
                        <w14:solidFill>
                          <w14:schemeClr w14:val="tx1"/>
                        </w14:solidFill>
                      </w14:textFill>
                    </w:rPr>
                  </w:pPr>
                </w:p>
              </w:tc>
              <w:tc>
                <w:tcPr>
                  <w:tcW w:w="427" w:type="pct"/>
                  <w:vMerge w:val="continue"/>
                  <w:noWrap w:val="0"/>
                  <w:vAlign w:val="center"/>
                </w:tcPr>
                <w:p w14:paraId="123894D4">
                  <w:pPr>
                    <w:topLinePunct/>
                    <w:adjustRightInd w:val="0"/>
                    <w:snapToGrid w:val="0"/>
                    <w:jc w:val="center"/>
                    <w:rPr>
                      <w:color w:val="000000" w:themeColor="text1"/>
                      <w:kern w:val="0"/>
                      <w:sz w:val="21"/>
                      <w:szCs w:val="21"/>
                      <w14:textFill>
                        <w14:solidFill>
                          <w14:schemeClr w14:val="tx1"/>
                        </w14:solidFill>
                      </w14:textFill>
                    </w:rPr>
                  </w:pPr>
                </w:p>
              </w:tc>
              <w:tc>
                <w:tcPr>
                  <w:tcW w:w="616" w:type="pct"/>
                  <w:noWrap w:val="0"/>
                  <w:vAlign w:val="center"/>
                </w:tcPr>
                <w:p w14:paraId="05488A4C">
                  <w:pPr>
                    <w:pStyle w:val="81"/>
                    <w:numPr>
                      <w:ilvl w:val="0"/>
                      <w:numId w:val="0"/>
                    </w:numPr>
                    <w:adjustRightInd w:val="0"/>
                    <w:snapToGrid w:val="0"/>
                    <w:spacing w:line="240" w:lineRule="auto"/>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袋装</w:t>
                  </w:r>
                </w:p>
              </w:tc>
              <w:tc>
                <w:tcPr>
                  <w:tcW w:w="564" w:type="pct"/>
                  <w:vMerge w:val="continue"/>
                  <w:noWrap w:val="0"/>
                  <w:vAlign w:val="center"/>
                </w:tcPr>
                <w:p w14:paraId="7E41CF3B">
                  <w:pPr>
                    <w:topLinePunct/>
                    <w:adjustRightInd w:val="0"/>
                    <w:snapToGrid w:val="0"/>
                    <w:jc w:val="center"/>
                    <w:rPr>
                      <w:color w:val="000000" w:themeColor="text1"/>
                      <w:kern w:val="0"/>
                      <w:sz w:val="21"/>
                      <w:szCs w:val="21"/>
                      <w14:textFill>
                        <w14:solidFill>
                          <w14:schemeClr w14:val="tx1"/>
                        </w14:solidFill>
                      </w14:textFill>
                    </w:rPr>
                  </w:pPr>
                </w:p>
              </w:tc>
              <w:tc>
                <w:tcPr>
                  <w:tcW w:w="354" w:type="pct"/>
                  <w:vMerge w:val="continue"/>
                  <w:noWrap w:val="0"/>
                  <w:vAlign w:val="center"/>
                </w:tcPr>
                <w:p w14:paraId="551F4C3B">
                  <w:pPr>
                    <w:topLinePunct/>
                    <w:adjustRightInd w:val="0"/>
                    <w:snapToGrid w:val="0"/>
                    <w:jc w:val="center"/>
                    <w:rPr>
                      <w:color w:val="000000" w:themeColor="text1"/>
                      <w:kern w:val="0"/>
                      <w:sz w:val="21"/>
                      <w:szCs w:val="21"/>
                      <w14:textFill>
                        <w14:solidFill>
                          <w14:schemeClr w14:val="tx1"/>
                        </w14:solidFill>
                      </w14:textFill>
                    </w:rPr>
                  </w:pPr>
                </w:p>
              </w:tc>
            </w:tr>
            <w:tr w14:paraId="3DCA3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13D6DB75">
                  <w:pPr>
                    <w:topLinePunct/>
                    <w:adjustRightInd w:val="0"/>
                    <w:snapToGrid w:val="0"/>
                    <w:jc w:val="center"/>
                    <w:rPr>
                      <w:color w:val="000000" w:themeColor="text1"/>
                      <w:kern w:val="0"/>
                      <w:sz w:val="21"/>
                      <w:szCs w:val="21"/>
                      <w14:textFill>
                        <w14:solidFill>
                          <w14:schemeClr w14:val="tx1"/>
                        </w14:solidFill>
                      </w14:textFill>
                    </w:rPr>
                  </w:pPr>
                </w:p>
              </w:tc>
              <w:tc>
                <w:tcPr>
                  <w:tcW w:w="1259" w:type="dxa"/>
                  <w:shd w:val="clear" w:color="auto" w:fill="auto"/>
                  <w:noWrap w:val="0"/>
                  <w:vAlign w:val="center"/>
                </w:tcPr>
                <w:p w14:paraId="46ABE60B">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擦拭废布</w:t>
                  </w:r>
                </w:p>
              </w:tc>
              <w:tc>
                <w:tcPr>
                  <w:tcW w:w="830" w:type="dxa"/>
                  <w:shd w:val="clear" w:color="auto" w:fill="auto"/>
                  <w:noWrap w:val="0"/>
                  <w:vAlign w:val="center"/>
                </w:tcPr>
                <w:p w14:paraId="027FA36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HW49</w:t>
                  </w:r>
                </w:p>
              </w:tc>
              <w:tc>
                <w:tcPr>
                  <w:tcW w:w="1402" w:type="dxa"/>
                  <w:shd w:val="clear" w:color="auto" w:fill="auto"/>
                  <w:noWrap w:val="0"/>
                  <w:vAlign w:val="center"/>
                </w:tcPr>
                <w:p w14:paraId="3750D55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900-041-49</w:t>
                  </w:r>
                </w:p>
              </w:tc>
              <w:tc>
                <w:tcPr>
                  <w:tcW w:w="534" w:type="pct"/>
                  <w:vMerge w:val="continue"/>
                  <w:noWrap w:val="0"/>
                  <w:vAlign w:val="center"/>
                </w:tcPr>
                <w:p w14:paraId="0D06B22C">
                  <w:pPr>
                    <w:topLinePunct/>
                    <w:adjustRightInd w:val="0"/>
                    <w:snapToGrid w:val="0"/>
                    <w:jc w:val="center"/>
                    <w:rPr>
                      <w:color w:val="000000" w:themeColor="text1"/>
                      <w:kern w:val="0"/>
                      <w:sz w:val="21"/>
                      <w:szCs w:val="21"/>
                      <w14:textFill>
                        <w14:solidFill>
                          <w14:schemeClr w14:val="tx1"/>
                        </w14:solidFill>
                      </w14:textFill>
                    </w:rPr>
                  </w:pPr>
                </w:p>
              </w:tc>
              <w:tc>
                <w:tcPr>
                  <w:tcW w:w="427" w:type="pct"/>
                  <w:vMerge w:val="continue"/>
                  <w:noWrap w:val="0"/>
                  <w:vAlign w:val="center"/>
                </w:tcPr>
                <w:p w14:paraId="75864DD2">
                  <w:pPr>
                    <w:topLinePunct/>
                    <w:adjustRightInd w:val="0"/>
                    <w:snapToGrid w:val="0"/>
                    <w:jc w:val="center"/>
                    <w:rPr>
                      <w:color w:val="000000" w:themeColor="text1"/>
                      <w:kern w:val="0"/>
                      <w:sz w:val="21"/>
                      <w:szCs w:val="21"/>
                      <w14:textFill>
                        <w14:solidFill>
                          <w14:schemeClr w14:val="tx1"/>
                        </w14:solidFill>
                      </w14:textFill>
                    </w:rPr>
                  </w:pPr>
                </w:p>
              </w:tc>
              <w:tc>
                <w:tcPr>
                  <w:tcW w:w="616" w:type="pct"/>
                  <w:noWrap w:val="0"/>
                  <w:vAlign w:val="center"/>
                </w:tcPr>
                <w:p w14:paraId="757BEBDB">
                  <w:pPr>
                    <w:pStyle w:val="81"/>
                    <w:numPr>
                      <w:ilvl w:val="0"/>
                      <w:numId w:val="0"/>
                    </w:numPr>
                    <w:adjustRightInd w:val="0"/>
                    <w:snapToGrid w:val="0"/>
                    <w:spacing w:line="240" w:lineRule="auto"/>
                    <w:rPr>
                      <w:rFonts w:cs="Times New Roman"/>
                      <w:b w:val="0"/>
                      <w:bCs/>
                      <w:color w:val="000000" w:themeColor="text1"/>
                      <w:sz w:val="21"/>
                      <w:szCs w:val="21"/>
                      <w:lang w:val="en-US"/>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袋装</w:t>
                  </w:r>
                </w:p>
              </w:tc>
              <w:tc>
                <w:tcPr>
                  <w:tcW w:w="564" w:type="pct"/>
                  <w:vMerge w:val="continue"/>
                  <w:noWrap w:val="0"/>
                  <w:vAlign w:val="center"/>
                </w:tcPr>
                <w:p w14:paraId="00610625">
                  <w:pPr>
                    <w:topLinePunct/>
                    <w:adjustRightInd w:val="0"/>
                    <w:snapToGrid w:val="0"/>
                    <w:jc w:val="center"/>
                    <w:rPr>
                      <w:color w:val="000000" w:themeColor="text1"/>
                      <w:kern w:val="0"/>
                      <w:sz w:val="21"/>
                      <w:szCs w:val="21"/>
                      <w14:textFill>
                        <w14:solidFill>
                          <w14:schemeClr w14:val="tx1"/>
                        </w14:solidFill>
                      </w14:textFill>
                    </w:rPr>
                  </w:pPr>
                </w:p>
              </w:tc>
              <w:tc>
                <w:tcPr>
                  <w:tcW w:w="354" w:type="pct"/>
                  <w:vMerge w:val="continue"/>
                  <w:noWrap w:val="0"/>
                  <w:vAlign w:val="center"/>
                </w:tcPr>
                <w:p w14:paraId="23DB921D">
                  <w:pPr>
                    <w:topLinePunct/>
                    <w:adjustRightInd w:val="0"/>
                    <w:snapToGrid w:val="0"/>
                    <w:jc w:val="center"/>
                    <w:rPr>
                      <w:color w:val="000000" w:themeColor="text1"/>
                      <w:kern w:val="0"/>
                      <w:sz w:val="21"/>
                      <w:szCs w:val="21"/>
                      <w14:textFill>
                        <w14:solidFill>
                          <w14:schemeClr w14:val="tx1"/>
                        </w14:solidFill>
                      </w14:textFill>
                    </w:rPr>
                  </w:pPr>
                </w:p>
              </w:tc>
            </w:tr>
            <w:tr w14:paraId="050A9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1CB0D4A8">
                  <w:pPr>
                    <w:topLinePunct/>
                    <w:adjustRightInd w:val="0"/>
                    <w:snapToGrid w:val="0"/>
                    <w:jc w:val="center"/>
                    <w:rPr>
                      <w:color w:val="000000" w:themeColor="text1"/>
                      <w:kern w:val="0"/>
                      <w:sz w:val="21"/>
                      <w:szCs w:val="21"/>
                      <w14:textFill>
                        <w14:solidFill>
                          <w14:schemeClr w14:val="tx1"/>
                        </w14:solidFill>
                      </w14:textFill>
                    </w:rPr>
                  </w:pPr>
                </w:p>
              </w:tc>
              <w:tc>
                <w:tcPr>
                  <w:tcW w:w="731" w:type="pct"/>
                  <w:noWrap w:val="0"/>
                  <w:vAlign w:val="center"/>
                </w:tcPr>
                <w:p w14:paraId="786972DE">
                  <w:pPr>
                    <w:topLinePunct/>
                    <w:adjustRightInd w:val="0"/>
                    <w:snapToGrid w:val="0"/>
                    <w:jc w:val="center"/>
                    <w:rPr>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污泥</w:t>
                  </w:r>
                </w:p>
              </w:tc>
              <w:tc>
                <w:tcPr>
                  <w:tcW w:w="482" w:type="pct"/>
                  <w:noWrap w:val="0"/>
                  <w:vAlign w:val="center"/>
                </w:tcPr>
                <w:p w14:paraId="4F8D854B">
                  <w:pPr>
                    <w:topLinePunct/>
                    <w:adjustRightInd w:val="0"/>
                    <w:snapToGrid w:val="0"/>
                    <w:jc w:val="center"/>
                    <w:rPr>
                      <w:color w:val="000000" w:themeColor="text1"/>
                      <w:kern w:val="2"/>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HW</w:t>
                  </w:r>
                  <w:r>
                    <w:rPr>
                      <w:rFonts w:hint="eastAsia"/>
                      <w:color w:val="000000" w:themeColor="text1"/>
                      <w:kern w:val="0"/>
                      <w:sz w:val="21"/>
                      <w:szCs w:val="21"/>
                      <w:lang w:val="en-US" w:eastAsia="zh-CN"/>
                      <w14:textFill>
                        <w14:solidFill>
                          <w14:schemeClr w14:val="tx1"/>
                        </w14:solidFill>
                      </w14:textFill>
                    </w:rPr>
                    <w:t>17</w:t>
                  </w:r>
                </w:p>
              </w:tc>
              <w:tc>
                <w:tcPr>
                  <w:tcW w:w="814" w:type="pct"/>
                  <w:noWrap w:val="0"/>
                  <w:vAlign w:val="center"/>
                </w:tcPr>
                <w:p w14:paraId="559A1A30">
                  <w:pPr>
                    <w:topLinePunct/>
                    <w:adjustRightInd w:val="0"/>
                    <w:snapToGrid w:val="0"/>
                    <w:jc w:val="center"/>
                    <w:rPr>
                      <w:rFonts w:hint="eastAsia"/>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336-064-17</w:t>
                  </w:r>
                </w:p>
              </w:tc>
              <w:tc>
                <w:tcPr>
                  <w:tcW w:w="2496" w:type="pct"/>
                  <w:gridSpan w:val="5"/>
                  <w:noWrap w:val="0"/>
                  <w:vAlign w:val="center"/>
                </w:tcPr>
                <w:p w14:paraId="7564131F">
                  <w:pPr>
                    <w:topLinePunct/>
                    <w:adjustRightInd w:val="0"/>
                    <w:snapToGrid w:val="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依托现有工程</w:t>
                  </w:r>
                  <w:r>
                    <w:rPr>
                      <w:rFonts w:hint="eastAsia"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t>污泥池</w:t>
                  </w:r>
                </w:p>
              </w:tc>
            </w:tr>
            <w:tr w14:paraId="5A7E5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noWrap w:val="0"/>
                  <w:vAlign w:val="center"/>
                </w:tcPr>
                <w:p w14:paraId="437CC6B0">
                  <w:pPr>
                    <w:topLinePunct/>
                    <w:adjustRightInd w:val="0"/>
                    <w:snapToGrid w:val="0"/>
                    <w:jc w:val="center"/>
                    <w:rPr>
                      <w:color w:val="000000" w:themeColor="text1"/>
                      <w:kern w:val="0"/>
                      <w:sz w:val="21"/>
                      <w:szCs w:val="21"/>
                      <w14:textFill>
                        <w14:solidFill>
                          <w14:schemeClr w14:val="tx1"/>
                        </w14:solidFill>
                      </w14:textFill>
                    </w:rPr>
                  </w:pPr>
                </w:p>
              </w:tc>
              <w:tc>
                <w:tcPr>
                  <w:tcW w:w="731" w:type="pct"/>
                  <w:noWrap w:val="0"/>
                  <w:vAlign w:val="center"/>
                </w:tcPr>
                <w:p w14:paraId="51827FC4">
                  <w:pPr>
                    <w:topLinePunct/>
                    <w:adjustRightInd w:val="0"/>
                    <w:snapToGrid w:val="0"/>
                    <w:jc w:val="center"/>
                    <w:rPr>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废槽液</w:t>
                  </w:r>
                </w:p>
              </w:tc>
              <w:tc>
                <w:tcPr>
                  <w:tcW w:w="482" w:type="pct"/>
                  <w:noWrap w:val="0"/>
                  <w:vAlign w:val="center"/>
                </w:tcPr>
                <w:p w14:paraId="59D88490">
                  <w:pPr>
                    <w:topLinePunct/>
                    <w:adjustRightInd w:val="0"/>
                    <w:snapToGrid w:val="0"/>
                    <w:jc w:val="center"/>
                    <w:rPr>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HW</w:t>
                  </w:r>
                  <w:r>
                    <w:rPr>
                      <w:rFonts w:hint="eastAsia"/>
                      <w:color w:val="000000" w:themeColor="text1"/>
                      <w:kern w:val="0"/>
                      <w:sz w:val="21"/>
                      <w:szCs w:val="21"/>
                      <w:lang w:val="en-US" w:eastAsia="zh-CN"/>
                      <w14:textFill>
                        <w14:solidFill>
                          <w14:schemeClr w14:val="tx1"/>
                        </w14:solidFill>
                      </w14:textFill>
                    </w:rPr>
                    <w:t>17</w:t>
                  </w:r>
                </w:p>
              </w:tc>
              <w:tc>
                <w:tcPr>
                  <w:tcW w:w="814" w:type="pct"/>
                  <w:noWrap w:val="0"/>
                  <w:vAlign w:val="center"/>
                </w:tcPr>
                <w:p w14:paraId="3B7493B0">
                  <w:pPr>
                    <w:topLinePunct/>
                    <w:adjustRightInd w:val="0"/>
                    <w:snapToGrid w:val="0"/>
                    <w:jc w:val="center"/>
                    <w:rPr>
                      <w:rFonts w:hint="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336-064-17</w:t>
                  </w:r>
                </w:p>
              </w:tc>
              <w:tc>
                <w:tcPr>
                  <w:tcW w:w="2496" w:type="pct"/>
                  <w:gridSpan w:val="5"/>
                  <w:noWrap w:val="0"/>
                  <w:vAlign w:val="center"/>
                </w:tcPr>
                <w:p w14:paraId="5CBF779C">
                  <w:pPr>
                    <w:topLinePunct/>
                    <w:adjustRightInd w:val="0"/>
                    <w:snapToGrid w:val="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槽液更换后当日直接转运，不在厂区暂存</w:t>
                  </w:r>
                </w:p>
              </w:tc>
            </w:tr>
          </w:tbl>
          <w:p w14:paraId="1CF45541">
            <w:pPr>
              <w:spacing w:before="120"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项目废槽液每1~2年更换一次，更换时联系危险废物运输公司到厂区内转运处置，不在厂区内贮存，污泥产生后日常</w:t>
            </w:r>
            <w:r>
              <w:rPr>
                <w:rFonts w:hint="eastAsia" w:ascii="Times New Roman" w:hAnsi="Times New Roman" w:eastAsia="宋体" w:cs="Times New Roman"/>
                <w:color w:val="000000" w:themeColor="text1"/>
                <w:sz w:val="24"/>
                <w:lang w:val="en-US" w:eastAsia="zh-CN"/>
                <w14:textFill>
                  <w14:solidFill>
                    <w14:schemeClr w14:val="tx1"/>
                  </w14:solidFill>
                </w14:textFill>
              </w:rPr>
              <w:t>贮存在现有工程污泥池，储存一定量后经污泥压滤机压滤干化后袋装转运处置，也不在厂区内贮存。扣除废槽液和污泥，其余危险废物产生量共计</w:t>
            </w:r>
            <w:r>
              <w:rPr>
                <w:rFonts w:hint="eastAsia"/>
                <w:color w:val="000000" w:themeColor="text1"/>
                <w:sz w:val="24"/>
                <w:szCs w:val="24"/>
                <w:lang w:val="en-US" w:eastAsia="zh-CN"/>
                <w14:textFill>
                  <w14:solidFill>
                    <w14:schemeClr w14:val="tx1"/>
                  </w14:solidFill>
                </w14:textFill>
              </w:rPr>
              <w:t>100.346t/a</w:t>
            </w:r>
            <w:r>
              <w:rPr>
                <w:rFonts w:hint="eastAsia" w:ascii="Times New Roman" w:hAnsi="Times New Roman" w:eastAsia="宋体" w:cs="Times New Roman"/>
                <w:color w:val="000000" w:themeColor="text1"/>
                <w:sz w:val="24"/>
                <w:lang w:val="en-US" w:eastAsia="zh-CN"/>
                <w14:textFill>
                  <w14:solidFill>
                    <w14:schemeClr w14:val="tx1"/>
                  </w14:solidFill>
                </w14:textFill>
              </w:rPr>
              <w:t>，以每月转运1次计，平均储存量约</w:t>
            </w:r>
            <w:r>
              <w:rPr>
                <w:rFonts w:hint="eastAsia" w:cs="Times New Roman"/>
                <w:color w:val="000000" w:themeColor="text1"/>
                <w:sz w:val="24"/>
                <w:lang w:val="en-US" w:eastAsia="zh-CN"/>
                <w14:textFill>
                  <w14:solidFill>
                    <w14:schemeClr w14:val="tx1"/>
                  </w14:solidFill>
                </w14:textFill>
              </w:rPr>
              <w:t>8.362</w:t>
            </w:r>
            <w:r>
              <w:rPr>
                <w:rFonts w:hint="eastAsia" w:ascii="Times New Roman" w:hAnsi="Times New Roman" w:eastAsia="宋体" w:cs="Times New Roman"/>
                <w:color w:val="000000" w:themeColor="text1"/>
                <w:sz w:val="24"/>
                <w:lang w:val="en-US" w:eastAsia="zh-CN"/>
                <w14:textFill>
                  <w14:solidFill>
                    <w14:schemeClr w14:val="tx1"/>
                  </w14:solidFill>
                </w14:textFill>
              </w:rPr>
              <w:t>t，</w:t>
            </w:r>
            <w:r>
              <w:rPr>
                <w:rFonts w:hint="eastAsia" w:cs="Times New Roman"/>
                <w:color w:val="000000" w:themeColor="text1"/>
                <w:sz w:val="24"/>
                <w:lang w:val="en-US" w:eastAsia="zh-CN"/>
                <w14:textFill>
                  <w14:solidFill>
                    <w14:schemeClr w14:val="tx1"/>
                  </w14:solidFill>
                </w14:textFill>
              </w:rPr>
              <w:t>建</w:t>
            </w:r>
            <w:r>
              <w:rPr>
                <w:rFonts w:hint="eastAsia" w:cs="Times New Roman"/>
                <w:color w:val="000000" w:themeColor="text1"/>
                <w:sz w:val="24"/>
                <w:szCs w:val="24"/>
                <w:lang w:val="en-US" w:eastAsia="zh-CN"/>
                <w14:textFill>
                  <w14:solidFill>
                    <w14:schemeClr w14:val="tx1"/>
                  </w14:solidFill>
                </w14:textFill>
              </w:rPr>
              <w:t>设单位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拟在</w:t>
            </w:r>
            <w:r>
              <w:rPr>
                <w:rFonts w:hint="eastAsia" w:cs="Times New Roman"/>
                <w:color w:val="000000" w:themeColor="text1"/>
                <w:sz w:val="24"/>
                <w:szCs w:val="24"/>
                <w:lang w:val="en-US" w:eastAsia="zh-CN"/>
                <w14:textFill>
                  <w14:solidFill>
                    <w14:schemeClr w14:val="tx1"/>
                  </w14:solidFill>
                </w14:textFill>
              </w:rPr>
              <w:t>仓库及综合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楼4楼重新建设</w:t>
            </w:r>
            <w:r>
              <w:rPr>
                <w:rFonts w:hint="eastAsia" w:cs="Times New Roman"/>
                <w:color w:val="000000" w:themeColor="text1"/>
                <w:sz w:val="24"/>
                <w:szCs w:val="24"/>
                <w:lang w:val="en-US" w:eastAsia="zh-CN"/>
                <w14:textFill>
                  <w14:solidFill>
                    <w14:schemeClr w14:val="tx1"/>
                  </w14:solidFill>
                </w14:textFill>
              </w:rPr>
              <w:t>30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危险废物贮存间，按</w:t>
            </w:r>
            <w:r>
              <w:rPr>
                <w:color w:val="000000" w:themeColor="text1"/>
                <w:kern w:val="0"/>
                <w:sz w:val="24"/>
                <w:szCs w:val="24"/>
                <w14:textFill>
                  <w14:solidFill>
                    <w14:schemeClr w14:val="tx1"/>
                  </w14:solidFill>
                </w14:textFill>
              </w:rPr>
              <w:t>危险废物类别</w:t>
            </w:r>
            <w:r>
              <w:rPr>
                <w:rFonts w:hint="eastAsia"/>
                <w:color w:val="000000" w:themeColor="text1"/>
                <w:kern w:val="0"/>
                <w:sz w:val="24"/>
                <w:szCs w:val="24"/>
                <w:lang w:val="en-US" w:eastAsia="zh-CN"/>
                <w14:textFill>
                  <w14:solidFill>
                    <w14:schemeClr w14:val="tx1"/>
                  </w14:solidFill>
                </w14:textFill>
              </w:rPr>
              <w:t>拟设三个分区，可利用面积按0.6计，危险废物堆高按1.5m，危险废物密度取0.8t/m</w:t>
            </w:r>
            <w:r>
              <w:rPr>
                <w:rFonts w:hint="eastAsia"/>
                <w:color w:val="000000" w:themeColor="text1"/>
                <w:kern w:val="0"/>
                <w:sz w:val="24"/>
                <w:szCs w:val="24"/>
                <w:vertAlign w:val="superscript"/>
                <w:lang w:val="en-US" w:eastAsia="zh-CN"/>
                <w14:textFill>
                  <w14:solidFill>
                    <w14:schemeClr w14:val="tx1"/>
                  </w14:solidFill>
                </w14:textFill>
              </w:rPr>
              <w:t>3</w:t>
            </w:r>
            <w:r>
              <w:rPr>
                <w:rFonts w:hint="eastAsia"/>
                <w:color w:val="000000" w:themeColor="text1"/>
                <w:kern w:val="0"/>
                <w:sz w:val="24"/>
                <w:szCs w:val="24"/>
                <w:lang w:val="en-US" w:eastAsia="zh-CN"/>
                <w14:textFill>
                  <w14:solidFill>
                    <w14:schemeClr w14:val="tx1"/>
                  </w14:solidFill>
                </w14:textFill>
              </w:rPr>
              <w:t>，则项目</w:t>
            </w:r>
            <w:r>
              <w:rPr>
                <w:rFonts w:hint="eastAsia" w:ascii="Times New Roman" w:hAnsi="Times New Roman" w:eastAsia="宋体" w:cs="Times New Roman"/>
                <w:color w:val="000000" w:themeColor="text1"/>
                <w:sz w:val="24"/>
                <w:lang w:val="en-US" w:eastAsia="zh-CN"/>
                <w14:textFill>
                  <w14:solidFill>
                    <w14:schemeClr w14:val="tx1"/>
                  </w14:solidFill>
                </w14:textFill>
              </w:rPr>
              <w:t>危险废物贮存间贮存能力为</w:t>
            </w:r>
            <w:r>
              <w:rPr>
                <w:rFonts w:hint="eastAsia" w:cs="Times New Roman"/>
                <w:color w:val="000000" w:themeColor="text1"/>
                <w:sz w:val="24"/>
                <w:lang w:val="en-US" w:eastAsia="zh-CN"/>
                <w14:textFill>
                  <w14:solidFill>
                    <w14:schemeClr w14:val="tx1"/>
                  </w14:solidFill>
                </w14:textFill>
              </w:rPr>
              <w:t>21.6</w:t>
            </w:r>
            <w:r>
              <w:rPr>
                <w:rFonts w:hint="eastAsia" w:ascii="Times New Roman" w:hAnsi="Times New Roman" w:eastAsia="宋体" w:cs="Times New Roman"/>
                <w:color w:val="000000" w:themeColor="text1"/>
                <w:sz w:val="24"/>
                <w:lang w:val="en-US" w:eastAsia="zh-CN"/>
                <w14:textFill>
                  <w14:solidFill>
                    <w14:schemeClr w14:val="tx1"/>
                  </w14:solidFill>
                </w14:textFill>
              </w:rPr>
              <w:t>t，在及时转运的前提下，贮存间面积满足危险废物贮存要求。</w:t>
            </w:r>
          </w:p>
          <w:p w14:paraId="4A7BAF41">
            <w:pPr>
              <w:spacing w:before="120"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委托利用或者处置的环境影响分析</w:t>
            </w:r>
          </w:p>
          <w:p w14:paraId="3E9BAB5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本项目不具备危险废物利用或处置能力，项目危险废物定期委托有资质单位统一转移处置，危险废物运输过程也全部委托有资质单位统一进行。</w:t>
            </w:r>
          </w:p>
          <w:p w14:paraId="2B0F8727">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固体废物运输过程的环境影响分析</w:t>
            </w:r>
          </w:p>
          <w:p w14:paraId="7F03111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本项目危险废物</w:t>
            </w:r>
            <w:r>
              <w:rPr>
                <w:rFonts w:hint="eastAsia"/>
                <w:color w:val="000000" w:themeColor="text1"/>
                <w:sz w:val="24"/>
                <w14:textFill>
                  <w14:solidFill>
                    <w14:schemeClr w14:val="tx1"/>
                  </w14:solidFill>
                </w14:textFill>
              </w:rPr>
              <w:t>密闭桶装/袋装后</w:t>
            </w:r>
            <w:r>
              <w:rPr>
                <w:color w:val="000000" w:themeColor="text1"/>
                <w:sz w:val="24"/>
                <w14:textFill>
                  <w14:solidFill>
                    <w14:schemeClr w14:val="tx1"/>
                  </w14:solidFill>
                </w14:textFill>
              </w:rPr>
              <w:t>委托有资质的单位处置；</w:t>
            </w:r>
            <w:r>
              <w:rPr>
                <w:rFonts w:hint="eastAsia"/>
                <w:color w:val="000000" w:themeColor="text1"/>
                <w:sz w:val="24"/>
                <w14:textFill>
                  <w14:solidFill>
                    <w14:schemeClr w14:val="tx1"/>
                  </w14:solidFill>
                </w14:textFill>
              </w:rPr>
              <w:t>项目危险废物运输委托有资质单位进行</w:t>
            </w:r>
            <w:r>
              <w:rPr>
                <w:color w:val="000000" w:themeColor="text1"/>
                <w:sz w:val="24"/>
                <w14:textFill>
                  <w14:solidFill>
                    <w14:schemeClr w14:val="tx1"/>
                  </w14:solidFill>
                </w14:textFill>
              </w:rPr>
              <w:t>统一进行。</w:t>
            </w:r>
          </w:p>
          <w:p w14:paraId="68C3BE1D">
            <w:pPr>
              <w:pStyle w:val="76"/>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危险废物管理要求</w:t>
            </w:r>
          </w:p>
          <w:p w14:paraId="1EDD68B3">
            <w:pPr>
              <w:pStyle w:val="76"/>
              <w:ind w:firstLine="480"/>
              <w:rPr>
                <w:color w:val="000000" w:themeColor="text1"/>
                <w14:textFill>
                  <w14:solidFill>
                    <w14:schemeClr w14:val="tx1"/>
                  </w14:solidFill>
                </w14:textFill>
              </w:rPr>
            </w:pPr>
            <w:r>
              <w:rPr>
                <w:color w:val="000000" w:themeColor="text1"/>
                <w:szCs w:val="24"/>
                <w14:textFill>
                  <w14:solidFill>
                    <w14:schemeClr w14:val="tx1"/>
                  </w14:solidFill>
                </w14:textFill>
              </w:rPr>
              <w:t>①</w:t>
            </w:r>
            <w:r>
              <w:rPr>
                <w:color w:val="000000" w:themeColor="text1"/>
                <w14:textFill>
                  <w14:solidFill>
                    <w14:schemeClr w14:val="tx1"/>
                  </w14:solidFill>
                </w14:textFill>
              </w:rPr>
              <w:t>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14:paraId="071163D9">
            <w:pPr>
              <w:pStyle w:val="76"/>
              <w:ind w:firstLine="480"/>
              <w:rPr>
                <w:color w:val="000000" w:themeColor="text1"/>
                <w14:textFill>
                  <w14:solidFill>
                    <w14:schemeClr w14:val="tx1"/>
                  </w14:solidFill>
                </w14:textFill>
              </w:rPr>
            </w:pPr>
            <w:r>
              <w:rPr>
                <w:color w:val="000000" w:themeColor="text1"/>
                <w:szCs w:val="24"/>
                <w14:textFill>
                  <w14:solidFill>
                    <w14:schemeClr w14:val="tx1"/>
                  </w14:solidFill>
                </w14:textFill>
              </w:rPr>
              <w:t>②</w:t>
            </w:r>
            <w:r>
              <w:rPr>
                <w:color w:val="000000" w:themeColor="text1"/>
                <w14:textFill>
                  <w14:solidFill>
                    <w14:schemeClr w14:val="tx1"/>
                  </w14:solidFill>
                </w14:textFill>
              </w:rPr>
              <w:t>产生危险废物的单位已经取得排污许可证的，执行排污许可管理制度的规定。</w:t>
            </w:r>
          </w:p>
          <w:p w14:paraId="1F27A725">
            <w:pPr>
              <w:pStyle w:val="76"/>
              <w:ind w:firstLine="480"/>
              <w:rPr>
                <w:rFonts w:hint="eastAsia"/>
                <w:color w:val="000000" w:themeColor="text1"/>
                <w14:textFill>
                  <w14:solidFill>
                    <w14:schemeClr w14:val="tx1"/>
                  </w14:solidFill>
                </w14:textFill>
              </w:rPr>
            </w:pPr>
            <w:r>
              <w:rPr>
                <w:color w:val="000000" w:themeColor="text1"/>
                <w:szCs w:val="24"/>
                <w14:textFill>
                  <w14:solidFill>
                    <w14:schemeClr w14:val="tx1"/>
                  </w14:solidFill>
                </w14:textFill>
              </w:rPr>
              <w:t>③</w:t>
            </w:r>
            <w:r>
              <w:rPr>
                <w:color w:val="000000" w:themeColor="text1"/>
                <w14:textFill>
                  <w14:solidFill>
                    <w14:schemeClr w14:val="tx1"/>
                  </w14:solidFill>
                </w14:textFill>
              </w:rPr>
              <w:t>从事收集、贮存、利用、处置危险废物经营活动的单位，贮存危险废物不得超过一年；确需延长期限的，应当报经颁发许可证的生态环境主管部门批准</w:t>
            </w:r>
            <w:r>
              <w:rPr>
                <w:rFonts w:hint="eastAsia"/>
                <w:color w:val="000000" w:themeColor="text1"/>
                <w14:textFill>
                  <w14:solidFill>
                    <w14:schemeClr w14:val="tx1"/>
                  </w14:solidFill>
                </w14:textFill>
              </w:rPr>
              <w:t>。</w:t>
            </w:r>
          </w:p>
          <w:p w14:paraId="009AA568">
            <w:pPr>
              <w:pStyle w:val="76"/>
              <w:ind w:firstLine="480"/>
              <w:rPr>
                <w:rFonts w:hint="eastAsia"/>
                <w:color w:val="000000" w:themeColor="text1"/>
                <w14:textFill>
                  <w14:solidFill>
                    <w14:schemeClr w14:val="tx1"/>
                  </w14:solidFill>
                </w14:textFill>
              </w:rPr>
            </w:pPr>
            <w:r>
              <w:rPr>
                <w:color w:val="000000" w:themeColor="text1"/>
                <w:szCs w:val="24"/>
                <w14:textFill>
                  <w14:solidFill>
                    <w14:schemeClr w14:val="tx1"/>
                  </w14:solidFill>
                </w14:textFill>
              </w:rPr>
              <w:t>④</w:t>
            </w:r>
            <w:r>
              <w:rPr>
                <w:color w:val="000000" w:themeColor="text1"/>
                <w14:textFill>
                  <w14:solidFill>
                    <w14:schemeClr w14:val="tx1"/>
                  </w14:solidFill>
                </w14:textFill>
              </w:rPr>
              <w:t>对危险废物的容器和包装物以及收集、贮存、运输、利用、处置危险废物的设施、场所，应当按照规定设置危险废物识别标志。</w:t>
            </w:r>
          </w:p>
          <w:p w14:paraId="23A3FDC1">
            <w:pPr>
              <w:pStyle w:val="76"/>
              <w:ind w:firstLine="48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(5)危险废物转移要求</w:t>
            </w:r>
          </w:p>
          <w:p w14:paraId="37621FD7">
            <w:pPr>
              <w:pStyle w:val="76"/>
              <w:ind w:firstLine="48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根据《危险废物转移管理办法》(2021年11月30日生态环境部、公安部、交通运输部令第23号公布，自2022年1月1日起施行)，危险废物转移过程应满足以下要求：</w:t>
            </w:r>
          </w:p>
          <w:p w14:paraId="34411452">
            <w:pPr>
              <w:pStyle w:val="76"/>
              <w:ind w:firstLine="480"/>
              <w:jc w:val="left"/>
              <w:rPr>
                <w:rFonts w:hint="eastAsia"/>
                <w:color w:val="000000" w:themeColor="text1"/>
                <w14:textFill>
                  <w14:solidFill>
                    <w14:schemeClr w14:val="tx1"/>
                  </w14:solidFill>
                </w14:textFill>
              </w:rPr>
            </w:pPr>
            <w:r>
              <w:rPr>
                <w:color w:val="000000" w:themeColor="text1"/>
                <w:szCs w:val="24"/>
                <w14:textFill>
                  <w14:solidFill>
                    <w14:schemeClr w14:val="tx1"/>
                  </w14:solidFill>
                </w14:textFill>
              </w:rPr>
              <w:t>①</w:t>
            </w:r>
            <w:r>
              <w:rPr>
                <w:rFonts w:hint="eastAsia"/>
                <w:color w:val="000000" w:themeColor="text1"/>
                <w14:textFill>
                  <w14:solidFill>
                    <w14:schemeClr w14:val="tx1"/>
                  </w14:solidFill>
                </w14:textFill>
              </w:rPr>
              <w:t>危险废物转移联单应当根据危险废物管理计划中填报的危险废物转移等备案信息填写、运行。</w:t>
            </w:r>
          </w:p>
          <w:p w14:paraId="34B930C0">
            <w:pPr>
              <w:pStyle w:val="76"/>
              <w:ind w:firstLine="480"/>
              <w:jc w:val="left"/>
              <w:rPr>
                <w:rFonts w:hint="eastAsia"/>
                <w:color w:val="000000" w:themeColor="text1"/>
                <w14:textFill>
                  <w14:solidFill>
                    <w14:schemeClr w14:val="tx1"/>
                  </w14:solidFill>
                </w14:textFill>
              </w:rPr>
            </w:pPr>
            <w:r>
              <w:rPr>
                <w:color w:val="000000" w:themeColor="text1"/>
                <w:szCs w:val="24"/>
                <w14:textFill>
                  <w14:solidFill>
                    <w14:schemeClr w14:val="tx1"/>
                  </w14:solidFill>
                </w14:textFill>
              </w:rPr>
              <w:t>②</w:t>
            </w:r>
            <w:r>
              <w:rPr>
                <w:rFonts w:hint="eastAsia"/>
                <w:color w:val="000000" w:themeColor="text1"/>
                <w14:textFill>
                  <w14:solidFill>
                    <w14:schemeClr w14:val="tx1"/>
                  </w14:solidFill>
                </w14:textFill>
              </w:rPr>
              <w:t>危险废物转移联单实行全国统一编号，编号由十四位阿拉伯数字组成。</w:t>
            </w:r>
          </w:p>
          <w:p w14:paraId="78E0011F">
            <w:pPr>
              <w:pStyle w:val="76"/>
              <w:ind w:firstLine="480"/>
              <w:jc w:val="left"/>
              <w:rPr>
                <w:rFonts w:hint="eastAsia"/>
                <w:color w:val="000000" w:themeColor="text1"/>
                <w14:textFill>
                  <w14:solidFill>
                    <w14:schemeClr w14:val="tx1"/>
                  </w14:solidFill>
                </w14:textFill>
              </w:rPr>
            </w:pPr>
            <w:r>
              <w:rPr>
                <w:color w:val="000000" w:themeColor="text1"/>
                <w:szCs w:val="24"/>
                <w14:textFill>
                  <w14:solidFill>
                    <w14:schemeClr w14:val="tx1"/>
                  </w14:solidFill>
                </w14:textFill>
              </w:rPr>
              <w:t>③</w:t>
            </w:r>
            <w:r>
              <w:rPr>
                <w:rFonts w:hint="eastAsia"/>
                <w:color w:val="000000" w:themeColor="text1"/>
                <w14:textFill>
                  <w14:solidFill>
                    <w14:schemeClr w14:val="tx1"/>
                  </w14:solidFill>
                </w14:textFill>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5BB2DCD5">
            <w:pPr>
              <w:pStyle w:val="76"/>
              <w:ind w:firstLine="480"/>
              <w:jc w:val="left"/>
              <w:rPr>
                <w:rFonts w:hint="eastAsia"/>
                <w:color w:val="000000" w:themeColor="text1"/>
                <w14:textFill>
                  <w14:solidFill>
                    <w14:schemeClr w14:val="tx1"/>
                  </w14:solidFill>
                </w14:textFill>
              </w:rPr>
            </w:pPr>
            <w:r>
              <w:rPr>
                <w:color w:val="000000" w:themeColor="text1"/>
                <w:szCs w:val="24"/>
                <w14:textFill>
                  <w14:solidFill>
                    <w14:schemeClr w14:val="tx1"/>
                  </w14:solidFill>
                </w14:textFill>
              </w:rPr>
              <w:t>④</w:t>
            </w:r>
            <w:r>
              <w:rPr>
                <w:rFonts w:hint="eastAsia"/>
                <w:color w:val="000000" w:themeColor="text1"/>
                <w14:textFill>
                  <w14:solidFill>
                    <w14:schemeClr w14:val="tx1"/>
                  </w14:solidFill>
                </w14:textFill>
              </w:rPr>
              <w:t>采用联运方式转移危险废物的，前一承运人和后一承运人应当明确运输交接的时间和地点。后一承运人应当核实危险废物转移联单确定的移出人信息、前一承运人信息及危险废物相关信息。</w:t>
            </w:r>
          </w:p>
          <w:p w14:paraId="448AE4B3">
            <w:pPr>
              <w:pStyle w:val="76"/>
              <w:ind w:firstLine="48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⑤接受人应当对运抵的危险废物进行核实验收，并在接收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p w14:paraId="0BE9CE40">
            <w:pPr>
              <w:pStyle w:val="76"/>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⑥危险废物电子转移联单数据应当在信息系统中至少保存十年。因特殊原因无法运行危险废物电子转移联单的，可以先使用纸质转移联单，并于转移活动完成后十个工作日内在信息系统中补录电子转移联单</w:t>
            </w:r>
            <w:r>
              <w:rPr>
                <w:color w:val="000000" w:themeColor="text1"/>
                <w14:textFill>
                  <w14:solidFill>
                    <w14:schemeClr w14:val="tx1"/>
                  </w14:solidFill>
                </w14:textFill>
              </w:rPr>
              <w:t>。</w:t>
            </w:r>
          </w:p>
          <w:p w14:paraId="41B13DE8">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4.5.2.3</w:t>
            </w:r>
            <w:r>
              <w:rPr>
                <w:b/>
                <w:bCs/>
                <w:color w:val="000000" w:themeColor="text1"/>
                <w:sz w:val="24"/>
                <w14:textFill>
                  <w14:solidFill>
                    <w14:schemeClr w14:val="tx1"/>
                  </w14:solidFill>
                </w14:textFill>
              </w:rPr>
              <w:t>生活垃圾</w:t>
            </w:r>
          </w:p>
          <w:p w14:paraId="79C9E4F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项目内职工产生的生活垃圾应采取分类收集，并委托环卫部门统一外运处置。</w:t>
            </w:r>
          </w:p>
          <w:p w14:paraId="562F43B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综述，本项目固体废物</w:t>
            </w:r>
            <w:r>
              <w:rPr>
                <w:rFonts w:hint="eastAsia"/>
                <w:color w:val="000000" w:themeColor="text1"/>
                <w:sz w:val="24"/>
                <w14:textFill>
                  <w14:solidFill>
                    <w14:schemeClr w14:val="tx1"/>
                  </w14:solidFill>
                </w14:textFill>
              </w:rPr>
              <w:t>采取以上处置处理措施后，正常情况下，不会对周边环境造成二次污染</w:t>
            </w:r>
            <w:r>
              <w:rPr>
                <w:color w:val="000000" w:themeColor="text1"/>
                <w:sz w:val="24"/>
                <w14:textFill>
                  <w14:solidFill>
                    <w14:schemeClr w14:val="tx1"/>
                  </w14:solidFill>
                </w14:textFill>
              </w:rPr>
              <w:t>。</w:t>
            </w:r>
          </w:p>
          <w:p w14:paraId="7CE6BED2">
            <w:pPr>
              <w:spacing w:before="120" w:beforeLines="50" w:line="360" w:lineRule="auto"/>
              <w:outlineLvl w:val="1"/>
              <w:rPr>
                <w:rFonts w:hint="eastAsia" w:ascii="Times New Roman" w:hAnsi="Times New Roman" w:eastAsia="宋体"/>
                <w:b/>
                <w:color w:val="000000" w:themeColor="text1"/>
                <w:sz w:val="30"/>
                <w:szCs w:val="30"/>
                <w:highlight w:val="none"/>
                <w14:textFill>
                  <w14:solidFill>
                    <w14:schemeClr w14:val="tx1"/>
                  </w14:solidFill>
                </w14:textFill>
              </w:rPr>
            </w:pPr>
            <w:r>
              <w:rPr>
                <w:rFonts w:hint="eastAsia"/>
                <w:b/>
                <w:color w:val="000000" w:themeColor="text1"/>
                <w:sz w:val="30"/>
                <w:szCs w:val="30"/>
                <w:highlight w:val="none"/>
                <w:lang w:val="en-US" w:eastAsia="zh-CN"/>
                <w14:textFill>
                  <w14:solidFill>
                    <w14:schemeClr w14:val="tx1"/>
                  </w14:solidFill>
                </w14:textFill>
              </w:rPr>
              <w:t>4.6</w:t>
            </w:r>
            <w:r>
              <w:rPr>
                <w:rFonts w:hint="eastAsia" w:ascii="Times New Roman" w:hAnsi="Times New Roman" w:eastAsia="宋体"/>
                <w:b/>
                <w:color w:val="000000" w:themeColor="text1"/>
                <w:sz w:val="30"/>
                <w:szCs w:val="30"/>
                <w:highlight w:val="none"/>
                <w:lang w:val="en-US" w:eastAsia="zh-CN"/>
                <w14:textFill>
                  <w14:solidFill>
                    <w14:schemeClr w14:val="tx1"/>
                  </w14:solidFill>
                </w14:textFill>
              </w:rPr>
              <w:t>改扩建前后三本账分析</w:t>
            </w:r>
          </w:p>
          <w:p w14:paraId="070D1582">
            <w:pPr>
              <w:pStyle w:val="146"/>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改扩建实施前后全厂污染物“三本账”分析详见表</w:t>
            </w:r>
            <w:r>
              <w:rPr>
                <w:rFonts w:hint="eastAsia" w:cs="Times New Roman"/>
                <w:color w:val="000000" w:themeColor="text1"/>
                <w:highlight w:val="none"/>
                <w:lang w:val="en-US" w:eastAsia="zh-CN"/>
                <w14:textFill>
                  <w14:solidFill>
                    <w14:schemeClr w14:val="tx1"/>
                  </w14:solidFill>
                </w14:textFill>
              </w:rPr>
              <w:t>4.6</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p>
          <w:p w14:paraId="3D39A863">
            <w:pPr>
              <w:pStyle w:val="14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right"/>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highlight w:val="none"/>
                <w:lang w:val="en-US" w:eastAsia="zh-CN"/>
                <w14:textFill>
                  <w14:solidFill>
                    <w14:schemeClr w14:val="tx1"/>
                  </w14:solidFill>
                </w14:textFill>
              </w:rPr>
              <w:t>表</w:t>
            </w:r>
            <w:r>
              <w:rPr>
                <w:rFonts w:hint="eastAsia" w:cs="Times New Roman"/>
                <w:b/>
                <w:color w:val="000000" w:themeColor="text1"/>
                <w:highlight w:val="none"/>
                <w:lang w:val="en-US" w:eastAsia="zh-CN"/>
                <w14:textFill>
                  <w14:solidFill>
                    <w14:schemeClr w14:val="tx1"/>
                  </w14:solidFill>
                </w14:textFill>
              </w:rPr>
              <w:t>4.6</w:t>
            </w:r>
            <w:r>
              <w:rPr>
                <w:rFonts w:hint="eastAsia" w:ascii="Times New Roman" w:hAnsi="Times New Roman" w:eastAsia="宋体" w:cs="Times New Roman"/>
                <w:b/>
                <w:color w:val="000000" w:themeColor="text1"/>
                <w:highlight w:val="none"/>
                <w:lang w:val="en-US" w:eastAsia="zh-CN"/>
                <w14:textFill>
                  <w14:solidFill>
                    <w14:schemeClr w14:val="tx1"/>
                  </w14:solidFill>
                </w14:textFill>
              </w:rPr>
              <w:t>-1 改扩建工程实施前后全厂主要污染物“三本账”一览表  单位：t/a</w:t>
            </w:r>
          </w:p>
          <w:tbl>
            <w:tblPr>
              <w:tblStyle w:val="30"/>
              <w:tblW w:w="860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39"/>
              <w:gridCol w:w="1307"/>
              <w:gridCol w:w="999"/>
              <w:gridCol w:w="1159"/>
              <w:gridCol w:w="1247"/>
              <w:gridCol w:w="1229"/>
              <w:gridCol w:w="1029"/>
              <w:gridCol w:w="998"/>
            </w:tblGrid>
            <w:tr w14:paraId="222D33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blHeader/>
              </w:trPr>
              <w:tc>
                <w:tcPr>
                  <w:tcW w:w="1946" w:type="dxa"/>
                  <w:gridSpan w:val="2"/>
                  <w:noWrap w:val="0"/>
                  <w:vAlign w:val="center"/>
                </w:tcPr>
                <w:p w14:paraId="6FBB1164">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污染物类别</w:t>
                  </w:r>
                </w:p>
              </w:tc>
              <w:tc>
                <w:tcPr>
                  <w:tcW w:w="999" w:type="dxa"/>
                  <w:noWrap w:val="0"/>
                  <w:vAlign w:val="center"/>
                </w:tcPr>
                <w:p w14:paraId="5AA5570F">
                  <w:pPr>
                    <w:adjustRightInd w:val="0"/>
                    <w:snapToGrid w:val="0"/>
                    <w:spacing w:line="240" w:lineRule="auto"/>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现有工程</w:t>
                  </w:r>
                  <w:r>
                    <w:rPr>
                      <w:rFonts w:hint="eastAsia" w:cs="Times New Roman"/>
                      <w:color w:val="000000" w:themeColor="text1"/>
                      <w:sz w:val="21"/>
                      <w:szCs w:val="21"/>
                      <w:highlight w:val="none"/>
                      <w:lang w:val="en-US" w:eastAsia="zh-CN"/>
                      <w14:textFill>
                        <w14:solidFill>
                          <w14:schemeClr w14:val="tx1"/>
                        </w14:solidFill>
                      </w14:textFill>
                    </w:rPr>
                    <w:t>许可</w:t>
                  </w:r>
                  <w:r>
                    <w:rPr>
                      <w:rFonts w:ascii="Times New Roman" w:hAnsi="Times New Roman" w:eastAsia="宋体" w:cs="Times New Roman"/>
                      <w:color w:val="000000" w:themeColor="text1"/>
                      <w:sz w:val="21"/>
                      <w:szCs w:val="21"/>
                      <w:highlight w:val="none"/>
                      <w14:textFill>
                        <w14:solidFill>
                          <w14:schemeClr w14:val="tx1"/>
                        </w14:solidFill>
                      </w14:textFill>
                    </w:rPr>
                    <w:t>排放量</w:t>
                  </w:r>
                </w:p>
              </w:tc>
              <w:tc>
                <w:tcPr>
                  <w:tcW w:w="1159" w:type="dxa"/>
                  <w:tcBorders>
                    <w:right w:val="single" w:color="auto" w:sz="4" w:space="0"/>
                  </w:tcBorders>
                  <w:noWrap w:val="0"/>
                  <w:vAlign w:val="center"/>
                </w:tcPr>
                <w:p w14:paraId="50E0F6E0">
                  <w:pPr>
                    <w:adjustRightInd w:val="0"/>
                    <w:snapToGrid w:val="0"/>
                    <w:spacing w:line="240" w:lineRule="auto"/>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现有工程</w:t>
                  </w:r>
                  <w:r>
                    <w:rPr>
                      <w:rFonts w:hint="eastAsia" w:cs="Times New Roman"/>
                      <w:color w:val="000000" w:themeColor="text1"/>
                      <w:sz w:val="21"/>
                      <w:szCs w:val="21"/>
                      <w:highlight w:val="none"/>
                      <w:lang w:val="en-US" w:eastAsia="zh-CN"/>
                      <w14:textFill>
                        <w14:solidFill>
                          <w14:schemeClr w14:val="tx1"/>
                        </w14:solidFill>
                      </w14:textFill>
                    </w:rPr>
                    <w:t>实际</w:t>
                  </w:r>
                  <w:r>
                    <w:rPr>
                      <w:rFonts w:ascii="Times New Roman" w:hAnsi="Times New Roman" w:eastAsia="宋体" w:cs="Times New Roman"/>
                      <w:color w:val="000000" w:themeColor="text1"/>
                      <w:sz w:val="21"/>
                      <w:szCs w:val="21"/>
                      <w:highlight w:val="none"/>
                      <w14:textFill>
                        <w14:solidFill>
                          <w14:schemeClr w14:val="tx1"/>
                        </w14:solidFill>
                      </w14:textFill>
                    </w:rPr>
                    <w:t>排放量</w:t>
                  </w:r>
                </w:p>
              </w:tc>
              <w:tc>
                <w:tcPr>
                  <w:tcW w:w="1247" w:type="dxa"/>
                  <w:tcBorders>
                    <w:left w:val="single" w:color="auto" w:sz="4" w:space="0"/>
                  </w:tcBorders>
                  <w:noWrap w:val="0"/>
                  <w:vAlign w:val="center"/>
                </w:tcPr>
                <w:p w14:paraId="292F4511">
                  <w:pPr>
                    <w:adjustRightInd w:val="0"/>
                    <w:snapToGrid w:val="0"/>
                    <w:spacing w:line="240" w:lineRule="auto"/>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“以新带老”</w:t>
                  </w:r>
                </w:p>
                <w:p w14:paraId="441F85E6">
                  <w:pPr>
                    <w:adjustRightInd w:val="0"/>
                    <w:snapToGrid w:val="0"/>
                    <w:spacing w:line="240" w:lineRule="auto"/>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削减量</w:t>
                  </w:r>
                </w:p>
              </w:tc>
              <w:tc>
                <w:tcPr>
                  <w:tcW w:w="1229" w:type="dxa"/>
                  <w:noWrap w:val="0"/>
                  <w:vAlign w:val="center"/>
                </w:tcPr>
                <w:p w14:paraId="132025F4">
                  <w:pPr>
                    <w:adjustRightInd w:val="0"/>
                    <w:snapToGrid w:val="0"/>
                    <w:spacing w:line="240" w:lineRule="auto"/>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改</w:t>
                  </w:r>
                  <w:r>
                    <w:rPr>
                      <w:rFonts w:ascii="Times New Roman" w:hAnsi="Times New Roman" w:eastAsia="宋体" w:cs="Times New Roman"/>
                      <w:color w:val="000000" w:themeColor="text1"/>
                      <w:sz w:val="21"/>
                      <w:szCs w:val="21"/>
                      <w:highlight w:val="none"/>
                      <w14:textFill>
                        <w14:solidFill>
                          <w14:schemeClr w14:val="tx1"/>
                        </w14:solidFill>
                      </w14:textFill>
                    </w:rPr>
                    <w:t>扩建工</w:t>
                  </w:r>
                </w:p>
                <w:p w14:paraId="64E1B8BE">
                  <w:pPr>
                    <w:adjustRightInd w:val="0"/>
                    <w:snapToGrid w:val="0"/>
                    <w:spacing w:line="240" w:lineRule="auto"/>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程排放量</w:t>
                  </w:r>
                </w:p>
              </w:tc>
              <w:tc>
                <w:tcPr>
                  <w:tcW w:w="1029" w:type="dxa"/>
                  <w:noWrap w:val="0"/>
                  <w:vAlign w:val="center"/>
                </w:tcPr>
                <w:p w14:paraId="5CF60A27">
                  <w:pPr>
                    <w:adjustRightInd w:val="0"/>
                    <w:snapToGrid w:val="0"/>
                    <w:spacing w:line="240" w:lineRule="auto"/>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全厂</w:t>
                  </w:r>
                  <w:r>
                    <w:rPr>
                      <w:rFonts w:ascii="Times New Roman" w:hAnsi="Times New Roman" w:eastAsia="宋体" w:cs="Times New Roman"/>
                      <w:color w:val="000000" w:themeColor="text1"/>
                      <w:sz w:val="21"/>
                      <w:szCs w:val="21"/>
                      <w:highlight w:val="none"/>
                      <w14:textFill>
                        <w14:solidFill>
                          <w14:schemeClr w14:val="tx1"/>
                        </w14:solidFill>
                      </w14:textFill>
                    </w:rPr>
                    <w:t>总排放量</w:t>
                  </w:r>
                </w:p>
              </w:tc>
              <w:tc>
                <w:tcPr>
                  <w:tcW w:w="998" w:type="dxa"/>
                  <w:noWrap w:val="0"/>
                  <w:vAlign w:val="center"/>
                </w:tcPr>
                <w:p w14:paraId="0F7AD409">
                  <w:pPr>
                    <w:adjustRightInd w:val="0"/>
                    <w:snapToGrid w:val="0"/>
                    <w:spacing w:line="240" w:lineRule="auto"/>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增减量变化</w:t>
                  </w:r>
                </w:p>
              </w:tc>
            </w:tr>
            <w:tr w14:paraId="2A09DC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9" w:type="dxa"/>
                  <w:vMerge w:val="restart"/>
                  <w:noWrap w:val="0"/>
                  <w:vAlign w:val="center"/>
                </w:tcPr>
                <w:p w14:paraId="7A2C73F0">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废水</w:t>
                  </w:r>
                </w:p>
              </w:tc>
              <w:tc>
                <w:tcPr>
                  <w:tcW w:w="1307" w:type="dxa"/>
                  <w:noWrap w:val="0"/>
                  <w:vAlign w:val="center"/>
                </w:tcPr>
                <w:p w14:paraId="2A94E97B">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废水量</w:t>
                  </w:r>
                </w:p>
              </w:tc>
              <w:tc>
                <w:tcPr>
                  <w:tcW w:w="999" w:type="dxa"/>
                  <w:shd w:val="clear" w:color="auto" w:fill="auto"/>
                  <w:noWrap w:val="0"/>
                  <w:vAlign w:val="center"/>
                </w:tcPr>
                <w:p w14:paraId="0412A44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1582</w:t>
                  </w:r>
                </w:p>
              </w:tc>
              <w:tc>
                <w:tcPr>
                  <w:tcW w:w="1159" w:type="dxa"/>
                  <w:tcBorders>
                    <w:right w:val="single" w:color="auto" w:sz="4" w:space="0"/>
                  </w:tcBorders>
                  <w:shd w:val="clear" w:color="auto" w:fill="auto"/>
                  <w:noWrap w:val="0"/>
                  <w:vAlign w:val="center"/>
                </w:tcPr>
                <w:p w14:paraId="51CCFAD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1608</w:t>
                  </w:r>
                </w:p>
              </w:tc>
              <w:tc>
                <w:tcPr>
                  <w:tcW w:w="1247" w:type="dxa"/>
                  <w:tcBorders>
                    <w:left w:val="single" w:color="auto" w:sz="4" w:space="0"/>
                  </w:tcBorders>
                  <w:noWrap w:val="0"/>
                  <w:vAlign w:val="center"/>
                </w:tcPr>
                <w:p w14:paraId="10E3BD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229" w:type="dxa"/>
                  <w:noWrap w:val="0"/>
                  <w:vAlign w:val="center"/>
                </w:tcPr>
                <w:p w14:paraId="5567F1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9900</w:t>
                  </w:r>
                </w:p>
              </w:tc>
              <w:tc>
                <w:tcPr>
                  <w:tcW w:w="1029" w:type="dxa"/>
                  <w:shd w:val="clear" w:color="auto" w:fill="auto"/>
                  <w:noWrap w:val="0"/>
                  <w:vAlign w:val="center"/>
                </w:tcPr>
                <w:p w14:paraId="0B17A1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11482</w:t>
                  </w:r>
                </w:p>
              </w:tc>
              <w:tc>
                <w:tcPr>
                  <w:tcW w:w="998" w:type="dxa"/>
                  <w:noWrap w:val="0"/>
                  <w:vAlign w:val="center"/>
                </w:tcPr>
                <w:p w14:paraId="6D505A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9874</w:t>
                  </w:r>
                </w:p>
              </w:tc>
            </w:tr>
            <w:tr w14:paraId="7C0513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9" w:type="dxa"/>
                  <w:vMerge w:val="continue"/>
                  <w:noWrap w:val="0"/>
                  <w:vAlign w:val="center"/>
                </w:tcPr>
                <w:p w14:paraId="7779C68D">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307" w:type="dxa"/>
                  <w:noWrap w:val="0"/>
                  <w:vAlign w:val="center"/>
                </w:tcPr>
                <w:p w14:paraId="79DF849E">
                  <w:pPr>
                    <w:adjustRightInd w:val="0"/>
                    <w:snapToGrid w:val="0"/>
                    <w:spacing w:line="240" w:lineRule="auto"/>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COD</w:t>
                  </w:r>
                </w:p>
              </w:tc>
              <w:tc>
                <w:tcPr>
                  <w:tcW w:w="999" w:type="dxa"/>
                  <w:shd w:val="clear" w:color="auto" w:fill="auto"/>
                  <w:noWrap w:val="0"/>
                  <w:vAlign w:val="center"/>
                </w:tcPr>
                <w:p w14:paraId="2C531C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0.1446</w:t>
                  </w:r>
                </w:p>
              </w:tc>
              <w:tc>
                <w:tcPr>
                  <w:tcW w:w="1159" w:type="dxa"/>
                  <w:tcBorders>
                    <w:right w:val="single" w:color="auto" w:sz="4" w:space="0"/>
                  </w:tcBorders>
                  <w:shd w:val="clear" w:color="auto" w:fill="auto"/>
                  <w:noWrap w:val="0"/>
                  <w:vAlign w:val="center"/>
                </w:tcPr>
                <w:p w14:paraId="132606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0.0804</w:t>
                  </w:r>
                </w:p>
              </w:tc>
              <w:tc>
                <w:tcPr>
                  <w:tcW w:w="1247" w:type="dxa"/>
                  <w:tcBorders>
                    <w:left w:val="single" w:color="auto" w:sz="4" w:space="0"/>
                  </w:tcBorders>
                  <w:noWrap w:val="0"/>
                  <w:vAlign w:val="center"/>
                </w:tcPr>
                <w:p w14:paraId="288867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229" w:type="dxa"/>
                  <w:noWrap w:val="0"/>
                  <w:vAlign w:val="center"/>
                </w:tcPr>
                <w:p w14:paraId="35A658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0.4295</w:t>
                  </w:r>
                </w:p>
              </w:tc>
              <w:tc>
                <w:tcPr>
                  <w:tcW w:w="1029" w:type="dxa"/>
                  <w:noWrap w:val="0"/>
                  <w:vAlign w:val="center"/>
                </w:tcPr>
                <w:p w14:paraId="139CBF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0.574 </w:t>
                  </w:r>
                </w:p>
              </w:tc>
              <w:tc>
                <w:tcPr>
                  <w:tcW w:w="998" w:type="dxa"/>
                  <w:noWrap w:val="0"/>
                  <w:vAlign w:val="center"/>
                </w:tcPr>
                <w:p w14:paraId="7410D0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0.4937</w:t>
                  </w:r>
                </w:p>
              </w:tc>
            </w:tr>
            <w:tr w14:paraId="004C05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9" w:type="dxa"/>
                  <w:vMerge w:val="continue"/>
                  <w:noWrap w:val="0"/>
                  <w:vAlign w:val="center"/>
                </w:tcPr>
                <w:p w14:paraId="413FF7A7">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307" w:type="dxa"/>
                  <w:tcBorders>
                    <w:bottom w:val="single" w:color="auto" w:sz="4" w:space="0"/>
                  </w:tcBorders>
                  <w:noWrap w:val="0"/>
                  <w:vAlign w:val="center"/>
                </w:tcPr>
                <w:p w14:paraId="4CAA5A74">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NH</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-N</w:t>
                  </w:r>
                </w:p>
              </w:tc>
              <w:tc>
                <w:tcPr>
                  <w:tcW w:w="999" w:type="dxa"/>
                  <w:tcBorders>
                    <w:bottom w:val="single" w:color="auto" w:sz="4" w:space="0"/>
                  </w:tcBorders>
                  <w:shd w:val="clear" w:color="auto" w:fill="auto"/>
                  <w:noWrap w:val="0"/>
                  <w:vAlign w:val="center"/>
                </w:tcPr>
                <w:p w14:paraId="3D0174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0.009</w:t>
                  </w:r>
                </w:p>
              </w:tc>
              <w:tc>
                <w:tcPr>
                  <w:tcW w:w="1159" w:type="dxa"/>
                  <w:tcBorders>
                    <w:bottom w:val="single" w:color="auto" w:sz="4" w:space="0"/>
                    <w:right w:val="single" w:color="auto" w:sz="4" w:space="0"/>
                  </w:tcBorders>
                  <w:shd w:val="clear" w:color="auto" w:fill="auto"/>
                  <w:noWrap w:val="0"/>
                  <w:vAlign w:val="center"/>
                </w:tcPr>
                <w:p w14:paraId="6A2002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0.008</w:t>
                  </w:r>
                </w:p>
              </w:tc>
              <w:tc>
                <w:tcPr>
                  <w:tcW w:w="1247" w:type="dxa"/>
                  <w:tcBorders>
                    <w:left w:val="single" w:color="auto" w:sz="4" w:space="0"/>
                    <w:bottom w:val="single" w:color="auto" w:sz="4" w:space="0"/>
                  </w:tcBorders>
                  <w:noWrap w:val="0"/>
                  <w:vAlign w:val="center"/>
                </w:tcPr>
                <w:p w14:paraId="3525B3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229" w:type="dxa"/>
                  <w:tcBorders>
                    <w:bottom w:val="single" w:color="auto" w:sz="4" w:space="0"/>
                  </w:tcBorders>
                  <w:noWrap w:val="0"/>
                  <w:vAlign w:val="center"/>
                </w:tcPr>
                <w:p w14:paraId="2AADCC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0.04841</w:t>
                  </w:r>
                </w:p>
              </w:tc>
              <w:tc>
                <w:tcPr>
                  <w:tcW w:w="1029" w:type="dxa"/>
                  <w:tcBorders>
                    <w:bottom w:val="single" w:color="auto" w:sz="4" w:space="0"/>
                  </w:tcBorders>
                  <w:noWrap w:val="0"/>
                  <w:vAlign w:val="center"/>
                </w:tcPr>
                <w:p w14:paraId="44A18CE0">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0.057 </w:t>
                  </w:r>
                </w:p>
              </w:tc>
              <w:tc>
                <w:tcPr>
                  <w:tcW w:w="998" w:type="dxa"/>
                  <w:tcBorders>
                    <w:bottom w:val="single" w:color="auto" w:sz="4" w:space="0"/>
                  </w:tcBorders>
                  <w:noWrap w:val="0"/>
                  <w:vAlign w:val="center"/>
                </w:tcPr>
                <w:p w14:paraId="5BA34D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0.04941</w:t>
                  </w:r>
                </w:p>
              </w:tc>
            </w:tr>
            <w:tr w14:paraId="78E55F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639" w:type="dxa"/>
                  <w:vMerge w:val="restart"/>
                  <w:tcBorders>
                    <w:top w:val="single" w:color="auto" w:sz="4" w:space="0"/>
                  </w:tcBorders>
                  <w:noWrap w:val="0"/>
                  <w:vAlign w:val="center"/>
                </w:tcPr>
                <w:p w14:paraId="788AE5C7">
                  <w:pPr>
                    <w:adjustRightInd w:val="0"/>
                    <w:snapToGrid w:val="0"/>
                    <w:spacing w:line="240" w:lineRule="auto"/>
                    <w:ind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废气</w:t>
                  </w:r>
                </w:p>
              </w:tc>
              <w:tc>
                <w:tcPr>
                  <w:tcW w:w="1307" w:type="dxa"/>
                  <w:noWrap w:val="0"/>
                  <w:vAlign w:val="center"/>
                </w:tcPr>
                <w:p w14:paraId="384FF8CF">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999" w:type="dxa"/>
                  <w:shd w:val="clear" w:color="auto" w:fill="auto"/>
                  <w:noWrap w:val="0"/>
                  <w:vAlign w:val="center"/>
                </w:tcPr>
                <w:p w14:paraId="25AFD3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0.023</w:t>
                  </w:r>
                </w:p>
              </w:tc>
              <w:tc>
                <w:tcPr>
                  <w:tcW w:w="1159" w:type="dxa"/>
                  <w:tcBorders>
                    <w:right w:val="single" w:color="auto" w:sz="4" w:space="0"/>
                  </w:tcBorders>
                  <w:shd w:val="clear" w:color="auto" w:fill="auto"/>
                  <w:noWrap w:val="0"/>
                  <w:vAlign w:val="center"/>
                </w:tcPr>
                <w:p w14:paraId="38FEC8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0.091</w:t>
                  </w:r>
                </w:p>
              </w:tc>
              <w:tc>
                <w:tcPr>
                  <w:tcW w:w="1247" w:type="dxa"/>
                  <w:tcBorders>
                    <w:left w:val="single" w:color="auto" w:sz="4" w:space="0"/>
                  </w:tcBorders>
                  <w:noWrap w:val="0"/>
                  <w:vAlign w:val="center"/>
                </w:tcPr>
                <w:p w14:paraId="5D9A6D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0.023</w:t>
                  </w:r>
                </w:p>
              </w:tc>
              <w:tc>
                <w:tcPr>
                  <w:tcW w:w="1229" w:type="dxa"/>
                  <w:noWrap w:val="0"/>
                  <w:vAlign w:val="center"/>
                </w:tcPr>
                <w:p w14:paraId="46E16C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1.825</w:t>
                  </w:r>
                </w:p>
              </w:tc>
              <w:tc>
                <w:tcPr>
                  <w:tcW w:w="1029" w:type="dxa"/>
                  <w:shd w:val="clear" w:color="auto" w:fill="auto"/>
                  <w:noWrap w:val="0"/>
                  <w:vAlign w:val="center"/>
                </w:tcPr>
                <w:p w14:paraId="1DFA26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1.893</w:t>
                  </w:r>
                </w:p>
              </w:tc>
              <w:tc>
                <w:tcPr>
                  <w:tcW w:w="998" w:type="dxa"/>
                  <w:noWrap w:val="0"/>
                  <w:vAlign w:val="center"/>
                </w:tcPr>
                <w:p w14:paraId="2D208E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1.802</w:t>
                  </w:r>
                </w:p>
              </w:tc>
            </w:tr>
            <w:tr w14:paraId="304A01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39" w:type="dxa"/>
                  <w:vMerge w:val="continue"/>
                  <w:noWrap w:val="0"/>
                  <w:vAlign w:val="center"/>
                </w:tcPr>
                <w:p w14:paraId="2B6F1A9A">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307" w:type="dxa"/>
                  <w:noWrap w:val="0"/>
                  <w:vAlign w:val="center"/>
                </w:tcPr>
                <w:p w14:paraId="39894D60">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SO</w:t>
                  </w:r>
                  <w:r>
                    <w:rPr>
                      <w:rFonts w:ascii="Times New Roman" w:hAnsi="Times New Roman" w:eastAsia="宋体" w:cs="Times New Roman"/>
                      <w:color w:val="000000" w:themeColor="text1"/>
                      <w:sz w:val="21"/>
                      <w:szCs w:val="21"/>
                      <w:vertAlign w:val="subscript"/>
                      <w14:textFill>
                        <w14:solidFill>
                          <w14:schemeClr w14:val="tx1"/>
                        </w14:solidFill>
                      </w14:textFill>
                    </w:rPr>
                    <w:t>2</w:t>
                  </w:r>
                </w:p>
              </w:tc>
              <w:tc>
                <w:tcPr>
                  <w:tcW w:w="999" w:type="dxa"/>
                  <w:shd w:val="clear" w:color="auto" w:fill="auto"/>
                  <w:noWrap w:val="0"/>
                  <w:vAlign w:val="center"/>
                </w:tcPr>
                <w:p w14:paraId="7FE22E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0.0036</w:t>
                  </w:r>
                </w:p>
              </w:tc>
              <w:tc>
                <w:tcPr>
                  <w:tcW w:w="1159" w:type="dxa"/>
                  <w:tcBorders>
                    <w:right w:val="single" w:color="auto" w:sz="4" w:space="0"/>
                  </w:tcBorders>
                  <w:shd w:val="clear" w:color="auto" w:fill="auto"/>
                  <w:noWrap w:val="0"/>
                  <w:vAlign w:val="center"/>
                </w:tcPr>
                <w:p w14:paraId="3B6E74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0.066</w:t>
                  </w:r>
                </w:p>
              </w:tc>
              <w:tc>
                <w:tcPr>
                  <w:tcW w:w="1247" w:type="dxa"/>
                  <w:tcBorders>
                    <w:left w:val="single" w:color="auto" w:sz="4" w:space="0"/>
                  </w:tcBorders>
                  <w:noWrap w:val="0"/>
                  <w:vAlign w:val="center"/>
                </w:tcPr>
                <w:p w14:paraId="5C9E4D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0.0036</w:t>
                  </w:r>
                </w:p>
              </w:tc>
              <w:tc>
                <w:tcPr>
                  <w:tcW w:w="1229" w:type="dxa"/>
                  <w:noWrap w:val="0"/>
                  <w:vAlign w:val="center"/>
                </w:tcPr>
                <w:p w14:paraId="576333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0.0336</w:t>
                  </w:r>
                </w:p>
              </w:tc>
              <w:tc>
                <w:tcPr>
                  <w:tcW w:w="1029" w:type="dxa"/>
                  <w:shd w:val="clear" w:color="auto" w:fill="auto"/>
                  <w:noWrap w:val="0"/>
                  <w:vAlign w:val="center"/>
                </w:tcPr>
                <w:p w14:paraId="34D5C7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0.096</w:t>
                  </w:r>
                </w:p>
              </w:tc>
              <w:tc>
                <w:tcPr>
                  <w:tcW w:w="998" w:type="dxa"/>
                  <w:noWrap w:val="0"/>
                  <w:vAlign w:val="center"/>
                </w:tcPr>
                <w:p w14:paraId="25E255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w:t>
                  </w:r>
                </w:p>
              </w:tc>
            </w:tr>
            <w:tr w14:paraId="1C0D92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9" w:type="dxa"/>
                  <w:vMerge w:val="continue"/>
                  <w:noWrap w:val="0"/>
                  <w:vAlign w:val="center"/>
                </w:tcPr>
                <w:p w14:paraId="564FB615">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307" w:type="dxa"/>
                  <w:noWrap w:val="0"/>
                  <w:vAlign w:val="center"/>
                </w:tcPr>
                <w:p w14:paraId="24B0155E">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NOx</w:t>
                  </w:r>
                </w:p>
              </w:tc>
              <w:tc>
                <w:tcPr>
                  <w:tcW w:w="999" w:type="dxa"/>
                  <w:shd w:val="clear" w:color="auto" w:fill="auto"/>
                  <w:noWrap w:val="0"/>
                  <w:vAlign w:val="center"/>
                </w:tcPr>
                <w:p w14:paraId="49104C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0.0605</w:t>
                  </w:r>
                </w:p>
              </w:tc>
              <w:tc>
                <w:tcPr>
                  <w:tcW w:w="1159" w:type="dxa"/>
                  <w:tcBorders>
                    <w:right w:val="single" w:color="auto" w:sz="4" w:space="0"/>
                  </w:tcBorders>
                  <w:shd w:val="clear" w:color="auto" w:fill="auto"/>
                  <w:noWrap w:val="0"/>
                  <w:vAlign w:val="center"/>
                </w:tcPr>
                <w:p w14:paraId="040DC0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0.168</w:t>
                  </w:r>
                </w:p>
              </w:tc>
              <w:tc>
                <w:tcPr>
                  <w:tcW w:w="1247" w:type="dxa"/>
                  <w:tcBorders>
                    <w:left w:val="single" w:color="auto" w:sz="4" w:space="0"/>
                  </w:tcBorders>
                  <w:noWrap w:val="0"/>
                  <w:vAlign w:val="center"/>
                </w:tcPr>
                <w:p w14:paraId="14E667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0.0605</w:t>
                  </w:r>
                </w:p>
              </w:tc>
              <w:tc>
                <w:tcPr>
                  <w:tcW w:w="1229" w:type="dxa"/>
                  <w:noWrap w:val="0"/>
                  <w:vAlign w:val="center"/>
                </w:tcPr>
                <w:p w14:paraId="1D09B6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0.7795</w:t>
                  </w:r>
                </w:p>
              </w:tc>
              <w:tc>
                <w:tcPr>
                  <w:tcW w:w="1029" w:type="dxa"/>
                  <w:shd w:val="clear" w:color="auto" w:fill="auto"/>
                  <w:noWrap w:val="0"/>
                  <w:vAlign w:val="center"/>
                </w:tcPr>
                <w:p w14:paraId="40D38F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0.887</w:t>
                  </w:r>
                </w:p>
              </w:tc>
              <w:tc>
                <w:tcPr>
                  <w:tcW w:w="998" w:type="dxa"/>
                  <w:noWrap w:val="0"/>
                  <w:vAlign w:val="center"/>
                </w:tcPr>
                <w:p w14:paraId="6ACF4C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0.719</w:t>
                  </w:r>
                </w:p>
              </w:tc>
            </w:tr>
            <w:tr w14:paraId="339BD8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9" w:type="dxa"/>
                  <w:vMerge w:val="continue"/>
                  <w:noWrap w:val="0"/>
                  <w:vAlign w:val="center"/>
                </w:tcPr>
                <w:p w14:paraId="068227F5">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307" w:type="dxa"/>
                  <w:noWrap w:val="0"/>
                  <w:vAlign w:val="center"/>
                </w:tcPr>
                <w:p w14:paraId="27A48A80">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999" w:type="dxa"/>
                  <w:shd w:val="clear" w:color="auto" w:fill="auto"/>
                  <w:noWrap w:val="0"/>
                  <w:vAlign w:val="center"/>
                </w:tcPr>
                <w:p w14:paraId="521A39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2.645</w:t>
                  </w:r>
                </w:p>
              </w:tc>
              <w:tc>
                <w:tcPr>
                  <w:tcW w:w="1159" w:type="dxa"/>
                  <w:tcBorders>
                    <w:right w:val="single" w:color="auto" w:sz="4" w:space="0"/>
                  </w:tcBorders>
                  <w:shd w:val="clear" w:color="auto" w:fill="auto"/>
                  <w:noWrap w:val="0"/>
                  <w:vAlign w:val="center"/>
                </w:tcPr>
                <w:p w14:paraId="2CF3468E">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0.076</w:t>
                  </w:r>
                </w:p>
              </w:tc>
              <w:tc>
                <w:tcPr>
                  <w:tcW w:w="1247" w:type="dxa"/>
                  <w:tcBorders>
                    <w:left w:val="single" w:color="auto" w:sz="4" w:space="0"/>
                  </w:tcBorders>
                  <w:noWrap w:val="0"/>
                  <w:vAlign w:val="center"/>
                </w:tcPr>
                <w:p w14:paraId="64469337">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2.1828</w:t>
                  </w:r>
                </w:p>
              </w:tc>
              <w:tc>
                <w:tcPr>
                  <w:tcW w:w="1229" w:type="dxa"/>
                  <w:noWrap w:val="0"/>
                  <w:vAlign w:val="center"/>
                </w:tcPr>
                <w:p w14:paraId="755D719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5.7338</w:t>
                  </w:r>
                </w:p>
              </w:tc>
              <w:tc>
                <w:tcPr>
                  <w:tcW w:w="1029" w:type="dxa"/>
                  <w:shd w:val="clear" w:color="auto" w:fill="auto"/>
                  <w:noWrap w:val="0"/>
                  <w:vAlign w:val="center"/>
                </w:tcPr>
                <w:p w14:paraId="3958B506">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3.627</w:t>
                  </w:r>
                </w:p>
              </w:tc>
              <w:tc>
                <w:tcPr>
                  <w:tcW w:w="998" w:type="dxa"/>
                  <w:noWrap w:val="0"/>
                  <w:vAlign w:val="center"/>
                </w:tcPr>
                <w:p w14:paraId="5178C5D8">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3.551</w:t>
                  </w:r>
                </w:p>
              </w:tc>
            </w:tr>
            <w:tr w14:paraId="2C5EEF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9" w:type="dxa"/>
                  <w:vMerge w:val="continue"/>
                  <w:noWrap w:val="0"/>
                  <w:vAlign w:val="center"/>
                </w:tcPr>
                <w:p w14:paraId="4D371C6B">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307" w:type="dxa"/>
                  <w:noWrap w:val="0"/>
                  <w:vAlign w:val="center"/>
                </w:tcPr>
                <w:p w14:paraId="6EDC8A55">
                  <w:pPr>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甲苯</w:t>
                  </w:r>
                </w:p>
              </w:tc>
              <w:tc>
                <w:tcPr>
                  <w:tcW w:w="999" w:type="dxa"/>
                  <w:noWrap w:val="0"/>
                  <w:vAlign w:val="center"/>
                </w:tcPr>
                <w:p w14:paraId="45BC5F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159" w:type="dxa"/>
                  <w:tcBorders>
                    <w:right w:val="single" w:color="auto" w:sz="4" w:space="0"/>
                  </w:tcBorders>
                  <w:shd w:val="clear" w:color="auto" w:fill="auto"/>
                  <w:noWrap w:val="0"/>
                  <w:vAlign w:val="center"/>
                </w:tcPr>
                <w:p w14:paraId="60AC70E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0.015</w:t>
                  </w:r>
                </w:p>
              </w:tc>
              <w:tc>
                <w:tcPr>
                  <w:tcW w:w="1247" w:type="dxa"/>
                  <w:tcBorders>
                    <w:left w:val="single" w:color="auto" w:sz="4" w:space="0"/>
                  </w:tcBorders>
                  <w:noWrap w:val="0"/>
                  <w:vAlign w:val="center"/>
                </w:tcPr>
                <w:p w14:paraId="50424C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229" w:type="dxa"/>
                  <w:noWrap w:val="0"/>
                  <w:vAlign w:val="center"/>
                </w:tcPr>
                <w:p w14:paraId="21F95092">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0.055</w:t>
                  </w:r>
                </w:p>
              </w:tc>
              <w:tc>
                <w:tcPr>
                  <w:tcW w:w="1029" w:type="dxa"/>
                  <w:shd w:val="clear" w:color="auto" w:fill="auto"/>
                  <w:noWrap w:val="0"/>
                  <w:vAlign w:val="center"/>
                </w:tcPr>
                <w:p w14:paraId="59384857">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w:t>
                  </w:r>
                </w:p>
              </w:tc>
              <w:tc>
                <w:tcPr>
                  <w:tcW w:w="998" w:type="dxa"/>
                  <w:noWrap w:val="0"/>
                  <w:vAlign w:val="center"/>
                </w:tcPr>
                <w:p w14:paraId="2A535DD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0.055</w:t>
                  </w:r>
                </w:p>
              </w:tc>
            </w:tr>
            <w:tr w14:paraId="1FBEF9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9" w:type="dxa"/>
                  <w:vMerge w:val="continue"/>
                  <w:noWrap w:val="0"/>
                  <w:vAlign w:val="center"/>
                </w:tcPr>
                <w:p w14:paraId="0459D1E0">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307" w:type="dxa"/>
                  <w:shd w:val="clear" w:color="auto" w:fill="auto"/>
                  <w:noWrap w:val="0"/>
                  <w:vAlign w:val="center"/>
                </w:tcPr>
                <w:p w14:paraId="0D5BC95F">
                  <w:pPr>
                    <w:adjustRightInd w:val="0"/>
                    <w:snapToGri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二甲苯</w:t>
                  </w:r>
                </w:p>
              </w:tc>
              <w:tc>
                <w:tcPr>
                  <w:tcW w:w="999" w:type="dxa"/>
                  <w:shd w:val="clear" w:color="auto" w:fill="auto"/>
                  <w:noWrap w:val="0"/>
                  <w:vAlign w:val="center"/>
                </w:tcPr>
                <w:p w14:paraId="24803C3D">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0.0963</w:t>
                  </w:r>
                </w:p>
              </w:tc>
              <w:tc>
                <w:tcPr>
                  <w:tcW w:w="1159" w:type="dxa"/>
                  <w:tcBorders>
                    <w:right w:val="single" w:color="auto" w:sz="4" w:space="0"/>
                  </w:tcBorders>
                  <w:shd w:val="clear" w:color="auto" w:fill="auto"/>
                  <w:noWrap w:val="0"/>
                  <w:vAlign w:val="center"/>
                </w:tcPr>
                <w:p w14:paraId="170236B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w:t>
                  </w:r>
                </w:p>
              </w:tc>
              <w:tc>
                <w:tcPr>
                  <w:tcW w:w="1247" w:type="dxa"/>
                  <w:tcBorders>
                    <w:left w:val="single" w:color="auto" w:sz="4" w:space="0"/>
                  </w:tcBorders>
                  <w:noWrap w:val="0"/>
                  <w:vAlign w:val="center"/>
                </w:tcPr>
                <w:p w14:paraId="0F71E0B8">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0.0963</w:t>
                  </w:r>
                </w:p>
              </w:tc>
              <w:tc>
                <w:tcPr>
                  <w:tcW w:w="1229" w:type="dxa"/>
                  <w:noWrap w:val="0"/>
                  <w:vAlign w:val="center"/>
                </w:tcPr>
                <w:p w14:paraId="6C3AB2F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0.1443</w:t>
                  </w:r>
                </w:p>
              </w:tc>
              <w:tc>
                <w:tcPr>
                  <w:tcW w:w="1029" w:type="dxa"/>
                  <w:shd w:val="clear" w:color="auto" w:fill="auto"/>
                  <w:noWrap w:val="0"/>
                  <w:vAlign w:val="center"/>
                </w:tcPr>
                <w:p w14:paraId="1BEAF5E3">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w:t>
                  </w:r>
                </w:p>
              </w:tc>
              <w:tc>
                <w:tcPr>
                  <w:tcW w:w="998" w:type="dxa"/>
                  <w:noWrap w:val="0"/>
                  <w:vAlign w:val="center"/>
                </w:tcPr>
                <w:p w14:paraId="2411E86E">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0.048</w:t>
                  </w:r>
                </w:p>
              </w:tc>
            </w:tr>
            <w:tr w14:paraId="7D479F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9" w:type="dxa"/>
                  <w:vMerge w:val="continue"/>
                  <w:noWrap w:val="0"/>
                  <w:vAlign w:val="center"/>
                </w:tcPr>
                <w:p w14:paraId="39706A26">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307" w:type="dxa"/>
                  <w:noWrap w:val="0"/>
                  <w:vAlign w:val="center"/>
                </w:tcPr>
                <w:p w14:paraId="66AF3E43">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乙酸丁酯</w:t>
                  </w:r>
                </w:p>
              </w:tc>
              <w:tc>
                <w:tcPr>
                  <w:tcW w:w="999" w:type="dxa"/>
                  <w:noWrap w:val="0"/>
                  <w:vAlign w:val="center"/>
                </w:tcPr>
                <w:p w14:paraId="37AB6B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159" w:type="dxa"/>
                  <w:tcBorders>
                    <w:right w:val="single" w:color="auto" w:sz="4" w:space="0"/>
                  </w:tcBorders>
                  <w:shd w:val="clear" w:color="auto" w:fill="auto"/>
                  <w:noWrap w:val="0"/>
                  <w:vAlign w:val="center"/>
                </w:tcPr>
                <w:p w14:paraId="6FBBD0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247" w:type="dxa"/>
                  <w:tcBorders>
                    <w:left w:val="single" w:color="auto" w:sz="4" w:space="0"/>
                  </w:tcBorders>
                  <w:noWrap w:val="0"/>
                  <w:vAlign w:val="center"/>
                </w:tcPr>
                <w:p w14:paraId="0EA8C13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229" w:type="dxa"/>
                  <w:noWrap w:val="0"/>
                  <w:vAlign w:val="center"/>
                </w:tcPr>
                <w:p w14:paraId="29C3E0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0.022</w:t>
                  </w:r>
                </w:p>
              </w:tc>
              <w:tc>
                <w:tcPr>
                  <w:tcW w:w="1029" w:type="dxa"/>
                  <w:shd w:val="clear" w:color="auto" w:fill="auto"/>
                  <w:noWrap w:val="0"/>
                  <w:vAlign w:val="center"/>
                </w:tcPr>
                <w:p w14:paraId="4E657EA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0.022</w:t>
                  </w:r>
                </w:p>
              </w:tc>
              <w:tc>
                <w:tcPr>
                  <w:tcW w:w="998" w:type="dxa"/>
                  <w:noWrap w:val="0"/>
                  <w:vAlign w:val="center"/>
                </w:tcPr>
                <w:p w14:paraId="3A3503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0.022</w:t>
                  </w:r>
                </w:p>
              </w:tc>
            </w:tr>
            <w:tr w14:paraId="109A55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9" w:type="dxa"/>
                  <w:vMerge w:val="restart"/>
                  <w:noWrap w:val="0"/>
                  <w:vAlign w:val="center"/>
                </w:tcPr>
                <w:p w14:paraId="42C645D3">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固体 废物</w:t>
                  </w:r>
                </w:p>
              </w:tc>
              <w:tc>
                <w:tcPr>
                  <w:tcW w:w="1307" w:type="dxa"/>
                  <w:noWrap w:val="0"/>
                  <w:vAlign w:val="center"/>
                </w:tcPr>
                <w:p w14:paraId="6C6466D4">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一般固废</w:t>
                  </w:r>
                </w:p>
              </w:tc>
              <w:tc>
                <w:tcPr>
                  <w:tcW w:w="999" w:type="dxa"/>
                  <w:shd w:val="clear" w:color="auto" w:fill="auto"/>
                  <w:noWrap w:val="0"/>
                  <w:vAlign w:val="center"/>
                </w:tcPr>
                <w:p w14:paraId="4DD4AD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51</w:t>
                  </w:r>
                </w:p>
              </w:tc>
              <w:tc>
                <w:tcPr>
                  <w:tcW w:w="1159" w:type="dxa"/>
                  <w:tcBorders>
                    <w:right w:val="single" w:color="auto" w:sz="4" w:space="0"/>
                  </w:tcBorders>
                  <w:noWrap w:val="0"/>
                  <w:vAlign w:val="center"/>
                </w:tcPr>
                <w:p w14:paraId="582FD7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1247" w:type="dxa"/>
                  <w:tcBorders>
                    <w:left w:val="single" w:color="auto" w:sz="4" w:space="0"/>
                  </w:tcBorders>
                  <w:noWrap w:val="0"/>
                  <w:vAlign w:val="center"/>
                </w:tcPr>
                <w:p w14:paraId="6DF0D0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229" w:type="dxa"/>
                  <w:noWrap w:val="0"/>
                  <w:vAlign w:val="center"/>
                </w:tcPr>
                <w:p w14:paraId="7BFC9C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8.623</w:t>
                  </w:r>
                </w:p>
              </w:tc>
              <w:tc>
                <w:tcPr>
                  <w:tcW w:w="1029" w:type="dxa"/>
                  <w:noWrap w:val="0"/>
                  <w:vAlign w:val="center"/>
                </w:tcPr>
                <w:p w14:paraId="7EE32D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9.023</w:t>
                  </w:r>
                </w:p>
              </w:tc>
              <w:tc>
                <w:tcPr>
                  <w:tcW w:w="998" w:type="dxa"/>
                  <w:noWrap w:val="0"/>
                  <w:vAlign w:val="center"/>
                </w:tcPr>
                <w:p w14:paraId="3381A7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8.623</w:t>
                  </w:r>
                </w:p>
              </w:tc>
            </w:tr>
            <w:tr w14:paraId="73B18D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9" w:type="dxa"/>
                  <w:vMerge w:val="continue"/>
                  <w:noWrap w:val="0"/>
                  <w:vAlign w:val="center"/>
                </w:tcPr>
                <w:p w14:paraId="3C50244D">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307" w:type="dxa"/>
                  <w:noWrap w:val="0"/>
                  <w:vAlign w:val="center"/>
                </w:tcPr>
                <w:p w14:paraId="034EC8D7">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危险废物</w:t>
                  </w:r>
                </w:p>
              </w:tc>
              <w:tc>
                <w:tcPr>
                  <w:tcW w:w="999" w:type="dxa"/>
                  <w:shd w:val="clear" w:color="auto" w:fill="auto"/>
                  <w:noWrap w:val="0"/>
                  <w:vAlign w:val="center"/>
                </w:tcPr>
                <w:p w14:paraId="60F92B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58.372</w:t>
                  </w:r>
                </w:p>
              </w:tc>
              <w:tc>
                <w:tcPr>
                  <w:tcW w:w="1159" w:type="dxa"/>
                  <w:tcBorders>
                    <w:right w:val="single" w:color="auto" w:sz="4" w:space="0"/>
                  </w:tcBorders>
                  <w:noWrap w:val="0"/>
                  <w:vAlign w:val="center"/>
                </w:tcPr>
                <w:p w14:paraId="546569B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22.25</w:t>
                  </w:r>
                </w:p>
              </w:tc>
              <w:tc>
                <w:tcPr>
                  <w:tcW w:w="1247" w:type="dxa"/>
                  <w:tcBorders>
                    <w:left w:val="single" w:color="auto" w:sz="4" w:space="0"/>
                  </w:tcBorders>
                  <w:noWrap w:val="0"/>
                  <w:vAlign w:val="center"/>
                </w:tcPr>
                <w:p w14:paraId="773C70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w:t>
                  </w:r>
                </w:p>
              </w:tc>
              <w:tc>
                <w:tcPr>
                  <w:tcW w:w="1229" w:type="dxa"/>
                  <w:noWrap w:val="0"/>
                  <w:vAlign w:val="center"/>
                </w:tcPr>
                <w:p w14:paraId="110408C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248.352</w:t>
                  </w:r>
                </w:p>
              </w:tc>
              <w:tc>
                <w:tcPr>
                  <w:tcW w:w="1029" w:type="dxa"/>
                  <w:noWrap w:val="0"/>
                  <w:vAlign w:val="center"/>
                </w:tcPr>
                <w:p w14:paraId="236DF8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269.502</w:t>
                  </w:r>
                </w:p>
              </w:tc>
              <w:tc>
                <w:tcPr>
                  <w:tcW w:w="998" w:type="dxa"/>
                  <w:noWrap w:val="0"/>
                  <w:vAlign w:val="center"/>
                </w:tcPr>
                <w:p w14:paraId="17B187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247.252</w:t>
                  </w:r>
                </w:p>
              </w:tc>
            </w:tr>
            <w:tr w14:paraId="3E454D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39" w:type="dxa"/>
                  <w:vMerge w:val="continue"/>
                  <w:noWrap w:val="0"/>
                  <w:vAlign w:val="center"/>
                </w:tcPr>
                <w:p w14:paraId="2B0CAE0B">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307" w:type="dxa"/>
                  <w:noWrap w:val="0"/>
                  <w:vAlign w:val="center"/>
                </w:tcPr>
                <w:p w14:paraId="4C35E8B5">
                  <w:pPr>
                    <w:adjustRightInd w:val="0"/>
                    <w:snapToGrid w:val="0"/>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生活垃圾</w:t>
                  </w:r>
                </w:p>
              </w:tc>
              <w:tc>
                <w:tcPr>
                  <w:tcW w:w="999" w:type="dxa"/>
                  <w:shd w:val="clear" w:color="auto" w:fill="auto"/>
                  <w:noWrap w:val="0"/>
                  <w:vAlign w:val="center"/>
                </w:tcPr>
                <w:p w14:paraId="38DDE7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6.75</w:t>
                  </w:r>
                </w:p>
              </w:tc>
              <w:tc>
                <w:tcPr>
                  <w:tcW w:w="1159" w:type="dxa"/>
                  <w:tcBorders>
                    <w:right w:val="single" w:color="auto" w:sz="4" w:space="0"/>
                  </w:tcBorders>
                  <w:noWrap w:val="0"/>
                  <w:vAlign w:val="center"/>
                </w:tcPr>
                <w:p w14:paraId="2B948AC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6.75</w:t>
                  </w:r>
                </w:p>
              </w:tc>
              <w:tc>
                <w:tcPr>
                  <w:tcW w:w="1247" w:type="dxa"/>
                  <w:tcBorders>
                    <w:left w:val="single" w:color="auto" w:sz="4" w:space="0"/>
                  </w:tcBorders>
                  <w:noWrap w:val="0"/>
                  <w:vAlign w:val="center"/>
                </w:tcPr>
                <w:p w14:paraId="57357B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229" w:type="dxa"/>
                  <w:noWrap w:val="0"/>
                  <w:vAlign w:val="center"/>
                </w:tcPr>
                <w:p w14:paraId="4D8486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6.75</w:t>
                  </w:r>
                </w:p>
              </w:tc>
              <w:tc>
                <w:tcPr>
                  <w:tcW w:w="1029" w:type="dxa"/>
                  <w:noWrap w:val="0"/>
                  <w:vAlign w:val="center"/>
                </w:tcPr>
                <w:p w14:paraId="603792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13.5</w:t>
                  </w:r>
                </w:p>
              </w:tc>
              <w:tc>
                <w:tcPr>
                  <w:tcW w:w="998" w:type="dxa"/>
                  <w:noWrap w:val="0"/>
                  <w:vAlign w:val="center"/>
                </w:tcPr>
                <w:p w14:paraId="15DA59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r>
            <w:tr w14:paraId="2A8B04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607" w:type="dxa"/>
                  <w:gridSpan w:val="8"/>
                  <w:noWrap w:val="0"/>
                  <w:vAlign w:val="center"/>
                </w:tcPr>
                <w:p w14:paraId="727466C8">
                  <w:pPr>
                    <w:adjustRightInd w:val="0"/>
                    <w:snapToGrid w:val="0"/>
                    <w:spacing w:line="240" w:lineRule="auto"/>
                    <w:ind w:firstLine="0" w:firstLineChars="0"/>
                    <w:jc w:val="left"/>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注：固体废物为产生量。</w:t>
                  </w:r>
                </w:p>
              </w:tc>
            </w:tr>
          </w:tbl>
          <w:p w14:paraId="11452A38">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textAlignment w:val="auto"/>
              <w:rPr>
                <w:rStyle w:val="54"/>
                <w:rFonts w:hint="default" w:ascii="Times New Roman" w:hAnsi="Times New Roman" w:eastAsia="宋体" w:cs="Times New Roman"/>
                <w:b/>
                <w:bCs/>
                <w:color w:val="000000" w:themeColor="text1"/>
                <w:spacing w:val="0"/>
                <w:position w:val="0"/>
                <w:sz w:val="28"/>
                <w:szCs w:val="28"/>
                <w:highlight w:val="none"/>
                <w:lang w:eastAsia="zh-CN"/>
                <w14:textFill>
                  <w14:solidFill>
                    <w14:schemeClr w14:val="tx1"/>
                  </w14:solidFill>
                </w14:textFill>
              </w:rPr>
            </w:pPr>
            <w:r>
              <w:rPr>
                <w:rStyle w:val="54"/>
                <w:rFonts w:hint="default" w:ascii="Times New Roman" w:hAnsi="Times New Roman" w:eastAsia="宋体" w:cs="Times New Roman"/>
                <w:b/>
                <w:bCs/>
                <w:color w:val="000000" w:themeColor="text1"/>
                <w:spacing w:val="0"/>
                <w:position w:val="0"/>
                <w:sz w:val="28"/>
                <w:szCs w:val="28"/>
                <w:highlight w:val="none"/>
                <w:lang w:val="en-US" w:eastAsia="zh-CN"/>
                <w14:textFill>
                  <w14:solidFill>
                    <w14:schemeClr w14:val="tx1"/>
                  </w14:solidFill>
                </w14:textFill>
              </w:rPr>
              <w:t>4.</w:t>
            </w:r>
            <w:r>
              <w:rPr>
                <w:rStyle w:val="54"/>
                <w:rFonts w:hint="default" w:ascii="Times New Roman" w:hAnsi="Times New Roman" w:cs="Times New Roman"/>
                <w:b/>
                <w:bCs/>
                <w:color w:val="000000" w:themeColor="text1"/>
                <w:spacing w:val="0"/>
                <w:position w:val="0"/>
                <w:sz w:val="28"/>
                <w:szCs w:val="28"/>
                <w:highlight w:val="none"/>
                <w:lang w:val="en-US" w:eastAsia="zh-CN"/>
                <w14:textFill>
                  <w14:solidFill>
                    <w14:schemeClr w14:val="tx1"/>
                  </w14:solidFill>
                </w14:textFill>
              </w:rPr>
              <w:t>7</w:t>
            </w:r>
            <w:r>
              <w:rPr>
                <w:rStyle w:val="54"/>
                <w:rFonts w:hint="default" w:ascii="Times New Roman" w:hAnsi="Times New Roman" w:eastAsia="宋体" w:cs="Times New Roman"/>
                <w:b/>
                <w:bCs/>
                <w:color w:val="000000" w:themeColor="text1"/>
                <w:spacing w:val="0"/>
                <w:position w:val="0"/>
                <w:sz w:val="28"/>
                <w:szCs w:val="28"/>
                <w:highlight w:val="none"/>
                <w:lang w:eastAsia="zh-CN"/>
                <w14:textFill>
                  <w14:solidFill>
                    <w14:schemeClr w14:val="tx1"/>
                  </w14:solidFill>
                </w14:textFill>
              </w:rPr>
              <w:t>地下水、土壤环境影响和保护措施</w:t>
            </w:r>
          </w:p>
          <w:p w14:paraId="03EC83AC">
            <w:pPr>
              <w:spacing w:line="360" w:lineRule="auto"/>
              <w:rPr>
                <w:rFonts w:hint="default" w:ascii="Times New Roman" w:hAnsi="Times New Roman" w:eastAsia="宋体" w:cs="Times New Roman"/>
                <w:b/>
                <w:bCs/>
                <w:color w:val="000000" w:themeColor="text1"/>
                <w:spacing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pacing w:val="0"/>
                <w:position w:val="0"/>
                <w:sz w:val="24"/>
                <w:szCs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pacing w:val="0"/>
                <w:position w:val="0"/>
                <w:sz w:val="24"/>
                <w:szCs w:val="24"/>
                <w:highlight w:val="none"/>
                <w:lang w:val="en-US" w:eastAsia="zh-CN"/>
                <w14:textFill>
                  <w14:solidFill>
                    <w14:schemeClr w14:val="tx1"/>
                  </w14:solidFill>
                </w14:textFill>
              </w:rPr>
              <w:t>.1 地下水、土壤环境影响分析</w:t>
            </w:r>
          </w:p>
          <w:p w14:paraId="0CDEFF65">
            <w:pPr>
              <w:widowControl/>
              <w:spacing w:line="360" w:lineRule="auto"/>
              <w:ind w:firstLine="480" w:firstLineChars="200"/>
              <w:jc w:val="left"/>
              <w:rPr>
                <w:rFonts w:hint="eastAsia" w:ascii="Times New Roman" w:hAnsi="Times New Roman" w:eastAsia="宋体" w:cs="Times New Roman"/>
                <w:color w:val="000000" w:themeColor="text1"/>
                <w:spacing w:val="0"/>
                <w:kern w:val="0"/>
                <w:position w:val="0"/>
                <w:sz w:val="24"/>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lang w:val="en-US" w:eastAsia="zh-CN"/>
                <w14:textFill>
                  <w14:solidFill>
                    <w14:schemeClr w14:val="tx1"/>
                  </w14:solidFill>
                </w14:textFill>
              </w:rPr>
              <w:t>1</w:t>
            </w: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）污染源</w:t>
            </w:r>
          </w:p>
          <w:p w14:paraId="183455AD">
            <w:pPr>
              <w:widowControl/>
              <w:spacing w:line="360" w:lineRule="auto"/>
              <w:ind w:firstLine="480" w:firstLineChars="200"/>
              <w:jc w:val="left"/>
              <w:rPr>
                <w:rFonts w:hint="eastAsia" w:ascii="Times New Roman" w:hAnsi="Times New Roman" w:eastAsia="宋体" w:cs="Times New Roman"/>
                <w:color w:val="000000" w:themeColor="text1"/>
                <w:spacing w:val="0"/>
                <w:kern w:val="0"/>
                <w:position w:val="0"/>
                <w:sz w:val="24"/>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项目生产对土壤和地下水环境的影响主要可以分为入渗和沉积，入渗影响主要源自液态化学品、前处理和电泳槽液、生产废水、危险废物等通过泄漏方式，漫流至土壤表面，然后渗入土壤之中，继而影响土壤和地下水的环境质量。沉积影响主要源自废气中污染因子沉降到土壤表面，部分又随着雨水下渗，继而影响土壤和地下水的环境质量。根据分析，项目地下水、</w:t>
            </w:r>
            <w:r>
              <w:rPr>
                <w:rFonts w:hint="eastAsia" w:ascii="Times New Roman" w:hAnsi="Times New Roman" w:eastAsia="宋体" w:cs="Times New Roman"/>
                <w:color w:val="000000" w:themeColor="text1"/>
                <w:spacing w:val="0"/>
                <w:kern w:val="0"/>
                <w:position w:val="0"/>
                <w:sz w:val="24"/>
                <w:szCs w:val="24"/>
                <w:lang w:val="en-US" w:eastAsia="zh-CN"/>
                <w14:textFill>
                  <w14:solidFill>
                    <w14:schemeClr w14:val="tx1"/>
                  </w14:solidFill>
                </w14:textFill>
              </w:rPr>
              <w:t>土壤污染源主要为生产车间、化学品仓库、污水处理设施、</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一般工业固体废物暂存</w:t>
            </w:r>
            <w:r>
              <w:rPr>
                <w:rFonts w:hint="default" w:ascii="Times New Roman" w:hAnsi="Times New Roman" w:eastAsia="宋体" w:cs="Times New Roman"/>
                <w:color w:val="000000" w:themeColor="text1"/>
                <w:spacing w:val="0"/>
                <w:sz w:val="24"/>
                <w:szCs w:val="24"/>
                <w14:textFill>
                  <w14:solidFill>
                    <w14:schemeClr w14:val="tx1"/>
                  </w14:solidFill>
                </w14:textFill>
              </w:rPr>
              <w:t>间</w:t>
            </w:r>
            <w:r>
              <w:rPr>
                <w:rFonts w:hint="eastAsia" w:ascii="Times New Roman" w:hAnsi="Times New Roman" w:eastAsia="宋体" w:cs="Times New Roman"/>
                <w:color w:val="000000" w:themeColor="text1"/>
                <w:spacing w:val="0"/>
                <w:kern w:val="0"/>
                <w:position w:val="0"/>
                <w:sz w:val="24"/>
                <w:szCs w:val="24"/>
                <w:lang w:val="en-US" w:eastAsia="zh-CN"/>
                <w14:textFill>
                  <w14:solidFill>
                    <w14:schemeClr w14:val="tx1"/>
                  </w14:solidFill>
                </w14:textFill>
              </w:rPr>
              <w:t>及</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危险废物贮存</w:t>
            </w:r>
            <w:r>
              <w:rPr>
                <w:rFonts w:hint="default" w:ascii="Times New Roman" w:hAnsi="Times New Roman" w:eastAsia="宋体" w:cs="Times New Roman"/>
                <w:color w:val="000000" w:themeColor="text1"/>
                <w:spacing w:val="0"/>
                <w:sz w:val="24"/>
                <w:szCs w:val="24"/>
                <w14:textFill>
                  <w14:solidFill>
                    <w14:schemeClr w14:val="tx1"/>
                  </w14:solidFill>
                </w14:textFill>
              </w:rPr>
              <w:t>间</w:t>
            </w:r>
            <w:r>
              <w:rPr>
                <w:rFonts w:hint="eastAsia" w:ascii="Times New Roman" w:hAnsi="Times New Roman" w:eastAsia="宋体" w:cs="Times New Roman"/>
                <w:color w:val="000000" w:themeColor="text1"/>
                <w:spacing w:val="0"/>
                <w:kern w:val="0"/>
                <w:position w:val="0"/>
                <w:sz w:val="24"/>
                <w:szCs w:val="24"/>
                <w:lang w:val="en-US" w:eastAsia="zh-CN"/>
                <w14:textFill>
                  <w14:solidFill>
                    <w14:schemeClr w14:val="tx1"/>
                  </w14:solidFill>
                </w14:textFill>
              </w:rPr>
              <w:t>。</w:t>
            </w:r>
          </w:p>
          <w:p w14:paraId="1D662FFD">
            <w:pPr>
              <w:widowControl/>
              <w:spacing w:line="360" w:lineRule="auto"/>
              <w:ind w:firstLine="480" w:firstLineChars="200"/>
              <w:jc w:val="left"/>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（2）影响分析</w:t>
            </w:r>
          </w:p>
          <w:p w14:paraId="4CCC8645">
            <w:pPr>
              <w:widowControl/>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①</w:t>
            </w:r>
            <w:r>
              <w:rPr>
                <w:rFonts w:hint="eastAsia"/>
                <w:color w:val="000000" w:themeColor="text1"/>
                <w:kern w:val="0"/>
                <w:sz w:val="24"/>
                <w14:textFill>
                  <w14:solidFill>
                    <w14:schemeClr w14:val="tx1"/>
                  </w14:solidFill>
                </w14:textFill>
              </w:rPr>
              <w:t>废水对</w:t>
            </w:r>
            <w:r>
              <w:rPr>
                <w:rFonts w:hint="eastAsia"/>
                <w:color w:val="000000" w:themeColor="text1"/>
                <w:kern w:val="0"/>
                <w:sz w:val="24"/>
                <w:lang w:val="en-US" w:eastAsia="zh-CN"/>
                <w14:textFill>
                  <w14:solidFill>
                    <w14:schemeClr w14:val="tx1"/>
                  </w14:solidFill>
                </w14:textFill>
              </w:rPr>
              <w:t>地下水、</w:t>
            </w:r>
            <w:r>
              <w:rPr>
                <w:rFonts w:hint="eastAsia"/>
                <w:color w:val="000000" w:themeColor="text1"/>
                <w:kern w:val="0"/>
                <w:sz w:val="24"/>
                <w14:textFill>
                  <w14:solidFill>
                    <w14:schemeClr w14:val="tx1"/>
                  </w14:solidFill>
                </w14:textFill>
              </w:rPr>
              <w:t>土壤环境的影响</w:t>
            </w:r>
          </w:p>
          <w:p w14:paraId="5708738D">
            <w:pPr>
              <w:widowControl/>
              <w:spacing w:line="360" w:lineRule="auto"/>
              <w:ind w:firstLine="480" w:firstLineChars="200"/>
              <w:jc w:val="left"/>
              <w:rPr>
                <w:color w:val="000000" w:themeColor="text1"/>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本项目涉及的生产废水主要为前处理和电泳线排放的各类清洗废水和表调废水</w:t>
            </w:r>
            <w:r>
              <w:rPr>
                <w:rFonts w:hint="default" w:ascii="Times New Roman" w:hAnsi="Times New Roman" w:eastAsia="宋体" w:cs="Times New Roman"/>
                <w:color w:val="000000" w:themeColor="text1"/>
                <w:spacing w:val="0"/>
                <w:kern w:val="0"/>
                <w:position w:val="0"/>
                <w:sz w:val="24"/>
                <w:lang w:val="en-US" w:eastAsia="zh-CN"/>
                <w14:textFill>
                  <w14:solidFill>
                    <w14:schemeClr w14:val="tx1"/>
                  </w14:solidFill>
                </w14:textFill>
              </w:rPr>
              <w:t>、喷淋塔废水</w:t>
            </w: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等，正常情况通过管道接入现有工程废水处理站，经预处理后接入污水管网，由于本项目生产废水中含有COD、石油类、磷酸盐、</w:t>
            </w:r>
            <w:r>
              <w:rPr>
                <w:rFonts w:hint="eastAsia" w:cs="Times New Roman"/>
                <w:color w:val="000000" w:themeColor="text1"/>
                <w:spacing w:val="0"/>
                <w:kern w:val="0"/>
                <w:position w:val="0"/>
                <w:sz w:val="24"/>
                <w:lang w:val="en-US" w:eastAsia="zh-CN"/>
                <w14:textFill>
                  <w14:solidFill>
                    <w14:schemeClr w14:val="tx1"/>
                  </w14:solidFill>
                </w14:textFill>
              </w:rPr>
              <w:t>氟化物、</w:t>
            </w: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总锌等污染物，若发生泄漏将对地下水和土壤产生一定的污染影响，因此评价要求对生产废水收集池做好防渗防漏措施，废水管道采取明管形式，加强处理设施巡查和监控，一旦发生泄漏，立刻启动应急预案，</w:t>
            </w:r>
            <w:r>
              <w:rPr>
                <w:rFonts w:hint="eastAsia" w:ascii="宋体" w:hAnsi="宋体" w:eastAsia="宋体" w:cs="宋体"/>
                <w:color w:val="000000" w:themeColor="text1"/>
                <w:kern w:val="0"/>
                <w:sz w:val="24"/>
                <w:szCs w:val="24"/>
                <w:lang w:val="en-US" w:eastAsia="zh-CN" w:bidi="ar"/>
                <w14:textFill>
                  <w14:solidFill>
                    <w14:schemeClr w14:val="tx1"/>
                  </w14:solidFill>
                </w14:textFill>
              </w:rPr>
              <w:t>将地下水和土壤污染事故发生的可能性降到最低。</w:t>
            </w:r>
          </w:p>
          <w:p w14:paraId="3BD9608A">
            <w:pPr>
              <w:widowControl/>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②槽液</w:t>
            </w:r>
            <w:r>
              <w:rPr>
                <w:rFonts w:hint="eastAsia"/>
                <w:color w:val="000000" w:themeColor="text1"/>
                <w:kern w:val="0"/>
                <w:sz w:val="24"/>
                <w14:textFill>
                  <w14:solidFill>
                    <w14:schemeClr w14:val="tx1"/>
                  </w14:solidFill>
                </w14:textFill>
              </w:rPr>
              <w:t>对</w:t>
            </w:r>
            <w:r>
              <w:rPr>
                <w:rFonts w:hint="eastAsia"/>
                <w:color w:val="000000" w:themeColor="text1"/>
                <w:kern w:val="0"/>
                <w:sz w:val="24"/>
                <w:lang w:val="en-US" w:eastAsia="zh-CN"/>
                <w14:textFill>
                  <w14:solidFill>
                    <w14:schemeClr w14:val="tx1"/>
                  </w14:solidFill>
                </w14:textFill>
              </w:rPr>
              <w:t>地下水、</w:t>
            </w:r>
            <w:r>
              <w:rPr>
                <w:rFonts w:hint="eastAsia"/>
                <w:color w:val="000000" w:themeColor="text1"/>
                <w:kern w:val="0"/>
                <w:sz w:val="24"/>
                <w14:textFill>
                  <w14:solidFill>
                    <w14:schemeClr w14:val="tx1"/>
                  </w14:solidFill>
                </w14:textFill>
              </w:rPr>
              <w:t>土壤环境的影响</w:t>
            </w:r>
          </w:p>
          <w:p w14:paraId="2CEA006D">
            <w:pPr>
              <w:widowControl/>
              <w:spacing w:line="360" w:lineRule="auto"/>
              <w:ind w:firstLine="480" w:firstLineChars="200"/>
              <w:jc w:val="left"/>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前处理和电泳槽中槽液有机物、石油类、磷酸盐等各类污染物的浓度较生产废水更高，若槽液发生泄漏，将对土壤和地下水造成严重的污染，因此评价要求建设单位做好前处理和电泳线各槽体的防渗防漏措施，槽体四周设围堰及导流沟，拦截和收集溢流出池体的槽液，并将溢流出的槽液导流至废水收集池，泵入</w:t>
            </w:r>
            <w:r>
              <w:rPr>
                <w:rFonts w:hint="eastAsia" w:cs="Times New Roman"/>
                <w:color w:val="000000" w:themeColor="text1"/>
                <w:kern w:val="2"/>
                <w:sz w:val="24"/>
                <w:szCs w:val="24"/>
                <w:highlight w:val="none"/>
                <w:lang w:val="en-US" w:eastAsia="zh-CN" w:bidi="ar-SA"/>
                <w14:textFill>
                  <w14:solidFill>
                    <w14:schemeClr w14:val="tx1"/>
                  </w14:solidFill>
                </w14:textFill>
              </w:rPr>
              <w:t>企业自建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废水处理设施处理，加强各槽体的</w:t>
            </w: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防渗系统日常检查工作，若发生渗漏，应及时修补，避免污染物泄漏。</w:t>
            </w:r>
          </w:p>
          <w:p w14:paraId="39D0E723">
            <w:pPr>
              <w:widowControl/>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③固废对</w:t>
            </w:r>
            <w:r>
              <w:rPr>
                <w:rFonts w:hint="eastAsia"/>
                <w:color w:val="000000" w:themeColor="text1"/>
                <w:kern w:val="0"/>
                <w:sz w:val="24"/>
                <w:lang w:val="en-US" w:eastAsia="zh-CN"/>
                <w14:textFill>
                  <w14:solidFill>
                    <w14:schemeClr w14:val="tx1"/>
                  </w14:solidFill>
                </w14:textFill>
              </w:rPr>
              <w:t>地下水、</w:t>
            </w:r>
            <w:r>
              <w:rPr>
                <w:rFonts w:hint="eastAsia"/>
                <w:color w:val="000000" w:themeColor="text1"/>
                <w:kern w:val="0"/>
                <w:sz w:val="24"/>
                <w14:textFill>
                  <w14:solidFill>
                    <w14:schemeClr w14:val="tx1"/>
                  </w14:solidFill>
                </w14:textFill>
              </w:rPr>
              <w:t>土壤环境的影响</w:t>
            </w:r>
          </w:p>
          <w:p w14:paraId="6934D031">
            <w:pPr>
              <w:widowControl/>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固体废物暂存不规范或随意储存等，未及时处理而产生的渗出液、滤沥液进入土壤，进而污染土壤环境。</w:t>
            </w:r>
          </w:p>
          <w:p w14:paraId="5545BEDB">
            <w:pPr>
              <w:widowControl/>
              <w:spacing w:line="360" w:lineRule="auto"/>
              <w:ind w:firstLine="480" w:firstLineChars="200"/>
              <w:jc w:val="left"/>
              <w:rPr>
                <w:rFonts w:hint="eastAsia" w:ascii="Times New Roman" w:hAnsi="Times New Roman" w:eastAsia="宋体" w:cs="Times New Roman"/>
                <w:color w:val="000000" w:themeColor="text1"/>
                <w:spacing w:val="0"/>
                <w:kern w:val="0"/>
                <w:position w:val="0"/>
                <w:sz w:val="24"/>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在做好防渗防漏措施前提下，基本不会发生生产废水、槽液、</w:t>
            </w:r>
            <w:r>
              <w:rPr>
                <w:rFonts w:hint="eastAsia"/>
                <w:color w:val="000000" w:themeColor="text1"/>
                <w:kern w:val="0"/>
                <w:sz w:val="24"/>
                <w14:textFill>
                  <w14:solidFill>
                    <w14:schemeClr w14:val="tx1"/>
                  </w14:solidFill>
                </w14:textFill>
              </w:rPr>
              <w:t>固体废物渗出液、滤沥液</w:t>
            </w: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漫流并进入土壤和地下水环境的情况。事故状态下，发生的泄漏可能会对土壤和地下水环境产生影响，但是采取应急处理措施，如及时堵漏、地面污废水及时冲洗收集等，可以最大限度减小对土壤和地下水环境的影响。</w:t>
            </w:r>
          </w:p>
          <w:p w14:paraId="7FF4345C">
            <w:pPr>
              <w:widowControl/>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④</w:t>
            </w:r>
            <w:r>
              <w:rPr>
                <w:rFonts w:hint="eastAsia"/>
                <w:color w:val="000000" w:themeColor="text1"/>
                <w:kern w:val="0"/>
                <w:sz w:val="24"/>
                <w14:textFill>
                  <w14:solidFill>
                    <w14:schemeClr w14:val="tx1"/>
                  </w14:solidFill>
                </w14:textFill>
              </w:rPr>
              <w:t>废气对土壤环境的影响</w:t>
            </w:r>
          </w:p>
          <w:p w14:paraId="4B82285B">
            <w:pPr>
              <w:widowControl/>
              <w:spacing w:line="360" w:lineRule="auto"/>
              <w:ind w:firstLine="480" w:firstLineChars="200"/>
              <w:jc w:val="left"/>
              <w:rPr>
                <w:rFonts w:hint="eastAsia" w:ascii="Times New Roman" w:hAnsi="Times New Roman" w:eastAsia="宋体" w:cs="Times New Roman"/>
                <w:color w:val="000000" w:themeColor="text1"/>
                <w:spacing w:val="0"/>
                <w:kern w:val="0"/>
                <w:position w:val="0"/>
                <w:sz w:val="24"/>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本项目大气污染物主要为有机废气、颗粒物、二氧化硫和氮氧化物、酸雾等，经废气装置处理后，大部分废气污染物被去除，少量通过排气筒排放，在大气扩散的作用下，沉积到土壤表面的极少，因此通过大气沉降对土壤和地下水环境造成的影响甚微。</w:t>
            </w:r>
          </w:p>
          <w:p w14:paraId="0018DCAF">
            <w:pPr>
              <w:spacing w:line="360" w:lineRule="auto"/>
              <w:rPr>
                <w:rFonts w:hint="default" w:ascii="Times New Roman" w:hAnsi="Times New Roman" w:eastAsia="宋体" w:cs="Times New Roman"/>
                <w:b/>
                <w:bCs/>
                <w:color w:val="000000" w:themeColor="text1"/>
                <w:spacing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highlight w:val="none"/>
                <w:lang w:val="en-US" w:eastAsia="zh-CN"/>
                <w14:textFill>
                  <w14:solidFill>
                    <w14:schemeClr w14:val="tx1"/>
                  </w14:solidFill>
                </w14:textFill>
              </w:rPr>
              <w:t>4.</w:t>
            </w:r>
            <w:r>
              <w:rPr>
                <w:rFonts w:hint="eastAsia" w:cs="Times New Roman"/>
                <w:b/>
                <w:bCs/>
                <w:color w:val="000000" w:themeColor="text1"/>
                <w:spacing w:val="0"/>
                <w:position w:val="0"/>
                <w:sz w:val="24"/>
                <w:szCs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pacing w:val="0"/>
                <w:position w:val="0"/>
                <w:sz w:val="24"/>
                <w:szCs w:val="24"/>
                <w:highlight w:val="none"/>
                <w:lang w:val="en-US" w:eastAsia="zh-CN"/>
                <w14:textFill>
                  <w14:solidFill>
                    <w14:schemeClr w14:val="tx1"/>
                  </w14:solidFill>
                </w14:textFill>
              </w:rPr>
              <w:t>.2地下水、土壤环境防控措施</w:t>
            </w:r>
          </w:p>
          <w:p w14:paraId="7F37C707">
            <w:pPr>
              <w:spacing w:line="360" w:lineRule="auto"/>
              <w:ind w:firstLine="480" w:firstLineChars="200"/>
              <w:rPr>
                <w:rFonts w:ascii="Times New Roman" w:hAnsi="Times New Roman"/>
                <w:color w:val="000000" w:themeColor="text1"/>
                <w:spacing w:val="0"/>
                <w:position w:val="0"/>
                <w:sz w:val="24"/>
                <w14:textFill>
                  <w14:solidFill>
                    <w14:schemeClr w14:val="tx1"/>
                  </w14:solidFill>
                </w14:textFill>
              </w:rPr>
            </w:pPr>
            <w:r>
              <w:rPr>
                <w:rFonts w:hint="eastAsia" w:ascii="Times New Roman" w:hAnsi="Times New Roman"/>
                <w:color w:val="000000" w:themeColor="text1"/>
                <w:spacing w:val="0"/>
                <w:position w:val="0"/>
                <w:sz w:val="24"/>
                <w:lang w:eastAsia="zh-CN"/>
                <w14:textFill>
                  <w14:solidFill>
                    <w14:schemeClr w14:val="tx1"/>
                  </w14:solidFill>
                </w14:textFill>
              </w:rPr>
              <w:t>（</w:t>
            </w:r>
            <w:r>
              <w:rPr>
                <w:rFonts w:hint="eastAsia" w:ascii="Times New Roman" w:hAnsi="Times New Roman"/>
                <w:color w:val="000000" w:themeColor="text1"/>
                <w:spacing w:val="0"/>
                <w:position w:val="0"/>
                <w:sz w:val="24"/>
                <w:lang w:val="en-US" w:eastAsia="zh-CN"/>
                <w14:textFill>
                  <w14:solidFill>
                    <w14:schemeClr w14:val="tx1"/>
                  </w14:solidFill>
                </w14:textFill>
              </w:rPr>
              <w:t>1</w:t>
            </w:r>
            <w:r>
              <w:rPr>
                <w:rFonts w:hint="eastAsia" w:ascii="Times New Roman" w:hAnsi="Times New Roman"/>
                <w:color w:val="000000" w:themeColor="text1"/>
                <w:spacing w:val="0"/>
                <w:position w:val="0"/>
                <w:sz w:val="24"/>
                <w:lang w:eastAsia="zh-CN"/>
                <w14:textFill>
                  <w14:solidFill>
                    <w14:schemeClr w14:val="tx1"/>
                  </w14:solidFill>
                </w14:textFill>
              </w:rPr>
              <w:t>）</w:t>
            </w:r>
            <w:r>
              <w:rPr>
                <w:rFonts w:hint="eastAsia" w:ascii="Times New Roman" w:hAnsi="Times New Roman"/>
                <w:color w:val="000000" w:themeColor="text1"/>
                <w:spacing w:val="0"/>
                <w:position w:val="0"/>
                <w:sz w:val="24"/>
                <w:lang w:val="en-US" w:eastAsia="zh-CN"/>
                <w14:textFill>
                  <w14:solidFill>
                    <w14:schemeClr w14:val="tx1"/>
                  </w14:solidFill>
                </w14:textFill>
              </w:rPr>
              <w:t>分区</w:t>
            </w:r>
            <w:r>
              <w:rPr>
                <w:rFonts w:ascii="Times New Roman" w:hAnsi="Times New Roman"/>
                <w:color w:val="000000" w:themeColor="text1"/>
                <w:spacing w:val="0"/>
                <w:position w:val="0"/>
                <w:sz w:val="24"/>
                <w14:textFill>
                  <w14:solidFill>
                    <w14:schemeClr w14:val="tx1"/>
                  </w14:solidFill>
                </w14:textFill>
              </w:rPr>
              <w:t>防渗措施</w:t>
            </w:r>
          </w:p>
          <w:p w14:paraId="59BB08E7">
            <w:pPr>
              <w:spacing w:line="360" w:lineRule="auto"/>
              <w:ind w:firstLine="480" w:firstLineChars="200"/>
              <w:rPr>
                <w:rFonts w:hint="eastAsia" w:ascii="Times New Roman" w:hAnsi="Times New Roman"/>
                <w:color w:val="000000" w:themeColor="text1"/>
                <w:spacing w:val="0"/>
                <w:position w:val="0"/>
                <w:sz w:val="24"/>
                <w14:textFill>
                  <w14:solidFill>
                    <w14:schemeClr w14:val="tx1"/>
                  </w14:solidFill>
                </w14:textFill>
              </w:rPr>
            </w:pPr>
            <w:r>
              <w:rPr>
                <w:rFonts w:ascii="Times New Roman" w:hAnsi="Times New Roman"/>
                <w:color w:val="000000" w:themeColor="text1"/>
                <w:spacing w:val="0"/>
                <w:position w:val="0"/>
                <w:sz w:val="24"/>
                <w14:textFill>
                  <w14:solidFill>
                    <w14:schemeClr w14:val="tx1"/>
                  </w14:solidFill>
                </w14:textFill>
              </w:rPr>
              <w:t>根据本</w:t>
            </w:r>
            <w:r>
              <w:rPr>
                <w:rFonts w:hint="eastAsia" w:ascii="Times New Roman" w:hAnsi="Times New Roman"/>
                <w:color w:val="000000" w:themeColor="text1"/>
                <w:spacing w:val="0"/>
                <w:position w:val="0"/>
                <w:sz w:val="24"/>
                <w14:textFill>
                  <w14:solidFill>
                    <w14:schemeClr w14:val="tx1"/>
                  </w14:solidFill>
                </w14:textFill>
              </w:rPr>
              <w:t>项目</w:t>
            </w:r>
            <w:r>
              <w:rPr>
                <w:rFonts w:ascii="Times New Roman" w:hAnsi="Times New Roman"/>
                <w:color w:val="000000" w:themeColor="text1"/>
                <w:spacing w:val="0"/>
                <w:position w:val="0"/>
                <w:sz w:val="24"/>
                <w14:textFill>
                  <w14:solidFill>
                    <w14:schemeClr w14:val="tx1"/>
                  </w14:solidFill>
                </w14:textFill>
              </w:rPr>
              <w:t>可能泄漏至地面区域污染物的性质和生产单元的构筑方式，将</w:t>
            </w:r>
            <w:r>
              <w:rPr>
                <w:rFonts w:hint="eastAsia" w:ascii="Times New Roman" w:hAnsi="Times New Roman"/>
                <w:color w:val="000000" w:themeColor="text1"/>
                <w:spacing w:val="0"/>
                <w:position w:val="0"/>
                <w:sz w:val="24"/>
                <w14:textFill>
                  <w14:solidFill>
                    <w14:schemeClr w14:val="tx1"/>
                  </w14:solidFill>
                </w14:textFill>
              </w:rPr>
              <w:t>厂区</w:t>
            </w:r>
            <w:r>
              <w:rPr>
                <w:rFonts w:ascii="Times New Roman" w:hAnsi="Times New Roman"/>
                <w:color w:val="000000" w:themeColor="text1"/>
                <w:spacing w:val="0"/>
                <w:position w:val="0"/>
                <w:sz w:val="24"/>
                <w14:textFill>
                  <w14:solidFill>
                    <w14:schemeClr w14:val="tx1"/>
                  </w14:solidFill>
                </w14:textFill>
              </w:rPr>
              <w:t>划分为重点污染防治区、一般污染防治区，针对不同的区域提出相应的防渗要求。</w:t>
            </w:r>
            <w:r>
              <w:rPr>
                <w:rFonts w:ascii="Times New Roman" w:hAnsi="Times New Roman"/>
                <w:color w:val="000000" w:themeColor="text1"/>
                <w:spacing w:val="0"/>
                <w:kern w:val="0"/>
                <w:position w:val="0"/>
                <w:sz w:val="24"/>
                <w14:textFill>
                  <w14:solidFill>
                    <w14:schemeClr w14:val="tx1"/>
                  </w14:solidFill>
                </w14:textFill>
              </w:rPr>
              <w:t>根据《环境影响评价技术导则地下水环境》</w:t>
            </w:r>
            <w:r>
              <w:rPr>
                <w:rFonts w:hint="eastAsia" w:ascii="Times New Roman" w:hAnsi="Times New Roman"/>
                <w:color w:val="000000" w:themeColor="text1"/>
                <w:spacing w:val="0"/>
                <w:kern w:val="0"/>
                <w:position w:val="0"/>
                <w:sz w:val="24"/>
                <w14:textFill>
                  <w14:solidFill>
                    <w14:schemeClr w14:val="tx1"/>
                  </w14:solidFill>
                </w14:textFill>
              </w:rPr>
              <w:t>(</w:t>
            </w:r>
            <w:r>
              <w:rPr>
                <w:rFonts w:ascii="Times New Roman" w:hAnsi="Times New Roman"/>
                <w:color w:val="000000" w:themeColor="text1"/>
                <w:spacing w:val="0"/>
                <w:kern w:val="0"/>
                <w:position w:val="0"/>
                <w:sz w:val="24"/>
                <w14:textFill>
                  <w14:solidFill>
                    <w14:schemeClr w14:val="tx1"/>
                  </w14:solidFill>
                </w14:textFill>
              </w:rPr>
              <w:t>HJ610-2016</w:t>
            </w:r>
            <w:r>
              <w:rPr>
                <w:rFonts w:hint="eastAsia" w:ascii="Times New Roman" w:hAnsi="Times New Roman"/>
                <w:color w:val="000000" w:themeColor="text1"/>
                <w:spacing w:val="0"/>
                <w:kern w:val="0"/>
                <w:position w:val="0"/>
                <w:sz w:val="24"/>
                <w14:textFill>
                  <w14:solidFill>
                    <w14:schemeClr w14:val="tx1"/>
                  </w14:solidFill>
                </w14:textFill>
              </w:rPr>
              <w:t>)</w:t>
            </w:r>
            <w:r>
              <w:rPr>
                <w:rFonts w:ascii="Times New Roman" w:hAnsi="Times New Roman"/>
                <w:color w:val="000000" w:themeColor="text1"/>
                <w:spacing w:val="0"/>
                <w:kern w:val="0"/>
                <w:position w:val="0"/>
                <w:sz w:val="24"/>
                <w14:textFill>
                  <w14:solidFill>
                    <w14:schemeClr w14:val="tx1"/>
                  </w14:solidFill>
                </w14:textFill>
              </w:rPr>
              <w:t>的要求，</w:t>
            </w:r>
            <w:r>
              <w:rPr>
                <w:rFonts w:ascii="Times New Roman" w:hAnsi="Times New Roman"/>
                <w:color w:val="000000" w:themeColor="text1"/>
                <w:spacing w:val="0"/>
                <w:position w:val="0"/>
                <w:sz w:val="24"/>
                <w14:textFill>
                  <w14:solidFill>
                    <w14:schemeClr w14:val="tx1"/>
                  </w14:solidFill>
                </w14:textFill>
              </w:rPr>
              <w:t>项目分区</w:t>
            </w:r>
            <w:r>
              <w:rPr>
                <w:rFonts w:hint="eastAsia" w:ascii="Times New Roman" w:hAnsi="Times New Roman"/>
                <w:color w:val="000000" w:themeColor="text1"/>
                <w:spacing w:val="0"/>
                <w:position w:val="0"/>
                <w:sz w:val="24"/>
                <w14:textFill>
                  <w14:solidFill>
                    <w14:schemeClr w14:val="tx1"/>
                  </w14:solidFill>
                </w14:textFill>
              </w:rPr>
              <w:t>防渗</w:t>
            </w:r>
            <w:r>
              <w:rPr>
                <w:rFonts w:ascii="Times New Roman" w:hAnsi="Times New Roman"/>
                <w:color w:val="000000" w:themeColor="text1"/>
                <w:spacing w:val="0"/>
                <w:position w:val="0"/>
                <w:sz w:val="24"/>
                <w14:textFill>
                  <w14:solidFill>
                    <w14:schemeClr w14:val="tx1"/>
                  </w14:solidFill>
                </w14:textFill>
              </w:rPr>
              <w:t>防治</w:t>
            </w:r>
            <w:r>
              <w:rPr>
                <w:rFonts w:hint="eastAsia" w:ascii="Times New Roman" w:hAnsi="Times New Roman"/>
                <w:color w:val="000000" w:themeColor="text1"/>
                <w:spacing w:val="0"/>
                <w:position w:val="0"/>
                <w:sz w:val="24"/>
                <w:lang w:val="en-US" w:eastAsia="zh-CN"/>
                <w14:textFill>
                  <w14:solidFill>
                    <w14:schemeClr w14:val="tx1"/>
                  </w14:solidFill>
                </w14:textFill>
              </w:rPr>
              <w:t>要求</w:t>
            </w:r>
            <w:r>
              <w:rPr>
                <w:rFonts w:ascii="Times New Roman" w:hAnsi="Times New Roman"/>
                <w:color w:val="000000" w:themeColor="text1"/>
                <w:spacing w:val="0"/>
                <w:position w:val="0"/>
                <w:sz w:val="24"/>
                <w14:textFill>
                  <w14:solidFill>
                    <w14:schemeClr w14:val="tx1"/>
                  </w14:solidFill>
                </w14:textFill>
              </w:rPr>
              <w:t>见表</w:t>
            </w:r>
            <w:r>
              <w:rPr>
                <w:rFonts w:hint="eastAsia" w:ascii="Times New Roman" w:hAnsi="Times New Roman"/>
                <w:color w:val="000000" w:themeColor="text1"/>
                <w:spacing w:val="0"/>
                <w:position w:val="0"/>
                <w:sz w:val="24"/>
                <w14:textFill>
                  <w14:solidFill>
                    <w14:schemeClr w14:val="tx1"/>
                  </w14:solidFill>
                </w14:textFill>
              </w:rPr>
              <w:t>4.</w:t>
            </w:r>
            <w:r>
              <w:rPr>
                <w:rFonts w:hint="eastAsia"/>
                <w:color w:val="000000" w:themeColor="text1"/>
                <w:spacing w:val="0"/>
                <w:position w:val="0"/>
                <w:sz w:val="24"/>
                <w:lang w:val="en-US" w:eastAsia="zh-CN"/>
                <w14:textFill>
                  <w14:solidFill>
                    <w14:schemeClr w14:val="tx1"/>
                  </w14:solidFill>
                </w14:textFill>
              </w:rPr>
              <w:t>7</w:t>
            </w:r>
            <w:r>
              <w:rPr>
                <w:rFonts w:hint="eastAsia" w:ascii="Times New Roman" w:hAnsi="Times New Roman"/>
                <w:color w:val="000000" w:themeColor="text1"/>
                <w:spacing w:val="0"/>
                <w:position w:val="0"/>
                <w:sz w:val="24"/>
                <w14:textFill>
                  <w14:solidFill>
                    <w14:schemeClr w14:val="tx1"/>
                  </w14:solidFill>
                </w14:textFill>
              </w:rPr>
              <w:t>-1。</w:t>
            </w:r>
          </w:p>
          <w:p w14:paraId="6D16E59A">
            <w:pPr>
              <w:pStyle w:val="142"/>
              <w:keepNext/>
              <w:keepLines/>
              <w:pageBreakBefore w:val="0"/>
              <w:widowControl w:val="0"/>
              <w:kinsoku/>
              <w:wordWrap/>
              <w:overflowPunct/>
              <w:topLinePunct w:val="0"/>
              <w:autoSpaceDE/>
              <w:autoSpaceDN/>
              <w:bidi w:val="0"/>
              <w:adjustRightInd/>
              <w:snapToGrid/>
              <w:spacing w:before="157" w:beforeLines="50" w:after="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土壤污染防治分区一览表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3453"/>
              <w:gridCol w:w="2305"/>
              <w:gridCol w:w="1682"/>
            </w:tblGrid>
            <w:tr w14:paraId="25219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pct"/>
                  <w:tcBorders>
                    <w:tl2br w:val="nil"/>
                    <w:tr2bl w:val="nil"/>
                  </w:tcBorders>
                  <w:noWrap w:val="0"/>
                  <w:vAlign w:val="center"/>
                </w:tcPr>
                <w:p w14:paraId="2D625944">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position w:val="0"/>
                      <w:sz w:val="21"/>
                      <w:szCs w:val="21"/>
                      <w14:textFill>
                        <w14:solidFill>
                          <w14:schemeClr w14:val="tx1"/>
                        </w14:solidFill>
                      </w14:textFill>
                    </w:rPr>
                  </w:pPr>
                  <w:r>
                    <w:rPr>
                      <w:rFonts w:hint="eastAsia" w:ascii="Times New Roman" w:hAnsi="Times New Roman"/>
                      <w:color w:val="000000" w:themeColor="text1"/>
                      <w:spacing w:val="0"/>
                      <w:position w:val="0"/>
                      <w:sz w:val="21"/>
                      <w:szCs w:val="21"/>
                      <w14:textFill>
                        <w14:solidFill>
                          <w14:schemeClr w14:val="tx1"/>
                        </w14:solidFill>
                      </w14:textFill>
                    </w:rPr>
                    <w:t>防治分区</w:t>
                  </w:r>
                </w:p>
              </w:tc>
              <w:tc>
                <w:tcPr>
                  <w:tcW w:w="1984" w:type="pct"/>
                  <w:tcBorders>
                    <w:tl2br w:val="nil"/>
                    <w:tr2bl w:val="nil"/>
                  </w:tcBorders>
                  <w:noWrap w:val="0"/>
                  <w:vAlign w:val="center"/>
                </w:tcPr>
                <w:p w14:paraId="18EAD3C9">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position w:val="0"/>
                      <w:sz w:val="21"/>
                      <w:szCs w:val="21"/>
                      <w14:textFill>
                        <w14:solidFill>
                          <w14:schemeClr w14:val="tx1"/>
                        </w14:solidFill>
                      </w14:textFill>
                    </w:rPr>
                  </w:pPr>
                  <w:r>
                    <w:rPr>
                      <w:rFonts w:hint="eastAsia" w:ascii="Times New Roman" w:hAnsi="Times New Roman"/>
                      <w:color w:val="000000" w:themeColor="text1"/>
                      <w:spacing w:val="0"/>
                      <w:position w:val="0"/>
                      <w:sz w:val="21"/>
                      <w:szCs w:val="21"/>
                      <w14:textFill>
                        <w14:solidFill>
                          <w14:schemeClr w14:val="tx1"/>
                        </w14:solidFill>
                      </w14:textFill>
                    </w:rPr>
                    <w:t>装置名称</w:t>
                  </w:r>
                </w:p>
              </w:tc>
              <w:tc>
                <w:tcPr>
                  <w:tcW w:w="1324" w:type="pct"/>
                  <w:tcBorders>
                    <w:tl2br w:val="nil"/>
                    <w:tr2bl w:val="nil"/>
                  </w:tcBorders>
                  <w:noWrap w:val="0"/>
                  <w:vAlign w:val="center"/>
                </w:tcPr>
                <w:p w14:paraId="0B3E7D0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position w:val="0"/>
                      <w:sz w:val="21"/>
                      <w:szCs w:val="21"/>
                      <w14:textFill>
                        <w14:solidFill>
                          <w14:schemeClr w14:val="tx1"/>
                        </w14:solidFill>
                      </w14:textFill>
                    </w:rPr>
                  </w:pPr>
                  <w:r>
                    <w:rPr>
                      <w:rFonts w:hint="eastAsia" w:ascii="Times New Roman" w:hAnsi="Times New Roman"/>
                      <w:color w:val="000000" w:themeColor="text1"/>
                      <w:spacing w:val="0"/>
                      <w:position w:val="0"/>
                      <w:sz w:val="21"/>
                      <w:szCs w:val="21"/>
                      <w14:textFill>
                        <w14:solidFill>
                          <w14:schemeClr w14:val="tx1"/>
                        </w14:solidFill>
                      </w14:textFill>
                    </w:rPr>
                    <w:t>防渗区域</w:t>
                  </w:r>
                </w:p>
              </w:tc>
              <w:tc>
                <w:tcPr>
                  <w:tcW w:w="966" w:type="pct"/>
                  <w:tcBorders>
                    <w:tl2br w:val="nil"/>
                    <w:tr2bl w:val="nil"/>
                  </w:tcBorders>
                  <w:noWrap w:val="0"/>
                  <w:vAlign w:val="center"/>
                </w:tcPr>
                <w:p w14:paraId="3501FD1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position w:val="0"/>
                      <w:sz w:val="21"/>
                      <w:szCs w:val="21"/>
                      <w14:textFill>
                        <w14:solidFill>
                          <w14:schemeClr w14:val="tx1"/>
                        </w14:solidFill>
                      </w14:textFill>
                    </w:rPr>
                  </w:pPr>
                  <w:r>
                    <w:rPr>
                      <w:rFonts w:hint="eastAsia" w:ascii="Times New Roman" w:hAnsi="Times New Roman"/>
                      <w:color w:val="000000" w:themeColor="text1"/>
                      <w:spacing w:val="0"/>
                      <w:position w:val="0"/>
                      <w:sz w:val="21"/>
                      <w:szCs w:val="21"/>
                      <w14:textFill>
                        <w14:solidFill>
                          <w14:schemeClr w14:val="tx1"/>
                        </w14:solidFill>
                      </w14:textFill>
                    </w:rPr>
                    <w:t>防渗要求</w:t>
                  </w:r>
                </w:p>
              </w:tc>
            </w:tr>
            <w:tr w14:paraId="7E33D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pct"/>
                  <w:vMerge w:val="restart"/>
                  <w:tcBorders>
                    <w:tl2br w:val="nil"/>
                    <w:tr2bl w:val="nil"/>
                  </w:tcBorders>
                  <w:noWrap w:val="0"/>
                  <w:vAlign w:val="center"/>
                </w:tcPr>
                <w:p w14:paraId="3DFCE44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position w:val="0"/>
                      <w:sz w:val="21"/>
                      <w:szCs w:val="21"/>
                      <w14:textFill>
                        <w14:solidFill>
                          <w14:schemeClr w14:val="tx1"/>
                        </w14:solidFill>
                      </w14:textFill>
                    </w:rPr>
                  </w:pPr>
                  <w:r>
                    <w:rPr>
                      <w:rFonts w:hint="eastAsia" w:ascii="Times New Roman" w:hAnsi="Times New Roman"/>
                      <w:color w:val="000000" w:themeColor="text1"/>
                      <w:spacing w:val="0"/>
                      <w:position w:val="0"/>
                      <w:sz w:val="21"/>
                      <w:szCs w:val="21"/>
                      <w14:textFill>
                        <w14:solidFill>
                          <w14:schemeClr w14:val="tx1"/>
                        </w14:solidFill>
                      </w14:textFill>
                    </w:rPr>
                    <w:t>重点防渗区</w:t>
                  </w:r>
                </w:p>
              </w:tc>
              <w:tc>
                <w:tcPr>
                  <w:tcW w:w="1984" w:type="pct"/>
                  <w:tcBorders>
                    <w:tl2br w:val="nil"/>
                    <w:tr2bl w:val="nil"/>
                  </w:tcBorders>
                  <w:noWrap w:val="0"/>
                  <w:vAlign w:val="center"/>
                </w:tcPr>
                <w:p w14:paraId="7C9333D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olor w:val="000000" w:themeColor="text1"/>
                      <w:spacing w:val="0"/>
                      <w:kern w:val="2"/>
                      <w:positio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t>危险废物贮存间</w:t>
                  </w:r>
                </w:p>
              </w:tc>
              <w:tc>
                <w:tcPr>
                  <w:tcW w:w="1324" w:type="pct"/>
                  <w:vMerge w:val="restart"/>
                  <w:tcBorders>
                    <w:tl2br w:val="nil"/>
                    <w:tr2bl w:val="nil"/>
                  </w:tcBorders>
                  <w:noWrap w:val="0"/>
                  <w:vAlign w:val="center"/>
                </w:tcPr>
                <w:p w14:paraId="685233F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kern w:val="2"/>
                      <w:positio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position w:val="0"/>
                      <w:sz w:val="21"/>
                      <w:szCs w:val="21"/>
                      <w:highlight w:val="none"/>
                      <w:u w:val="none"/>
                      <w:lang w:eastAsia="zh-CN"/>
                      <w14:textFill>
                        <w14:solidFill>
                          <w14:schemeClr w14:val="tx1"/>
                        </w14:solidFill>
                      </w14:textFill>
                    </w:rPr>
                    <w:t>车间地面</w:t>
                  </w:r>
                  <w:r>
                    <w:rPr>
                      <w:rFonts w:hint="default" w:ascii="Times New Roman" w:hAnsi="Times New Roman" w:cs="Times New Roman"/>
                      <w:color w:val="000000" w:themeColor="text1"/>
                      <w:kern w:val="0"/>
                      <w:sz w:val="21"/>
                      <w:szCs w:val="21"/>
                      <w14:textFill>
                        <w14:solidFill>
                          <w14:schemeClr w14:val="tx1"/>
                        </w14:solidFill>
                      </w14:textFill>
                    </w:rPr>
                    <w:t>及裙墙</w:t>
                  </w:r>
                </w:p>
              </w:tc>
              <w:tc>
                <w:tcPr>
                  <w:tcW w:w="966" w:type="pct"/>
                  <w:vMerge w:val="restart"/>
                  <w:tcBorders>
                    <w:tl2br w:val="nil"/>
                    <w:tr2bl w:val="nil"/>
                  </w:tcBorders>
                  <w:noWrap w:val="0"/>
                  <w:vAlign w:val="center"/>
                </w:tcPr>
                <w:p w14:paraId="1AA6B50E">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position w:val="0"/>
                      <w:sz w:val="21"/>
                      <w:szCs w:val="21"/>
                      <w14:textFill>
                        <w14:solidFill>
                          <w14:schemeClr w14:val="tx1"/>
                        </w14:solidFill>
                      </w14:textFill>
                    </w:rPr>
                  </w:pPr>
                  <w:r>
                    <w:rPr>
                      <w:rFonts w:hint="eastAsia" w:ascii="Times New Roman" w:hAnsi="Times New Roman"/>
                      <w:color w:val="000000" w:themeColor="text1"/>
                      <w:spacing w:val="0"/>
                      <w:position w:val="0"/>
                      <w:sz w:val="21"/>
                      <w:szCs w:val="21"/>
                      <w14:textFill>
                        <w14:solidFill>
                          <w14:schemeClr w14:val="tx1"/>
                        </w14:solidFill>
                      </w14:textFill>
                    </w:rPr>
                    <w:t>等效黏土防渗层Mb≥</w:t>
                  </w:r>
                  <w:r>
                    <w:rPr>
                      <w:rFonts w:ascii="Times New Roman" w:hAnsi="Times New Roman"/>
                      <w:color w:val="000000" w:themeColor="text1"/>
                      <w:spacing w:val="0"/>
                      <w:position w:val="0"/>
                      <w:sz w:val="21"/>
                      <w:szCs w:val="21"/>
                      <w14:textFill>
                        <w14:solidFill>
                          <w14:schemeClr w14:val="tx1"/>
                        </w14:solidFill>
                      </w14:textFill>
                    </w:rPr>
                    <w:t>6.0m</w:t>
                  </w:r>
                  <w:r>
                    <w:rPr>
                      <w:rFonts w:hint="eastAsia" w:ascii="Times New Roman" w:hAnsi="Times New Roman"/>
                      <w:color w:val="000000" w:themeColor="text1"/>
                      <w:spacing w:val="0"/>
                      <w:position w:val="0"/>
                      <w:sz w:val="21"/>
                      <w:szCs w:val="21"/>
                      <w14:textFill>
                        <w14:solidFill>
                          <w14:schemeClr w14:val="tx1"/>
                        </w14:solidFill>
                      </w14:textFill>
                    </w:rPr>
                    <w:t>、渗透系数K≤</w:t>
                  </w:r>
                  <w:r>
                    <w:rPr>
                      <w:rFonts w:ascii="Times New Roman" w:hAnsi="Times New Roman"/>
                      <w:color w:val="000000" w:themeColor="text1"/>
                      <w:spacing w:val="0"/>
                      <w:position w:val="0"/>
                      <w:sz w:val="21"/>
                      <w:szCs w:val="21"/>
                      <w14:textFill>
                        <w14:solidFill>
                          <w14:schemeClr w14:val="tx1"/>
                        </w14:solidFill>
                      </w14:textFill>
                    </w:rPr>
                    <w:t>1.0</w:t>
                  </w:r>
                  <w:r>
                    <w:rPr>
                      <w:rFonts w:hint="eastAsia" w:ascii="Times New Roman" w:hAnsi="Times New Roman"/>
                      <w:color w:val="000000" w:themeColor="text1"/>
                      <w:spacing w:val="0"/>
                      <w:position w:val="0"/>
                      <w:sz w:val="21"/>
                      <w:szCs w:val="21"/>
                      <w14:textFill>
                        <w14:solidFill>
                          <w14:schemeClr w14:val="tx1"/>
                        </w14:solidFill>
                      </w14:textFill>
                    </w:rPr>
                    <w:t>×</w:t>
                  </w:r>
                  <w:r>
                    <w:rPr>
                      <w:rFonts w:ascii="Times New Roman" w:hAnsi="Times New Roman"/>
                      <w:color w:val="000000" w:themeColor="text1"/>
                      <w:spacing w:val="0"/>
                      <w:position w:val="0"/>
                      <w:sz w:val="21"/>
                      <w:szCs w:val="21"/>
                      <w14:textFill>
                        <w14:solidFill>
                          <w14:schemeClr w14:val="tx1"/>
                        </w14:solidFill>
                      </w14:textFill>
                    </w:rPr>
                    <w:t>10</w:t>
                  </w:r>
                  <w:r>
                    <w:rPr>
                      <w:rFonts w:ascii="Times New Roman" w:hAnsi="Times New Roman"/>
                      <w:color w:val="000000" w:themeColor="text1"/>
                      <w:spacing w:val="0"/>
                      <w:position w:val="0"/>
                      <w:sz w:val="21"/>
                      <w:szCs w:val="21"/>
                      <w:vertAlign w:val="superscript"/>
                      <w14:textFill>
                        <w14:solidFill>
                          <w14:schemeClr w14:val="tx1"/>
                        </w14:solidFill>
                      </w14:textFill>
                    </w:rPr>
                    <w:t>-7</w:t>
                  </w:r>
                  <w:r>
                    <w:rPr>
                      <w:rFonts w:ascii="Times New Roman" w:hAnsi="Times New Roman"/>
                      <w:color w:val="000000" w:themeColor="text1"/>
                      <w:spacing w:val="0"/>
                      <w:position w:val="0"/>
                      <w:sz w:val="21"/>
                      <w:szCs w:val="21"/>
                      <w14:textFill>
                        <w14:solidFill>
                          <w14:schemeClr w14:val="tx1"/>
                        </w14:solidFill>
                      </w14:textFill>
                    </w:rPr>
                    <w:t>cm/s</w:t>
                  </w:r>
                </w:p>
              </w:tc>
            </w:tr>
            <w:tr w14:paraId="2247E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pct"/>
                  <w:vMerge w:val="continue"/>
                  <w:tcBorders>
                    <w:tl2br w:val="nil"/>
                    <w:tr2bl w:val="nil"/>
                  </w:tcBorders>
                  <w:noWrap w:val="0"/>
                  <w:vAlign w:val="center"/>
                </w:tcPr>
                <w:p w14:paraId="51CDDEB5">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000000" w:themeColor="text1"/>
                      <w:spacing w:val="0"/>
                      <w:position w:val="0"/>
                      <w:sz w:val="21"/>
                      <w:szCs w:val="21"/>
                      <w14:textFill>
                        <w14:solidFill>
                          <w14:schemeClr w14:val="tx1"/>
                        </w14:solidFill>
                      </w14:textFill>
                    </w:rPr>
                  </w:pPr>
                </w:p>
              </w:tc>
              <w:tc>
                <w:tcPr>
                  <w:tcW w:w="1984" w:type="pct"/>
                  <w:tcBorders>
                    <w:tl2br w:val="nil"/>
                    <w:tr2bl w:val="nil"/>
                  </w:tcBorders>
                  <w:noWrap w:val="0"/>
                  <w:vAlign w:val="center"/>
                </w:tcPr>
                <w:p w14:paraId="7FB1BC43">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t>化学品仓库</w:t>
                  </w:r>
                  <w:r>
                    <w:rPr>
                      <w:rFonts w:hint="eastAsia" w:cs="Times New Roman"/>
                      <w:color w:val="000000" w:themeColor="text1"/>
                      <w:spacing w:val="0"/>
                      <w:kern w:val="0"/>
                      <w:position w:val="0"/>
                      <w:sz w:val="21"/>
                      <w:szCs w:val="21"/>
                      <w:highlight w:val="none"/>
                      <w:u w:val="none"/>
                      <w:lang w:val="en-US" w:eastAsia="zh-CN" w:bidi="he-IL"/>
                      <w14:textFill>
                        <w14:solidFill>
                          <w14:schemeClr w14:val="tx1"/>
                        </w14:solidFill>
                      </w14:textFill>
                    </w:rPr>
                    <w:t>（各类涂料及药剂仓库）</w:t>
                  </w:r>
                </w:p>
              </w:tc>
              <w:tc>
                <w:tcPr>
                  <w:tcW w:w="1324" w:type="pct"/>
                  <w:vMerge w:val="continue"/>
                  <w:tcBorders>
                    <w:tl2br w:val="nil"/>
                    <w:tr2bl w:val="nil"/>
                  </w:tcBorders>
                  <w:noWrap w:val="0"/>
                  <w:vAlign w:val="center"/>
                </w:tcPr>
                <w:p w14:paraId="03104E71">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s="Times New Roman"/>
                      <w:color w:val="000000" w:themeColor="text1"/>
                      <w:spacing w:val="0"/>
                      <w:position w:val="0"/>
                      <w:sz w:val="21"/>
                      <w:szCs w:val="21"/>
                      <w:highlight w:val="none"/>
                      <w:u w:val="none"/>
                      <w:lang w:eastAsia="zh-CN"/>
                      <w14:textFill>
                        <w14:solidFill>
                          <w14:schemeClr w14:val="tx1"/>
                        </w14:solidFill>
                      </w14:textFill>
                    </w:rPr>
                  </w:pPr>
                </w:p>
              </w:tc>
              <w:tc>
                <w:tcPr>
                  <w:tcW w:w="966" w:type="pct"/>
                  <w:vMerge w:val="continue"/>
                  <w:tcBorders>
                    <w:tl2br w:val="nil"/>
                    <w:tr2bl w:val="nil"/>
                  </w:tcBorders>
                  <w:noWrap w:val="0"/>
                  <w:vAlign w:val="center"/>
                </w:tcPr>
                <w:p w14:paraId="44A86DC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000000" w:themeColor="text1"/>
                      <w:spacing w:val="0"/>
                      <w:position w:val="0"/>
                      <w:sz w:val="21"/>
                      <w:szCs w:val="21"/>
                      <w14:textFill>
                        <w14:solidFill>
                          <w14:schemeClr w14:val="tx1"/>
                        </w14:solidFill>
                      </w14:textFill>
                    </w:rPr>
                  </w:pPr>
                </w:p>
              </w:tc>
            </w:tr>
            <w:tr w14:paraId="10B7C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pct"/>
                  <w:vMerge w:val="continue"/>
                  <w:tcBorders>
                    <w:tl2br w:val="nil"/>
                    <w:tr2bl w:val="nil"/>
                  </w:tcBorders>
                  <w:noWrap w:val="0"/>
                  <w:vAlign w:val="center"/>
                </w:tcPr>
                <w:p w14:paraId="4F0D9FB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000000" w:themeColor="text1"/>
                      <w:spacing w:val="0"/>
                      <w:position w:val="0"/>
                      <w:sz w:val="21"/>
                      <w:szCs w:val="21"/>
                      <w14:textFill>
                        <w14:solidFill>
                          <w14:schemeClr w14:val="tx1"/>
                        </w14:solidFill>
                      </w14:textFill>
                    </w:rPr>
                  </w:pPr>
                </w:p>
              </w:tc>
              <w:tc>
                <w:tcPr>
                  <w:tcW w:w="1984" w:type="pct"/>
                  <w:tcBorders>
                    <w:tl2br w:val="nil"/>
                    <w:tr2bl w:val="nil"/>
                  </w:tcBorders>
                  <w:noWrap w:val="0"/>
                  <w:vAlign w:val="center"/>
                </w:tcPr>
                <w:p w14:paraId="3CEBCD75">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t>生产车间</w:t>
                  </w:r>
                  <w:r>
                    <w:rPr>
                      <w:rFonts w:hint="eastAsia" w:cs="Times New Roman"/>
                      <w:color w:val="000000" w:themeColor="text1"/>
                      <w:spacing w:val="0"/>
                      <w:kern w:val="0"/>
                      <w:position w:val="0"/>
                      <w:sz w:val="21"/>
                      <w:szCs w:val="21"/>
                      <w:highlight w:val="none"/>
                      <w:u w:val="none"/>
                      <w:lang w:val="en-US" w:eastAsia="zh-CN" w:bidi="he-IL"/>
                      <w14:textFill>
                        <w14:solidFill>
                          <w14:schemeClr w14:val="tx1"/>
                        </w14:solidFill>
                      </w14:textFill>
                    </w:rPr>
                    <w:t>电泳</w:t>
                  </w:r>
                  <w:r>
                    <w:rPr>
                      <w:rFonts w:hint="eastAsia"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t>前处理区、</w:t>
                  </w:r>
                  <w:r>
                    <w:rPr>
                      <w:rFonts w:hint="eastAsia" w:cs="Times New Roman"/>
                      <w:color w:val="000000" w:themeColor="text1"/>
                      <w:spacing w:val="0"/>
                      <w:kern w:val="0"/>
                      <w:position w:val="0"/>
                      <w:sz w:val="21"/>
                      <w:szCs w:val="21"/>
                      <w:highlight w:val="none"/>
                      <w:u w:val="none"/>
                      <w:lang w:val="en-US" w:eastAsia="zh-CN" w:bidi="he-IL"/>
                      <w14:textFill>
                        <w14:solidFill>
                          <w14:schemeClr w14:val="tx1"/>
                        </w14:solidFill>
                      </w14:textFill>
                    </w:rPr>
                    <w:t>钝化区、</w:t>
                  </w:r>
                  <w:r>
                    <w:rPr>
                      <w:rFonts w:hint="eastAsia"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t>电泳区</w:t>
                  </w:r>
                </w:p>
              </w:tc>
              <w:tc>
                <w:tcPr>
                  <w:tcW w:w="1324" w:type="pct"/>
                  <w:tcBorders>
                    <w:tl2br w:val="nil"/>
                    <w:tr2bl w:val="nil"/>
                  </w:tcBorders>
                  <w:noWrap w:val="0"/>
                  <w:vAlign w:val="center"/>
                </w:tcPr>
                <w:p w14:paraId="3B347A1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s="Times New Roman"/>
                      <w:color w:val="000000" w:themeColor="text1"/>
                      <w:spacing w:val="0"/>
                      <w:position w:val="0"/>
                      <w:sz w:val="21"/>
                      <w:szCs w:val="21"/>
                      <w:highlight w:val="none"/>
                      <w:u w:val="none"/>
                      <w:lang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池底及池面四周</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ascii="Times New Roman" w:hAnsi="Times New Roman"/>
                      <w:color w:val="000000" w:themeColor="text1"/>
                      <w:spacing w:val="0"/>
                      <w:position w:val="0"/>
                      <w:sz w:val="21"/>
                      <w:szCs w:val="21"/>
                      <w14:textFill>
                        <w14:solidFill>
                          <w14:schemeClr w14:val="tx1"/>
                        </w14:solidFill>
                      </w14:textFill>
                    </w:rPr>
                    <w:t>四周边沟的沟底和沟壁</w:t>
                  </w:r>
                </w:p>
              </w:tc>
              <w:tc>
                <w:tcPr>
                  <w:tcW w:w="966" w:type="pct"/>
                  <w:vMerge w:val="continue"/>
                  <w:tcBorders>
                    <w:tl2br w:val="nil"/>
                    <w:tr2bl w:val="nil"/>
                  </w:tcBorders>
                  <w:noWrap w:val="0"/>
                  <w:vAlign w:val="center"/>
                </w:tcPr>
                <w:p w14:paraId="18B32B1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000000" w:themeColor="text1"/>
                      <w:spacing w:val="0"/>
                      <w:position w:val="0"/>
                      <w:sz w:val="21"/>
                      <w:szCs w:val="21"/>
                      <w14:textFill>
                        <w14:solidFill>
                          <w14:schemeClr w14:val="tx1"/>
                        </w14:solidFill>
                      </w14:textFill>
                    </w:rPr>
                  </w:pPr>
                </w:p>
              </w:tc>
            </w:tr>
            <w:tr w14:paraId="7F43E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pct"/>
                  <w:vMerge w:val="continue"/>
                  <w:tcBorders>
                    <w:tl2br w:val="nil"/>
                    <w:tr2bl w:val="nil"/>
                  </w:tcBorders>
                  <w:noWrap w:val="0"/>
                  <w:vAlign w:val="center"/>
                </w:tcPr>
                <w:p w14:paraId="150391DE">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000000" w:themeColor="text1"/>
                      <w:spacing w:val="0"/>
                      <w:position w:val="0"/>
                      <w:sz w:val="21"/>
                      <w:szCs w:val="21"/>
                      <w14:textFill>
                        <w14:solidFill>
                          <w14:schemeClr w14:val="tx1"/>
                        </w14:solidFill>
                      </w14:textFill>
                    </w:rPr>
                  </w:pPr>
                </w:p>
              </w:tc>
              <w:tc>
                <w:tcPr>
                  <w:tcW w:w="1984" w:type="pct"/>
                  <w:tcBorders>
                    <w:tl2br w:val="nil"/>
                    <w:tr2bl w:val="nil"/>
                  </w:tcBorders>
                  <w:noWrap w:val="0"/>
                  <w:vAlign w:val="center"/>
                </w:tcPr>
                <w:p w14:paraId="3A9271D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pPr>
                  <w:r>
                    <w:rPr>
                      <w:rFonts w:hint="eastAsia" w:cs="Times New Roman"/>
                      <w:color w:val="000000" w:themeColor="text1"/>
                      <w:spacing w:val="0"/>
                      <w:kern w:val="0"/>
                      <w:position w:val="0"/>
                      <w:sz w:val="21"/>
                      <w:szCs w:val="21"/>
                      <w:highlight w:val="none"/>
                      <w:u w:val="none"/>
                      <w:lang w:val="en-US" w:eastAsia="zh-CN" w:bidi="he-IL"/>
                      <w14:textFill>
                        <w14:solidFill>
                          <w14:schemeClr w14:val="tx1"/>
                        </w14:solidFill>
                      </w14:textFill>
                    </w:rPr>
                    <w:t>生产</w:t>
                  </w:r>
                  <w:r>
                    <w:rPr>
                      <w:rFonts w:hint="eastAsia"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t>废水收集池</w:t>
                  </w:r>
                  <w:r>
                    <w:rPr>
                      <w:rFonts w:hint="eastAsia" w:cs="Times New Roman"/>
                      <w:color w:val="000000" w:themeColor="text1"/>
                      <w:spacing w:val="0"/>
                      <w:kern w:val="0"/>
                      <w:position w:val="0"/>
                      <w:sz w:val="21"/>
                      <w:szCs w:val="21"/>
                      <w:highlight w:val="none"/>
                      <w:u w:val="none"/>
                      <w:lang w:val="en-US" w:eastAsia="zh-CN" w:bidi="he-IL"/>
                      <w14:textFill>
                        <w14:solidFill>
                          <w14:schemeClr w14:val="tx1"/>
                        </w14:solidFill>
                      </w14:textFill>
                    </w:rPr>
                    <w:t>、生产废水处理站</w:t>
                  </w:r>
                </w:p>
              </w:tc>
              <w:tc>
                <w:tcPr>
                  <w:tcW w:w="1324" w:type="pct"/>
                  <w:tcBorders>
                    <w:tl2br w:val="nil"/>
                    <w:tr2bl w:val="nil"/>
                  </w:tcBorders>
                  <w:noWrap w:val="0"/>
                  <w:vAlign w:val="center"/>
                </w:tcPr>
                <w:p w14:paraId="64EB059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s="Times New Roman"/>
                      <w:color w:val="000000" w:themeColor="text1"/>
                      <w:spacing w:val="0"/>
                      <w:position w:val="0"/>
                      <w:sz w:val="21"/>
                      <w:szCs w:val="21"/>
                      <w:highlight w:val="none"/>
                      <w:u w:val="none"/>
                      <w:lang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池底及池面四周</w:t>
                  </w:r>
                </w:p>
              </w:tc>
              <w:tc>
                <w:tcPr>
                  <w:tcW w:w="966" w:type="pct"/>
                  <w:vMerge w:val="continue"/>
                  <w:tcBorders>
                    <w:tl2br w:val="nil"/>
                    <w:tr2bl w:val="nil"/>
                  </w:tcBorders>
                  <w:noWrap w:val="0"/>
                  <w:vAlign w:val="center"/>
                </w:tcPr>
                <w:p w14:paraId="67ADC4E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000000" w:themeColor="text1"/>
                      <w:spacing w:val="0"/>
                      <w:position w:val="0"/>
                      <w:sz w:val="21"/>
                      <w:szCs w:val="21"/>
                      <w14:textFill>
                        <w14:solidFill>
                          <w14:schemeClr w14:val="tx1"/>
                        </w14:solidFill>
                      </w14:textFill>
                    </w:rPr>
                  </w:pPr>
                </w:p>
              </w:tc>
            </w:tr>
            <w:tr w14:paraId="5DF8F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pct"/>
                  <w:vMerge w:val="restart"/>
                  <w:tcBorders>
                    <w:tl2br w:val="nil"/>
                    <w:tr2bl w:val="nil"/>
                  </w:tcBorders>
                  <w:noWrap w:val="0"/>
                  <w:vAlign w:val="center"/>
                </w:tcPr>
                <w:p w14:paraId="05EBA49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position w:val="0"/>
                      <w:sz w:val="21"/>
                      <w:szCs w:val="21"/>
                      <w14:textFill>
                        <w14:solidFill>
                          <w14:schemeClr w14:val="tx1"/>
                        </w14:solidFill>
                      </w14:textFill>
                    </w:rPr>
                  </w:pPr>
                  <w:r>
                    <w:rPr>
                      <w:rFonts w:hint="eastAsia" w:ascii="Times New Roman" w:hAnsi="Times New Roman"/>
                      <w:color w:val="000000" w:themeColor="text1"/>
                      <w:spacing w:val="0"/>
                      <w:position w:val="0"/>
                      <w:sz w:val="21"/>
                      <w:szCs w:val="21"/>
                      <w14:textFill>
                        <w14:solidFill>
                          <w14:schemeClr w14:val="tx1"/>
                        </w14:solidFill>
                      </w14:textFill>
                    </w:rPr>
                    <w:t>一般防渗区</w:t>
                  </w:r>
                </w:p>
              </w:tc>
              <w:tc>
                <w:tcPr>
                  <w:tcW w:w="1984" w:type="pct"/>
                  <w:tcBorders>
                    <w:tl2br w:val="nil"/>
                    <w:tr2bl w:val="nil"/>
                  </w:tcBorders>
                  <w:noWrap w:val="0"/>
                  <w:vAlign w:val="center"/>
                </w:tcPr>
                <w:p w14:paraId="2E2C672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olor w:val="000000" w:themeColor="text1"/>
                      <w:spacing w:val="0"/>
                      <w:kern w:val="2"/>
                      <w:positio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t>生产车间除前处理区、电泳区、</w:t>
                  </w:r>
                  <w:r>
                    <w:rPr>
                      <w:rFonts w:hint="eastAsia" w:cs="Times New Roman"/>
                      <w:color w:val="000000" w:themeColor="text1"/>
                      <w:spacing w:val="0"/>
                      <w:kern w:val="0"/>
                      <w:position w:val="0"/>
                      <w:sz w:val="21"/>
                      <w:szCs w:val="21"/>
                      <w:highlight w:val="none"/>
                      <w:u w:val="none"/>
                      <w:lang w:val="en-US" w:eastAsia="zh-CN" w:bidi="he-IL"/>
                      <w14:textFill>
                        <w14:solidFill>
                          <w14:schemeClr w14:val="tx1"/>
                        </w14:solidFill>
                      </w14:textFill>
                    </w:rPr>
                    <w:t>钝化区</w:t>
                  </w:r>
                  <w:r>
                    <w:rPr>
                      <w:rFonts w:hint="eastAsia"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t>外的其他</w:t>
                  </w:r>
                  <w:r>
                    <w:rPr>
                      <w:rFonts w:hint="eastAsia" w:ascii="Times New Roman" w:hAnsi="Times New Roman" w:eastAsia="宋体" w:cs="Times New Roman"/>
                      <w:color w:val="000000" w:themeColor="text1"/>
                      <w:spacing w:val="0"/>
                      <w:kern w:val="0"/>
                      <w:position w:val="0"/>
                      <w:sz w:val="21"/>
                      <w:szCs w:val="21"/>
                      <w:highlight w:val="none"/>
                      <w:u w:val="none"/>
                      <w:lang w:val="en-US" w:eastAsia="zh-CN" w:bidi="he-IL"/>
                      <w14:textFill>
                        <w14:solidFill>
                          <w14:schemeClr w14:val="tx1"/>
                        </w14:solidFill>
                      </w14:textFill>
                    </w:rPr>
                    <w:t>生产区域</w:t>
                  </w:r>
                </w:p>
              </w:tc>
              <w:tc>
                <w:tcPr>
                  <w:tcW w:w="1324" w:type="pct"/>
                  <w:tcBorders>
                    <w:tl2br w:val="nil"/>
                    <w:tr2bl w:val="nil"/>
                  </w:tcBorders>
                  <w:noWrap w:val="0"/>
                  <w:vAlign w:val="center"/>
                </w:tcPr>
                <w:p w14:paraId="54582A7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position w:val="0"/>
                      <w:sz w:val="21"/>
                      <w:szCs w:val="21"/>
                      <w14:textFill>
                        <w14:solidFill>
                          <w14:schemeClr w14:val="tx1"/>
                        </w14:solidFill>
                      </w14:textFill>
                    </w:rPr>
                  </w:pPr>
                  <w:r>
                    <w:rPr>
                      <w:rFonts w:hint="eastAsia" w:ascii="Times New Roman" w:hAnsi="Times New Roman"/>
                      <w:color w:val="000000" w:themeColor="text1"/>
                      <w:spacing w:val="0"/>
                      <w:position w:val="0"/>
                      <w:sz w:val="21"/>
                      <w:szCs w:val="21"/>
                      <w14:textFill>
                        <w14:solidFill>
                          <w14:schemeClr w14:val="tx1"/>
                        </w14:solidFill>
                      </w14:textFill>
                    </w:rPr>
                    <w:t>室内地面</w:t>
                  </w:r>
                </w:p>
              </w:tc>
              <w:tc>
                <w:tcPr>
                  <w:tcW w:w="966" w:type="pct"/>
                  <w:vMerge w:val="restart"/>
                  <w:tcBorders>
                    <w:tl2br w:val="nil"/>
                    <w:tr2bl w:val="nil"/>
                  </w:tcBorders>
                  <w:noWrap w:val="0"/>
                  <w:vAlign w:val="center"/>
                </w:tcPr>
                <w:p w14:paraId="14B2577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position w:val="0"/>
                      <w:sz w:val="21"/>
                      <w:szCs w:val="21"/>
                      <w14:textFill>
                        <w14:solidFill>
                          <w14:schemeClr w14:val="tx1"/>
                        </w14:solidFill>
                      </w14:textFill>
                    </w:rPr>
                  </w:pPr>
                  <w:r>
                    <w:rPr>
                      <w:rFonts w:hint="eastAsia" w:ascii="Times New Roman" w:hAnsi="Times New Roman"/>
                      <w:color w:val="000000" w:themeColor="text1"/>
                      <w:spacing w:val="0"/>
                      <w:position w:val="0"/>
                      <w:sz w:val="21"/>
                      <w:szCs w:val="21"/>
                      <w14:textFill>
                        <w14:solidFill>
                          <w14:schemeClr w14:val="tx1"/>
                        </w14:solidFill>
                      </w14:textFill>
                    </w:rPr>
                    <w:t>等效黏土防渗层Mb≥1.5</w:t>
                  </w:r>
                  <w:r>
                    <w:rPr>
                      <w:rFonts w:ascii="Times New Roman" w:hAnsi="Times New Roman"/>
                      <w:color w:val="000000" w:themeColor="text1"/>
                      <w:spacing w:val="0"/>
                      <w:position w:val="0"/>
                      <w:sz w:val="21"/>
                      <w:szCs w:val="21"/>
                      <w14:textFill>
                        <w14:solidFill>
                          <w14:schemeClr w14:val="tx1"/>
                        </w14:solidFill>
                      </w14:textFill>
                    </w:rPr>
                    <w:t>m</w:t>
                  </w:r>
                  <w:r>
                    <w:rPr>
                      <w:rFonts w:hint="eastAsia" w:ascii="Times New Roman" w:hAnsi="Times New Roman"/>
                      <w:color w:val="000000" w:themeColor="text1"/>
                      <w:spacing w:val="0"/>
                      <w:position w:val="0"/>
                      <w:sz w:val="21"/>
                      <w:szCs w:val="21"/>
                      <w14:textFill>
                        <w14:solidFill>
                          <w14:schemeClr w14:val="tx1"/>
                        </w14:solidFill>
                      </w14:textFill>
                    </w:rPr>
                    <w:t>、渗透系数K≤</w:t>
                  </w:r>
                  <w:r>
                    <w:rPr>
                      <w:rFonts w:ascii="Times New Roman" w:hAnsi="Times New Roman"/>
                      <w:color w:val="000000" w:themeColor="text1"/>
                      <w:spacing w:val="0"/>
                      <w:position w:val="0"/>
                      <w:sz w:val="21"/>
                      <w:szCs w:val="21"/>
                      <w14:textFill>
                        <w14:solidFill>
                          <w14:schemeClr w14:val="tx1"/>
                        </w14:solidFill>
                      </w14:textFill>
                    </w:rPr>
                    <w:t>1.0</w:t>
                  </w:r>
                  <w:r>
                    <w:rPr>
                      <w:rFonts w:hint="eastAsia" w:ascii="Times New Roman" w:hAnsi="Times New Roman"/>
                      <w:color w:val="000000" w:themeColor="text1"/>
                      <w:spacing w:val="0"/>
                      <w:position w:val="0"/>
                      <w:sz w:val="21"/>
                      <w:szCs w:val="21"/>
                      <w14:textFill>
                        <w14:solidFill>
                          <w14:schemeClr w14:val="tx1"/>
                        </w14:solidFill>
                      </w14:textFill>
                    </w:rPr>
                    <w:t>×</w:t>
                  </w:r>
                  <w:r>
                    <w:rPr>
                      <w:rFonts w:ascii="Times New Roman" w:hAnsi="Times New Roman"/>
                      <w:color w:val="000000" w:themeColor="text1"/>
                      <w:spacing w:val="0"/>
                      <w:position w:val="0"/>
                      <w:sz w:val="21"/>
                      <w:szCs w:val="21"/>
                      <w14:textFill>
                        <w14:solidFill>
                          <w14:schemeClr w14:val="tx1"/>
                        </w14:solidFill>
                      </w14:textFill>
                    </w:rPr>
                    <w:t>10</w:t>
                  </w:r>
                  <w:r>
                    <w:rPr>
                      <w:rFonts w:ascii="Times New Roman" w:hAnsi="Times New Roman"/>
                      <w:color w:val="000000" w:themeColor="text1"/>
                      <w:spacing w:val="0"/>
                      <w:position w:val="0"/>
                      <w:sz w:val="21"/>
                      <w:szCs w:val="21"/>
                      <w:vertAlign w:val="superscript"/>
                      <w14:textFill>
                        <w14:solidFill>
                          <w14:schemeClr w14:val="tx1"/>
                        </w14:solidFill>
                      </w14:textFill>
                    </w:rPr>
                    <w:t>-7</w:t>
                  </w:r>
                  <w:r>
                    <w:rPr>
                      <w:rFonts w:ascii="Times New Roman" w:hAnsi="Times New Roman"/>
                      <w:color w:val="000000" w:themeColor="text1"/>
                      <w:spacing w:val="0"/>
                      <w:position w:val="0"/>
                      <w:sz w:val="21"/>
                      <w:szCs w:val="21"/>
                      <w14:textFill>
                        <w14:solidFill>
                          <w14:schemeClr w14:val="tx1"/>
                        </w14:solidFill>
                      </w14:textFill>
                    </w:rPr>
                    <w:t>cm/s</w:t>
                  </w:r>
                </w:p>
              </w:tc>
            </w:tr>
            <w:tr w14:paraId="3546E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pct"/>
                  <w:vMerge w:val="continue"/>
                  <w:tcBorders>
                    <w:tl2br w:val="nil"/>
                    <w:tr2bl w:val="nil"/>
                  </w:tcBorders>
                  <w:noWrap w:val="0"/>
                  <w:vAlign w:val="center"/>
                </w:tcPr>
                <w:p w14:paraId="14111550">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000000" w:themeColor="text1"/>
                      <w:spacing w:val="0"/>
                      <w:position w:val="0"/>
                      <w:sz w:val="21"/>
                      <w:szCs w:val="21"/>
                      <w14:textFill>
                        <w14:solidFill>
                          <w14:schemeClr w14:val="tx1"/>
                        </w14:solidFill>
                      </w14:textFill>
                    </w:rPr>
                  </w:pPr>
                </w:p>
              </w:tc>
              <w:tc>
                <w:tcPr>
                  <w:tcW w:w="1984" w:type="pct"/>
                  <w:tcBorders>
                    <w:tl2br w:val="nil"/>
                    <w:tr2bl w:val="nil"/>
                  </w:tcBorders>
                  <w:noWrap w:val="0"/>
                  <w:vAlign w:val="center"/>
                </w:tcPr>
                <w:p w14:paraId="5AF4B079">
                  <w:pPr>
                    <w:jc w:val="center"/>
                    <w:rPr>
                      <w:rFonts w:hint="default" w:ascii="Times New Roman" w:hAnsi="Times New Roman" w:eastAsia="宋体" w:cs="Times New Roman"/>
                      <w:color w:val="000000" w:themeColor="text1"/>
                      <w:spacing w:val="0"/>
                      <w:kern w:val="0"/>
                      <w:position w:val="0"/>
                      <w:sz w:val="21"/>
                      <w:szCs w:val="21"/>
                      <w:highlight w:val="none"/>
                      <w:u w:val="none"/>
                      <w:lang w:val="en-US" w:eastAsia="zh-CN" w:bidi="he-IL"/>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污水管道</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ascii="Times New Roman" w:hAnsi="Times New Roman" w:cs="Times New Roman"/>
                      <w:color w:val="000000" w:themeColor="text1"/>
                      <w:kern w:val="0"/>
                      <w:sz w:val="21"/>
                      <w:szCs w:val="21"/>
                      <w:lang w:val="en-US" w:eastAsia="zh-CN"/>
                      <w14:textFill>
                        <w14:solidFill>
                          <w14:schemeClr w14:val="tx1"/>
                        </w14:solidFill>
                      </w14:textFill>
                    </w:rPr>
                    <w:t>喷淋装置区</w:t>
                  </w:r>
                </w:p>
              </w:tc>
              <w:tc>
                <w:tcPr>
                  <w:tcW w:w="1324" w:type="pct"/>
                  <w:tcBorders>
                    <w:tl2br w:val="nil"/>
                    <w:tr2bl w:val="nil"/>
                  </w:tcBorders>
                  <w:noWrap w:val="0"/>
                  <w:vAlign w:val="center"/>
                </w:tcPr>
                <w:p w14:paraId="53265252">
                  <w:pPr>
                    <w:jc w:val="center"/>
                    <w:rPr>
                      <w:rFonts w:hint="eastAsia" w:ascii="Times New Roman" w:hAnsi="Times New Roman"/>
                      <w:color w:val="000000" w:themeColor="text1"/>
                      <w:spacing w:val="0"/>
                      <w:positio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地面</w:t>
                  </w:r>
                </w:p>
              </w:tc>
              <w:tc>
                <w:tcPr>
                  <w:tcW w:w="966" w:type="pct"/>
                  <w:vMerge w:val="continue"/>
                  <w:tcBorders>
                    <w:tl2br w:val="nil"/>
                    <w:tr2bl w:val="nil"/>
                  </w:tcBorders>
                  <w:noWrap w:val="0"/>
                  <w:vAlign w:val="center"/>
                </w:tcPr>
                <w:p w14:paraId="6E1BBA95">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000000" w:themeColor="text1"/>
                      <w:spacing w:val="0"/>
                      <w:position w:val="0"/>
                      <w:sz w:val="21"/>
                      <w:szCs w:val="21"/>
                      <w14:textFill>
                        <w14:solidFill>
                          <w14:schemeClr w14:val="tx1"/>
                        </w14:solidFill>
                      </w14:textFill>
                    </w:rPr>
                  </w:pPr>
                </w:p>
              </w:tc>
            </w:tr>
            <w:tr w14:paraId="41559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pct"/>
                  <w:vMerge w:val="continue"/>
                  <w:tcBorders>
                    <w:tl2br w:val="nil"/>
                    <w:tr2bl w:val="nil"/>
                  </w:tcBorders>
                  <w:noWrap w:val="0"/>
                  <w:vAlign w:val="center"/>
                </w:tcPr>
                <w:p w14:paraId="40A69CC7">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position w:val="0"/>
                      <w:sz w:val="21"/>
                      <w:szCs w:val="21"/>
                      <w14:textFill>
                        <w14:solidFill>
                          <w14:schemeClr w14:val="tx1"/>
                        </w14:solidFill>
                      </w14:textFill>
                    </w:rPr>
                  </w:pPr>
                </w:p>
              </w:tc>
              <w:tc>
                <w:tcPr>
                  <w:tcW w:w="1984" w:type="pct"/>
                  <w:tcBorders>
                    <w:tl2br w:val="nil"/>
                    <w:tr2bl w:val="nil"/>
                  </w:tcBorders>
                  <w:noWrap w:val="0"/>
                  <w:vAlign w:val="center"/>
                </w:tcPr>
                <w:p w14:paraId="2F8E70F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kern w:val="2"/>
                      <w:position w:val="0"/>
                      <w:sz w:val="21"/>
                      <w:szCs w:val="21"/>
                      <w:lang w:val="en-US" w:eastAsia="zh-CN" w:bidi="ar-SA"/>
                      <w14:textFill>
                        <w14:solidFill>
                          <w14:schemeClr w14:val="tx1"/>
                        </w14:solidFill>
                      </w14:textFill>
                    </w:rPr>
                  </w:pPr>
                  <w:r>
                    <w:rPr>
                      <w:rFonts w:ascii="Times New Roman" w:hAnsi="Times New Roman"/>
                      <w:color w:val="000000" w:themeColor="text1"/>
                      <w:spacing w:val="0"/>
                      <w:position w:val="0"/>
                      <w:szCs w:val="21"/>
                      <w14:textFill>
                        <w14:solidFill>
                          <w14:schemeClr w14:val="tx1"/>
                        </w14:solidFill>
                      </w14:textFill>
                    </w:rPr>
                    <w:t>一般</w:t>
                  </w:r>
                  <w:r>
                    <w:rPr>
                      <w:rFonts w:hint="eastAsia" w:ascii="Times New Roman" w:hAnsi="Times New Roman"/>
                      <w:color w:val="000000" w:themeColor="text1"/>
                      <w:spacing w:val="0"/>
                      <w:position w:val="0"/>
                      <w:szCs w:val="21"/>
                      <w:lang w:val="en-US" w:eastAsia="zh-CN"/>
                      <w14:textFill>
                        <w14:solidFill>
                          <w14:schemeClr w14:val="tx1"/>
                        </w14:solidFill>
                      </w14:textFill>
                    </w:rPr>
                    <w:t>工业</w:t>
                  </w:r>
                  <w:r>
                    <w:rPr>
                      <w:rFonts w:ascii="Times New Roman" w:hAnsi="Times New Roman"/>
                      <w:color w:val="000000" w:themeColor="text1"/>
                      <w:spacing w:val="0"/>
                      <w:position w:val="0"/>
                      <w:szCs w:val="21"/>
                      <w14:textFill>
                        <w14:solidFill>
                          <w14:schemeClr w14:val="tx1"/>
                        </w14:solidFill>
                      </w14:textFill>
                    </w:rPr>
                    <w:t>固废暂存</w:t>
                  </w:r>
                  <w:r>
                    <w:rPr>
                      <w:rFonts w:hint="eastAsia"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t>仓库</w:t>
                  </w:r>
                </w:p>
              </w:tc>
              <w:tc>
                <w:tcPr>
                  <w:tcW w:w="1324" w:type="pct"/>
                  <w:tcBorders>
                    <w:tl2br w:val="nil"/>
                    <w:tr2bl w:val="nil"/>
                  </w:tcBorders>
                  <w:noWrap w:val="0"/>
                  <w:vAlign w:val="center"/>
                </w:tcPr>
                <w:p w14:paraId="09B2B9F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kern w:val="2"/>
                      <w:positio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position w:val="0"/>
                      <w:sz w:val="21"/>
                      <w:szCs w:val="21"/>
                      <w:highlight w:val="none"/>
                      <w:u w:val="none"/>
                      <w:lang w:eastAsia="zh-CN"/>
                      <w14:textFill>
                        <w14:solidFill>
                          <w14:schemeClr w14:val="tx1"/>
                        </w14:solidFill>
                      </w14:textFill>
                    </w:rPr>
                    <w:t>车间地面</w:t>
                  </w:r>
                </w:p>
              </w:tc>
              <w:tc>
                <w:tcPr>
                  <w:tcW w:w="966" w:type="pct"/>
                  <w:vMerge w:val="continue"/>
                  <w:tcBorders>
                    <w:tl2br w:val="nil"/>
                    <w:tr2bl w:val="nil"/>
                  </w:tcBorders>
                  <w:noWrap w:val="0"/>
                  <w:vAlign w:val="center"/>
                </w:tcPr>
                <w:p w14:paraId="5C88E22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position w:val="0"/>
                      <w:sz w:val="21"/>
                      <w:szCs w:val="21"/>
                      <w14:textFill>
                        <w14:solidFill>
                          <w14:schemeClr w14:val="tx1"/>
                        </w14:solidFill>
                      </w14:textFill>
                    </w:rPr>
                  </w:pPr>
                </w:p>
              </w:tc>
            </w:tr>
            <w:tr w14:paraId="1E157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pct"/>
                  <w:tcBorders>
                    <w:tl2br w:val="nil"/>
                    <w:tr2bl w:val="nil"/>
                  </w:tcBorders>
                  <w:noWrap w:val="0"/>
                  <w:vAlign w:val="center"/>
                </w:tcPr>
                <w:p w14:paraId="1DD84CA6">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kern w:val="2"/>
                      <w:position w:val="0"/>
                      <w:sz w:val="21"/>
                      <w:szCs w:val="21"/>
                      <w:lang w:val="en-US" w:eastAsia="zh-CN" w:bidi="ar-SA"/>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简单防渗区</w:t>
                  </w:r>
                </w:p>
              </w:tc>
              <w:tc>
                <w:tcPr>
                  <w:tcW w:w="1984" w:type="pct"/>
                  <w:tcBorders>
                    <w:tl2br w:val="nil"/>
                    <w:tr2bl w:val="nil"/>
                  </w:tcBorders>
                  <w:noWrap w:val="0"/>
                  <w:vAlign w:val="center"/>
                </w:tcPr>
                <w:p w14:paraId="124270F2">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olor w:val="000000" w:themeColor="text1"/>
                      <w:spacing w:val="0"/>
                      <w:kern w:val="2"/>
                      <w:position w:val="0"/>
                      <w:sz w:val="21"/>
                      <w:szCs w:val="21"/>
                      <w:lang w:val="en-US" w:eastAsia="zh-CN" w:bidi="ar-SA"/>
                      <w14:textFill>
                        <w14:solidFill>
                          <w14:schemeClr w14:val="tx1"/>
                        </w14:solidFill>
                      </w14:textFill>
                    </w:rPr>
                  </w:pPr>
                  <w:r>
                    <w:rPr>
                      <w:rFonts w:hint="eastAsia"/>
                      <w:color w:val="000000" w:themeColor="text1"/>
                      <w:spacing w:val="0"/>
                      <w:position w:val="0"/>
                      <w:szCs w:val="21"/>
                      <w:lang w:val="en-US" w:eastAsia="zh-CN"/>
                      <w14:textFill>
                        <w14:solidFill>
                          <w14:schemeClr w14:val="tx1"/>
                        </w14:solidFill>
                      </w14:textFill>
                    </w:rPr>
                    <w:t>一般</w:t>
                  </w:r>
                  <w:r>
                    <w:rPr>
                      <w:rFonts w:hint="eastAsia" w:ascii="Times New Roman" w:hAnsi="Times New Roman"/>
                      <w:color w:val="000000" w:themeColor="text1"/>
                      <w:spacing w:val="0"/>
                      <w:position w:val="0"/>
                      <w:szCs w:val="21"/>
                      <w:lang w:val="en-US" w:eastAsia="zh-CN"/>
                      <w14:textFill>
                        <w14:solidFill>
                          <w14:schemeClr w14:val="tx1"/>
                        </w14:solidFill>
                      </w14:textFill>
                    </w:rPr>
                    <w:t>原料仓库、成品仓库、过道等</w:t>
                  </w:r>
                </w:p>
              </w:tc>
              <w:tc>
                <w:tcPr>
                  <w:tcW w:w="1324" w:type="pct"/>
                  <w:tcBorders>
                    <w:tl2br w:val="nil"/>
                    <w:tr2bl w:val="nil"/>
                  </w:tcBorders>
                  <w:noWrap w:val="0"/>
                  <w:vAlign w:val="center"/>
                </w:tcPr>
                <w:p w14:paraId="2C2E2338">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color w:val="000000" w:themeColor="text1"/>
                      <w:spacing w:val="0"/>
                      <w:kern w:val="2"/>
                      <w:position w:val="0"/>
                      <w:sz w:val="21"/>
                      <w:szCs w:val="21"/>
                      <w:lang w:val="en-US" w:eastAsia="zh-CN" w:bidi="ar-SA"/>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地面</w:t>
                  </w:r>
                </w:p>
              </w:tc>
              <w:tc>
                <w:tcPr>
                  <w:tcW w:w="966" w:type="pct"/>
                  <w:tcBorders>
                    <w:tl2br w:val="nil"/>
                    <w:tr2bl w:val="nil"/>
                  </w:tcBorders>
                  <w:noWrap w:val="0"/>
                  <w:vAlign w:val="center"/>
                </w:tcPr>
                <w:p w14:paraId="536A55B5">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ascii="Times New Roman" w:hAnsi="Times New Roman"/>
                      <w:color w:val="000000" w:themeColor="text1"/>
                      <w:spacing w:val="0"/>
                      <w:position w:val="0"/>
                      <w:sz w:val="21"/>
                      <w:szCs w:val="21"/>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一般地面硬化</w:t>
                  </w:r>
                </w:p>
              </w:tc>
            </w:tr>
          </w:tbl>
          <w:p w14:paraId="7A8F2F00">
            <w:pPr>
              <w:spacing w:before="156" w:beforeLines="50" w:line="360" w:lineRule="auto"/>
              <w:outlineLvl w:val="3"/>
              <w:rPr>
                <w:rFonts w:hint="eastAsia" w:ascii="Times New Roman" w:hAnsi="Times New Roman" w:eastAsia="宋体" w:cs="Times New Roman"/>
                <w:b/>
                <w:color w:val="000000" w:themeColor="text1"/>
                <w:sz w:val="24"/>
                <w:szCs w:val="24"/>
                <w:lang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现有防渗措施</w:t>
            </w:r>
            <w:r>
              <w:rPr>
                <w:rFonts w:hint="eastAsia" w:ascii="Times New Roman" w:hAnsi="Times New Roman" w:eastAsia="宋体" w:cs="Times New Roman"/>
                <w:b/>
                <w:color w:val="000000" w:themeColor="text1"/>
                <w:sz w:val="24"/>
                <w:szCs w:val="24"/>
                <w:lang w:eastAsia="zh-CN"/>
                <w14:textFill>
                  <w14:solidFill>
                    <w14:schemeClr w14:val="tx1"/>
                  </w14:solidFill>
                </w14:textFill>
              </w:rPr>
              <w:t>：</w:t>
            </w:r>
          </w:p>
          <w:p w14:paraId="6FE5F8DC">
            <w:pPr>
              <w:adjustRightInd w:val="0"/>
              <w:snapToGrid w:val="0"/>
              <w:spacing w:before="156" w:beforeLines="50"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根据现有厂区环保竣工验收报告及现场踏勘情况，现有厂区，对不同的区域采取了相应的防渗措施，具体情况如下。</w:t>
            </w:r>
          </w:p>
          <w:p w14:paraId="2C563420">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①</w:t>
            </w:r>
            <w:r>
              <w:rPr>
                <w:color w:val="000000" w:themeColor="text1"/>
                <w:sz w:val="24"/>
                <w:szCs w:val="24"/>
                <w14:textFill>
                  <w14:solidFill>
                    <w14:schemeClr w14:val="tx1"/>
                  </w14:solidFill>
                </w14:textFill>
              </w:rPr>
              <w:t>重点污染防治区</w:t>
            </w:r>
          </w:p>
          <w:p w14:paraId="6BC405F3">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危险废物贮存间地面及墙</w:t>
            </w:r>
            <w:r>
              <w:rPr>
                <w:color w:val="000000" w:themeColor="text1"/>
                <w:sz w:val="24"/>
                <w:szCs w:val="24"/>
                <w14:textFill>
                  <w14:solidFill>
                    <w14:schemeClr w14:val="tx1"/>
                  </w14:solidFill>
                </w14:textFill>
              </w:rPr>
              <w:t>裙角</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采用</w:t>
            </w:r>
            <w:r>
              <w:rPr>
                <w:color w:val="000000" w:themeColor="text1"/>
                <w:sz w:val="24"/>
                <w:szCs w:val="24"/>
                <w14:textFill>
                  <w14:solidFill>
                    <w14:schemeClr w14:val="tx1"/>
                  </w14:solidFill>
                </w14:textFill>
              </w:rPr>
              <w:t>50mm混凝土垫层+1.5mmHDPE防渗膜+20mm混凝土+环氧树脂漆防渗处理，</w:t>
            </w:r>
            <w:r>
              <w:rPr>
                <w:rFonts w:hint="eastAsia"/>
                <w:color w:val="000000" w:themeColor="text1"/>
                <w:sz w:val="24"/>
                <w:szCs w:val="24"/>
                <w14:textFill>
                  <w14:solidFill>
                    <w14:schemeClr w14:val="tx1"/>
                  </w14:solidFill>
                </w14:textFill>
              </w:rPr>
              <w:t>满足</w:t>
            </w:r>
            <w:r>
              <w:rPr>
                <w:color w:val="000000" w:themeColor="text1"/>
                <w:sz w:val="24"/>
                <w:szCs w:val="24"/>
                <w14:textFill>
                  <w14:solidFill>
                    <w14:schemeClr w14:val="tx1"/>
                  </w14:solidFill>
                </w14:textFill>
              </w:rPr>
              <w:t>《危险废物贮存污染控制标准》</w:t>
            </w:r>
            <w:r>
              <w:rPr>
                <w:rFonts w:hint="eastAsia"/>
                <w:color w:val="000000" w:themeColor="text1"/>
                <w:sz w:val="24"/>
                <w:szCs w:val="24"/>
                <w14:textFill>
                  <w14:solidFill>
                    <w14:schemeClr w14:val="tx1"/>
                  </w14:solidFill>
                </w14:textFill>
              </w:rPr>
              <w:t>（GB 18597-2023）</w:t>
            </w:r>
            <w:r>
              <w:rPr>
                <w:color w:val="000000" w:themeColor="text1"/>
                <w:sz w:val="24"/>
                <w:szCs w:val="24"/>
                <w14:textFill>
                  <w14:solidFill>
                    <w14:schemeClr w14:val="tx1"/>
                  </w14:solidFill>
                </w14:textFill>
              </w:rPr>
              <w:t>的相关要求；</w:t>
            </w:r>
          </w:p>
          <w:p w14:paraId="3BA7D579">
            <w:pPr>
              <w:adjustRightInd w:val="0"/>
              <w:snapToGrid w:val="0"/>
              <w:spacing w:line="360" w:lineRule="auto"/>
              <w:ind w:firstLine="480" w:firstLineChars="200"/>
              <w:rPr>
                <w:rFonts w:hint="eastAsia" w:eastAsia="宋体"/>
                <w:color w:val="000000" w:themeColor="text1"/>
                <w:sz w:val="24"/>
                <w:szCs w:val="24"/>
                <w:lang w:eastAsia="zh-CN"/>
                <w14:textFill>
                  <w14:solidFill>
                    <w14:schemeClr w14:val="tx1"/>
                  </w14:solidFill>
                </w14:textFill>
              </w:rPr>
            </w:pPr>
            <w:r>
              <w:rPr>
                <w:rFonts w:hint="eastAsia" w:cs="Times New Roman"/>
                <w:color w:val="000000" w:themeColor="text1"/>
                <w:spacing w:val="0"/>
                <w:kern w:val="0"/>
                <w:position w:val="0"/>
                <w:sz w:val="24"/>
                <w:szCs w:val="24"/>
                <w:highlight w:val="none"/>
                <w:u w:val="none"/>
                <w:lang w:val="en-US" w:eastAsia="zh-CN" w:bidi="he-IL"/>
                <w14:textFill>
                  <w14:solidFill>
                    <w14:schemeClr w14:val="tx1"/>
                  </w14:solidFill>
                </w14:textFill>
              </w:rPr>
              <w:t>生产废水处理站</w:t>
            </w:r>
            <w:r>
              <w:rPr>
                <w:rFonts w:hint="eastAsia"/>
                <w:color w:val="000000" w:themeColor="text1"/>
                <w:sz w:val="24"/>
                <w:szCs w:val="24"/>
                <w:lang w:val="en-US" w:eastAsia="zh-CN"/>
                <w14:textFill>
                  <w14:solidFill>
                    <w14:schemeClr w14:val="tx1"/>
                  </w14:solidFill>
                </w14:textFill>
              </w:rPr>
              <w:t>地面及围堰：</w:t>
            </w:r>
            <w:r>
              <w:rPr>
                <w:rFonts w:hint="eastAsia"/>
                <w:color w:val="000000" w:themeColor="text1"/>
                <w:sz w:val="24"/>
                <w:szCs w:val="24"/>
                <w14:textFill>
                  <w14:solidFill>
                    <w14:schemeClr w14:val="tx1"/>
                  </w14:solidFill>
                </w14:textFill>
              </w:rPr>
              <w:t>采用</w:t>
            </w:r>
            <w:r>
              <w:rPr>
                <w:color w:val="000000" w:themeColor="text1"/>
                <w:sz w:val="24"/>
                <w:szCs w:val="24"/>
                <w14:textFill>
                  <w14:solidFill>
                    <w14:schemeClr w14:val="tx1"/>
                  </w14:solidFill>
                </w14:textFill>
              </w:rPr>
              <w:t>50mm混凝土垫层+1.5mmHDPE防渗膜+20mm混凝土+环氧树脂漆防渗处理</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污水处理池（收集池、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调节池、贮泥池）从</w:t>
            </w:r>
            <w:r>
              <w:rPr>
                <w:color w:val="000000" w:themeColor="text1"/>
                <w:sz w:val="24"/>
                <w:szCs w:val="24"/>
                <w14:textFill>
                  <w14:solidFill>
                    <w14:schemeClr w14:val="tx1"/>
                  </w14:solidFill>
                </w14:textFill>
              </w:rPr>
              <w:t>下往上分别为：300mm粘土层</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1.5mmHDPE防渗膜</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15cm耐腐蚀混凝土</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污水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站成套设备：碳钢制作，内部刷三道防氧煤沥青防腐。</w:t>
            </w:r>
            <w:r>
              <w:rPr>
                <w:rFonts w:hint="eastAsia" w:cs="Times New Roman"/>
                <w:color w:val="000000" w:themeColor="text1"/>
                <w:spacing w:val="0"/>
                <w:kern w:val="0"/>
                <w:position w:val="0"/>
                <w:sz w:val="24"/>
                <w:szCs w:val="24"/>
                <w:highlight w:val="none"/>
                <w:u w:val="none"/>
                <w:lang w:val="en-US" w:eastAsia="zh-CN" w:bidi="he-IL"/>
                <w14:textFill>
                  <w14:solidFill>
                    <w14:schemeClr w14:val="tx1"/>
                  </w14:solidFill>
                </w14:textFill>
              </w:rPr>
              <w:t>生产废水处理站各区</w:t>
            </w:r>
            <w:r>
              <w:rPr>
                <w:color w:val="000000" w:themeColor="text1"/>
                <w:sz w:val="24"/>
                <w:szCs w:val="24"/>
                <w14:textFill>
                  <w14:solidFill>
                    <w14:schemeClr w14:val="tx1"/>
                  </w14:solidFill>
                </w14:textFill>
              </w:rPr>
              <w:t>渗透系数不大于10</w:t>
            </w:r>
            <w:r>
              <w:rPr>
                <w:color w:val="000000" w:themeColor="text1"/>
                <w:sz w:val="24"/>
                <w:szCs w:val="24"/>
                <w:vertAlign w:val="superscript"/>
                <w14:textFill>
                  <w14:solidFill>
                    <w14:schemeClr w14:val="tx1"/>
                  </w14:solidFill>
                </w14:textFill>
              </w:rPr>
              <w:t>-10</w:t>
            </w:r>
            <w:r>
              <w:rPr>
                <w:color w:val="000000" w:themeColor="text1"/>
                <w:sz w:val="24"/>
                <w:szCs w:val="24"/>
                <w14:textFill>
                  <w14:solidFill>
                    <w14:schemeClr w14:val="tx1"/>
                  </w14:solidFill>
                </w14:textFill>
              </w:rPr>
              <w:t>cm/s，符合防渗技术要求</w:t>
            </w:r>
            <w:r>
              <w:rPr>
                <w:rFonts w:hint="eastAsia"/>
                <w:color w:val="000000" w:themeColor="text1"/>
                <w:sz w:val="24"/>
                <w:szCs w:val="24"/>
                <w:lang w:eastAsia="zh-CN"/>
                <w14:textFill>
                  <w14:solidFill>
                    <w14:schemeClr w14:val="tx1"/>
                  </w14:solidFill>
                </w14:textFill>
              </w:rPr>
              <w:t>。</w:t>
            </w:r>
          </w:p>
          <w:p w14:paraId="354FE69B">
            <w:pPr>
              <w:spacing w:line="360" w:lineRule="auto"/>
              <w:ind w:firstLine="480" w:firstLineChars="200"/>
              <w:jc w:val="left"/>
              <w:rPr>
                <w:rFonts w:hint="eastAsia"/>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pacing w:val="0"/>
                <w:kern w:val="0"/>
                <w:position w:val="0"/>
                <w:sz w:val="24"/>
                <w:szCs w:val="24"/>
                <w:highlight w:val="none"/>
                <w:u w:val="none"/>
                <w:lang w:val="en-US" w:eastAsia="zh-CN" w:bidi="he-IL"/>
                <w14:textFill>
                  <w14:solidFill>
                    <w14:schemeClr w14:val="tx1"/>
                  </w14:solidFill>
                </w14:textFill>
              </w:rPr>
              <w:t>生产车间前处理区、电泳区</w:t>
            </w:r>
            <w:r>
              <w:rPr>
                <w:rFonts w:hint="default" w:ascii="Times New Roman" w:hAnsi="Times New Roman" w:cs="Times New Roman"/>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采用</w:t>
            </w:r>
            <w:r>
              <w:rPr>
                <w:color w:val="000000" w:themeColor="text1"/>
                <w:sz w:val="24"/>
                <w:szCs w:val="24"/>
                <w14:textFill>
                  <w14:solidFill>
                    <w14:schemeClr w14:val="tx1"/>
                  </w14:solidFill>
                </w14:textFill>
              </w:rPr>
              <w:t>50mm混凝土垫层+1.5mmHDPE防渗膜+</w:t>
            </w:r>
            <w:r>
              <w:rPr>
                <w:rFonts w:hint="default" w:ascii="Times New Roman" w:hAnsi="Times New Roman" w:cs="Times New Roman"/>
                <w:color w:val="000000" w:themeColor="text1"/>
                <w:sz w:val="24"/>
                <w:szCs w:val="24"/>
                <w14:textFill>
                  <w14:solidFill>
                    <w14:schemeClr w14:val="tx1"/>
                  </w14:solidFill>
                </w14:textFill>
              </w:rPr>
              <w:t>15cm耐腐蚀混凝土</w:t>
            </w:r>
            <w:r>
              <w:rPr>
                <w:rFonts w:hint="default" w:ascii="Times New Roman" w:hAnsi="Times New Roman" w:eastAsia="TimesNewRomanPSMT" w:cs="Times New Roman"/>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环氧树脂漆</w:t>
            </w:r>
            <w:r>
              <w:rPr>
                <w:rFonts w:hint="eastAsia"/>
                <w:color w:val="000000" w:themeColor="text1"/>
                <w:sz w:val="24"/>
                <w:szCs w:val="24"/>
                <w:lang w:eastAsia="zh-CN"/>
                <w14:textFill>
                  <w14:solidFill>
                    <w14:schemeClr w14:val="tx1"/>
                  </w14:solidFill>
                </w14:textFill>
              </w:rPr>
              <w:t>防渗</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渗透系数不大于10</w:t>
            </w:r>
            <w:r>
              <w:rPr>
                <w:rFonts w:hint="default" w:ascii="Times New Roman" w:hAnsi="Times New Roman" w:cs="Times New Roman"/>
                <w:color w:val="000000" w:themeColor="text1"/>
                <w:sz w:val="24"/>
                <w:szCs w:val="24"/>
                <w:vertAlign w:val="super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cm/s</w:t>
            </w:r>
            <w:r>
              <w:rPr>
                <w:color w:val="000000" w:themeColor="text1"/>
                <w:sz w:val="24"/>
                <w:szCs w:val="24"/>
                <w14:textFill>
                  <w14:solidFill>
                    <w14:schemeClr w14:val="tx1"/>
                  </w14:solidFill>
                </w14:textFill>
              </w:rPr>
              <w:t>，符合防渗技术要求</w:t>
            </w:r>
            <w:r>
              <w:rPr>
                <w:rFonts w:hint="eastAsia"/>
                <w:color w:val="000000" w:themeColor="text1"/>
                <w:sz w:val="24"/>
                <w:szCs w:val="24"/>
                <w:lang w:eastAsia="zh-CN"/>
                <w14:textFill>
                  <w14:solidFill>
                    <w14:schemeClr w14:val="tx1"/>
                  </w14:solidFill>
                </w14:textFill>
              </w:rPr>
              <w:t>。</w:t>
            </w:r>
          </w:p>
          <w:p w14:paraId="3396C9F6">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②</w:t>
            </w:r>
            <w:r>
              <w:rPr>
                <w:color w:val="000000" w:themeColor="text1"/>
                <w:sz w:val="24"/>
                <w:szCs w:val="24"/>
                <w14:textFill>
                  <w14:solidFill>
                    <w14:schemeClr w14:val="tx1"/>
                  </w14:solidFill>
                </w14:textFill>
              </w:rPr>
              <w:t>一般污染防治区</w:t>
            </w:r>
          </w:p>
          <w:p w14:paraId="15E2AB64">
            <w:pPr>
              <w:adjustRightInd w:val="0"/>
              <w:snapToGrid w:val="0"/>
              <w:spacing w:line="360" w:lineRule="auto"/>
              <w:ind w:firstLine="480" w:firstLineChars="200"/>
              <w:rPr>
                <w:bCs/>
                <w:color w:val="000000" w:themeColor="text1"/>
                <w:kern w:val="0"/>
                <w:sz w:val="24"/>
                <w:szCs w:val="24"/>
                <w14:textFill>
                  <w14:solidFill>
                    <w14:schemeClr w14:val="tx1"/>
                  </w14:solidFill>
                </w14:textFill>
              </w:rPr>
            </w:pPr>
            <w:r>
              <w:rPr>
                <w:color w:val="000000" w:themeColor="text1"/>
                <w:sz w:val="24"/>
                <w:szCs w:val="24"/>
                <w14:textFill>
                  <w14:solidFill>
                    <w14:schemeClr w14:val="tx1"/>
                  </w14:solidFill>
                </w14:textFill>
              </w:rPr>
              <w:t>生产车间、</w:t>
            </w:r>
            <w:r>
              <w:rPr>
                <w:rFonts w:hint="eastAsia"/>
                <w:color w:val="000000" w:themeColor="text1"/>
                <w:sz w:val="24"/>
                <w:szCs w:val="24"/>
                <w14:textFill>
                  <w14:solidFill>
                    <w14:schemeClr w14:val="tx1"/>
                  </w14:solidFill>
                </w14:textFill>
              </w:rPr>
              <w:t>生产车间内污水管道（</w:t>
            </w:r>
            <w:r>
              <w:rPr>
                <w:color w:val="000000" w:themeColor="text1"/>
                <w:kern w:val="0"/>
                <w:sz w:val="24"/>
                <w:szCs w:val="24"/>
                <w14:textFill>
                  <w14:solidFill>
                    <w14:schemeClr w14:val="tx1"/>
                  </w14:solidFill>
                </w14:textFill>
              </w:rPr>
              <w:t>明管</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、仓库、一般固废暂存场。地面采取三合土铺底，在上层铺15cm的水泥进行硬化，</w:t>
            </w:r>
            <w:r>
              <w:rPr>
                <w:rFonts w:hint="eastAsia"/>
                <w:color w:val="000000" w:themeColor="text1"/>
                <w:sz w:val="24"/>
                <w:szCs w:val="24"/>
                <w14:textFill>
                  <w14:solidFill>
                    <w14:schemeClr w14:val="tx1"/>
                  </w14:solidFill>
                </w14:textFill>
              </w:rPr>
              <w:t>污水沟采用混凝土垫层+30mm抗渗混凝土</w:t>
            </w:r>
            <w:r>
              <w:rPr>
                <w:rFonts w:hint="eastAsia"/>
                <w:color w:val="000000" w:themeColor="text1"/>
                <w:sz w:val="24"/>
                <w:szCs w:val="24"/>
                <w:lang w:val="en-US" w:eastAsia="zh-CN"/>
                <w14:textFill>
                  <w14:solidFill>
                    <w14:schemeClr w14:val="tx1"/>
                  </w14:solidFill>
                </w14:textFill>
              </w:rPr>
              <w:t>+</w:t>
            </w:r>
            <w:r>
              <w:rPr>
                <w:color w:val="000000" w:themeColor="text1"/>
                <w:sz w:val="24"/>
                <w:szCs w:val="24"/>
                <w14:textFill>
                  <w14:solidFill>
                    <w14:schemeClr w14:val="tx1"/>
                  </w14:solidFill>
                </w14:textFill>
              </w:rPr>
              <w:t>防渗漆</w:t>
            </w:r>
            <w:r>
              <w:rPr>
                <w:rFonts w:hint="eastAsia"/>
                <w:color w:val="000000" w:themeColor="text1"/>
                <w:sz w:val="24"/>
                <w:szCs w:val="24"/>
                <w14:textFill>
                  <w14:solidFill>
                    <w14:schemeClr w14:val="tx1"/>
                  </w14:solidFill>
                </w14:textFill>
              </w:rPr>
              <w:t>沟壁。</w:t>
            </w:r>
            <w:r>
              <w:rPr>
                <w:color w:val="000000" w:themeColor="text1"/>
                <w:sz w:val="24"/>
                <w:szCs w:val="24"/>
                <w14:textFill>
                  <w14:solidFill>
                    <w14:schemeClr w14:val="tx1"/>
                  </w14:solidFill>
                </w14:textFill>
              </w:rPr>
              <w:t>渗透系数小于10</w:t>
            </w:r>
            <w:r>
              <w:rPr>
                <w:color w:val="000000" w:themeColor="text1"/>
                <w:sz w:val="24"/>
                <w:szCs w:val="24"/>
                <w:vertAlign w:val="superscript"/>
                <w14:textFill>
                  <w14:solidFill>
                    <w14:schemeClr w14:val="tx1"/>
                  </w14:solidFill>
                </w14:textFill>
              </w:rPr>
              <w:t>-7</w:t>
            </w:r>
            <w:r>
              <w:rPr>
                <w:color w:val="000000" w:themeColor="text1"/>
                <w:sz w:val="24"/>
                <w:szCs w:val="24"/>
                <w14:textFill>
                  <w14:solidFill>
                    <w14:schemeClr w14:val="tx1"/>
                  </w14:solidFill>
                </w14:textFill>
              </w:rPr>
              <w:t>cm/s。</w:t>
            </w:r>
          </w:p>
          <w:p w14:paraId="2D3FC09A">
            <w:pPr>
              <w:spacing w:before="156" w:beforeLines="50" w:line="360" w:lineRule="auto"/>
              <w:outlineLvl w:val="3"/>
              <w:rPr>
                <w:rFonts w:hint="eastAsia" w:ascii="Times New Roman" w:hAnsi="Times New Roman" w:eastAsia="宋体" w:cs="Times New Roman"/>
                <w:b/>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本项目新增地下水防治措施：</w:t>
            </w:r>
          </w:p>
          <w:p w14:paraId="6336C0CE">
            <w:pPr>
              <w:spacing w:line="360"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本次</w:t>
            </w:r>
            <w:r>
              <w:rPr>
                <w:rFonts w:hint="eastAsia"/>
                <w:color w:val="000000" w:themeColor="text1"/>
                <w:sz w:val="24"/>
                <w:szCs w:val="24"/>
                <w:lang w:val="en-US" w:eastAsia="zh-CN"/>
                <w14:textFill>
                  <w14:solidFill>
                    <w14:schemeClr w14:val="tx1"/>
                  </w14:solidFill>
                </w14:textFill>
              </w:rPr>
              <w:t>改扩建</w:t>
            </w:r>
            <w:r>
              <w:rPr>
                <w:color w:val="000000" w:themeColor="text1"/>
                <w:sz w:val="24"/>
                <w:szCs w:val="24"/>
                <w14:textFill>
                  <w14:solidFill>
                    <w14:schemeClr w14:val="tx1"/>
                  </w14:solidFill>
                </w14:textFill>
              </w:rPr>
              <w:t>工程均位于</w:t>
            </w:r>
            <w:r>
              <w:rPr>
                <w:rFonts w:hint="eastAsia"/>
                <w:color w:val="000000" w:themeColor="text1"/>
                <w:sz w:val="24"/>
                <w:szCs w:val="24"/>
                <w:lang w:val="en-US" w:eastAsia="zh-CN"/>
                <w14:textFill>
                  <w14:solidFill>
                    <w14:schemeClr w14:val="tx1"/>
                  </w14:solidFill>
                </w14:textFill>
              </w:rPr>
              <w:t>出租方已建厂房</w:t>
            </w:r>
            <w:r>
              <w:rPr>
                <w:color w:val="000000" w:themeColor="text1"/>
                <w:sz w:val="24"/>
                <w:szCs w:val="24"/>
                <w14:textFill>
                  <w14:solidFill>
                    <w14:schemeClr w14:val="tx1"/>
                  </w14:solidFill>
                </w14:textFill>
              </w:rPr>
              <w:t>内，依托现有公用、辅助设施及环保设施，即使各功能需要进行改造升级工程，也是位于原有功能单元区域内，因此对本次项目依托部分所在地下水防渗分区部位、防渗技术要求与现有基本是一致的。本次新增</w:t>
            </w:r>
            <w:r>
              <w:rPr>
                <w:rFonts w:hint="eastAsia"/>
                <w:color w:val="000000" w:themeColor="text1"/>
                <w:sz w:val="24"/>
                <w:szCs w:val="24"/>
                <w:lang w:val="en-US" w:eastAsia="zh-CN"/>
                <w14:textFill>
                  <w14:solidFill>
                    <w14:schemeClr w14:val="tx1"/>
                  </w14:solidFill>
                </w14:textFill>
              </w:rPr>
              <w:t>2#厂房、化学品仓库、危险废物贮存区、</w:t>
            </w:r>
            <w:r>
              <w:rPr>
                <w:color w:val="000000" w:themeColor="text1"/>
                <w:sz w:val="24"/>
                <w:szCs w:val="24"/>
                <w14:textFill>
                  <w14:solidFill>
                    <w14:schemeClr w14:val="tx1"/>
                  </w14:solidFill>
                </w14:textFill>
              </w:rPr>
              <w:t>一般固废暂存</w:t>
            </w:r>
            <w:r>
              <w:rPr>
                <w:rFonts w:hint="eastAsia"/>
                <w:color w:val="000000" w:themeColor="text1"/>
                <w:sz w:val="24"/>
                <w:szCs w:val="24"/>
                <w:lang w:val="en-US" w:eastAsia="zh-CN"/>
                <w14:textFill>
                  <w14:solidFill>
                    <w14:schemeClr w14:val="tx1"/>
                  </w14:solidFill>
                </w14:textFill>
              </w:rPr>
              <w:t>区等</w:t>
            </w:r>
            <w:r>
              <w:rPr>
                <w:color w:val="000000" w:themeColor="text1"/>
                <w:sz w:val="24"/>
                <w:szCs w:val="24"/>
                <w14:textFill>
                  <w14:solidFill>
                    <w14:schemeClr w14:val="tx1"/>
                  </w14:solidFill>
                </w14:textFill>
              </w:rPr>
              <w:t>，需按相应防渗分区要求进行防渗处理。</w:t>
            </w:r>
          </w:p>
          <w:p w14:paraId="52C786FC">
            <w:pPr>
              <w:spacing w:line="360"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本项目新增地下水防渗分区采取的防渗措施如下：</w:t>
            </w:r>
          </w:p>
          <w:p w14:paraId="6D2AC3DA">
            <w:pPr>
              <w:adjustRightInd w:val="0"/>
              <w:snapToGrid w:val="0"/>
              <w:spacing w:line="360" w:lineRule="auto"/>
              <w:ind w:firstLine="480" w:firstLineChars="200"/>
              <w:rPr>
                <w:bCs/>
                <w:color w:val="000000" w:themeColor="text1"/>
                <w:kern w:val="0"/>
                <w:sz w:val="24"/>
                <w:szCs w:val="24"/>
                <w14:textFill>
                  <w14:solidFill>
                    <w14:schemeClr w14:val="tx1"/>
                  </w14:solidFill>
                </w14:textFill>
              </w:rPr>
            </w:pPr>
            <w:r>
              <w:rPr>
                <w:rFonts w:hint="eastAsia"/>
                <w:bCs/>
                <w:color w:val="000000" w:themeColor="text1"/>
                <w:kern w:val="0"/>
                <w:sz w:val="24"/>
                <w:szCs w:val="24"/>
                <w:lang w:val="en-US" w:eastAsia="zh-CN"/>
                <w14:textFill>
                  <w14:solidFill>
                    <w14:schemeClr w14:val="tx1"/>
                  </w14:solidFill>
                </w14:textFill>
              </w:rPr>
              <w:t>①</w:t>
            </w:r>
            <w:r>
              <w:rPr>
                <w:color w:val="000000" w:themeColor="text1"/>
                <w:sz w:val="24"/>
                <w:szCs w:val="24"/>
                <w14:textFill>
                  <w14:solidFill>
                    <w14:schemeClr w14:val="tx1"/>
                  </w14:solidFill>
                </w14:textFill>
              </w:rPr>
              <w:t>重点污染防治区</w:t>
            </w:r>
          </w:p>
          <w:p w14:paraId="05247A48">
            <w:pPr>
              <w:spacing w:line="360" w:lineRule="auto"/>
              <w:ind w:firstLine="480" w:firstLineChars="200"/>
              <w:jc w:val="left"/>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2#厂房</w:t>
            </w:r>
            <w:r>
              <w:rPr>
                <w:rFonts w:hint="eastAsia" w:ascii="Times New Roman" w:hAnsi="Times New Roman" w:cs="Times New Roman"/>
                <w:color w:val="000000" w:themeColor="text1"/>
                <w:spacing w:val="0"/>
                <w:kern w:val="0"/>
                <w:position w:val="0"/>
                <w:sz w:val="24"/>
                <w:szCs w:val="24"/>
                <w:highlight w:val="none"/>
                <w:u w:val="none"/>
                <w:lang w:val="en-US" w:eastAsia="zh-CN" w:bidi="he-IL"/>
                <w14:textFill>
                  <w14:solidFill>
                    <w14:schemeClr w14:val="tx1"/>
                  </w14:solidFill>
                </w14:textFill>
              </w:rPr>
              <w:t>前处理区、钝化区、电泳区</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在车间现有水泥防渗基础上，增加</w:t>
            </w:r>
            <w:r>
              <w:rPr>
                <w:rFonts w:hint="default" w:ascii="Times New Roman" w:hAnsi="Times New Roman" w:cs="Times New Roman"/>
                <w:color w:val="000000" w:themeColor="text1"/>
                <w:sz w:val="24"/>
                <w:szCs w:val="24"/>
                <w14:textFill>
                  <w14:solidFill>
                    <w14:schemeClr w14:val="tx1"/>
                  </w14:solidFill>
                </w14:textFill>
              </w:rPr>
              <w:t>15cm耐腐蚀混凝土</w:t>
            </w:r>
            <w:r>
              <w:rPr>
                <w:rFonts w:hint="default" w:ascii="Times New Roman" w:hAnsi="Times New Roman" w:eastAsia="TimesNewRomanPSMT"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内衬玻璃钢</w:t>
            </w:r>
            <w:r>
              <w:rPr>
                <w:rFonts w:hint="default" w:ascii="Times New Roman" w:hAnsi="Times New Roman" w:cs="Times New Roman"/>
                <w:color w:val="000000" w:themeColor="text1"/>
                <w:sz w:val="24"/>
                <w:szCs w:val="24"/>
                <w14:textFill>
                  <w14:solidFill>
                    <w14:schemeClr w14:val="tx1"/>
                  </w14:solidFill>
                </w14:textFill>
              </w:rPr>
              <w:t>防渗</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或参照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GB18597 </w:t>
            </w:r>
            <w:r>
              <w:rPr>
                <w:rFonts w:hint="eastAsia" w:ascii="宋体" w:hAnsi="宋体" w:eastAsia="宋体" w:cs="宋体"/>
                <w:color w:val="000000" w:themeColor="text1"/>
                <w:kern w:val="0"/>
                <w:sz w:val="24"/>
                <w:szCs w:val="24"/>
                <w:lang w:val="en-US" w:eastAsia="zh-CN" w:bidi="ar"/>
                <w14:textFill>
                  <w14:solidFill>
                    <w14:schemeClr w14:val="tx1"/>
                  </w14:solidFill>
                </w14:textFill>
              </w:rPr>
              <w:t>等相关标准防渗效果要求施工，</w:t>
            </w:r>
            <w:r>
              <w:rPr>
                <w:rFonts w:hint="default" w:ascii="Times New Roman" w:hAnsi="Times New Roman" w:cs="Times New Roman"/>
                <w:color w:val="000000" w:themeColor="text1"/>
                <w:sz w:val="24"/>
                <w:szCs w:val="24"/>
                <w14:textFill>
                  <w14:solidFill>
                    <w14:schemeClr w14:val="tx1"/>
                  </w14:solidFill>
                </w14:textFill>
              </w:rPr>
              <w:t>渗透系数不大于10</w:t>
            </w:r>
            <w:r>
              <w:rPr>
                <w:rFonts w:hint="default" w:ascii="Times New Roman" w:hAnsi="Times New Roman" w:cs="Times New Roman"/>
                <w:color w:val="000000" w:themeColor="text1"/>
                <w:sz w:val="24"/>
                <w:szCs w:val="24"/>
                <w:vertAlign w:val="super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cm/s</w:t>
            </w:r>
            <w:r>
              <w:rPr>
                <w:rFonts w:hint="eastAsia" w:ascii="Times New Roman" w:hAnsi="Times New Roman" w:cs="Times New Roman"/>
                <w:color w:val="000000" w:themeColor="text1"/>
                <w:sz w:val="24"/>
                <w:szCs w:val="24"/>
                <w:lang w:eastAsia="zh-CN"/>
                <w14:textFill>
                  <w14:solidFill>
                    <w14:schemeClr w14:val="tx1"/>
                  </w14:solidFill>
                </w14:textFill>
              </w:rPr>
              <w:t>；</w:t>
            </w:r>
          </w:p>
          <w:p w14:paraId="4E79E082">
            <w:pPr>
              <w:spacing w:line="360" w:lineRule="auto"/>
              <w:ind w:firstLine="480" w:firstLineChars="200"/>
              <w:jc w:val="left"/>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新建</w:t>
            </w:r>
            <w:r>
              <w:rPr>
                <w:rFonts w:hint="eastAsia" w:cs="Times New Roman"/>
                <w:color w:val="000000" w:themeColor="text1"/>
                <w:sz w:val="24"/>
                <w:szCs w:val="24"/>
                <w:lang w:eastAsia="zh-CN"/>
                <w14:textFill>
                  <w14:solidFill>
                    <w14:schemeClr w14:val="tx1"/>
                  </w14:solidFill>
                </w14:textFill>
              </w:rPr>
              <w:t>危险废物贮存间、</w:t>
            </w:r>
            <w:r>
              <w:rPr>
                <w:rFonts w:hint="eastAsia" w:ascii="Times New Roman" w:hAnsi="Times New Roman" w:cs="Times New Roman"/>
                <w:color w:val="000000" w:themeColor="text1"/>
                <w:spacing w:val="0"/>
                <w:kern w:val="0"/>
                <w:position w:val="0"/>
                <w:sz w:val="24"/>
                <w:szCs w:val="24"/>
                <w:highlight w:val="none"/>
                <w:u w:val="none"/>
                <w:lang w:val="en-US" w:eastAsia="zh-CN" w:bidi="he-IL"/>
                <w14:textFill>
                  <w14:solidFill>
                    <w14:schemeClr w14:val="tx1"/>
                  </w14:solidFill>
                </w14:textFill>
              </w:rPr>
              <w:t>化学品仓库</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地面及墙</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裙角</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：在仓库现有水泥防渗基础上，增加</w:t>
            </w:r>
            <w:r>
              <w:rPr>
                <w:color w:val="000000" w:themeColor="text1"/>
                <w:sz w:val="24"/>
                <w:szCs w:val="24"/>
                <w14:textFill>
                  <w14:solidFill>
                    <w14:schemeClr w14:val="tx1"/>
                  </w14:solidFill>
                </w14:textFill>
              </w:rPr>
              <w:t>1.5mmHDPE防渗膜+</w:t>
            </w:r>
            <w:r>
              <w:rPr>
                <w:rFonts w:hint="eastAsia"/>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c</w:t>
            </w:r>
            <w:r>
              <w:rPr>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14:textFill>
                  <w14:solidFill>
                    <w14:schemeClr w14:val="tx1"/>
                  </w14:solidFill>
                </w14:textFill>
              </w:rPr>
              <w:t>耐腐蚀</w:t>
            </w:r>
            <w:r>
              <w:rPr>
                <w:color w:val="000000" w:themeColor="text1"/>
                <w:sz w:val="24"/>
                <w:szCs w:val="24"/>
                <w14:textFill>
                  <w14:solidFill>
                    <w14:schemeClr w14:val="tx1"/>
                  </w14:solidFill>
                </w14:textFill>
              </w:rPr>
              <w:t>混凝土+环氧树脂漆防渗处理，</w:t>
            </w:r>
            <w:r>
              <w:rPr>
                <w:rFonts w:hint="eastAsia"/>
                <w:color w:val="000000" w:themeColor="text1"/>
                <w:sz w:val="24"/>
                <w:szCs w:val="24"/>
                <w:lang w:val="en-US" w:eastAsia="zh-CN"/>
                <w14:textFill>
                  <w14:solidFill>
                    <w14:schemeClr w14:val="tx1"/>
                  </w14:solidFill>
                </w14:textFill>
              </w:rPr>
              <w:t>或按照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GB18597 </w:t>
            </w:r>
            <w:r>
              <w:rPr>
                <w:rFonts w:hint="eastAsia" w:ascii="宋体" w:hAnsi="宋体" w:eastAsia="宋体" w:cs="宋体"/>
                <w:color w:val="000000" w:themeColor="text1"/>
                <w:kern w:val="0"/>
                <w:sz w:val="24"/>
                <w:szCs w:val="24"/>
                <w:lang w:val="en-US" w:eastAsia="zh-CN" w:bidi="ar"/>
                <w14:textFill>
                  <w14:solidFill>
                    <w14:schemeClr w14:val="tx1"/>
                  </w14:solidFill>
                </w14:textFill>
              </w:rPr>
              <w:t>等相关标准防渗效果要求施工，</w:t>
            </w:r>
            <w:r>
              <w:rPr>
                <w:rFonts w:hint="default" w:ascii="Times New Roman" w:hAnsi="Times New Roman" w:cs="Times New Roman"/>
                <w:color w:val="000000" w:themeColor="text1"/>
                <w:sz w:val="24"/>
                <w:szCs w:val="24"/>
                <w14:textFill>
                  <w14:solidFill>
                    <w14:schemeClr w14:val="tx1"/>
                  </w14:solidFill>
                </w14:textFill>
              </w:rPr>
              <w:t>渗透系数不大于10</w:t>
            </w:r>
            <w:r>
              <w:rPr>
                <w:rFonts w:hint="default" w:ascii="Times New Roman" w:hAnsi="Times New Roman" w:cs="Times New Roman"/>
                <w:color w:val="000000" w:themeColor="text1"/>
                <w:sz w:val="24"/>
                <w:szCs w:val="24"/>
                <w:vertAlign w:val="super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cm/s</w:t>
            </w:r>
            <w:r>
              <w:rPr>
                <w:rFonts w:hint="eastAsia" w:ascii="Times New Roman" w:hAnsi="Times New Roman" w:cs="Times New Roman"/>
                <w:color w:val="000000" w:themeColor="text1"/>
                <w:sz w:val="24"/>
                <w:szCs w:val="24"/>
                <w:lang w:eastAsia="zh-CN"/>
                <w14:textFill>
                  <w14:solidFill>
                    <w14:schemeClr w14:val="tx1"/>
                  </w14:solidFill>
                </w14:textFill>
              </w:rPr>
              <w:t>；</w:t>
            </w:r>
          </w:p>
          <w:p w14:paraId="0A876A52">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车间</w:t>
            </w:r>
            <w:r>
              <w:rPr>
                <w:rFonts w:hint="eastAsia"/>
                <w:color w:val="000000" w:themeColor="text1"/>
                <w:sz w:val="24"/>
                <w:szCs w:val="24"/>
                <w14:textFill>
                  <w14:solidFill>
                    <w14:schemeClr w14:val="tx1"/>
                  </w14:solidFill>
                </w14:textFill>
              </w:rPr>
              <w:t>污水沟</w:t>
            </w:r>
            <w:r>
              <w:rPr>
                <w:rFonts w:hint="eastAsia" w:ascii="Times New Roman" w:hAnsi="Times New Roman" w:cs="Times New Roman"/>
                <w:color w:val="000000" w:themeColor="text1"/>
                <w:spacing w:val="0"/>
                <w:kern w:val="0"/>
                <w:position w:val="0"/>
                <w:sz w:val="24"/>
                <w:szCs w:val="24"/>
                <w:highlight w:val="none"/>
                <w:u w:val="none"/>
                <w:lang w:val="en-US" w:eastAsia="zh-CN" w:bidi="he-IL"/>
                <w14:textFill>
                  <w14:solidFill>
                    <w14:schemeClr w14:val="tx1"/>
                  </w14:solidFill>
                </w14:textFill>
              </w:rPr>
              <w:t>废水收集池</w:t>
            </w:r>
            <w:r>
              <w:rPr>
                <w:rFonts w:hint="default" w:ascii="Times New Roman" w:hAnsi="Times New Roman" w:cs="Times New Roman"/>
                <w:color w:val="000000" w:themeColor="text1"/>
                <w:sz w:val="24"/>
                <w:szCs w:val="24"/>
                <w14:textFill>
                  <w14:solidFill>
                    <w14:schemeClr w14:val="tx1"/>
                  </w14:solidFill>
                </w14:textFill>
              </w:rPr>
              <w:t>从下往上分别为：300mm粘土层</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color w:val="000000" w:themeColor="text1"/>
                <w:sz w:val="24"/>
                <w:szCs w:val="24"/>
                <w14:textFill>
                  <w14:solidFill>
                    <w14:schemeClr w14:val="tx1"/>
                  </w14:solidFill>
                </w14:textFill>
              </w:rPr>
              <w:t>1.5mmHDPE防渗膜</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15cm耐腐蚀混凝土</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或参照</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GB18597</w:t>
            </w:r>
            <w:r>
              <w:rPr>
                <w:rFonts w:hint="eastAsia" w:ascii="宋体" w:hAnsi="宋体" w:eastAsia="宋体" w:cs="宋体"/>
                <w:color w:val="000000" w:themeColor="text1"/>
                <w:kern w:val="0"/>
                <w:sz w:val="24"/>
                <w:szCs w:val="24"/>
                <w:lang w:val="en-US" w:eastAsia="zh-CN" w:bidi="ar"/>
                <w14:textFill>
                  <w14:solidFill>
                    <w14:schemeClr w14:val="tx1"/>
                  </w14:solidFill>
                </w14:textFill>
              </w:rPr>
              <w:t>等相关标准防渗效果要求施工，</w:t>
            </w:r>
            <w:r>
              <w:rPr>
                <w:rFonts w:hint="default" w:ascii="Times New Roman" w:hAnsi="Times New Roman" w:cs="Times New Roman"/>
                <w:color w:val="000000" w:themeColor="text1"/>
                <w:sz w:val="24"/>
                <w:szCs w:val="24"/>
                <w14:textFill>
                  <w14:solidFill>
                    <w14:schemeClr w14:val="tx1"/>
                  </w14:solidFill>
                </w14:textFill>
              </w:rPr>
              <w:t>渗透系数不大于10</w:t>
            </w:r>
            <w:r>
              <w:rPr>
                <w:rFonts w:hint="default" w:ascii="Times New Roman" w:hAnsi="Times New Roman" w:cs="Times New Roman"/>
                <w:color w:val="000000" w:themeColor="text1"/>
                <w:sz w:val="24"/>
                <w:szCs w:val="24"/>
                <w:vertAlign w:val="super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cm/s</w:t>
            </w:r>
            <w:r>
              <w:rPr>
                <w:rFonts w:hint="eastAsia" w:ascii="Times New Roman" w:hAnsi="Times New Roman" w:cs="Times New Roman"/>
                <w:color w:val="000000" w:themeColor="text1"/>
                <w:sz w:val="24"/>
                <w:szCs w:val="24"/>
                <w:lang w:eastAsia="zh-CN"/>
                <w14:textFill>
                  <w14:solidFill>
                    <w14:schemeClr w14:val="tx1"/>
                  </w14:solidFill>
                </w14:textFill>
              </w:rPr>
              <w:t>。</w:t>
            </w:r>
          </w:p>
          <w:p w14:paraId="6405921C">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②</w:t>
            </w:r>
            <w:r>
              <w:rPr>
                <w:color w:val="000000" w:themeColor="text1"/>
                <w:sz w:val="24"/>
                <w:szCs w:val="24"/>
                <w14:textFill>
                  <w14:solidFill>
                    <w14:schemeClr w14:val="tx1"/>
                  </w14:solidFill>
                </w14:textFill>
              </w:rPr>
              <w:t>一般污染防治区</w:t>
            </w:r>
          </w:p>
          <w:p w14:paraId="1B4A0157">
            <w:pPr>
              <w:adjustRightInd w:val="0"/>
              <w:snapToGrid w:val="0"/>
              <w:spacing w:line="360" w:lineRule="auto"/>
              <w:ind w:firstLine="480" w:firstLineChars="200"/>
              <w:rPr>
                <w:rFonts w:hint="default" w:ascii="Times New Roman" w:hAnsi="Times New Roman" w:cs="Times New Roman"/>
                <w:bCs/>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主要包括</w:t>
            </w:r>
            <w:r>
              <w:rPr>
                <w:rFonts w:hint="eastAsia"/>
                <w:color w:val="000000" w:themeColor="text1"/>
                <w:sz w:val="24"/>
                <w:szCs w:val="24"/>
                <w:lang w:val="en-US" w:eastAsia="zh-CN"/>
                <w14:textFill>
                  <w14:solidFill>
                    <w14:schemeClr w14:val="tx1"/>
                  </w14:solidFill>
                </w14:textFill>
              </w:rPr>
              <w:t>2#厂房</w:t>
            </w:r>
            <w:r>
              <w:rPr>
                <w:rFonts w:hint="eastAsia" w:ascii="Times New Roman" w:hAnsi="Times New Roman" w:cs="Times New Roman"/>
                <w:color w:val="000000" w:themeColor="text1"/>
                <w:spacing w:val="0"/>
                <w:kern w:val="0"/>
                <w:position w:val="0"/>
                <w:sz w:val="24"/>
                <w:szCs w:val="24"/>
                <w:highlight w:val="none"/>
                <w:u w:val="none"/>
                <w:lang w:val="en-US" w:eastAsia="zh-CN" w:bidi="he-IL"/>
                <w14:textFill>
                  <w14:solidFill>
                    <w14:schemeClr w14:val="tx1"/>
                  </w14:solidFill>
                </w14:textFill>
              </w:rPr>
              <w:t>除前处理区和电泳区外的其他</w:t>
            </w:r>
            <w:r>
              <w:rPr>
                <w:rFonts w:hint="eastAsia" w:ascii="Times New Roman" w:hAnsi="Times New Roman" w:eastAsia="宋体" w:cs="Times New Roman"/>
                <w:color w:val="000000" w:themeColor="text1"/>
                <w:spacing w:val="0"/>
                <w:kern w:val="0"/>
                <w:position w:val="0"/>
                <w:sz w:val="24"/>
                <w:szCs w:val="24"/>
                <w:highlight w:val="none"/>
                <w:u w:val="none"/>
                <w:lang w:val="en-US" w:eastAsia="zh-CN" w:bidi="he-IL"/>
                <w14:textFill>
                  <w14:solidFill>
                    <w14:schemeClr w14:val="tx1"/>
                  </w14:solidFill>
                </w14:textFill>
              </w:rPr>
              <w:t>生产区域</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w:t>
            </w:r>
            <w:r>
              <w:rPr>
                <w:rFonts w:hint="eastAsia" w:cs="Times New Roman"/>
                <w:color w:val="000000" w:themeColor="text1"/>
                <w:spacing w:val="0"/>
                <w:sz w:val="24"/>
                <w:szCs w:val="24"/>
                <w:lang w:val="en-US" w:eastAsia="zh-CN"/>
                <w14:textFill>
                  <w14:solidFill>
                    <w14:schemeClr w14:val="tx1"/>
                  </w14:solidFill>
                </w14:textFill>
              </w:rPr>
              <w:t>生产车间内污水管道（</w:t>
            </w:r>
            <w:r>
              <w:rPr>
                <w:rFonts w:hint="default" w:ascii="Times New Roman" w:hAnsi="Times New Roman" w:cs="Times New Roman"/>
                <w:color w:val="000000" w:themeColor="text1"/>
                <w:kern w:val="0"/>
                <w:sz w:val="24"/>
                <w:szCs w:val="24"/>
                <w14:textFill>
                  <w14:solidFill>
                    <w14:schemeClr w14:val="tx1"/>
                  </w14:solidFill>
                </w14:textFill>
              </w:rPr>
              <w:t>明管</w:t>
            </w:r>
            <w:r>
              <w:rPr>
                <w:rFonts w:hint="eastAsia" w:cs="Times New Roman"/>
                <w:color w:val="000000" w:themeColor="text1"/>
                <w:spacing w:val="0"/>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新增</w:t>
            </w:r>
            <w:r>
              <w:rPr>
                <w:rFonts w:hint="eastAsia" w:ascii="Times New Roman" w:hAnsi="Times New Roman" w:cs="Times New Roman"/>
                <w:color w:val="000000" w:themeColor="text1"/>
                <w:sz w:val="24"/>
                <w:szCs w:val="24"/>
                <w:lang w:val="en-US" w:eastAsia="zh-CN"/>
                <w14:textFill>
                  <w14:solidFill>
                    <w14:schemeClr w14:val="tx1"/>
                  </w14:solidFill>
                </w14:textFill>
              </w:rPr>
              <w:t>喷淋装置区、</w:t>
            </w:r>
            <w:r>
              <w:rPr>
                <w:rFonts w:hint="eastAsia" w:cs="Times New Roman"/>
                <w:color w:val="000000" w:themeColor="text1"/>
                <w:sz w:val="24"/>
                <w:szCs w:val="24"/>
                <w:lang w:val="en-US" w:eastAsia="zh-CN"/>
                <w14:textFill>
                  <w14:solidFill>
                    <w14:schemeClr w14:val="tx1"/>
                  </w14:solidFill>
                </w14:textFill>
              </w:rPr>
              <w:t>扩建</w:t>
            </w:r>
            <w:r>
              <w:rPr>
                <w:rFonts w:hint="default" w:ascii="Times New Roman" w:hAnsi="Times New Roman" w:cs="Times New Roman"/>
                <w:color w:val="000000" w:themeColor="text1"/>
                <w:sz w:val="24"/>
                <w:szCs w:val="24"/>
                <w14:textFill>
                  <w14:solidFill>
                    <w14:schemeClr w14:val="tx1"/>
                  </w14:solidFill>
                </w14:textFill>
              </w:rPr>
              <w:t>一般</w:t>
            </w:r>
            <w:r>
              <w:rPr>
                <w:rFonts w:hint="eastAsia" w:ascii="Times New Roman" w:hAnsi="Times New Roman" w:cs="Times New Roman"/>
                <w:color w:val="000000" w:themeColor="text1"/>
                <w:sz w:val="24"/>
                <w:szCs w:val="24"/>
                <w:lang w:val="en-US" w:eastAsia="zh-CN"/>
                <w14:textFill>
                  <w14:solidFill>
                    <w14:schemeClr w14:val="tx1"/>
                  </w14:solidFill>
                </w14:textFill>
              </w:rPr>
              <w:t>工业</w:t>
            </w:r>
            <w:r>
              <w:rPr>
                <w:rFonts w:hint="default" w:ascii="Times New Roman" w:hAnsi="Times New Roman" w:cs="Times New Roman"/>
                <w:color w:val="000000" w:themeColor="text1"/>
                <w:sz w:val="24"/>
                <w:szCs w:val="24"/>
                <w14:textFill>
                  <w14:solidFill>
                    <w14:schemeClr w14:val="tx1"/>
                  </w14:solidFill>
                </w14:textFill>
              </w:rPr>
              <w:t>固废暂存</w:t>
            </w:r>
            <w:r>
              <w:rPr>
                <w:rFonts w:hint="eastAsia" w:ascii="Times New Roman" w:hAnsi="Times New Roman" w:cs="Times New Roman"/>
                <w:color w:val="000000" w:themeColor="text1"/>
                <w:spacing w:val="0"/>
                <w:kern w:val="0"/>
                <w:position w:val="0"/>
                <w:sz w:val="24"/>
                <w:szCs w:val="24"/>
                <w:highlight w:val="none"/>
                <w:u w:val="none"/>
                <w:lang w:val="en-US" w:eastAsia="zh-CN" w:bidi="he-IL"/>
                <w14:textFill>
                  <w14:solidFill>
                    <w14:schemeClr w14:val="tx1"/>
                  </w14:solidFill>
                </w14:textFill>
              </w:rPr>
              <w:t>仓库</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地面</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在车间现有水泥防渗基础上，增加</w:t>
            </w:r>
            <w:r>
              <w:rPr>
                <w:color w:val="000000" w:themeColor="text1"/>
                <w:sz w:val="24"/>
                <w:szCs w:val="24"/>
                <w14:textFill>
                  <w14:solidFill>
                    <w14:schemeClr w14:val="tx1"/>
                  </w14:solidFill>
                </w14:textFill>
              </w:rPr>
              <w:t>环氧树脂漆防渗</w:t>
            </w:r>
            <w:r>
              <w:rPr>
                <w:rFonts w:hint="eastAsia"/>
                <w:color w:val="000000" w:themeColor="text1"/>
                <w:sz w:val="24"/>
                <w:szCs w:val="24"/>
                <w:lang w:val="en-US" w:eastAsia="zh-CN"/>
                <w14:textFill>
                  <w14:solidFill>
                    <w14:schemeClr w14:val="tx1"/>
                  </w14:solidFill>
                </w14:textFill>
              </w:rPr>
              <w:t>或</w:t>
            </w:r>
            <w:r>
              <w:rPr>
                <w:rFonts w:hint="eastAsia" w:ascii="Times New Roman" w:hAnsi="Times New Roman" w:cs="Times New Roman"/>
                <w:color w:val="000000" w:themeColor="text1"/>
                <w:sz w:val="24"/>
                <w:szCs w:val="24"/>
                <w:lang w:val="en-US" w:eastAsia="zh-CN"/>
                <w14:textFill>
                  <w14:solidFill>
                    <w14:schemeClr w14:val="tx1"/>
                  </w14:solidFill>
                </w14:textFill>
              </w:rPr>
              <w:t>抗渗混凝土</w:t>
            </w:r>
            <w:r>
              <w:rPr>
                <w:color w:val="000000" w:themeColor="text1"/>
                <w:sz w:val="24"/>
                <w:szCs w:val="24"/>
                <w14:textFill>
                  <w14:solidFill>
                    <w14:schemeClr w14:val="tx1"/>
                  </w14:solidFill>
                </w14:textFill>
              </w:rPr>
              <w:t>防渗</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渗透系数小于10</w:t>
            </w:r>
            <w:r>
              <w:rPr>
                <w:rFonts w:hint="default" w:ascii="Times New Roman" w:hAnsi="Times New Roman" w:eastAsia="宋体" w:cs="Times New Roman"/>
                <w:color w:val="000000" w:themeColor="text1"/>
                <w:spacing w:val="0"/>
                <w:sz w:val="24"/>
                <w:szCs w:val="24"/>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cm/s</w:t>
            </w:r>
            <w:r>
              <w:rPr>
                <w:rFonts w:hint="default" w:ascii="Times New Roman" w:hAnsi="Times New Roman" w:cs="Times New Roman"/>
                <w:color w:val="000000" w:themeColor="text1"/>
                <w:sz w:val="24"/>
                <w:szCs w:val="24"/>
                <w14:textFill>
                  <w14:solidFill>
                    <w14:schemeClr w14:val="tx1"/>
                  </w14:solidFill>
                </w14:textFill>
              </w:rPr>
              <w:t>。</w:t>
            </w:r>
          </w:p>
          <w:p w14:paraId="526EF260">
            <w:pPr>
              <w:adjustRightInd w:val="0"/>
              <w:snapToGrid w:val="0"/>
              <w:spacing w:line="360" w:lineRule="auto"/>
              <w:ind w:firstLine="480" w:firstLineChars="200"/>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③</w:t>
            </w:r>
            <w:r>
              <w:rPr>
                <w:rFonts w:hint="default" w:ascii="Times New Roman" w:hAnsi="Times New Roman" w:eastAsia="宋体" w:cs="Times New Roman"/>
                <w:color w:val="000000" w:themeColor="text1"/>
                <w:sz w:val="24"/>
                <w:szCs w:val="24"/>
                <w14:textFill>
                  <w14:solidFill>
                    <w14:schemeClr w14:val="tx1"/>
                  </w14:solidFill>
                </w14:textFill>
              </w:rPr>
              <w:t>对于基本上不产生污染物的简单防渗区采取的防渗方案为：进行一般地面硬化。</w:t>
            </w:r>
          </w:p>
          <w:p w14:paraId="039B5A41">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监控措施</w:t>
            </w:r>
          </w:p>
          <w:p w14:paraId="3DFE7E6C">
            <w:pPr>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①建立健全环境管理和监测制度，保证各环保设施正常运转，同时强化风险防范意识，如遇环保设施不能正常运转，应立即停产检修</w:t>
            </w:r>
            <w:r>
              <w:rPr>
                <w:rFonts w:hint="eastAsia"/>
                <w:color w:val="000000" w:themeColor="text1"/>
                <w:sz w:val="24"/>
                <w:lang w:eastAsia="zh-CN"/>
                <w14:textFill>
                  <w14:solidFill>
                    <w14:schemeClr w14:val="tx1"/>
                  </w14:solidFill>
                </w14:textFill>
              </w:rPr>
              <w:t>。</w:t>
            </w:r>
          </w:p>
          <w:p w14:paraId="52D12D2E">
            <w:pPr>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②设置专门管理制度，加强对原辅材料及危险废物的规范化管理，定期巡查维护环保设施的运行情况，及时处理非正常运行情况</w:t>
            </w:r>
            <w:r>
              <w:rPr>
                <w:rFonts w:hint="eastAsia"/>
                <w:color w:val="000000" w:themeColor="text1"/>
                <w:sz w:val="24"/>
                <w:lang w:eastAsia="zh-CN"/>
                <w14:textFill>
                  <w14:solidFill>
                    <w14:schemeClr w14:val="tx1"/>
                  </w14:solidFill>
                </w14:textFill>
              </w:rPr>
              <w:t>。</w:t>
            </w:r>
          </w:p>
          <w:p w14:paraId="30D4B7F9">
            <w:pPr>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③建立相应制度，对运行期项目可能造成的土壤污染问题承担相应的责任并进行修复，将其列入企业内部的环保管理规定中</w:t>
            </w:r>
            <w:r>
              <w:rPr>
                <w:rFonts w:hint="eastAsia"/>
                <w:color w:val="000000" w:themeColor="text1"/>
                <w:sz w:val="24"/>
                <w:lang w:eastAsia="zh-CN"/>
                <w14:textFill>
                  <w14:solidFill>
                    <w14:schemeClr w14:val="tx1"/>
                  </w14:solidFill>
                </w14:textFill>
              </w:rPr>
              <w:t>。</w:t>
            </w:r>
          </w:p>
          <w:p w14:paraId="611A283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w:t>
            </w:r>
            <w:r>
              <w:rPr>
                <w:color w:val="000000" w:themeColor="text1"/>
                <w:sz w:val="24"/>
                <w14:textFill>
                  <w14:solidFill>
                    <w14:schemeClr w14:val="tx1"/>
                  </w14:solidFill>
                </w14:textFill>
              </w:rPr>
              <w:t>项目危险废物</w:t>
            </w:r>
            <w:r>
              <w:rPr>
                <w:rFonts w:hint="eastAsia"/>
                <w:color w:val="000000" w:themeColor="text1"/>
                <w:sz w:val="24"/>
                <w:lang w:val="en-US" w:eastAsia="zh-CN"/>
                <w14:textFill>
                  <w14:solidFill>
                    <w14:schemeClr w14:val="tx1"/>
                  </w14:solidFill>
                </w14:textFill>
              </w:rPr>
              <w:t>贮存</w:t>
            </w:r>
            <w:r>
              <w:rPr>
                <w:color w:val="000000" w:themeColor="text1"/>
                <w:sz w:val="24"/>
                <w14:textFill>
                  <w14:solidFill>
                    <w14:schemeClr w14:val="tx1"/>
                  </w14:solidFill>
                </w14:textFill>
              </w:rPr>
              <w:t>间等四周建设导流沟装置，防止危险废物等泄漏时四处扩散，并可及时移除或者清理污染源；</w:t>
            </w: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前处理和电泳槽槽体四周设围堰及导流沟，拦截和收集溢流出池体的槽液，并将溢流出的槽液导流至废水收集池。</w:t>
            </w:r>
          </w:p>
          <w:p w14:paraId="7E63B47A">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⑤</w:t>
            </w:r>
            <w:r>
              <w:rPr>
                <w:rFonts w:hint="default" w:ascii="Times New Roman" w:hAnsi="Times New Roman" w:eastAsia="宋体" w:cs="Times New Roman"/>
                <w:color w:val="000000" w:themeColor="text1"/>
                <w:spacing w:val="0"/>
                <w:position w:val="0"/>
                <w:sz w:val="24"/>
                <w:szCs w:val="24"/>
                <w:highlight w:val="none"/>
                <w:lang w:val="en-US" w:eastAsia="zh-CN"/>
                <w14:textFill>
                  <w14:solidFill>
                    <w14:schemeClr w14:val="tx1"/>
                  </w14:solidFill>
                </w14:textFill>
              </w:rPr>
              <w:t>在今后的生产活动中，做好设备的维护、检修，杜绝跑、冒、滴、漏现象。同时，加强污染物产生主要环节的收集治理，加强厂区的安全防护、环境风险防范措施，以便及时发现事故隐患，及时采取有效的应对措施。</w:t>
            </w:r>
          </w:p>
          <w:p w14:paraId="5DAA46F5">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⑥</w:t>
            </w:r>
            <w:r>
              <w:rPr>
                <w:rFonts w:hint="eastAsia"/>
                <w:color w:val="000000" w:themeColor="text1"/>
                <w:sz w:val="24"/>
                <w14:textFill>
                  <w14:solidFill>
                    <w14:schemeClr w14:val="tx1"/>
                  </w14:solidFill>
                </w14:textFill>
              </w:rPr>
              <w:t>加强内部管理，将土壤污染防治纳入项目环境风险防控体系，严格依法依规建设和运行污染治理设施，确保重点污染物稳定达标排放；另外，</w:t>
            </w:r>
            <w:r>
              <w:rPr>
                <w:rFonts w:hint="eastAsia"/>
                <w:color w:val="000000" w:themeColor="text1"/>
                <w:sz w:val="24"/>
                <w:lang w:eastAsia="zh-CN"/>
                <w14:textFill>
                  <w14:solidFill>
                    <w14:schemeClr w14:val="tx1"/>
                  </w14:solidFill>
                </w14:textFill>
              </w:rPr>
              <w:t>提高</w:t>
            </w:r>
            <w:r>
              <w:rPr>
                <w:rFonts w:hint="eastAsia"/>
                <w:color w:val="000000" w:themeColor="text1"/>
                <w:sz w:val="24"/>
                <w14:textFill>
                  <w14:solidFill>
                    <w14:schemeClr w14:val="tx1"/>
                  </w14:solidFill>
                </w14:textFill>
              </w:rPr>
              <w:t>企业员工污染隐患和环境风险防范意识，并定期开展培训。</w:t>
            </w:r>
          </w:p>
          <w:p w14:paraId="011235E1">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⑦</w:t>
            </w:r>
            <w:r>
              <w:rPr>
                <w:rFonts w:hint="default" w:ascii="Times New Roman" w:hAnsi="Times New Roman" w:cs="Times New Roman"/>
                <w:color w:val="000000" w:themeColor="text1"/>
                <w:spacing w:val="0"/>
                <w:position w:val="0"/>
                <w:sz w:val="24"/>
                <w:szCs w:val="24"/>
                <w:highlight w:val="none"/>
                <w:lang w:val="en-US" w:eastAsia="zh-CN"/>
                <w14:textFill>
                  <w14:solidFill>
                    <w14:schemeClr w14:val="tx1"/>
                  </w14:solidFill>
                </w14:textFill>
              </w:rPr>
              <w:t>项目生产经营用地的用途变更或者在其土地使用权收回、转让前，应当由土地使用权人按照规定进行土壤污染状况调查。</w:t>
            </w:r>
          </w:p>
          <w:p w14:paraId="550A4BB0">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综上所述，加强项目运行过程中环境管理，则项目实施对厂区及周边地下水、土壤环境的影响可控。</w:t>
            </w:r>
          </w:p>
          <w:p w14:paraId="60991AA5">
            <w:pPr>
              <w:spacing w:line="360" w:lineRule="auto"/>
              <w:ind w:left="0" w:leftChars="0" w:firstLine="0" w:firstLineChars="0"/>
              <w:rPr>
                <w:rFonts w:hint="default" w:ascii="Times New Roman" w:hAnsi="Times New Roman" w:cs="Times New Roman"/>
                <w:b/>
                <w:bCs/>
                <w:color w:val="000000" w:themeColor="text1"/>
                <w:spacing w:val="0"/>
                <w:positio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position w:val="0"/>
                <w:sz w:val="24"/>
                <w:szCs w:val="24"/>
                <w:highlight w:val="none"/>
                <w:lang w:val="en-US" w:eastAsia="zh-CN"/>
                <w14:textFill>
                  <w14:solidFill>
                    <w14:schemeClr w14:val="tx1"/>
                  </w14:solidFill>
                </w14:textFill>
              </w:rPr>
              <w:t>4.</w:t>
            </w:r>
            <w:r>
              <w:rPr>
                <w:rFonts w:hint="eastAsia" w:cs="Times New Roman"/>
                <w:b/>
                <w:bCs/>
                <w:color w:val="000000" w:themeColor="text1"/>
                <w:spacing w:val="0"/>
                <w:position w:val="0"/>
                <w:sz w:val="24"/>
                <w:szCs w:val="24"/>
                <w:highlight w:val="none"/>
                <w:lang w:val="en-US" w:eastAsia="zh-CN"/>
                <w14:textFill>
                  <w14:solidFill>
                    <w14:schemeClr w14:val="tx1"/>
                  </w14:solidFill>
                </w14:textFill>
              </w:rPr>
              <w:t>7</w:t>
            </w:r>
            <w:r>
              <w:rPr>
                <w:rFonts w:hint="default" w:ascii="Times New Roman" w:hAnsi="Times New Roman" w:cs="Times New Roman"/>
                <w:b/>
                <w:bCs/>
                <w:color w:val="000000" w:themeColor="text1"/>
                <w:spacing w:val="0"/>
                <w:position w:val="0"/>
                <w:sz w:val="24"/>
                <w:szCs w:val="24"/>
                <w:highlight w:val="none"/>
                <w:lang w:val="en-US" w:eastAsia="zh-CN"/>
                <w14:textFill>
                  <w14:solidFill>
                    <w14:schemeClr w14:val="tx1"/>
                  </w14:solidFill>
                </w14:textFill>
              </w:rPr>
              <w:t>.3跟踪监测要求</w:t>
            </w:r>
          </w:p>
          <w:p w14:paraId="2954CE64">
            <w:pPr>
              <w:spacing w:line="360" w:lineRule="auto"/>
              <w:ind w:firstLine="480" w:firstLineChars="200"/>
              <w:rPr>
                <w:rFonts w:ascii="Times New Roman" w:hAnsi="Times New Roman" w:eastAsia="宋体" w:cs="Times New Roman"/>
                <w:color w:val="000000" w:themeColor="text1"/>
                <w:spacing w:val="0"/>
                <w:position w:val="0"/>
                <w:sz w:val="24"/>
                <w14:textFill>
                  <w14:solidFill>
                    <w14:schemeClr w14:val="tx1"/>
                  </w14:solidFill>
                </w14:textFill>
              </w:rPr>
            </w:pPr>
            <w:r>
              <w:rPr>
                <w:rFonts w:hint="eastAsia" w:ascii="Times New Roman" w:hAnsi="Times New Roman" w:eastAsia="宋体" w:cs="Times New Roman"/>
                <w:color w:val="000000" w:themeColor="text1"/>
                <w:spacing w:val="0"/>
                <w:position w:val="0"/>
                <w:sz w:val="24"/>
                <w:lang w:val="en-US" w:eastAsia="zh-CN"/>
                <w14:textFill>
                  <w14:solidFill>
                    <w14:schemeClr w14:val="tx1"/>
                  </w14:solidFill>
                </w14:textFill>
              </w:rPr>
              <w:t>项目建设后，项目厂区车间地面全部硬化，生产过程不排放持久性及重金属等污染物，严格按照要求进行分区防渗防控，</w:t>
            </w:r>
            <w:r>
              <w:rPr>
                <w:rFonts w:hint="eastAsia" w:ascii="Times New Roman" w:hAnsi="Times New Roman" w:eastAsia="宋体" w:cs="Times New Roman"/>
                <w:color w:val="000000" w:themeColor="text1"/>
                <w:spacing w:val="0"/>
                <w:position w:val="0"/>
                <w:sz w:val="24"/>
                <w14:textFill>
                  <w14:solidFill>
                    <w14:schemeClr w14:val="tx1"/>
                  </w14:solidFill>
                </w14:textFill>
              </w:rPr>
              <w:t>项目对地下水、土壤环境影响很小，因此，本评价不对项目地下水、土壤环境提出跟踪监测要求。</w:t>
            </w:r>
          </w:p>
          <w:p w14:paraId="519ED05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Style w:val="54"/>
                <w:rFonts w:hint="default" w:ascii="Times New Roman" w:hAnsi="Times New Roman" w:eastAsia="宋体" w:cs="Times New Roman"/>
                <w:b/>
                <w:bCs/>
                <w:color w:val="000000" w:themeColor="text1"/>
                <w:spacing w:val="0"/>
                <w:position w:val="0"/>
                <w:sz w:val="28"/>
                <w:szCs w:val="28"/>
                <w:highlight w:val="none"/>
                <w:lang w:eastAsia="zh-CN"/>
                <w14:textFill>
                  <w14:solidFill>
                    <w14:schemeClr w14:val="tx1"/>
                  </w14:solidFill>
                </w14:textFill>
              </w:rPr>
            </w:pPr>
            <w:r>
              <w:rPr>
                <w:rStyle w:val="54"/>
                <w:rFonts w:hint="default" w:ascii="Times New Roman" w:hAnsi="Times New Roman" w:eastAsia="宋体" w:cs="Times New Roman"/>
                <w:b/>
                <w:bCs/>
                <w:color w:val="000000" w:themeColor="text1"/>
                <w:spacing w:val="0"/>
                <w:position w:val="0"/>
                <w:sz w:val="28"/>
                <w:szCs w:val="28"/>
                <w:highlight w:val="none"/>
                <w:lang w:val="en-US" w:eastAsia="zh-CN"/>
                <w14:textFill>
                  <w14:solidFill>
                    <w14:schemeClr w14:val="tx1"/>
                  </w14:solidFill>
                </w14:textFill>
              </w:rPr>
              <w:t>4.</w:t>
            </w:r>
            <w:r>
              <w:rPr>
                <w:rStyle w:val="54"/>
                <w:rFonts w:hint="default" w:ascii="Times New Roman" w:hAnsi="Times New Roman" w:cs="Times New Roman"/>
                <w:b/>
                <w:bCs/>
                <w:color w:val="000000" w:themeColor="text1"/>
                <w:spacing w:val="0"/>
                <w:position w:val="0"/>
                <w:sz w:val="28"/>
                <w:szCs w:val="28"/>
                <w:highlight w:val="none"/>
                <w:lang w:val="en-US" w:eastAsia="zh-CN"/>
                <w14:textFill>
                  <w14:solidFill>
                    <w14:schemeClr w14:val="tx1"/>
                  </w14:solidFill>
                </w14:textFill>
              </w:rPr>
              <w:t>8</w:t>
            </w:r>
            <w:r>
              <w:rPr>
                <w:rStyle w:val="54"/>
                <w:rFonts w:hint="default" w:ascii="Times New Roman" w:hAnsi="Times New Roman" w:eastAsia="宋体" w:cs="Times New Roman"/>
                <w:b/>
                <w:bCs/>
                <w:color w:val="000000" w:themeColor="text1"/>
                <w:spacing w:val="0"/>
                <w:position w:val="0"/>
                <w:sz w:val="28"/>
                <w:szCs w:val="28"/>
                <w:highlight w:val="none"/>
                <w:lang w:eastAsia="zh-CN"/>
                <w14:textFill>
                  <w14:solidFill>
                    <w14:schemeClr w14:val="tx1"/>
                  </w14:solidFill>
                </w14:textFill>
              </w:rPr>
              <w:t>环境风险影响和防范措施</w:t>
            </w:r>
          </w:p>
          <w:p w14:paraId="3CA273B7">
            <w:pPr>
              <w:spacing w:line="360" w:lineRule="auto"/>
              <w:ind w:firstLine="480" w:firstLineChars="200"/>
              <w:rPr>
                <w:rFonts w:hint="eastAsia" w:ascii="Times New Roman" w:hAnsi="Times New Roman"/>
                <w:color w:val="000000" w:themeColor="text1"/>
                <w:spacing w:val="0"/>
                <w:position w:val="0"/>
                <w:sz w:val="24"/>
                <w14:textFill>
                  <w14:solidFill>
                    <w14:schemeClr w14:val="tx1"/>
                  </w14:solidFill>
                </w14:textFill>
              </w:rPr>
            </w:pPr>
            <w:bookmarkStart w:id="39" w:name="_Toc30276"/>
            <w:bookmarkStart w:id="40" w:name="_Toc12137"/>
            <w:r>
              <w:rPr>
                <w:rFonts w:hint="eastAsia" w:ascii="Times New Roman" w:hAnsi="Times New Roman"/>
                <w:color w:val="000000" w:themeColor="text1"/>
                <w:spacing w:val="0"/>
                <w:position w:val="0"/>
                <w:sz w:val="24"/>
                <w14:textFill>
                  <w14:solidFill>
                    <w14:schemeClr w14:val="tx1"/>
                  </w14:solidFill>
                </w14:textFill>
              </w:rPr>
              <w:t>根据</w:t>
            </w:r>
            <w:r>
              <w:rPr>
                <w:rFonts w:ascii="Times New Roman" w:hAnsi="Times New Roman"/>
                <w:color w:val="000000" w:themeColor="text1"/>
                <w:spacing w:val="0"/>
                <w:position w:val="0"/>
                <w:sz w:val="24"/>
                <w14:textFill>
                  <w14:solidFill>
                    <w14:schemeClr w14:val="tx1"/>
                  </w14:solidFill>
                </w14:textFill>
              </w:rPr>
              <w:t>《建设项目环境影响报告表编制技术指南</w:t>
            </w:r>
            <w:r>
              <w:rPr>
                <w:rFonts w:hint="eastAsia" w:ascii="Times New Roman" w:hAnsi="Times New Roman"/>
                <w:color w:val="000000" w:themeColor="text1"/>
                <w:spacing w:val="0"/>
                <w:position w:val="0"/>
                <w:sz w:val="24"/>
                <w14:textFill>
                  <w14:solidFill>
                    <w14:schemeClr w14:val="tx1"/>
                  </w14:solidFill>
                </w14:textFill>
              </w:rPr>
              <w:t>(</w:t>
            </w:r>
            <w:r>
              <w:rPr>
                <w:rFonts w:ascii="Times New Roman" w:hAnsi="Times New Roman"/>
                <w:color w:val="000000" w:themeColor="text1"/>
                <w:spacing w:val="0"/>
                <w:position w:val="0"/>
                <w:sz w:val="24"/>
                <w14:textFill>
                  <w14:solidFill>
                    <w14:schemeClr w14:val="tx1"/>
                  </w14:solidFill>
                </w14:textFill>
              </w:rPr>
              <w:t>污染影响类</w:t>
            </w:r>
            <w:r>
              <w:rPr>
                <w:rFonts w:hint="eastAsia" w:ascii="Times New Roman" w:hAnsi="Times New Roman"/>
                <w:color w:val="000000" w:themeColor="text1"/>
                <w:spacing w:val="0"/>
                <w:position w:val="0"/>
                <w:sz w:val="24"/>
                <w14:textFill>
                  <w14:solidFill>
                    <w14:schemeClr w14:val="tx1"/>
                  </w14:solidFill>
                </w14:textFill>
              </w:rPr>
              <w:t>)(</w:t>
            </w:r>
            <w:r>
              <w:rPr>
                <w:rFonts w:ascii="Times New Roman" w:hAnsi="Times New Roman"/>
                <w:color w:val="000000" w:themeColor="text1"/>
                <w:spacing w:val="0"/>
                <w:position w:val="0"/>
                <w:sz w:val="24"/>
                <w14:textFill>
                  <w14:solidFill>
                    <w14:schemeClr w14:val="tx1"/>
                  </w14:solidFill>
                </w14:textFill>
              </w:rPr>
              <w:t>试行</w:t>
            </w:r>
            <w:r>
              <w:rPr>
                <w:rFonts w:hint="eastAsia" w:ascii="Times New Roman" w:hAnsi="Times New Roman"/>
                <w:color w:val="000000" w:themeColor="text1"/>
                <w:spacing w:val="0"/>
                <w:position w:val="0"/>
                <w:sz w:val="24"/>
                <w14:textFill>
                  <w14:solidFill>
                    <w14:schemeClr w14:val="tx1"/>
                  </w14:solidFill>
                </w14:textFill>
              </w:rPr>
              <w:t>)</w:t>
            </w:r>
            <w:r>
              <w:rPr>
                <w:rFonts w:ascii="Times New Roman" w:hAnsi="Times New Roman"/>
                <w:color w:val="000000" w:themeColor="text1"/>
                <w:spacing w:val="0"/>
                <w:position w:val="0"/>
                <w:sz w:val="24"/>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w:t>
            </w:r>
            <w:r>
              <w:rPr>
                <w:rFonts w:ascii="Times New Roman" w:hAnsi="Times New Roman"/>
                <w:color w:val="000000" w:themeColor="text1"/>
                <w:spacing w:val="0"/>
                <w:position w:val="0"/>
                <w:sz w:val="24"/>
                <w14:textFill>
                  <w14:solidFill>
                    <w14:schemeClr w14:val="tx1"/>
                  </w14:solidFill>
                </w14:textFill>
              </w:rPr>
              <w:t>环办环评〔2020〕33号</w:t>
            </w:r>
            <w:r>
              <w:rPr>
                <w:rFonts w:hint="eastAsia" w:ascii="Times New Roman" w:hAnsi="Times New Roman"/>
                <w:color w:val="000000" w:themeColor="text1"/>
                <w:spacing w:val="0"/>
                <w:position w:val="0"/>
                <w:sz w:val="24"/>
                <w14:textFill>
                  <w14:solidFill>
                    <w14:schemeClr w14:val="tx1"/>
                  </w14:solidFill>
                </w14:textFill>
              </w:rPr>
              <w:t>)关于环境风险评价要求：</w:t>
            </w:r>
            <w:r>
              <w:rPr>
                <w:rFonts w:hint="eastAsia" w:ascii="Times New Roman" w:hAnsi="Times New Roman"/>
                <w:color w:val="000000" w:themeColor="text1"/>
                <w:spacing w:val="0"/>
                <w:position w:val="0"/>
                <w:sz w:val="24"/>
                <w:lang w:eastAsia="zh-CN"/>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明确有毒有害和易燃易爆等危险物质和风险源分布情况及可能影响途径，并提出相应环境风险防范措施</w:t>
            </w:r>
            <w:r>
              <w:rPr>
                <w:rFonts w:hint="eastAsia" w:ascii="Times New Roman" w:hAnsi="Times New Roman"/>
                <w:color w:val="000000" w:themeColor="text1"/>
                <w:spacing w:val="0"/>
                <w:position w:val="0"/>
                <w:sz w:val="24"/>
                <w:lang w:eastAsia="zh-CN"/>
                <w14:textFill>
                  <w14:solidFill>
                    <w14:schemeClr w14:val="tx1"/>
                  </w14:solidFill>
                </w14:textFill>
              </w:rPr>
              <w:t>”</w:t>
            </w:r>
            <w:r>
              <w:rPr>
                <w:rFonts w:hint="eastAsia" w:ascii="Times New Roman" w:hAnsi="Times New Roman"/>
                <w:color w:val="000000" w:themeColor="text1"/>
                <w:spacing w:val="0"/>
                <w:position w:val="0"/>
                <w:sz w:val="24"/>
                <w14:textFill>
                  <w14:solidFill>
                    <w14:schemeClr w14:val="tx1"/>
                  </w14:solidFill>
                </w14:textFill>
              </w:rPr>
              <w:t>。</w:t>
            </w:r>
          </w:p>
          <w:p w14:paraId="4BBAE377">
            <w:pPr>
              <w:spacing w:line="360" w:lineRule="auto"/>
              <w:ind w:firstLine="480" w:firstLineChars="200"/>
              <w:rPr>
                <w:rFonts w:hint="eastAsia" w:ascii="Times New Roman" w:hAnsi="Times New Roman"/>
                <w:color w:val="000000" w:themeColor="text1"/>
                <w:spacing w:val="0"/>
                <w:position w:val="0"/>
                <w:sz w:val="24"/>
                <w14:textFill>
                  <w14:solidFill>
                    <w14:schemeClr w14:val="tx1"/>
                  </w14:solidFill>
                </w14:textFill>
              </w:rPr>
            </w:pPr>
          </w:p>
          <w:p w14:paraId="23864A18">
            <w:pPr>
              <w:spacing w:line="360" w:lineRule="auto"/>
              <w:outlineLvl w:val="2"/>
              <w:rPr>
                <w:rFonts w:hint="default" w:ascii="Times New Roman" w:hAnsi="Times New Roman" w:cs="Times New Roman"/>
                <w:b/>
                <w:bCs/>
                <w:color w:val="000000" w:themeColor="text1"/>
                <w:spacing w:val="0"/>
                <w:position w:val="0"/>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position w:val="0"/>
                <w:sz w:val="24"/>
                <w:highlight w:val="none"/>
                <w:lang w:val="en-US" w:eastAsia="zh-CN"/>
                <w14:textFill>
                  <w14:solidFill>
                    <w14:schemeClr w14:val="tx1"/>
                  </w14:solidFill>
                </w14:textFill>
              </w:rPr>
              <w:t>4.</w:t>
            </w:r>
            <w:r>
              <w:rPr>
                <w:rFonts w:hint="eastAsia" w:cs="Times New Roman"/>
                <w:b/>
                <w:bCs/>
                <w:color w:val="000000" w:themeColor="text1"/>
                <w:spacing w:val="0"/>
                <w:position w:val="0"/>
                <w:sz w:val="24"/>
                <w:highlight w:val="none"/>
                <w:lang w:val="en-US" w:eastAsia="zh-CN"/>
                <w14:textFill>
                  <w14:solidFill>
                    <w14:schemeClr w14:val="tx1"/>
                  </w14:solidFill>
                </w14:textFill>
              </w:rPr>
              <w:t>8</w:t>
            </w:r>
            <w:r>
              <w:rPr>
                <w:rFonts w:hint="default" w:ascii="Times New Roman" w:hAnsi="Times New Roman" w:cs="Times New Roman"/>
                <w:b/>
                <w:bCs/>
                <w:color w:val="000000" w:themeColor="text1"/>
                <w:spacing w:val="0"/>
                <w:position w:val="0"/>
                <w:sz w:val="24"/>
                <w:highlight w:val="none"/>
                <w:lang w:val="en-US" w:eastAsia="zh-CN"/>
                <w14:textFill>
                  <w14:solidFill>
                    <w14:schemeClr w14:val="tx1"/>
                  </w14:solidFill>
                </w14:textFill>
              </w:rPr>
              <w:t>.1项目危险物质调查</w:t>
            </w:r>
          </w:p>
          <w:bookmarkEnd w:id="39"/>
          <w:bookmarkEnd w:id="40"/>
          <w:p w14:paraId="1833DBC1">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w:t>
            </w:r>
            <w:r>
              <w:rPr>
                <w:color w:val="000000" w:themeColor="text1"/>
                <w:sz w:val="24"/>
                <w14:textFill>
                  <w14:solidFill>
                    <w14:schemeClr w14:val="tx1"/>
                  </w14:solidFill>
                </w14:textFill>
              </w:rPr>
              <w:t>《建设项目环境影响报告表编制技术指南</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污染影响类</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试行</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环办环评〔2020〕33号</w:t>
            </w:r>
            <w:r>
              <w:rPr>
                <w:rFonts w:hint="eastAsia"/>
                <w:color w:val="000000" w:themeColor="text1"/>
                <w:sz w:val="24"/>
                <w14:textFill>
                  <w14:solidFill>
                    <w14:schemeClr w14:val="tx1"/>
                  </w14:solidFill>
                </w14:textFill>
              </w:rPr>
              <w:t>)关于环境风险评价要求：</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明确有毒有害和易燃易爆等危险物质和风险源分布情况及可能影响途径，并提出相应环境风险防范措施</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w:t>
            </w:r>
          </w:p>
          <w:p w14:paraId="1334AFE7">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根据对各原料成分性质分析，对照《建设项目环境风险评价技术导则》</w:t>
            </w:r>
          </w:p>
          <w:p w14:paraId="2B0D87D5">
            <w:pPr>
              <w:spacing w:line="36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(HJ 169-2018)附录B</w:t>
            </w:r>
            <w:r>
              <w:rPr>
                <w:rFonts w:hint="eastAsia"/>
                <w:color w:val="000000" w:themeColor="text1"/>
                <w:sz w:val="24"/>
                <w14:textFill>
                  <w14:solidFill>
                    <w14:schemeClr w14:val="tx1"/>
                  </w14:solidFill>
                </w14:textFill>
              </w:rPr>
              <w:t>及《企业突发环境事件风险分级方法》(HJ941-2018)附录A可知</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项目使用的原辅材料</w:t>
            </w:r>
            <w:r>
              <w:rPr>
                <w:color w:val="000000" w:themeColor="text1"/>
                <w:sz w:val="24"/>
                <w14:textFill>
                  <w14:solidFill>
                    <w14:schemeClr w14:val="tx1"/>
                  </w14:solidFill>
                </w14:textFill>
              </w:rPr>
              <w:t>主要危险废物数量、有害因素分布</w:t>
            </w:r>
            <w:r>
              <w:rPr>
                <w:rFonts w:hint="eastAsia"/>
                <w:color w:val="000000" w:themeColor="text1"/>
                <w:sz w:val="24"/>
                <w14:textFill>
                  <w14:solidFill>
                    <w14:schemeClr w14:val="tx1"/>
                  </w14:solidFill>
                </w14:textFill>
              </w:rPr>
              <w:t>见表4.</w:t>
            </w:r>
            <w:r>
              <w:rPr>
                <w:rFonts w:hint="eastAsia"/>
                <w:color w:val="000000" w:themeColor="text1"/>
                <w:sz w:val="24"/>
                <w:lang w:val="en-US" w:eastAsia="zh-CN"/>
                <w14:textFill>
                  <w14:solidFill>
                    <w14:schemeClr w14:val="tx1"/>
                  </w14:solidFill>
                </w14:textFill>
              </w:rPr>
              <w:t>8</w:t>
            </w:r>
            <w:r>
              <w:rPr>
                <w:rFonts w:hint="eastAsia"/>
                <w:color w:val="000000" w:themeColor="text1"/>
                <w:sz w:val="24"/>
                <w14:textFill>
                  <w14:solidFill>
                    <w14:schemeClr w14:val="tx1"/>
                  </w14:solidFill>
                </w14:textFill>
              </w:rPr>
              <w:t>-1。</w:t>
            </w:r>
          </w:p>
          <w:p w14:paraId="05EBD476">
            <w:pPr>
              <w:pStyle w:val="142"/>
              <w:keepNext/>
              <w:keepLines/>
              <w:pageBreakBefore w:val="0"/>
              <w:widowControl w:val="0"/>
              <w:kinsoku/>
              <w:wordWrap/>
              <w:overflowPunct/>
              <w:topLinePunct w:val="0"/>
              <w:autoSpaceDE/>
              <w:autoSpaceDN/>
              <w:bidi w:val="0"/>
              <w:adjustRightInd/>
              <w:snapToGrid/>
              <w:spacing w:before="157" w:beforeLines="50" w:after="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eastAsia" w:cs="Times New Roman"/>
                <w:b/>
                <w:bCs/>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  主要风险物质数量、有害因素分布表</w:t>
            </w:r>
          </w:p>
          <w:p w14:paraId="0DC21970">
            <w:pPr>
              <w:spacing w:before="120" w:beforeLines="50" w:line="360" w:lineRule="auto"/>
              <w:ind w:firstLine="480" w:firstLineChars="200"/>
              <w:jc w:val="cente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snapToGrid w:val="0"/>
                <w:color w:val="000000" w:themeColor="text1"/>
                <w:sz w:val="24"/>
                <w:szCs w:val="24"/>
                <w:lang w:val="en-US" w:eastAsia="zh-CN"/>
                <w14:textFill>
                  <w14:solidFill>
                    <w14:schemeClr w14:val="tx1"/>
                  </w14:solidFill>
                </w14:textFill>
              </w:rPr>
              <w:t>涉密删除！</w:t>
            </w:r>
          </w:p>
          <w:p w14:paraId="09FBC1D0">
            <w:pPr>
              <w:spacing w:before="120" w:beforeLines="50"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w:t>
            </w:r>
            <w:r>
              <w:rPr>
                <w:rFonts w:hint="eastAsia"/>
                <w:bCs/>
                <w:color w:val="000000" w:themeColor="text1"/>
                <w:sz w:val="24"/>
                <w:lang w:val="en-US" w:eastAsia="zh-CN"/>
                <w14:textFill>
                  <w14:solidFill>
                    <w14:schemeClr w14:val="tx1"/>
                  </w14:solidFill>
                </w14:textFill>
              </w:rPr>
              <w:t>表</w:t>
            </w:r>
            <w:r>
              <w:rPr>
                <w:rFonts w:hint="eastAsia"/>
                <w:bCs/>
                <w:color w:val="000000" w:themeColor="text1"/>
                <w:sz w:val="24"/>
                <w14:textFill>
                  <w14:solidFill>
                    <w14:schemeClr w14:val="tx1"/>
                  </w14:solidFill>
                </w14:textFill>
              </w:rPr>
              <w:t>4.</w:t>
            </w:r>
            <w:r>
              <w:rPr>
                <w:rFonts w:hint="eastAsia"/>
                <w:bCs/>
                <w:color w:val="000000" w:themeColor="text1"/>
                <w:sz w:val="24"/>
                <w:lang w:val="en-US" w:eastAsia="zh-CN"/>
                <w14:textFill>
                  <w14:solidFill>
                    <w14:schemeClr w14:val="tx1"/>
                  </w14:solidFill>
                </w14:textFill>
              </w:rPr>
              <w:t>8</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计算</w:t>
            </w:r>
            <w:r>
              <w:rPr>
                <w:rFonts w:hint="eastAsia"/>
                <w:bCs/>
                <w:color w:val="000000" w:themeColor="text1"/>
                <w:sz w:val="24"/>
                <w14:textFill>
                  <w14:solidFill>
                    <w14:schemeClr w14:val="tx1"/>
                  </w14:solidFill>
                </w14:textFill>
              </w:rPr>
              <w:t>可知，</w:t>
            </w:r>
            <w:r>
              <w:rPr>
                <w:bCs/>
                <w:color w:val="000000" w:themeColor="text1"/>
                <w:sz w:val="24"/>
                <w14:textFill>
                  <w14:solidFill>
                    <w14:schemeClr w14:val="tx1"/>
                  </w14:solidFill>
                </w14:textFill>
              </w:rPr>
              <w:t>项目危险物质存在量及其临界量比值Q=</w:t>
            </w:r>
            <w:r>
              <w:rPr>
                <w:rFonts w:hint="eastAsia"/>
                <w:color w:val="000000" w:themeColor="text1"/>
                <w:kern w:val="0"/>
                <w:sz w:val="24"/>
                <w:lang w:bidi="ar"/>
                <w14:textFill>
                  <w14:solidFill>
                    <w14:schemeClr w14:val="tx1"/>
                  </w14:solidFill>
                </w14:textFill>
              </w:rPr>
              <w:t>0.</w:t>
            </w:r>
            <w:r>
              <w:rPr>
                <w:rFonts w:hint="eastAsia"/>
                <w:color w:val="000000" w:themeColor="text1"/>
                <w:kern w:val="0"/>
                <w:sz w:val="24"/>
                <w:lang w:val="en-US" w:eastAsia="zh-CN" w:bidi="ar"/>
                <w14:textFill>
                  <w14:solidFill>
                    <w14:schemeClr w14:val="tx1"/>
                  </w14:solidFill>
                </w14:textFill>
              </w:rPr>
              <w:t>48051</w:t>
            </w:r>
            <w:r>
              <w:rPr>
                <w:bCs/>
                <w:color w:val="000000" w:themeColor="text1"/>
                <w:sz w:val="24"/>
                <w14:textFill>
                  <w14:solidFill>
                    <w14:schemeClr w14:val="tx1"/>
                  </w14:solidFill>
                </w14:textFill>
              </w:rPr>
              <w:t>，根据《建设项目环境风险评价技术导则》(HJ 169-2018)附录C，当Q＜1时，该项目环境风险潜势为Ⅰ，评价工作级别简单分析</w:t>
            </w:r>
            <w:r>
              <w:rPr>
                <w:rFonts w:hint="eastAsia"/>
                <w:bCs/>
                <w:color w:val="000000" w:themeColor="text1"/>
                <w:sz w:val="24"/>
                <w14:textFill>
                  <w14:solidFill>
                    <w14:schemeClr w14:val="tx1"/>
                  </w14:solidFill>
                </w14:textFill>
              </w:rPr>
              <w:t>，因此，本评价主要</w:t>
            </w:r>
            <w:r>
              <w:rPr>
                <w:bCs/>
                <w:color w:val="000000" w:themeColor="text1"/>
                <w:sz w:val="24"/>
                <w14:textFill>
                  <w14:solidFill>
                    <w14:schemeClr w14:val="tx1"/>
                  </w14:solidFill>
                </w14:textFill>
              </w:rPr>
              <w:t>在描述危险物质、环境影响途径、环境危害后果、风险防范措施等方面给出定性说明。</w:t>
            </w:r>
          </w:p>
          <w:p w14:paraId="10BD9A02">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cs="Times New Roman"/>
                <w:b/>
                <w:bCs/>
                <w:color w:val="000000" w:themeColor="text1"/>
                <w:spacing w:val="0"/>
                <w:position w:val="0"/>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position w:val="0"/>
                <w:sz w:val="24"/>
                <w:highlight w:val="none"/>
                <w:lang w:val="en-US" w:eastAsia="zh-CN"/>
                <w14:textFill>
                  <w14:solidFill>
                    <w14:schemeClr w14:val="tx1"/>
                  </w14:solidFill>
                </w14:textFill>
              </w:rPr>
              <w:t>4.</w:t>
            </w:r>
            <w:r>
              <w:rPr>
                <w:rFonts w:hint="eastAsia" w:cs="Times New Roman"/>
                <w:b/>
                <w:bCs/>
                <w:color w:val="000000" w:themeColor="text1"/>
                <w:spacing w:val="0"/>
                <w:position w:val="0"/>
                <w:sz w:val="24"/>
                <w:highlight w:val="none"/>
                <w:lang w:val="en-US" w:eastAsia="zh-CN"/>
                <w14:textFill>
                  <w14:solidFill>
                    <w14:schemeClr w14:val="tx1"/>
                  </w14:solidFill>
                </w14:textFill>
              </w:rPr>
              <w:t>8</w:t>
            </w:r>
            <w:r>
              <w:rPr>
                <w:rFonts w:hint="default" w:ascii="Times New Roman" w:hAnsi="Times New Roman" w:cs="Times New Roman"/>
                <w:b/>
                <w:bCs/>
                <w:color w:val="000000" w:themeColor="text1"/>
                <w:spacing w:val="0"/>
                <w:position w:val="0"/>
                <w:sz w:val="24"/>
                <w:highlight w:val="none"/>
                <w:lang w:val="en-US" w:eastAsia="zh-CN"/>
                <w14:textFill>
                  <w14:solidFill>
                    <w14:schemeClr w14:val="tx1"/>
                  </w14:solidFill>
                </w14:textFill>
              </w:rPr>
              <w:t>.2环境风险识别</w:t>
            </w:r>
          </w:p>
          <w:p w14:paraId="77B0D59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1、物质风险识别</w:t>
            </w:r>
          </w:p>
          <w:p w14:paraId="7A81650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使用的原辅料</w:t>
            </w:r>
            <w:r>
              <w:rPr>
                <w:rFonts w:hint="default" w:ascii="Times New Roman" w:hAnsi="Times New Roman" w:cs="Times New Roman"/>
                <w:bCs/>
                <w:color w:val="000000" w:themeColor="text1"/>
                <w:sz w:val="24"/>
                <w:szCs w:val="24"/>
                <w14:textFill>
                  <w14:solidFill>
                    <w14:schemeClr w14:val="tx1"/>
                  </w14:solidFill>
                </w14:textFill>
              </w:rPr>
              <w:t>、燃料</w:t>
            </w: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主要为脱脂剂、表调剂、磷化剂、促进剂、电泳涂料、粉末涂料、</w:t>
            </w:r>
            <w:r>
              <w:rPr>
                <w:rFonts w:hint="eastAsia" w:cs="Times New Roman"/>
                <w:color w:val="000000" w:themeColor="text1"/>
                <w:spacing w:val="0"/>
                <w:kern w:val="0"/>
                <w:position w:val="0"/>
                <w:sz w:val="24"/>
                <w:szCs w:val="24"/>
                <w:highlight w:val="none"/>
                <w:lang w:val="en-US" w:eastAsia="zh-CN"/>
                <w14:textFill>
                  <w14:solidFill>
                    <w14:schemeClr w14:val="tx1"/>
                  </w14:solidFill>
                </w14:textFill>
              </w:rPr>
              <w:t>烤漆、稀释剂、洗网水、</w:t>
            </w: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无铬钝化剂、硝酸和天然气等，原辅料含有的危险物质主要为磷酸、硝酸、</w:t>
            </w:r>
            <w:r>
              <w:rPr>
                <w:rFonts w:hint="default" w:ascii="Times New Roman" w:hAnsi="Times New Roman" w:eastAsia="宋体" w:cs="Times New Roman"/>
                <w:color w:val="000000" w:themeColor="text1"/>
                <w:spacing w:val="0"/>
                <w:sz w:val="24"/>
                <w:szCs w:val="24"/>
                <w14:textFill>
                  <w14:solidFill>
                    <w14:schemeClr w14:val="tx1"/>
                  </w14:solidFill>
                </w14:textFill>
              </w:rPr>
              <w:t>锌化合物</w:t>
            </w:r>
            <w:r>
              <w:rPr>
                <w:rFonts w:hint="eastAsia" w:ascii="Times New Roman" w:hAnsi="Times New Roman" w:eastAsia="宋体" w:cs="Times New Roman"/>
                <w:color w:val="000000" w:themeColor="text1"/>
                <w:spacing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亚硝酸钠</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、有机溶剂（</w:t>
            </w:r>
            <w:r>
              <w:rPr>
                <w:rFonts w:hint="eastAsia" w:cs="Times New Roman"/>
                <w:color w:val="000000" w:themeColor="text1"/>
                <w:spacing w:val="0"/>
                <w:sz w:val="24"/>
                <w:szCs w:val="24"/>
                <w:lang w:val="en-US" w:eastAsia="zh-CN"/>
                <w14:textFill>
                  <w14:solidFill>
                    <w14:schemeClr w14:val="tx1"/>
                  </w14:solidFill>
                </w14:textFill>
              </w:rPr>
              <w:t>甲苯、</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二甲苯、正丁醇、丙醇、环己酮</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、天然气（甲烷）；“三废”中危险物质主要有废槽液、槽渣、废矿物油类等。</w:t>
            </w:r>
          </w:p>
          <w:p w14:paraId="75DE501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2、生产系统危险性识别</w:t>
            </w:r>
          </w:p>
          <w:p w14:paraId="045AF1B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本项</w:t>
            </w:r>
            <w:r>
              <w:rPr>
                <w:rFonts w:hint="eastAsia" w:cs="Times New Roman"/>
                <w:color w:val="000000" w:themeColor="text1"/>
                <w:spacing w:val="0"/>
                <w:kern w:val="0"/>
                <w:position w:val="0"/>
                <w:sz w:val="24"/>
                <w:highlight w:val="none"/>
                <w:lang w:val="en-US" w:eastAsia="zh-CN"/>
                <w14:textFill>
                  <w14:solidFill>
                    <w14:schemeClr w14:val="tx1"/>
                  </w14:solidFill>
                </w14:textFill>
              </w:rPr>
              <w:t>目生</w:t>
            </w:r>
            <w:r>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产过程中风险主要有前处理及电泳线槽液泄漏引发的风险，天然气易燃气体和矿物油等可燃液体在生产使用过程的火灾事故风险等。</w:t>
            </w:r>
          </w:p>
          <w:p w14:paraId="12673DF2">
            <w:pPr>
              <w:pStyle w:val="142"/>
              <w:keepNext/>
              <w:keepLines/>
              <w:pageBreakBefore w:val="0"/>
              <w:widowControl w:val="0"/>
              <w:kinsoku/>
              <w:wordWrap/>
              <w:overflowPunct/>
              <w:topLinePunct w:val="0"/>
              <w:autoSpaceDE/>
              <w:autoSpaceDN/>
              <w:bidi w:val="0"/>
              <w:adjustRightInd/>
              <w:snapToGrid/>
              <w:spacing w:before="157" w:beforeLines="50" w:after="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项目危潜在环境风险事故一览表</w:t>
            </w:r>
          </w:p>
          <w:tbl>
            <w:tblPr>
              <w:tblStyle w:val="30"/>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42"/>
              <w:gridCol w:w="2030"/>
              <w:gridCol w:w="3202"/>
              <w:gridCol w:w="2219"/>
            </w:tblGrid>
            <w:tr w14:paraId="6F1577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noWrap w:val="0"/>
                  <w:vAlign w:val="center"/>
                </w:tcPr>
                <w:p w14:paraId="587E06D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bookmarkStart w:id="41" w:name="_Toc215736207"/>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潜在事故类型</w:t>
                  </w:r>
                </w:p>
              </w:tc>
              <w:tc>
                <w:tcPr>
                  <w:tcW w:w="1167" w:type="pct"/>
                  <w:noWrap w:val="0"/>
                  <w:vAlign w:val="center"/>
                </w:tcPr>
                <w:p w14:paraId="2CB3644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事故原因</w:t>
                  </w:r>
                </w:p>
              </w:tc>
              <w:tc>
                <w:tcPr>
                  <w:tcW w:w="1841" w:type="pct"/>
                  <w:noWrap w:val="0"/>
                  <w:vAlign w:val="center"/>
                </w:tcPr>
                <w:p w14:paraId="76A95B1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环境影响途径</w:t>
                  </w:r>
                </w:p>
              </w:tc>
              <w:tc>
                <w:tcPr>
                  <w:tcW w:w="1276" w:type="pct"/>
                  <w:noWrap w:val="0"/>
                  <w:vAlign w:val="center"/>
                </w:tcPr>
                <w:p w14:paraId="7A71CE1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环境危害后果</w:t>
                  </w:r>
                </w:p>
              </w:tc>
            </w:tr>
            <w:tr w14:paraId="3394DB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noWrap w:val="0"/>
                  <w:vAlign w:val="center"/>
                </w:tcPr>
                <w:p w14:paraId="2356E6B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废气事故排放</w:t>
                  </w:r>
                </w:p>
              </w:tc>
              <w:tc>
                <w:tcPr>
                  <w:tcW w:w="1167" w:type="pct"/>
                  <w:noWrap w:val="0"/>
                  <w:vAlign w:val="center"/>
                </w:tcPr>
                <w:p w14:paraId="7318877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废气处理设施故障</w:t>
                  </w:r>
                </w:p>
              </w:tc>
              <w:tc>
                <w:tcPr>
                  <w:tcW w:w="1841" w:type="pct"/>
                  <w:noWrap w:val="0"/>
                  <w:vAlign w:val="center"/>
                </w:tcPr>
                <w:p w14:paraId="0D9DF81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粉尘、</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有机废气</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未经处理直接</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排放扩散</w:t>
                  </w:r>
                </w:p>
              </w:tc>
              <w:tc>
                <w:tcPr>
                  <w:tcW w:w="1276" w:type="pct"/>
                  <w:noWrap w:val="0"/>
                  <w:vAlign w:val="center"/>
                </w:tcPr>
                <w:p w14:paraId="1E28051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对大气环境有</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轻微的</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影响</w:t>
                  </w:r>
                </w:p>
              </w:tc>
            </w:tr>
            <w:tr w14:paraId="0B1DE9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31" w:type="dxa"/>
                  <w:noWrap w:val="0"/>
                  <w:vAlign w:val="center"/>
                </w:tcPr>
                <w:p w14:paraId="533C8864">
                  <w:pPr>
                    <w:pStyle w:val="81"/>
                    <w:numPr>
                      <w:ilvl w:val="0"/>
                      <w:numId w:val="0"/>
                    </w:numPr>
                    <w:adjustRightInd w:val="0"/>
                    <w:snapToGrid w:val="0"/>
                    <w:spacing w:line="240" w:lineRule="auto"/>
                    <w:ind w:left="0" w:leftChars="0" w:firstLine="0" w:firstLineChars="0"/>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b w:val="0"/>
                      <w:bCs/>
                      <w:color w:val="000000" w:themeColor="text1"/>
                      <w:sz w:val="21"/>
                      <w:szCs w:val="21"/>
                      <w:lang w:val="en-US"/>
                      <w14:textFill>
                        <w14:solidFill>
                          <w14:schemeClr w14:val="tx1"/>
                        </w14:solidFill>
                      </w14:textFill>
                    </w:rPr>
                    <w:t>废水事故排放</w:t>
                  </w:r>
                </w:p>
              </w:tc>
              <w:tc>
                <w:tcPr>
                  <w:tcW w:w="2011" w:type="dxa"/>
                  <w:noWrap w:val="0"/>
                  <w:vAlign w:val="center"/>
                </w:tcPr>
                <w:p w14:paraId="6E9A852E">
                  <w:pPr>
                    <w:pStyle w:val="81"/>
                    <w:numPr>
                      <w:ilvl w:val="0"/>
                      <w:numId w:val="0"/>
                    </w:numPr>
                    <w:adjustRightInd w:val="0"/>
                    <w:snapToGrid w:val="0"/>
                    <w:spacing w:line="240" w:lineRule="auto"/>
                    <w:ind w:left="0" w:leftChars="0" w:firstLine="0" w:firstLineChars="0"/>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b w:val="0"/>
                      <w:bCs/>
                      <w:color w:val="000000" w:themeColor="text1"/>
                      <w:sz w:val="21"/>
                      <w:szCs w:val="21"/>
                      <w:lang w:val="en-US"/>
                      <w14:textFill>
                        <w14:solidFill>
                          <w14:schemeClr w14:val="tx1"/>
                        </w14:solidFill>
                      </w14:textFill>
                    </w:rPr>
                    <w:t>废水</w:t>
                  </w:r>
                  <w:r>
                    <w:rPr>
                      <w:rFonts w:hint="eastAsia"/>
                      <w:b w:val="0"/>
                      <w:bCs/>
                      <w:color w:val="000000" w:themeColor="text1"/>
                      <w:sz w:val="21"/>
                      <w:szCs w:val="21"/>
                      <w:lang w:val="en-US" w:eastAsia="zh-CN"/>
                      <w14:textFill>
                        <w14:solidFill>
                          <w14:schemeClr w14:val="tx1"/>
                        </w14:solidFill>
                      </w14:textFill>
                    </w:rPr>
                    <w:t>输送系统泄漏或</w:t>
                  </w:r>
                  <w:r>
                    <w:rPr>
                      <w:rFonts w:hint="eastAsia"/>
                      <w:b w:val="0"/>
                      <w:bCs/>
                      <w:color w:val="000000" w:themeColor="text1"/>
                      <w:sz w:val="21"/>
                      <w:szCs w:val="21"/>
                      <w:lang w:val="en-US"/>
                      <w14:textFill>
                        <w14:solidFill>
                          <w14:schemeClr w14:val="tx1"/>
                        </w14:solidFill>
                      </w14:textFill>
                    </w:rPr>
                    <w:t>处理设施故障</w:t>
                  </w:r>
                </w:p>
              </w:tc>
              <w:tc>
                <w:tcPr>
                  <w:tcW w:w="3173" w:type="dxa"/>
                  <w:noWrap w:val="0"/>
                  <w:vAlign w:val="center"/>
                </w:tcPr>
                <w:p w14:paraId="6F191822">
                  <w:pPr>
                    <w:pStyle w:val="81"/>
                    <w:numPr>
                      <w:ilvl w:val="0"/>
                      <w:numId w:val="0"/>
                    </w:numPr>
                    <w:adjustRightInd w:val="0"/>
                    <w:snapToGrid w:val="0"/>
                    <w:spacing w:line="240" w:lineRule="auto"/>
                    <w:ind w:left="0" w:leftChars="0" w:firstLine="0" w:firstLineChars="0"/>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b w:val="0"/>
                      <w:bCs/>
                      <w:color w:val="000000" w:themeColor="text1"/>
                      <w:sz w:val="21"/>
                      <w:szCs w:val="21"/>
                      <w:lang w:val="en-US"/>
                      <w14:textFill>
                        <w14:solidFill>
                          <w14:schemeClr w14:val="tx1"/>
                        </w14:solidFill>
                      </w14:textFill>
                    </w:rPr>
                    <w:t>超标废水或泄漏废水排放，污染</w:t>
                  </w:r>
                  <w:r>
                    <w:rPr>
                      <w:b w:val="0"/>
                      <w:bCs/>
                      <w:color w:val="000000" w:themeColor="text1"/>
                      <w:sz w:val="21"/>
                      <w:szCs w:val="21"/>
                      <w14:textFill>
                        <w14:solidFill>
                          <w14:schemeClr w14:val="tx1"/>
                        </w14:solidFill>
                      </w14:textFill>
                    </w:rPr>
                    <w:t>周边水体</w:t>
                  </w:r>
                  <w:r>
                    <w:rPr>
                      <w:rFonts w:hint="eastAsia"/>
                      <w:b w:val="0"/>
                      <w:bCs/>
                      <w:color w:val="000000" w:themeColor="text1"/>
                      <w:sz w:val="21"/>
                      <w:szCs w:val="21"/>
                      <w:lang w:eastAsia="zh-CN"/>
                      <w14:textFill>
                        <w14:solidFill>
                          <w14:schemeClr w14:val="tx1"/>
                        </w14:solidFill>
                      </w14:textFill>
                    </w:rPr>
                    <w:t>，</w:t>
                  </w:r>
                  <w:r>
                    <w:rPr>
                      <w:rFonts w:hint="eastAsia"/>
                      <w:b w:val="0"/>
                      <w:bCs/>
                      <w:color w:val="000000" w:themeColor="text1"/>
                      <w:sz w:val="21"/>
                      <w:szCs w:val="21"/>
                      <w:lang w:val="en-US" w:eastAsia="zh-CN"/>
                      <w14:textFill>
                        <w14:solidFill>
                          <w14:schemeClr w14:val="tx1"/>
                        </w14:solidFill>
                      </w14:textFill>
                    </w:rPr>
                    <w:t>进入土壤污染地下水和土壤</w:t>
                  </w:r>
                </w:p>
              </w:tc>
              <w:tc>
                <w:tcPr>
                  <w:tcW w:w="2199" w:type="dxa"/>
                  <w:noWrap w:val="0"/>
                  <w:vAlign w:val="center"/>
                </w:tcPr>
                <w:p w14:paraId="29E3B920">
                  <w:pPr>
                    <w:pStyle w:val="81"/>
                    <w:numPr>
                      <w:ilvl w:val="0"/>
                      <w:numId w:val="0"/>
                    </w:numPr>
                    <w:adjustRightInd w:val="0"/>
                    <w:snapToGrid w:val="0"/>
                    <w:spacing w:line="240" w:lineRule="auto"/>
                    <w:ind w:left="0" w:leftChars="0" w:firstLine="0" w:firstLineChars="0"/>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kern w:val="0"/>
                      <w:position w:val="0"/>
                      <w:sz w:val="21"/>
                      <w:szCs w:val="21"/>
                      <w:highlight w:val="none"/>
                      <w:lang w:val="en-US" w:eastAsia="zh-CN"/>
                      <w14:textFill>
                        <w14:solidFill>
                          <w14:schemeClr w14:val="tx1"/>
                        </w14:solidFill>
                      </w14:textFill>
                    </w:rPr>
                    <w:t>对周边</w:t>
                  </w:r>
                  <w:r>
                    <w:rPr>
                      <w:rFonts w:hint="eastAsia" w:ascii="Times New Roman" w:hAnsi="Times New Roman" w:eastAsia="宋体" w:cs="Times New Roman"/>
                      <w:b w:val="0"/>
                      <w:bCs/>
                      <w:color w:val="000000" w:themeColor="text1"/>
                      <w:spacing w:val="0"/>
                      <w:kern w:val="0"/>
                      <w:position w:val="0"/>
                      <w:sz w:val="21"/>
                      <w:szCs w:val="21"/>
                      <w:highlight w:val="none"/>
                      <w:lang w:val="en-US" w:eastAsia="zh-CN"/>
                      <w14:textFill>
                        <w14:solidFill>
                          <w14:schemeClr w14:val="tx1"/>
                        </w14:solidFill>
                      </w14:textFill>
                    </w:rPr>
                    <w:t>土壤、</w:t>
                  </w:r>
                  <w:r>
                    <w:rPr>
                      <w:rFonts w:hint="default" w:ascii="Times New Roman" w:hAnsi="Times New Roman" w:eastAsia="宋体" w:cs="Times New Roman"/>
                      <w:b w:val="0"/>
                      <w:bCs/>
                      <w:color w:val="000000" w:themeColor="text1"/>
                      <w:spacing w:val="0"/>
                      <w:kern w:val="0"/>
                      <w:position w:val="0"/>
                      <w:sz w:val="21"/>
                      <w:szCs w:val="21"/>
                      <w:highlight w:val="none"/>
                      <w:lang w:val="en-US" w:eastAsia="zh-CN"/>
                      <w14:textFill>
                        <w14:solidFill>
                          <w14:schemeClr w14:val="tx1"/>
                        </w14:solidFill>
                      </w14:textFill>
                    </w:rPr>
                    <w:t>地下水及周边</w:t>
                  </w:r>
                  <w:r>
                    <w:rPr>
                      <w:rFonts w:hint="eastAsia" w:ascii="Times New Roman" w:hAnsi="Times New Roman" w:eastAsia="宋体" w:cs="Times New Roman"/>
                      <w:b w:val="0"/>
                      <w:bCs/>
                      <w:color w:val="000000" w:themeColor="text1"/>
                      <w:spacing w:val="0"/>
                      <w:kern w:val="0"/>
                      <w:position w:val="0"/>
                      <w:sz w:val="21"/>
                      <w:szCs w:val="21"/>
                      <w:highlight w:val="none"/>
                      <w:lang w:val="en-US" w:eastAsia="zh-CN"/>
                      <w14:textFill>
                        <w14:solidFill>
                          <w14:schemeClr w14:val="tx1"/>
                        </w14:solidFill>
                      </w14:textFill>
                    </w:rPr>
                    <w:t>地表水</w:t>
                  </w:r>
                  <w:r>
                    <w:rPr>
                      <w:rFonts w:hint="default" w:ascii="Times New Roman" w:hAnsi="Times New Roman" w:eastAsia="宋体" w:cs="Times New Roman"/>
                      <w:b w:val="0"/>
                      <w:bCs/>
                      <w:color w:val="000000" w:themeColor="text1"/>
                      <w:spacing w:val="0"/>
                      <w:kern w:val="0"/>
                      <w:position w:val="0"/>
                      <w:sz w:val="21"/>
                      <w:szCs w:val="21"/>
                      <w:highlight w:val="none"/>
                      <w:lang w:val="en-US" w:eastAsia="zh-CN"/>
                      <w14:textFill>
                        <w14:solidFill>
                          <w14:schemeClr w14:val="tx1"/>
                        </w14:solidFill>
                      </w14:textFill>
                    </w:rPr>
                    <w:t>可能造成</w:t>
                  </w:r>
                  <w:r>
                    <w:rPr>
                      <w:rFonts w:hint="eastAsia" w:ascii="Times New Roman" w:hAnsi="Times New Roman" w:eastAsia="宋体" w:cs="Times New Roman"/>
                      <w:b w:val="0"/>
                      <w:bCs/>
                      <w:color w:val="000000" w:themeColor="text1"/>
                      <w:spacing w:val="0"/>
                      <w:kern w:val="0"/>
                      <w:position w:val="0"/>
                      <w:sz w:val="21"/>
                      <w:szCs w:val="21"/>
                      <w:highlight w:val="none"/>
                      <w:lang w:val="en-US" w:eastAsia="zh-CN"/>
                      <w14:textFill>
                        <w14:solidFill>
                          <w14:schemeClr w14:val="tx1"/>
                        </w14:solidFill>
                      </w14:textFill>
                    </w:rPr>
                    <w:t>较大</w:t>
                  </w:r>
                  <w:r>
                    <w:rPr>
                      <w:rFonts w:hint="default" w:ascii="Times New Roman" w:hAnsi="Times New Roman" w:eastAsia="宋体" w:cs="Times New Roman"/>
                      <w:b w:val="0"/>
                      <w:bCs/>
                      <w:color w:val="000000" w:themeColor="text1"/>
                      <w:spacing w:val="0"/>
                      <w:kern w:val="0"/>
                      <w:position w:val="0"/>
                      <w:sz w:val="21"/>
                      <w:szCs w:val="21"/>
                      <w:highlight w:val="none"/>
                      <w:lang w:val="en-US" w:eastAsia="zh-CN"/>
                      <w14:textFill>
                        <w14:solidFill>
                          <w14:schemeClr w14:val="tx1"/>
                        </w14:solidFill>
                      </w14:textFill>
                    </w:rPr>
                    <w:t>影响</w:t>
                  </w:r>
                  <w:r>
                    <w:rPr>
                      <w:rFonts w:hint="eastAsia"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对下游污水处理厂造成水质冲击影响</w:t>
                  </w:r>
                </w:p>
              </w:tc>
            </w:tr>
            <w:tr w14:paraId="60D8EB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vMerge w:val="restart"/>
                  <w:noWrap w:val="0"/>
                  <w:vAlign w:val="center"/>
                </w:tcPr>
                <w:p w14:paraId="2A254FA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危险物质、危险废物等</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泄漏</w:t>
                  </w:r>
                </w:p>
              </w:tc>
              <w:tc>
                <w:tcPr>
                  <w:tcW w:w="1167" w:type="pct"/>
                  <w:noWrap w:val="0"/>
                  <w:vAlign w:val="center"/>
                </w:tcPr>
                <w:p w14:paraId="4180221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原料桶泄漏</w:t>
                  </w:r>
                </w:p>
              </w:tc>
              <w:tc>
                <w:tcPr>
                  <w:tcW w:w="1841" w:type="pct"/>
                  <w:noWrap w:val="0"/>
                  <w:vAlign w:val="center"/>
                </w:tcPr>
                <w:p w14:paraId="03299F0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渗入土壤及排入周边水体、有机废气全部以无组织方式排放扩散</w:t>
                  </w:r>
                </w:p>
              </w:tc>
              <w:tc>
                <w:tcPr>
                  <w:tcW w:w="1276" w:type="pct"/>
                  <w:vMerge w:val="restart"/>
                  <w:noWrap w:val="0"/>
                  <w:vAlign w:val="center"/>
                </w:tcPr>
                <w:p w14:paraId="47B819A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对周边</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土壤、</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地下水及周边</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地表水</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可能造成</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较大</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影响、对大气环境有</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轻微</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影响</w:t>
                  </w:r>
                </w:p>
              </w:tc>
            </w:tr>
            <w:tr w14:paraId="2D7A2F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vMerge w:val="continue"/>
                  <w:noWrap w:val="0"/>
                  <w:vAlign w:val="center"/>
                </w:tcPr>
                <w:p w14:paraId="5BE3476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p>
              </w:tc>
              <w:tc>
                <w:tcPr>
                  <w:tcW w:w="1167" w:type="pct"/>
                  <w:noWrap w:val="0"/>
                  <w:vAlign w:val="center"/>
                </w:tcPr>
                <w:p w14:paraId="3F5CFEE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前处理及电泳线槽液泄漏</w:t>
                  </w:r>
                </w:p>
              </w:tc>
              <w:tc>
                <w:tcPr>
                  <w:tcW w:w="1841" w:type="pct"/>
                  <w:noWrap w:val="0"/>
                  <w:vAlign w:val="center"/>
                </w:tcPr>
                <w:p w14:paraId="6BF8F59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渗入土壤及排入周边水体</w:t>
                  </w:r>
                </w:p>
              </w:tc>
              <w:tc>
                <w:tcPr>
                  <w:tcW w:w="1276" w:type="pct"/>
                  <w:vMerge w:val="continue"/>
                  <w:noWrap w:val="0"/>
                  <w:vAlign w:val="center"/>
                </w:tcPr>
                <w:p w14:paraId="2A601CB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p>
              </w:tc>
            </w:tr>
            <w:tr w14:paraId="0559EE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714" w:type="pct"/>
                  <w:vMerge w:val="continue"/>
                  <w:noWrap w:val="0"/>
                  <w:vAlign w:val="center"/>
                </w:tcPr>
                <w:p w14:paraId="5FD487A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p>
              </w:tc>
              <w:tc>
                <w:tcPr>
                  <w:tcW w:w="2011" w:type="dxa"/>
                  <w:noWrap w:val="0"/>
                  <w:vAlign w:val="center"/>
                </w:tcPr>
                <w:p w14:paraId="07BD8481">
                  <w:pPr>
                    <w:pStyle w:val="81"/>
                    <w:numPr>
                      <w:ilvl w:val="0"/>
                      <w:numId w:val="0"/>
                    </w:numPr>
                    <w:adjustRightInd w:val="0"/>
                    <w:snapToGrid w:val="0"/>
                    <w:spacing w:line="240" w:lineRule="auto"/>
                    <w:ind w:left="0" w:leftChars="0" w:firstLine="0" w:firstLineChars="0"/>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天然气</w:t>
                  </w:r>
                  <w:r>
                    <w:rPr>
                      <w:rFonts w:hint="eastAsia"/>
                      <w:b w:val="0"/>
                      <w:bCs/>
                      <w:color w:val="000000" w:themeColor="text1"/>
                      <w:sz w:val="21"/>
                      <w:szCs w:val="21"/>
                      <w:lang w:val="en-US"/>
                      <w14:textFill>
                        <w14:solidFill>
                          <w14:schemeClr w14:val="tx1"/>
                        </w14:solidFill>
                      </w14:textFill>
                    </w:rPr>
                    <w:t>泄漏</w:t>
                  </w:r>
                </w:p>
              </w:tc>
              <w:tc>
                <w:tcPr>
                  <w:tcW w:w="3173" w:type="dxa"/>
                  <w:noWrap w:val="0"/>
                  <w:vAlign w:val="center"/>
                </w:tcPr>
                <w:p w14:paraId="1CAFB99E">
                  <w:pPr>
                    <w:widowControl/>
                    <w:jc w:val="cente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气体泄漏污染周边大气环境，可燃气体引发火灾爆炸风险</w:t>
                  </w:r>
                </w:p>
              </w:tc>
              <w:tc>
                <w:tcPr>
                  <w:tcW w:w="1276" w:type="pct"/>
                  <w:vMerge w:val="continue"/>
                  <w:noWrap w:val="0"/>
                  <w:vAlign w:val="center"/>
                </w:tcPr>
                <w:p w14:paraId="3739862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p>
              </w:tc>
            </w:tr>
            <w:tr w14:paraId="4AA6F4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vMerge w:val="continue"/>
                  <w:noWrap w:val="0"/>
                  <w:vAlign w:val="center"/>
                </w:tcPr>
                <w:p w14:paraId="2A63A7F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p>
              </w:tc>
              <w:tc>
                <w:tcPr>
                  <w:tcW w:w="2011" w:type="dxa"/>
                  <w:noWrap w:val="0"/>
                  <w:vAlign w:val="center"/>
                </w:tcPr>
                <w:p w14:paraId="5E81090F">
                  <w:pPr>
                    <w:pStyle w:val="81"/>
                    <w:numPr>
                      <w:ilvl w:val="0"/>
                      <w:numId w:val="0"/>
                    </w:numPr>
                    <w:adjustRightInd w:val="0"/>
                    <w:snapToGrid w:val="0"/>
                    <w:spacing w:line="240" w:lineRule="auto"/>
                    <w:ind w:left="0" w:leftChars="0" w:firstLine="0" w:firstLineChars="0"/>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b w:val="0"/>
                      <w:bCs/>
                      <w:color w:val="000000" w:themeColor="text1"/>
                      <w:sz w:val="21"/>
                      <w:szCs w:val="21"/>
                      <w:lang w:val="en-US"/>
                      <w14:textFill>
                        <w14:solidFill>
                          <w14:schemeClr w14:val="tx1"/>
                        </w14:solidFill>
                      </w14:textFill>
                    </w:rPr>
                    <w:t>危险废物储存容器等破裂事故</w:t>
                  </w:r>
                  <w:r>
                    <w:rPr>
                      <w:b w:val="0"/>
                      <w:bCs/>
                      <w:color w:val="000000" w:themeColor="text1"/>
                      <w:sz w:val="21"/>
                      <w:szCs w:val="21"/>
                      <w14:textFill>
                        <w14:solidFill>
                          <w14:schemeClr w14:val="tx1"/>
                        </w14:solidFill>
                      </w14:textFill>
                    </w:rPr>
                    <w:t>泄漏</w:t>
                  </w:r>
                </w:p>
              </w:tc>
              <w:tc>
                <w:tcPr>
                  <w:tcW w:w="3173" w:type="dxa"/>
                  <w:noWrap w:val="0"/>
                  <w:vAlign w:val="center"/>
                </w:tcPr>
                <w:p w14:paraId="549D45FC">
                  <w:pPr>
                    <w:widowControl/>
                    <w:jc w:val="cente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bCs/>
                      <w:color w:val="000000" w:themeColor="text1"/>
                      <w:sz w:val="21"/>
                      <w:szCs w:val="21"/>
                      <w14:textFill>
                        <w14:solidFill>
                          <w14:schemeClr w14:val="tx1"/>
                        </w14:solidFill>
                      </w14:textFill>
                    </w:rPr>
                    <w:t>渗入土壤</w:t>
                  </w:r>
                  <w:r>
                    <w:rPr>
                      <w:rFonts w:hint="eastAsia"/>
                      <w:bCs/>
                      <w:color w:val="000000" w:themeColor="text1"/>
                      <w:sz w:val="21"/>
                      <w:szCs w:val="21"/>
                      <w14:textFill>
                        <w14:solidFill>
                          <w14:schemeClr w14:val="tx1"/>
                        </w14:solidFill>
                      </w14:textFill>
                    </w:rPr>
                    <w:t>或</w:t>
                  </w:r>
                  <w:r>
                    <w:rPr>
                      <w:bCs/>
                      <w:color w:val="000000" w:themeColor="text1"/>
                      <w:sz w:val="21"/>
                      <w:szCs w:val="21"/>
                      <w14:textFill>
                        <w14:solidFill>
                          <w14:schemeClr w14:val="tx1"/>
                        </w14:solidFill>
                      </w14:textFill>
                    </w:rPr>
                    <w:t>排入周边水体、有机废气全部以无组织方式排放扩散</w:t>
                  </w:r>
                </w:p>
              </w:tc>
              <w:tc>
                <w:tcPr>
                  <w:tcW w:w="1276" w:type="pct"/>
                  <w:vMerge w:val="continue"/>
                  <w:noWrap w:val="0"/>
                  <w:vAlign w:val="center"/>
                </w:tcPr>
                <w:p w14:paraId="07A72D7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p>
              </w:tc>
            </w:tr>
            <w:tr w14:paraId="3FE845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vMerge w:val="continue"/>
                  <w:noWrap w:val="0"/>
                  <w:vAlign w:val="center"/>
                </w:tcPr>
                <w:p w14:paraId="5738FD6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p>
              </w:tc>
              <w:tc>
                <w:tcPr>
                  <w:tcW w:w="1167" w:type="pct"/>
                  <w:noWrap w:val="0"/>
                  <w:vAlign w:val="center"/>
                </w:tcPr>
                <w:p w14:paraId="297C871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运输车辆发生事故发生泄漏</w:t>
                  </w:r>
                </w:p>
              </w:tc>
              <w:tc>
                <w:tcPr>
                  <w:tcW w:w="1841" w:type="pct"/>
                  <w:noWrap w:val="0"/>
                  <w:vAlign w:val="center"/>
                </w:tcPr>
                <w:p w14:paraId="3BB7A47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渗入土壤及排入周边水体、有机废气全部以无组织方式排放扩散</w:t>
                  </w:r>
                </w:p>
              </w:tc>
              <w:tc>
                <w:tcPr>
                  <w:tcW w:w="1276" w:type="pct"/>
                  <w:vMerge w:val="continue"/>
                  <w:noWrap w:val="0"/>
                  <w:vAlign w:val="center"/>
                </w:tcPr>
                <w:p w14:paraId="7CDE99C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p>
              </w:tc>
            </w:tr>
            <w:tr w14:paraId="72B05A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noWrap w:val="0"/>
                  <w:vAlign w:val="center"/>
                </w:tcPr>
                <w:p w14:paraId="7F4EA16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火灾事故</w:t>
                  </w:r>
                </w:p>
              </w:tc>
              <w:tc>
                <w:tcPr>
                  <w:tcW w:w="1167" w:type="pct"/>
                  <w:noWrap w:val="0"/>
                  <w:vAlign w:val="center"/>
                </w:tcPr>
                <w:p w14:paraId="1F5C787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电线短路、</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天然气泄漏、</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静电火花等，</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矿物油</w:t>
                  </w: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等可燃物泄漏，</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遇明火或高热发生火灾事故</w:t>
                  </w:r>
                </w:p>
              </w:tc>
              <w:tc>
                <w:tcPr>
                  <w:tcW w:w="1841" w:type="pct"/>
                  <w:noWrap w:val="0"/>
                  <w:vAlign w:val="center"/>
                </w:tcPr>
                <w:p w14:paraId="075FF4C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火灾产生的热辐射、浓烟、有害气体等直接进入环境，火灾扑救过程产生的消防废水全部</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直接排入市政污水管网或者排入周边地表水体</w:t>
                  </w:r>
                </w:p>
              </w:tc>
              <w:tc>
                <w:tcPr>
                  <w:tcW w:w="1276" w:type="pct"/>
                  <w:noWrap w:val="0"/>
                  <w:vAlign w:val="center"/>
                </w:tcPr>
                <w:p w14:paraId="1E28B25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对</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周边环境空气、对周边地表水体等均</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有</w:t>
                  </w:r>
                  <w:r>
                    <w:rPr>
                      <w:rFonts w:hint="eastAsia"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较大影响</w:t>
                  </w:r>
                </w:p>
              </w:tc>
            </w:tr>
          </w:tbl>
          <w:p w14:paraId="67FCAD25">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2"/>
              <w:rPr>
                <w:rFonts w:hint="default" w:ascii="Times New Roman" w:hAnsi="Times New Roman" w:cs="Times New Roman"/>
                <w:b/>
                <w:bCs/>
                <w:color w:val="000000" w:themeColor="text1"/>
                <w:spacing w:val="0"/>
                <w:position w:val="0"/>
                <w:sz w:val="24"/>
                <w:highlight w:val="none"/>
                <w:lang w:val="en-US" w:eastAsia="zh-CN"/>
                <w14:textFill>
                  <w14:solidFill>
                    <w14:schemeClr w14:val="tx1"/>
                  </w14:solidFill>
                </w14:textFill>
              </w:rPr>
            </w:pPr>
          </w:p>
          <w:p w14:paraId="7B7062E6">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2"/>
              <w:rPr>
                <w:rFonts w:hint="default" w:ascii="Times New Roman" w:hAnsi="Times New Roman" w:cs="Times New Roman"/>
                <w:b/>
                <w:bCs/>
                <w:color w:val="000000" w:themeColor="text1"/>
                <w:spacing w:val="0"/>
                <w:position w:val="0"/>
                <w:sz w:val="24"/>
                <w:highlight w:val="none"/>
                <w:lang w:val="en-US" w:eastAsia="zh-CN"/>
                <w14:textFill>
                  <w14:solidFill>
                    <w14:schemeClr w14:val="tx1"/>
                  </w14:solidFill>
                </w14:textFill>
              </w:rPr>
            </w:pPr>
          </w:p>
          <w:p w14:paraId="633E5821">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2"/>
              <w:rPr>
                <w:rFonts w:hint="default" w:ascii="Times New Roman" w:hAnsi="Times New Roman" w:cs="Times New Roman"/>
                <w:b/>
                <w:bCs/>
                <w:color w:val="000000" w:themeColor="text1"/>
                <w:spacing w:val="0"/>
                <w:position w:val="0"/>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position w:val="0"/>
                <w:sz w:val="24"/>
                <w:highlight w:val="none"/>
                <w:lang w:val="en-US" w:eastAsia="zh-CN"/>
                <w14:textFill>
                  <w14:solidFill>
                    <w14:schemeClr w14:val="tx1"/>
                  </w14:solidFill>
                </w14:textFill>
              </w:rPr>
              <w:t>4.</w:t>
            </w:r>
            <w:r>
              <w:rPr>
                <w:rFonts w:hint="eastAsia" w:cs="Times New Roman"/>
                <w:b/>
                <w:bCs/>
                <w:color w:val="000000" w:themeColor="text1"/>
                <w:spacing w:val="0"/>
                <w:position w:val="0"/>
                <w:sz w:val="24"/>
                <w:highlight w:val="none"/>
                <w:lang w:val="en-US" w:eastAsia="zh-CN"/>
                <w14:textFill>
                  <w14:solidFill>
                    <w14:schemeClr w14:val="tx1"/>
                  </w14:solidFill>
                </w14:textFill>
              </w:rPr>
              <w:t>8</w:t>
            </w:r>
            <w:r>
              <w:rPr>
                <w:rFonts w:hint="default" w:ascii="Times New Roman" w:hAnsi="Times New Roman" w:cs="Times New Roman"/>
                <w:b/>
                <w:bCs/>
                <w:color w:val="000000" w:themeColor="text1"/>
                <w:spacing w:val="0"/>
                <w:position w:val="0"/>
                <w:sz w:val="24"/>
                <w:highlight w:val="none"/>
                <w:lang w:val="en-US" w:eastAsia="zh-CN"/>
                <w14:textFill>
                  <w14:solidFill>
                    <w14:schemeClr w14:val="tx1"/>
                  </w14:solidFill>
                </w14:textFill>
              </w:rPr>
              <w:t>.</w:t>
            </w:r>
            <w:r>
              <w:rPr>
                <w:rFonts w:hint="eastAsia" w:ascii="Times New Roman" w:hAnsi="Times New Roman" w:cs="Times New Roman"/>
                <w:b/>
                <w:bCs/>
                <w:color w:val="000000" w:themeColor="text1"/>
                <w:spacing w:val="0"/>
                <w:position w:val="0"/>
                <w:sz w:val="24"/>
                <w:highlight w:val="none"/>
                <w:lang w:val="en-US" w:eastAsia="zh-CN"/>
                <w14:textFill>
                  <w14:solidFill>
                    <w14:schemeClr w14:val="tx1"/>
                  </w14:solidFill>
                </w14:textFill>
              </w:rPr>
              <w:t>3</w:t>
            </w:r>
            <w:r>
              <w:rPr>
                <w:rFonts w:ascii="Times New Roman" w:hAnsi="Times New Roman" w:eastAsia="宋体"/>
                <w:b/>
                <w:bCs/>
                <w:color w:val="000000" w:themeColor="text1"/>
                <w:sz w:val="24"/>
                <w:szCs w:val="24"/>
                <w14:textFill>
                  <w14:solidFill>
                    <w14:schemeClr w14:val="tx1"/>
                  </w14:solidFill>
                </w14:textFill>
              </w:rPr>
              <w:t>环境风险</w:t>
            </w:r>
            <w:r>
              <w:rPr>
                <w:rFonts w:hint="eastAsia" w:ascii="Times New Roman" w:hAnsi="Times New Roman" w:eastAsia="宋体"/>
                <w:b/>
                <w:bCs/>
                <w:color w:val="000000" w:themeColor="text1"/>
                <w:sz w:val="24"/>
                <w:szCs w:val="24"/>
                <w:lang w:val="en-US" w:eastAsia="zh-CN"/>
                <w14:textFill>
                  <w14:solidFill>
                    <w14:schemeClr w14:val="tx1"/>
                  </w14:solidFill>
                </w14:textFill>
              </w:rPr>
              <w:t>影响分析</w:t>
            </w:r>
          </w:p>
          <w:p w14:paraId="40986A85">
            <w:pPr>
              <w:spacing w:line="360" w:lineRule="auto"/>
              <w:ind w:firstLine="482" w:firstLineChars="200"/>
              <w:jc w:val="left"/>
              <w:rPr>
                <w:rFonts w:ascii="Times New Roman" w:hAnsi="Times New Roman" w:eastAsia="宋体" w:cs="Times New Roman"/>
                <w:b/>
                <w:bCs/>
                <w:color w:val="000000" w:themeColor="text1"/>
                <w:sz w:val="24"/>
                <w:highlight w:val="none"/>
                <w:lang w:val="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zh-CN"/>
                <w14:textFill>
                  <w14:solidFill>
                    <w14:schemeClr w14:val="tx1"/>
                  </w14:solidFill>
                </w14:textFill>
              </w:rPr>
              <w:t>（1）</w:t>
            </w:r>
            <w:r>
              <w:rPr>
                <w:rFonts w:ascii="Times New Roman" w:hAnsi="Times New Roman" w:eastAsia="宋体" w:cs="Times New Roman"/>
                <w:b/>
                <w:bCs/>
                <w:color w:val="000000" w:themeColor="text1"/>
                <w:sz w:val="24"/>
                <w:highlight w:val="none"/>
                <w:lang w:val="zh-CN"/>
                <w14:textFill>
                  <w14:solidFill>
                    <w14:schemeClr w14:val="tx1"/>
                  </w14:solidFill>
                </w14:textFill>
              </w:rPr>
              <w:t>火灾</w:t>
            </w:r>
            <w:r>
              <w:rPr>
                <w:rFonts w:hint="eastAsia" w:ascii="Times New Roman" w:hAnsi="Times New Roman" w:eastAsia="宋体" w:cs="Times New Roman"/>
                <w:b/>
                <w:bCs/>
                <w:color w:val="000000" w:themeColor="text1"/>
                <w:sz w:val="24"/>
                <w:highlight w:val="none"/>
                <w:lang w:val="zh-CN"/>
                <w14:textFill>
                  <w14:solidFill>
                    <w14:schemeClr w14:val="tx1"/>
                  </w14:solidFill>
                </w14:textFill>
              </w:rPr>
              <w:t>事故及其伴生/次生污染</w:t>
            </w:r>
            <w:r>
              <w:rPr>
                <w:rFonts w:ascii="Times New Roman" w:hAnsi="Times New Roman" w:eastAsia="宋体" w:cs="Times New Roman"/>
                <w:b/>
                <w:bCs/>
                <w:color w:val="000000" w:themeColor="text1"/>
                <w:sz w:val="24"/>
                <w:highlight w:val="none"/>
                <w:lang w:val="zh-CN"/>
                <w14:textFill>
                  <w14:solidFill>
                    <w14:schemeClr w14:val="tx1"/>
                  </w14:solidFill>
                </w14:textFill>
              </w:rPr>
              <w:t xml:space="preserve">影响分析 </w:t>
            </w:r>
          </w:p>
          <w:p w14:paraId="0024BE9A">
            <w:pPr>
              <w:spacing w:line="360" w:lineRule="auto"/>
              <w:ind w:firstLine="480" w:firstLineChars="200"/>
              <w:jc w:val="left"/>
              <w:rPr>
                <w:rFonts w:ascii="Times New Roman" w:hAnsi="Times New Roman" w:eastAsia="宋体" w:cs="Times New Roman"/>
                <w:color w:val="000000" w:themeColor="text1"/>
                <w:sz w:val="24"/>
                <w:highlight w:val="none"/>
                <w:lang w:val="zh-CN"/>
                <w14:textFill>
                  <w14:solidFill>
                    <w14:schemeClr w14:val="tx1"/>
                  </w14:solidFill>
                </w14:textFill>
              </w:rPr>
            </w:pPr>
            <w:r>
              <w:rPr>
                <w:rFonts w:ascii="Times New Roman" w:hAnsi="Times New Roman" w:eastAsia="宋体" w:cs="Times New Roman"/>
                <w:color w:val="000000" w:themeColor="text1"/>
                <w:sz w:val="24"/>
                <w:highlight w:val="none"/>
                <w:lang w:val="zh-CN"/>
                <w14:textFill>
                  <w14:solidFill>
                    <w14:schemeClr w14:val="tx1"/>
                  </w14:solidFill>
                </w14:textFill>
              </w:rPr>
              <w:t>项目涉及</w:t>
            </w:r>
            <w:r>
              <w:rPr>
                <w:rFonts w:hint="eastAsia" w:ascii="Times New Roman" w:hAnsi="Times New Roman" w:eastAsia="宋体" w:cs="Times New Roman"/>
                <w:color w:val="000000" w:themeColor="text1"/>
                <w:sz w:val="24"/>
                <w:highlight w:val="none"/>
                <w:lang w:val="zh-CN"/>
                <w14:textFill>
                  <w14:solidFill>
                    <w14:schemeClr w14:val="tx1"/>
                  </w14:solidFill>
                </w14:textFill>
              </w:rPr>
              <w:t>易燃可燃</w:t>
            </w:r>
            <w:r>
              <w:rPr>
                <w:rFonts w:ascii="Times New Roman" w:hAnsi="Times New Roman" w:eastAsia="宋体" w:cs="Times New Roman"/>
                <w:color w:val="000000" w:themeColor="text1"/>
                <w:sz w:val="24"/>
                <w:highlight w:val="none"/>
                <w:lang w:val="zh-CN"/>
                <w14:textFill>
                  <w14:solidFill>
                    <w14:schemeClr w14:val="tx1"/>
                  </w14:solidFill>
                </w14:textFill>
              </w:rPr>
              <w:t>危险物</w:t>
            </w:r>
            <w:r>
              <w:rPr>
                <w:rFonts w:ascii="Times New Roman" w:hAnsi="Times New Roman" w:eastAsia="宋体" w:cs="Times New Roman"/>
                <w:color w:val="000000" w:themeColor="text1"/>
                <w:sz w:val="24"/>
                <w:szCs w:val="24"/>
                <w:highlight w:val="none"/>
                <w:lang w:val="zh-CN"/>
                <w14:textFill>
                  <w14:solidFill>
                    <w14:schemeClr w14:val="tx1"/>
                  </w14:solidFill>
                </w14:textFill>
              </w:rPr>
              <w:t>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包括天然气、</w:t>
            </w: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矿物油</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等</w:t>
            </w:r>
            <w:r>
              <w:rPr>
                <w:rFonts w:ascii="Times New Roman" w:hAnsi="Times New Roman" w:eastAsia="宋体" w:cs="Times New Roman"/>
                <w:color w:val="000000" w:themeColor="text1"/>
                <w:sz w:val="24"/>
                <w:szCs w:val="24"/>
                <w:highlight w:val="none"/>
                <w:lang w:val="zh-CN"/>
                <w14:textFill>
                  <w14:solidFill>
                    <w14:schemeClr w14:val="tx1"/>
                  </w14:solidFill>
                </w14:textFill>
              </w:rPr>
              <w:t>，遇明火、高热可以发生燃烧的物质，因此存在一定的火灾隐患</w:t>
            </w:r>
            <w:r>
              <w:rPr>
                <w:rFonts w:ascii="Times New Roman" w:hAnsi="Times New Roman" w:eastAsia="宋体" w:cs="Times New Roman"/>
                <w:color w:val="000000" w:themeColor="text1"/>
                <w:sz w:val="24"/>
                <w:highlight w:val="none"/>
                <w:lang w:val="zh-CN"/>
                <w14:textFill>
                  <w14:solidFill>
                    <w14:schemeClr w14:val="tx1"/>
                  </w14:solidFill>
                </w14:textFill>
              </w:rPr>
              <w:t>。</w:t>
            </w:r>
          </w:p>
          <w:p w14:paraId="78F77F99">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若发生火灾，火灾会通过热辐射影响周围环境。同时火灾会伴随释放大量的烃类、烟尘、一氧化碳和二氧化碳等大气污染物，对大气环境造成较大的污染。其外还会产生含高浓度污染物的消防废水。消防废水若直接经过市政雨水或污水管网进入纳污水体或市政污水处理厂，含高浓度的消防排水势必对地面水体造成极为不利的影响，进入污水厂则可能因冲击负荷过大，造成</w:t>
            </w:r>
            <w:r>
              <w:rPr>
                <w:rFonts w:hint="eastAsia" w:cs="Times New Roman"/>
                <w:color w:val="000000" w:themeColor="text1"/>
                <w:spacing w:val="0"/>
                <w:kern w:val="0"/>
                <w:position w:val="0"/>
                <w:sz w:val="24"/>
                <w:highlight w:val="none"/>
                <w:u w:val="none"/>
                <w:lang w:val="en-US" w:eastAsia="zh-CN"/>
                <w14:textFill>
                  <w14:solidFill>
                    <w14:schemeClr w14:val="tx1"/>
                  </w14:solidFill>
                </w14:textFill>
              </w:rPr>
              <w:t>污水处理厂</w:t>
            </w: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处理设施的故障，导致严重的危害后果。</w:t>
            </w:r>
          </w:p>
          <w:p w14:paraId="7A6E36A6">
            <w:pPr>
              <w:spacing w:line="360" w:lineRule="auto"/>
              <w:ind w:firstLine="482" w:firstLineChars="200"/>
              <w:jc w:val="left"/>
              <w:rPr>
                <w:rFonts w:ascii="Times New Roman" w:hAnsi="Times New Roman" w:eastAsia="宋体" w:cs="Times New Roman"/>
                <w:b/>
                <w:bCs/>
                <w:color w:val="000000" w:themeColor="text1"/>
                <w:sz w:val="24"/>
                <w:highlight w:val="none"/>
                <w:lang w:val="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zh-CN"/>
                <w14:textFill>
                  <w14:solidFill>
                    <w14:schemeClr w14:val="tx1"/>
                  </w14:solidFill>
                </w14:textFill>
              </w:rPr>
              <w:t>（2）危险化学品泄漏</w:t>
            </w:r>
            <w:r>
              <w:rPr>
                <w:rFonts w:ascii="Times New Roman" w:hAnsi="Times New Roman" w:eastAsia="宋体" w:cs="Times New Roman"/>
                <w:b/>
                <w:bCs/>
                <w:color w:val="000000" w:themeColor="text1"/>
                <w:sz w:val="24"/>
                <w:highlight w:val="none"/>
                <w:lang w:val="zh-CN"/>
                <w14:textFill>
                  <w14:solidFill>
                    <w14:schemeClr w14:val="tx1"/>
                  </w14:solidFill>
                </w14:textFill>
              </w:rPr>
              <w:t>风险影响分析</w:t>
            </w:r>
          </w:p>
          <w:p w14:paraId="27D92CA9">
            <w:pPr>
              <w:spacing w:line="360" w:lineRule="auto"/>
              <w:ind w:firstLine="480" w:firstLineChars="200"/>
              <w:jc w:val="left"/>
              <w:rPr>
                <w:rFonts w:ascii="Times New Roman" w:hAnsi="Times New Roman" w:eastAsia="宋体" w:cs="Times New Roman"/>
                <w:color w:val="000000" w:themeColor="text1"/>
                <w:sz w:val="24"/>
                <w:highlight w:val="none"/>
                <w:lang w:val="zh-CN"/>
                <w14:textFill>
                  <w14:solidFill>
                    <w14:schemeClr w14:val="tx1"/>
                  </w14:solidFill>
                </w14:textFill>
              </w:rPr>
            </w:pPr>
            <w:r>
              <w:rPr>
                <w:rFonts w:ascii="Times New Roman" w:hAnsi="Times New Roman" w:eastAsia="宋体" w:cs="Times New Roman"/>
                <w:color w:val="000000" w:themeColor="text1"/>
                <w:sz w:val="24"/>
                <w:highlight w:val="none"/>
                <w:lang w:val="zh-CN"/>
                <w14:textFill>
                  <w14:solidFill>
                    <w14:schemeClr w14:val="tx1"/>
                  </w14:solidFill>
                </w14:textFill>
              </w:rPr>
              <w:t>本项目所使用</w:t>
            </w:r>
            <w:r>
              <w:rPr>
                <w:rFonts w:hint="eastAsia" w:ascii="Times New Roman" w:hAnsi="Times New Roman" w:eastAsia="宋体" w:cs="Times New Roman"/>
                <w:color w:val="000000" w:themeColor="text1"/>
                <w:sz w:val="24"/>
                <w:highlight w:val="none"/>
                <w:lang w:val="zh-CN"/>
                <w14:textFill>
                  <w14:solidFill>
                    <w14:schemeClr w14:val="tx1"/>
                  </w14:solidFill>
                </w14:textFill>
              </w:rPr>
              <w:t>原辅材料中液态危险化学品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如脱脂剂、磷化剂、表调剂、电泳涂料、促进剂、无铬钝化剂、硝酸</w:t>
            </w:r>
            <w:r>
              <w:rPr>
                <w:rFonts w:hint="eastAsia" w:cs="Times New Roman"/>
                <w:color w:val="000000" w:themeColor="text1"/>
                <w:sz w:val="24"/>
                <w:highlight w:val="none"/>
                <w:lang w:val="en-US" w:eastAsia="zh-CN"/>
                <w14:textFill>
                  <w14:solidFill>
                    <w14:schemeClr w14:val="tx1"/>
                  </w14:solidFill>
                </w14:textFill>
              </w:rPr>
              <w:t>、稀释剂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等</w:t>
            </w:r>
            <w:r>
              <w:rPr>
                <w:rFonts w:ascii="Times New Roman" w:hAnsi="Times New Roman" w:eastAsia="宋体" w:cs="Times New Roman"/>
                <w:color w:val="000000" w:themeColor="text1"/>
                <w:sz w:val="24"/>
                <w:highlight w:val="none"/>
                <w:lang w:val="zh-CN"/>
                <w14:textFill>
                  <w14:solidFill>
                    <w14:schemeClr w14:val="tx1"/>
                  </w14:solidFill>
                </w14:textFill>
              </w:rPr>
              <w:t>，</w:t>
            </w:r>
            <w:r>
              <w:rPr>
                <w:rFonts w:hint="eastAsia" w:ascii="Times New Roman" w:hAnsi="Times New Roman" w:eastAsia="宋体" w:cs="Times New Roman"/>
                <w:color w:val="000000" w:themeColor="text1"/>
                <w:sz w:val="24"/>
                <w:highlight w:val="none"/>
                <w:lang w:val="zh-CN"/>
                <w14:textFill>
                  <w14:solidFill>
                    <w14:schemeClr w14:val="tx1"/>
                  </w14:solidFill>
                </w14:textFill>
              </w:rPr>
              <w:t>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使用</w:t>
            </w:r>
            <w:r>
              <w:rPr>
                <w:rFonts w:hint="eastAsia" w:ascii="Times New Roman" w:hAnsi="Times New Roman" w:eastAsia="宋体" w:cs="Times New Roman"/>
                <w:color w:val="000000" w:themeColor="text1"/>
                <w:sz w:val="24"/>
                <w:highlight w:val="none"/>
                <w:lang w:val="zh-CN"/>
                <w14:textFill>
                  <w14:solidFill>
                    <w14:schemeClr w14:val="tx1"/>
                  </w14:solidFill>
                </w14:textFill>
              </w:rPr>
              <w:t>过程中可能因为人为操作不当等原因发生泄漏；</w:t>
            </w:r>
            <w:r>
              <w:rPr>
                <w:rFonts w:ascii="Times New Roman" w:hAnsi="Times New Roman" w:eastAsia="宋体" w:cs="Times New Roman"/>
                <w:color w:val="000000" w:themeColor="text1"/>
                <w:sz w:val="24"/>
                <w:highlight w:val="none"/>
                <w:lang w:val="zh-CN"/>
                <w14:textFill>
                  <w14:solidFill>
                    <w14:schemeClr w14:val="tx1"/>
                  </w14:solidFill>
                </w14:textFill>
              </w:rPr>
              <w:t>在贮运过程中，</w:t>
            </w:r>
            <w:r>
              <w:rPr>
                <w:rFonts w:hint="eastAsia" w:ascii="Times New Roman" w:hAnsi="Times New Roman" w:eastAsia="宋体" w:cs="Times New Roman"/>
                <w:color w:val="000000" w:themeColor="text1"/>
                <w:sz w:val="24"/>
                <w:highlight w:val="none"/>
                <w:lang w:val="zh-CN"/>
                <w14:textFill>
                  <w14:solidFill>
                    <w14:schemeClr w14:val="tx1"/>
                  </w14:solidFill>
                </w14:textFill>
              </w:rPr>
              <w:t>可能因为储存容器破损、人为操作不当等原因泄漏</w:t>
            </w:r>
            <w:r>
              <w:rPr>
                <w:rFonts w:ascii="Times New Roman" w:hAnsi="Times New Roman" w:eastAsia="宋体" w:cs="Times New Roman"/>
                <w:color w:val="000000" w:themeColor="text1"/>
                <w:sz w:val="24"/>
                <w:highlight w:val="none"/>
                <w:lang w:val="zh-CN"/>
                <w14:textFill>
                  <w14:solidFill>
                    <w14:schemeClr w14:val="tx1"/>
                  </w14:solidFill>
                </w14:textFill>
              </w:rPr>
              <w:t>；在运输过程中因交通事故等原因造成泄漏。</w:t>
            </w:r>
          </w:p>
          <w:p w14:paraId="33760C0D">
            <w:pPr>
              <w:spacing w:line="360" w:lineRule="auto"/>
              <w:ind w:firstLine="480" w:firstLineChars="200"/>
              <w:jc w:val="left"/>
              <w:rPr>
                <w:rFonts w:ascii="Times New Roman" w:hAnsi="Times New Roman" w:eastAsia="宋体" w:cs="Times New Roman"/>
                <w:color w:val="000000" w:themeColor="text1"/>
                <w:sz w:val="24"/>
                <w:highlight w:val="none"/>
                <w:lang w:val="zh-CN"/>
                <w14:textFill>
                  <w14:solidFill>
                    <w14:schemeClr w14:val="tx1"/>
                  </w14:solidFill>
                </w14:textFill>
              </w:rPr>
            </w:pPr>
            <w:r>
              <w:rPr>
                <w:rFonts w:ascii="Times New Roman" w:hAnsi="Times New Roman" w:eastAsia="宋体" w:cs="Times New Roman"/>
                <w:color w:val="000000" w:themeColor="text1"/>
                <w:sz w:val="24"/>
                <w:highlight w:val="none"/>
                <w:lang w:val="zh-CN"/>
                <w14:textFill>
                  <w14:solidFill>
                    <w14:schemeClr w14:val="tx1"/>
                  </w14:solidFill>
                </w14:textFill>
              </w:rPr>
              <w:t>本项目</w:t>
            </w:r>
            <w:r>
              <w:rPr>
                <w:rFonts w:hint="eastAsia" w:ascii="Times New Roman" w:hAnsi="Times New Roman" w:eastAsia="宋体" w:cs="Times New Roman"/>
                <w:color w:val="000000" w:themeColor="text1"/>
                <w:sz w:val="24"/>
                <w:highlight w:val="none"/>
                <w:lang w:val="zh-CN"/>
                <w14:textFill>
                  <w14:solidFill>
                    <w14:schemeClr w14:val="tx1"/>
                  </w14:solidFill>
                </w14:textFill>
              </w:rPr>
              <w:t>液态危险化学品</w:t>
            </w:r>
            <w:r>
              <w:rPr>
                <w:rFonts w:ascii="Times New Roman" w:hAnsi="Times New Roman" w:eastAsia="宋体" w:cs="Times New Roman"/>
                <w:color w:val="000000" w:themeColor="text1"/>
                <w:sz w:val="24"/>
                <w:highlight w:val="none"/>
                <w:lang w:val="zh-CN"/>
                <w14:textFill>
                  <w14:solidFill>
                    <w14:schemeClr w14:val="tx1"/>
                  </w14:solidFill>
                </w14:textFill>
              </w:rPr>
              <w:t>以桶装在</w:t>
            </w:r>
            <w:r>
              <w:rPr>
                <w:rFonts w:hint="eastAsia" w:ascii="Times New Roman" w:hAnsi="Times New Roman" w:eastAsia="宋体" w:cs="Times New Roman"/>
                <w:color w:val="000000" w:themeColor="text1"/>
                <w:sz w:val="24"/>
                <w:highlight w:val="none"/>
                <w:lang w:val="zh-CN"/>
                <w14:textFill>
                  <w14:solidFill>
                    <w14:schemeClr w14:val="tx1"/>
                  </w14:solidFill>
                </w14:textFill>
              </w:rPr>
              <w:t>专用化学品仓库存放，仓库按重点防渗区防渗，四周设置导流沟槽、围堰，</w:t>
            </w:r>
            <w:r>
              <w:rPr>
                <w:rFonts w:ascii="Times New Roman" w:hAnsi="Times New Roman" w:eastAsia="宋体" w:cs="Times New Roman"/>
                <w:color w:val="000000" w:themeColor="text1"/>
                <w:sz w:val="24"/>
                <w:highlight w:val="none"/>
                <w:lang w:val="zh-CN"/>
                <w14:textFill>
                  <w14:solidFill>
                    <w14:schemeClr w14:val="tx1"/>
                  </w14:solidFill>
                </w14:textFill>
              </w:rPr>
              <w:t>且</w:t>
            </w:r>
            <w:r>
              <w:rPr>
                <w:rFonts w:hint="eastAsia" w:ascii="Times New Roman" w:hAnsi="Times New Roman" w:eastAsia="宋体" w:cs="Times New Roman"/>
                <w:color w:val="000000" w:themeColor="text1"/>
                <w:sz w:val="24"/>
                <w:highlight w:val="none"/>
                <w:lang w:val="zh-CN"/>
                <w14:textFill>
                  <w14:solidFill>
                    <w14:schemeClr w14:val="tx1"/>
                  </w14:solidFill>
                </w14:textFill>
              </w:rPr>
              <w:t>项目</w:t>
            </w:r>
            <w:r>
              <w:rPr>
                <w:rFonts w:ascii="Times New Roman" w:hAnsi="Times New Roman" w:eastAsia="宋体" w:cs="Times New Roman"/>
                <w:color w:val="000000" w:themeColor="text1"/>
                <w:sz w:val="24"/>
                <w:highlight w:val="none"/>
                <w:lang w:val="zh-CN"/>
                <w14:textFill>
                  <w14:solidFill>
                    <w14:schemeClr w14:val="tx1"/>
                  </w14:solidFill>
                </w14:textFill>
              </w:rPr>
              <w:t>原料单次购入量也较少，使用周期短，故仓库</w:t>
            </w:r>
            <w:r>
              <w:rPr>
                <w:rFonts w:hint="eastAsia" w:ascii="Times New Roman" w:hAnsi="Times New Roman" w:eastAsia="宋体" w:cs="Times New Roman"/>
                <w:color w:val="000000" w:themeColor="text1"/>
                <w:sz w:val="24"/>
                <w:highlight w:val="none"/>
                <w:lang w:val="zh-CN"/>
                <w14:textFill>
                  <w14:solidFill>
                    <w14:schemeClr w14:val="tx1"/>
                  </w14:solidFill>
                </w14:textFill>
              </w:rPr>
              <w:t>内化学品</w:t>
            </w:r>
            <w:r>
              <w:rPr>
                <w:rFonts w:ascii="Times New Roman" w:hAnsi="Times New Roman" w:eastAsia="宋体" w:cs="Times New Roman"/>
                <w:color w:val="000000" w:themeColor="text1"/>
                <w:sz w:val="24"/>
                <w:highlight w:val="none"/>
                <w:lang w:val="zh-CN"/>
                <w14:textFill>
                  <w14:solidFill>
                    <w14:schemeClr w14:val="tx1"/>
                  </w14:solidFill>
                </w14:textFill>
              </w:rPr>
              <w:t>实际物料存放量较少，加强仓库管理和泄漏事故防范，可以</w:t>
            </w:r>
            <w:r>
              <w:rPr>
                <w:rFonts w:hint="eastAsia" w:ascii="Times New Roman" w:hAnsi="Times New Roman" w:eastAsia="宋体" w:cs="Times New Roman"/>
                <w:color w:val="000000" w:themeColor="text1"/>
                <w:sz w:val="24"/>
                <w:highlight w:val="none"/>
                <w:lang w:val="zh-CN"/>
                <w14:textFill>
                  <w14:solidFill>
                    <w14:schemeClr w14:val="tx1"/>
                  </w14:solidFill>
                </w14:textFill>
              </w:rPr>
              <w:t>减少</w:t>
            </w:r>
            <w:r>
              <w:rPr>
                <w:rFonts w:ascii="Times New Roman" w:hAnsi="Times New Roman" w:eastAsia="宋体" w:cs="Times New Roman"/>
                <w:color w:val="000000" w:themeColor="text1"/>
                <w:sz w:val="24"/>
                <w:highlight w:val="none"/>
                <w:lang w:val="zh-CN"/>
                <w14:textFill>
                  <w14:solidFill>
                    <w14:schemeClr w14:val="tx1"/>
                  </w14:solidFill>
                </w14:textFill>
              </w:rPr>
              <w:t>泄漏事故的发生</w:t>
            </w:r>
            <w:r>
              <w:rPr>
                <w:rFonts w:hint="eastAsia" w:ascii="Times New Roman" w:hAnsi="Times New Roman" w:eastAsia="宋体" w:cs="Times New Roman"/>
                <w:color w:val="000000" w:themeColor="text1"/>
                <w:sz w:val="24"/>
                <w:highlight w:val="none"/>
                <w:lang w:val="zh-CN"/>
                <w14:textFill>
                  <w14:solidFill>
                    <w14:schemeClr w14:val="tx1"/>
                  </w14:solidFill>
                </w14:textFill>
              </w:rPr>
              <w:t>。即使泄漏事故发生，泄漏量较小，通过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仓库围堰拦截，</w:t>
            </w:r>
            <w:r>
              <w:rPr>
                <w:rFonts w:hint="eastAsia" w:ascii="Times New Roman" w:hAnsi="Times New Roman" w:eastAsia="宋体" w:cs="Times New Roman"/>
                <w:color w:val="000000" w:themeColor="text1"/>
                <w:sz w:val="24"/>
                <w:highlight w:val="none"/>
                <w:lang w:val="zh-CN"/>
                <w14:textFill>
                  <w14:solidFill>
                    <w14:schemeClr w14:val="tx1"/>
                  </w14:solidFill>
                </w14:textFill>
              </w:rPr>
              <w:t>泄漏液体也不会外溢至</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车间</w:t>
            </w:r>
            <w:r>
              <w:rPr>
                <w:rFonts w:hint="eastAsia" w:ascii="Times New Roman" w:hAnsi="Times New Roman" w:eastAsia="宋体" w:cs="Times New Roman"/>
                <w:color w:val="000000" w:themeColor="text1"/>
                <w:sz w:val="24"/>
                <w:highlight w:val="none"/>
                <w:lang w:val="zh-CN"/>
                <w14:textFill>
                  <w14:solidFill>
                    <w14:schemeClr w14:val="tx1"/>
                  </w14:solidFill>
                </w14:textFill>
              </w:rPr>
              <w:t>外，不会直接进入地表水水体或渗漏进入土壤和地下水环境，对周边环境影响很小。</w:t>
            </w:r>
          </w:p>
          <w:p w14:paraId="21976E2A">
            <w:pPr>
              <w:spacing w:line="360" w:lineRule="auto"/>
              <w:ind w:firstLine="480" w:firstLineChars="200"/>
              <w:jc w:val="left"/>
              <w:rPr>
                <w:rFonts w:ascii="Times New Roman" w:hAnsi="Times New Roman" w:eastAsia="宋体" w:cs="Times New Roman"/>
                <w:color w:val="000000" w:themeColor="text1"/>
                <w:sz w:val="24"/>
                <w:highlight w:val="none"/>
                <w:lang w:val="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由于项目化学品均委托专门运输公司运输，运输过程中风险不纳入本次环境风险影响分析。</w:t>
            </w:r>
          </w:p>
          <w:p w14:paraId="54A4DEF6">
            <w:pPr>
              <w:spacing w:line="360" w:lineRule="auto"/>
              <w:ind w:firstLine="482" w:firstLineChars="200"/>
              <w:jc w:val="left"/>
              <w:rPr>
                <w:rFonts w:ascii="Times New Roman" w:hAnsi="Times New Roman" w:eastAsia="宋体" w:cs="Times New Roman"/>
                <w:b/>
                <w:bCs/>
                <w:color w:val="000000" w:themeColor="text1"/>
                <w:sz w:val="24"/>
                <w:highlight w:val="none"/>
                <w:lang w:val="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zh-CN"/>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highlight w:val="none"/>
                <w:lang w:val="zh-CN"/>
                <w14:textFill>
                  <w14:solidFill>
                    <w14:schemeClr w14:val="tx1"/>
                  </w14:solidFill>
                </w14:textFill>
              </w:rPr>
              <w:t>）危险废物泄漏</w:t>
            </w:r>
            <w:r>
              <w:rPr>
                <w:rFonts w:ascii="Times New Roman" w:hAnsi="Times New Roman" w:eastAsia="宋体" w:cs="Times New Roman"/>
                <w:b/>
                <w:bCs/>
                <w:color w:val="000000" w:themeColor="text1"/>
                <w:sz w:val="24"/>
                <w:highlight w:val="none"/>
                <w:lang w:val="zh-CN"/>
                <w14:textFill>
                  <w14:solidFill>
                    <w14:schemeClr w14:val="tx1"/>
                  </w14:solidFill>
                </w14:textFill>
              </w:rPr>
              <w:t>风险影响分析</w:t>
            </w:r>
          </w:p>
          <w:p w14:paraId="3C34C1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000000" w:themeColor="text1"/>
                <w:sz w:val="24"/>
                <w:highlight w:val="none"/>
                <w:lang w:val="zh-CN"/>
                <w14:textFill>
                  <w14:solidFill>
                    <w14:schemeClr w14:val="tx1"/>
                  </w14:solidFill>
                </w14:textFill>
              </w:rPr>
            </w:pPr>
            <w:r>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t>本项目危险废物，特别是液态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或含液态物质</w:t>
            </w:r>
            <w:r>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t>危险废物（废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机</w:t>
            </w:r>
            <w:r>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t>油、</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危险化学品包装桶残留化学品、槽渣等</w:t>
            </w:r>
            <w:r>
              <w:rPr>
                <w:rFonts w:hint="eastAsia" w:ascii="Times New Roman" w:hAnsi="Times New Roman" w:eastAsia="宋体" w:cs="Times New Roman"/>
                <w:color w:val="000000" w:themeColor="text1"/>
                <w:sz w:val="24"/>
                <w:highlight w:val="none"/>
                <w:lang w:val="zh-CN" w:eastAsia="zh-CN"/>
                <w14:textFill>
                  <w14:solidFill>
                    <w14:schemeClr w14:val="tx1"/>
                  </w14:solidFill>
                </w14:textFill>
              </w:rPr>
              <w:t>），在贮运过程中，可能因为储存容器破损、人为操作不当等原因泄漏；在运输过程中因交通事故等原因造成泄漏。</w:t>
            </w:r>
          </w:p>
          <w:p w14:paraId="1664F092">
            <w:pPr>
              <w:spacing w:line="360" w:lineRule="auto"/>
              <w:ind w:firstLine="480" w:firstLineChars="200"/>
              <w:jc w:val="left"/>
              <w:rPr>
                <w:rFonts w:ascii="Times New Roman" w:hAnsi="Times New Roman" w:eastAsia="宋体" w:cs="Times New Roman"/>
                <w:color w:val="000000" w:themeColor="text1"/>
                <w:sz w:val="24"/>
                <w:highlight w:val="none"/>
                <w:lang w:val="zh-CN"/>
                <w14:textFill>
                  <w14:solidFill>
                    <w14:schemeClr w14:val="tx1"/>
                  </w14:solidFill>
                </w14:textFill>
              </w:rPr>
            </w:pPr>
            <w:r>
              <w:rPr>
                <w:rFonts w:ascii="Times New Roman" w:hAnsi="Times New Roman" w:eastAsia="宋体" w:cs="Times New Roman"/>
                <w:color w:val="000000" w:themeColor="text1"/>
                <w:sz w:val="24"/>
                <w:highlight w:val="none"/>
                <w:lang w:val="zh-CN"/>
                <w14:textFill>
                  <w14:solidFill>
                    <w14:schemeClr w14:val="tx1"/>
                  </w14:solidFill>
                </w14:textFill>
              </w:rPr>
              <w:t>本项目</w:t>
            </w:r>
            <w:r>
              <w:rPr>
                <w:rFonts w:hint="eastAsia" w:ascii="Times New Roman" w:hAnsi="Times New Roman" w:eastAsia="宋体" w:cs="Times New Roman"/>
                <w:color w:val="000000" w:themeColor="text1"/>
                <w:sz w:val="24"/>
                <w:highlight w:val="none"/>
                <w:lang w:val="zh-CN"/>
                <w14:textFill>
                  <w14:solidFill>
                    <w14:schemeClr w14:val="tx1"/>
                  </w14:solidFill>
                </w14:textFill>
              </w:rPr>
              <w:t>危险废物贮存场严格按照《危险废物贮存污染控制标准》（GB18597-2023），对地面、裙角、导流沟等进行防渗处理，危险废物采用密闭容器装存，并及时委托资质单位清运处置，故在</w:t>
            </w:r>
            <w:r>
              <w:rPr>
                <w:rFonts w:ascii="Times New Roman" w:hAnsi="Times New Roman" w:eastAsia="宋体" w:cs="Times New Roman"/>
                <w:color w:val="000000" w:themeColor="text1"/>
                <w:sz w:val="24"/>
                <w:highlight w:val="none"/>
                <w:lang w:val="zh-CN"/>
                <w14:textFill>
                  <w14:solidFill>
                    <w14:schemeClr w14:val="tx1"/>
                  </w14:solidFill>
                </w14:textFill>
              </w:rPr>
              <w:t>加强</w:t>
            </w:r>
            <w:r>
              <w:rPr>
                <w:rFonts w:hint="eastAsia" w:ascii="Times New Roman" w:hAnsi="Times New Roman" w:eastAsia="宋体" w:cs="Times New Roman"/>
                <w:color w:val="000000" w:themeColor="text1"/>
                <w:sz w:val="24"/>
                <w:highlight w:val="none"/>
                <w:lang w:val="zh-CN"/>
                <w14:textFill>
                  <w14:solidFill>
                    <w14:schemeClr w14:val="tx1"/>
                  </w14:solidFill>
                </w14:textFill>
              </w:rPr>
              <w:t>危险废物贮存场</w:t>
            </w:r>
            <w:r>
              <w:rPr>
                <w:rFonts w:ascii="Times New Roman" w:hAnsi="Times New Roman" w:eastAsia="宋体" w:cs="Times New Roman"/>
                <w:color w:val="000000" w:themeColor="text1"/>
                <w:sz w:val="24"/>
                <w:highlight w:val="none"/>
                <w:lang w:val="zh-CN"/>
                <w14:textFill>
                  <w14:solidFill>
                    <w14:schemeClr w14:val="tx1"/>
                  </w14:solidFill>
                </w14:textFill>
              </w:rPr>
              <w:t>管理和泄漏事故防范，可以</w:t>
            </w:r>
            <w:r>
              <w:rPr>
                <w:rFonts w:hint="eastAsia" w:ascii="Times New Roman" w:hAnsi="Times New Roman" w:eastAsia="宋体" w:cs="Times New Roman"/>
                <w:color w:val="000000" w:themeColor="text1"/>
                <w:sz w:val="24"/>
                <w:highlight w:val="none"/>
                <w:lang w:val="zh-CN"/>
                <w14:textFill>
                  <w14:solidFill>
                    <w14:schemeClr w14:val="tx1"/>
                  </w14:solidFill>
                </w14:textFill>
              </w:rPr>
              <w:t>减少</w:t>
            </w:r>
            <w:r>
              <w:rPr>
                <w:rFonts w:ascii="Times New Roman" w:hAnsi="Times New Roman" w:eastAsia="宋体" w:cs="Times New Roman"/>
                <w:color w:val="000000" w:themeColor="text1"/>
                <w:sz w:val="24"/>
                <w:highlight w:val="none"/>
                <w:lang w:val="zh-CN"/>
                <w14:textFill>
                  <w14:solidFill>
                    <w14:schemeClr w14:val="tx1"/>
                  </w14:solidFill>
                </w14:textFill>
              </w:rPr>
              <w:t>泄漏事故的发生</w:t>
            </w:r>
            <w:r>
              <w:rPr>
                <w:rFonts w:hint="eastAsia" w:ascii="Times New Roman" w:hAnsi="Times New Roman" w:eastAsia="宋体" w:cs="Times New Roman"/>
                <w:color w:val="000000" w:themeColor="text1"/>
                <w:sz w:val="24"/>
                <w:highlight w:val="none"/>
                <w:lang w:val="zh-CN"/>
                <w14:textFill>
                  <w14:solidFill>
                    <w14:schemeClr w14:val="tx1"/>
                  </w14:solidFill>
                </w14:textFill>
              </w:rPr>
              <w:t>，即使发生泄漏事故，通过地面防渗层和导流沟槽拦截，泄漏危险废物不会外溢至</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仓库</w:t>
            </w:r>
            <w:r>
              <w:rPr>
                <w:rFonts w:hint="eastAsia" w:ascii="Times New Roman" w:hAnsi="Times New Roman" w:eastAsia="宋体" w:cs="Times New Roman"/>
                <w:color w:val="000000" w:themeColor="text1"/>
                <w:sz w:val="24"/>
                <w:highlight w:val="none"/>
                <w:lang w:val="zh-CN"/>
                <w14:textFill>
                  <w14:solidFill>
                    <w14:schemeClr w14:val="tx1"/>
                  </w14:solidFill>
                </w14:textFill>
              </w:rPr>
              <w:t>外，不会直接进入地表水水体或渗漏进入土壤和地下水环境，对周边环境影响很小。</w:t>
            </w:r>
          </w:p>
          <w:p w14:paraId="099F370B">
            <w:pPr>
              <w:spacing w:line="360" w:lineRule="auto"/>
              <w:ind w:firstLine="482" w:firstLineChars="200"/>
              <w:jc w:val="left"/>
              <w:rPr>
                <w:rFonts w:hint="eastAsia" w:ascii="Times New Roman" w:hAnsi="Times New Roman" w:eastAsia="宋体" w:cs="Times New Roman"/>
                <w:b/>
                <w:bCs/>
                <w:color w:val="000000" w:themeColor="text1"/>
                <w:sz w:val="24"/>
                <w:highlight w:val="none"/>
                <w:lang w:val="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zh-CN"/>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highlight w:val="none"/>
                <w:lang w:val="zh-CN"/>
                <w14:textFill>
                  <w14:solidFill>
                    <w14:schemeClr w14:val="tx1"/>
                  </w14:solidFill>
                </w14:textFill>
              </w:rPr>
              <w:t>）废水泄漏</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和超标排放</w:t>
            </w:r>
            <w:r>
              <w:rPr>
                <w:rFonts w:hint="eastAsia" w:ascii="Times New Roman" w:hAnsi="Times New Roman" w:eastAsia="宋体" w:cs="Times New Roman"/>
                <w:b/>
                <w:bCs/>
                <w:color w:val="000000" w:themeColor="text1"/>
                <w:sz w:val="24"/>
                <w:highlight w:val="none"/>
                <w:lang w:val="zh-CN"/>
                <w14:textFill>
                  <w14:solidFill>
                    <w14:schemeClr w14:val="tx1"/>
                  </w14:solidFill>
                </w14:textFill>
              </w:rPr>
              <w:t>风险影响分析</w:t>
            </w:r>
          </w:p>
          <w:p w14:paraId="1B2B94CA">
            <w:pPr>
              <w:spacing w:line="360" w:lineRule="auto"/>
              <w:ind w:firstLine="480" w:firstLineChars="200"/>
              <w:jc w:val="left"/>
              <w:rPr>
                <w:rFonts w:hint="eastAsia" w:ascii="Times New Roman" w:hAnsi="Times New Roman" w:eastAsia="宋体" w:cs="Times New Roman"/>
                <w:color w:val="000000" w:themeColor="text1"/>
                <w:sz w:val="24"/>
                <w:highlight w:val="none"/>
                <w:lang w:val="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项目产生的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电</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泳生产线废水、碱液喷淋塔废水</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等排入</w:t>
            </w: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废水处理设施</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处理后排入市政污水管网，在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废水收集和</w:t>
            </w:r>
            <w:r>
              <w:rPr>
                <w:rFonts w:hint="eastAsia" w:ascii="Times New Roman" w:hAnsi="Times New Roman" w:eastAsia="宋体" w:cs="Times New Roman"/>
                <w:color w:val="000000" w:themeColor="text1"/>
                <w:sz w:val="24"/>
                <w:szCs w:val="24"/>
                <w:highlight w:val="none"/>
                <w:lang w:val="zh-CN" w:eastAsia="zh-CN"/>
                <w14:textFill>
                  <w14:solidFill>
                    <w14:schemeClr w14:val="tx1"/>
                  </w14:solidFill>
                </w14:textFill>
              </w:rPr>
              <w:t>处理</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过程中，若废水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收集</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处理设施、管道破裂，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处理设施故障</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，人为操作失误等可能发生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废水</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泄漏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或废水超标排放</w:t>
            </w:r>
            <w:r>
              <w:rPr>
                <w:rFonts w:hint="eastAsia" w:ascii="Times New Roman" w:hAnsi="Times New Roman" w:eastAsia="宋体" w:cs="Times New Roman"/>
                <w:color w:val="000000" w:themeColor="text1"/>
                <w:sz w:val="24"/>
                <w:szCs w:val="24"/>
                <w:highlight w:val="none"/>
                <w:lang w:val="zh-CN"/>
                <w14:textFill>
                  <w14:solidFill>
                    <w14:schemeClr w14:val="tx1"/>
                  </w14:solidFill>
                </w14:textFill>
              </w:rPr>
              <w:t>。项目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废水收集池按重点防渗区进行防渗处理，废水管道均采用明管形式，易于发现</w:t>
            </w:r>
            <w:r>
              <w:rPr>
                <w:rFonts w:hint="eastAsia" w:ascii="Times New Roman" w:hAnsi="Times New Roman" w:eastAsia="宋体" w:cs="Times New Roman"/>
                <w:color w:val="000000" w:themeColor="text1"/>
                <w:sz w:val="24"/>
                <w:highlight w:val="none"/>
                <w:lang w:val="zh-CN"/>
                <w14:textFill>
                  <w14:solidFill>
                    <w14:schemeClr w14:val="tx1"/>
                  </w14:solidFill>
                </w14:textFill>
              </w:rPr>
              <w:t>，即使发生泄漏，通过及时收集，并对破裂处进行检修，影响较小。日常通过加强废水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收集</w:t>
            </w:r>
            <w:r>
              <w:rPr>
                <w:rFonts w:hint="eastAsia" w:ascii="Times New Roman" w:hAnsi="Times New Roman" w:eastAsia="宋体" w:cs="Times New Roman"/>
                <w:color w:val="000000" w:themeColor="text1"/>
                <w:sz w:val="24"/>
                <w:highlight w:val="none"/>
                <w:lang w:val="zh-CN"/>
                <w14:textFill>
                  <w14:solidFill>
                    <w14:schemeClr w14:val="tx1"/>
                  </w14:solidFill>
                </w14:textFill>
              </w:rPr>
              <w:t>设施、管道检查，减少泄漏事故的发生。</w:t>
            </w:r>
          </w:p>
          <w:p w14:paraId="51437B03">
            <w:pPr>
              <w:spacing w:line="360" w:lineRule="auto"/>
              <w:ind w:firstLine="482" w:firstLineChars="200"/>
              <w:jc w:val="left"/>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highlight w:val="none"/>
                <w:lang w:val="zh-CN"/>
                <w14:textFill>
                  <w14:solidFill>
                    <w14:schemeClr w14:val="tx1"/>
                  </w14:solidFill>
                </w14:textFill>
              </w:rPr>
              <w:t>废气事故排放风险影响分析</w:t>
            </w:r>
          </w:p>
          <w:p w14:paraId="6F309964">
            <w:pPr>
              <w:spacing w:line="360" w:lineRule="auto"/>
              <w:ind w:firstLine="480" w:firstLineChars="200"/>
              <w:jc w:val="left"/>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项目生产废气配套有集气及治理措施，经处理后达标排放；在废气装置</w:t>
            </w:r>
            <w:r>
              <w:rPr>
                <w:rFonts w:hint="eastAsia" w:ascii="Times New Roman" w:hAnsi="Times New Roman" w:eastAsia="宋体" w:cs="Times New Roman"/>
                <w:color w:val="000000" w:themeColor="text1"/>
                <w:sz w:val="24"/>
                <w:highlight w:val="none"/>
                <w:lang w:val="zh-CN"/>
                <w14:textFill>
                  <w14:solidFill>
                    <w14:schemeClr w14:val="tx1"/>
                  </w14:solidFill>
                </w14:textFill>
              </w:rPr>
              <w:t>故障</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等事故情况下，废气中各污染物未经处理排放，排放源强将增大。</w:t>
            </w:r>
            <w:r>
              <w:rPr>
                <w:rFonts w:hint="eastAsia" w:ascii="Times New Roman" w:hAnsi="Times New Roman" w:eastAsia="宋体" w:cs="Times New Roman"/>
                <w:color w:val="000000" w:themeColor="text1"/>
                <w:sz w:val="24"/>
                <w:highlight w:val="none"/>
                <w:lang w:val="zh-CN"/>
                <w14:textFill>
                  <w14:solidFill>
                    <w14:schemeClr w14:val="tx1"/>
                  </w14:solidFill>
                </w14:textFill>
              </w:rPr>
              <w:t>项目</w:t>
            </w:r>
            <w:r>
              <w:rPr>
                <w:rFonts w:ascii="Times New Roman" w:hAnsi="Times New Roman" w:eastAsia="宋体" w:cs="Times New Roman"/>
                <w:color w:val="000000" w:themeColor="text1"/>
                <w:sz w:val="24"/>
                <w:highlight w:val="none"/>
                <w:lang w:val="zh-CN"/>
                <w14:textFill>
                  <w14:solidFill>
                    <w14:schemeClr w14:val="tx1"/>
                  </w14:solidFill>
                </w14:textFill>
              </w:rPr>
              <w:t>加强</w:t>
            </w:r>
            <w:r>
              <w:rPr>
                <w:rFonts w:hint="eastAsia" w:ascii="Times New Roman" w:hAnsi="Times New Roman" w:eastAsia="宋体" w:cs="Times New Roman"/>
                <w:color w:val="000000" w:themeColor="text1"/>
                <w:sz w:val="24"/>
                <w:highlight w:val="none"/>
                <w:lang w:val="zh-CN"/>
                <w14:textFill>
                  <w14:solidFill>
                    <w14:schemeClr w14:val="tx1"/>
                  </w14:solidFill>
                </w14:textFill>
              </w:rPr>
              <w:t>废气收集治理措施的日常维护，定期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排放喷淋废水和</w:t>
            </w:r>
            <w:r>
              <w:rPr>
                <w:rFonts w:hint="eastAsia" w:ascii="Times New Roman" w:hAnsi="Times New Roman" w:eastAsia="宋体" w:cs="Times New Roman"/>
                <w:color w:val="000000" w:themeColor="text1"/>
                <w:sz w:val="24"/>
                <w:highlight w:val="none"/>
                <w:lang w:val="zh-CN"/>
                <w14:textFill>
                  <w14:solidFill>
                    <w14:schemeClr w14:val="tx1"/>
                  </w14:solidFill>
                </w14:textFill>
              </w:rPr>
              <w:t>更换过滤吸附介质，在废气装置故障等事故情况下立即停止相关生产工段作业，待装置完成维修后再启动，可减少废气事故排放影响，对周边环境影响较小。</w:t>
            </w:r>
          </w:p>
          <w:p w14:paraId="0AA389F6">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left"/>
              <w:rPr>
                <w:rFonts w:hint="eastAsia" w:ascii="Times New Roman" w:hAnsi="Times New Roman" w:eastAsia="宋体" w:cs="Times New Roman"/>
                <w:b/>
                <w:bCs/>
                <w:color w:val="000000" w:themeColor="text1"/>
                <w:spacing w:val="0"/>
                <w:kern w:val="0"/>
                <w:position w:val="0"/>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0"/>
                <w:position w:val="0"/>
                <w:sz w:val="24"/>
                <w:szCs w:val="24"/>
                <w:highlight w:val="none"/>
                <w:u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t>前处理及电泳线槽液泄漏</w:t>
            </w:r>
            <w:r>
              <w:rPr>
                <w:rFonts w:hint="eastAsia" w:ascii="Times New Roman" w:hAnsi="Times New Roman" w:eastAsia="宋体" w:cs="Times New Roman"/>
                <w:b/>
                <w:bCs/>
                <w:color w:val="000000" w:themeColor="text1"/>
                <w:spacing w:val="0"/>
                <w:kern w:val="0"/>
                <w:position w:val="0"/>
                <w:sz w:val="24"/>
                <w:szCs w:val="24"/>
                <w:highlight w:val="none"/>
                <w:u w:val="none"/>
                <w:lang w:val="en-US" w:eastAsia="zh-CN"/>
                <w14:textFill>
                  <w14:solidFill>
                    <w14:schemeClr w14:val="tx1"/>
                  </w14:solidFill>
                </w14:textFill>
              </w:rPr>
              <w:t>风险影响分析</w:t>
            </w:r>
          </w:p>
          <w:p w14:paraId="44673709">
            <w:pPr>
              <w:widowControl/>
              <w:spacing w:line="360" w:lineRule="auto"/>
              <w:ind w:firstLine="480" w:firstLineChars="200"/>
              <w:jc w:val="left"/>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本项目前处理及电泳线脱脂槽、表调槽、磷化槽、电泳槽等槽体中各</w:t>
            </w: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槽液有机物、石油类、磷酸盐、硝酸等各类污染物的浓度较高，若槽液发生泄漏，将对土壤和地下水造成严重的污染，因此评价要求建设单位做好前处理和电泳线各槽体的防渗防漏措施，槽体四周设围堰及导流沟，拦截和收集溢流出池体的槽液，并将溢流出的槽液泵入</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现有工程废水处理设施处理，加强各槽体的</w:t>
            </w: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防渗系统日常检查工作，若发生渗漏，应及时修补，避免污染物泄漏。</w:t>
            </w:r>
            <w:r>
              <w:rPr>
                <w:rFonts w:hint="eastAsia" w:ascii="Times New Roman" w:hAnsi="Times New Roman" w:eastAsia="宋体" w:cs="Times New Roman"/>
                <w:color w:val="000000" w:themeColor="text1"/>
                <w:sz w:val="24"/>
                <w:highlight w:val="none"/>
                <w:lang w:val="zh-CN"/>
                <w14:textFill>
                  <w14:solidFill>
                    <w14:schemeClr w14:val="tx1"/>
                  </w14:solidFill>
                </w14:textFill>
              </w:rPr>
              <w:t>通过及时收集，并对破裂处进行检修，</w:t>
            </w: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前处理及电泳线槽液泄漏对周边环境的</w:t>
            </w:r>
            <w:r>
              <w:rPr>
                <w:rFonts w:hint="eastAsia" w:ascii="Times New Roman" w:hAnsi="Times New Roman" w:eastAsia="宋体" w:cs="Times New Roman"/>
                <w:color w:val="000000" w:themeColor="text1"/>
                <w:sz w:val="24"/>
                <w:highlight w:val="none"/>
                <w:lang w:val="zh-CN"/>
                <w14:textFill>
                  <w14:solidFill>
                    <w14:schemeClr w14:val="tx1"/>
                  </w14:solidFill>
                </w14:textFill>
              </w:rPr>
              <w:t>影响较小。</w:t>
            </w:r>
          </w:p>
          <w:p w14:paraId="2BC245E2">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outlineLvl w:val="2"/>
              <w:rPr>
                <w:rFonts w:hint="default" w:ascii="Times New Roman" w:hAnsi="Times New Roman" w:eastAsia="宋体" w:cs="Times New Roman"/>
                <w:b/>
                <w:bCs/>
                <w:color w:val="000000" w:themeColor="text1"/>
                <w:spacing w:val="0"/>
                <w:position w:val="0"/>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position w:val="0"/>
                <w:sz w:val="24"/>
                <w:highlight w:val="none"/>
                <w:lang w:val="en-US" w:eastAsia="zh-CN"/>
                <w14:textFill>
                  <w14:solidFill>
                    <w14:schemeClr w14:val="tx1"/>
                  </w14:solidFill>
                </w14:textFill>
              </w:rPr>
              <w:t>4.</w:t>
            </w:r>
            <w:r>
              <w:rPr>
                <w:rFonts w:hint="eastAsia" w:cs="Times New Roman"/>
                <w:b/>
                <w:bCs/>
                <w:color w:val="000000" w:themeColor="text1"/>
                <w:spacing w:val="0"/>
                <w:position w:val="0"/>
                <w:sz w:val="24"/>
                <w:highlight w:val="none"/>
                <w:lang w:val="en-US" w:eastAsia="zh-CN"/>
                <w14:textFill>
                  <w14:solidFill>
                    <w14:schemeClr w14:val="tx1"/>
                  </w14:solidFill>
                </w14:textFill>
              </w:rPr>
              <w:t>8</w:t>
            </w:r>
            <w:r>
              <w:rPr>
                <w:rFonts w:hint="default" w:ascii="Times New Roman" w:hAnsi="Times New Roman" w:cs="Times New Roman"/>
                <w:b/>
                <w:bCs/>
                <w:color w:val="000000" w:themeColor="text1"/>
                <w:spacing w:val="0"/>
                <w:position w:val="0"/>
                <w:sz w:val="24"/>
                <w:highlight w:val="none"/>
                <w:lang w:val="en-US" w:eastAsia="zh-CN"/>
                <w14:textFill>
                  <w14:solidFill>
                    <w14:schemeClr w14:val="tx1"/>
                  </w14:solidFill>
                </w14:textFill>
              </w:rPr>
              <w:t>.</w:t>
            </w:r>
            <w:r>
              <w:rPr>
                <w:rFonts w:hint="eastAsia" w:ascii="Times New Roman" w:hAnsi="Times New Roman" w:cs="Times New Roman"/>
                <w:b/>
                <w:bCs/>
                <w:color w:val="000000" w:themeColor="text1"/>
                <w:spacing w:val="0"/>
                <w:position w:val="0"/>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position w:val="0"/>
                <w:sz w:val="24"/>
                <w:highlight w:val="none"/>
                <w:lang w:val="en-US" w:eastAsia="zh-CN"/>
                <w14:textFill>
                  <w14:solidFill>
                    <w14:schemeClr w14:val="tx1"/>
                  </w14:solidFill>
                </w14:textFill>
              </w:rPr>
              <w:t>环境风险防范措施</w:t>
            </w:r>
          </w:p>
          <w:p w14:paraId="16707C88">
            <w:pPr>
              <w:spacing w:line="360" w:lineRule="auto"/>
              <w:ind w:firstLine="480" w:firstLineChars="200"/>
              <w:jc w:val="left"/>
              <w:rPr>
                <w:rFonts w:ascii="Times New Roman" w:hAnsi="Times New Roman" w:eastAsia="宋体"/>
                <w:color w:val="000000" w:themeColor="text1"/>
                <w:sz w:val="24"/>
                <w:highlight w:val="none"/>
                <w:lang w:val="zh-CN"/>
                <w14:textFill>
                  <w14:solidFill>
                    <w14:schemeClr w14:val="tx1"/>
                  </w14:solidFill>
                </w14:textFill>
              </w:rPr>
            </w:pPr>
            <w:r>
              <w:rPr>
                <w:rFonts w:ascii="Times New Roman" w:hAnsi="Times New Roman" w:eastAsia="宋体"/>
                <w:color w:val="000000" w:themeColor="text1"/>
                <w:sz w:val="24"/>
                <w:highlight w:val="none"/>
                <w:lang w:val="zh-CN"/>
                <w14:textFill>
                  <w14:solidFill>
                    <w14:schemeClr w14:val="tx1"/>
                  </w14:solidFill>
                </w14:textFill>
              </w:rPr>
              <w:t>由于环境风险具有突发性和短暂性及危害较大等特点，必须采取相应有效预防措施加以防范，加强控制和管理，杜绝、减轻和避免环境风险。为了防止</w:t>
            </w:r>
            <w:r>
              <w:rPr>
                <w:rFonts w:hint="eastAsia" w:ascii="Times New Roman" w:hAnsi="Times New Roman" w:eastAsia="宋体"/>
                <w:color w:val="000000" w:themeColor="text1"/>
                <w:sz w:val="24"/>
                <w:highlight w:val="none"/>
                <w14:textFill>
                  <w14:solidFill>
                    <w14:schemeClr w14:val="tx1"/>
                  </w14:solidFill>
                </w14:textFill>
              </w:rPr>
              <w:t>风险事故</w:t>
            </w:r>
            <w:r>
              <w:rPr>
                <w:rFonts w:ascii="Times New Roman" w:hAnsi="Times New Roman" w:eastAsia="宋体"/>
                <w:color w:val="000000" w:themeColor="text1"/>
                <w:sz w:val="24"/>
                <w:highlight w:val="none"/>
                <w:lang w:val="zh-CN"/>
                <w14:textFill>
                  <w14:solidFill>
                    <w14:schemeClr w14:val="tx1"/>
                  </w14:solidFill>
                </w14:textFill>
              </w:rPr>
              <w:t>对周边环境造成影响，应严格按照相关要求进行设计与施工，同时项目还应加强安全管理。</w:t>
            </w:r>
          </w:p>
          <w:p w14:paraId="34F975A0">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left"/>
              <w:rPr>
                <w:rFonts w:hint="eastAsia" w:ascii="Times New Roman" w:hAnsi="Times New Roman" w:eastAsia="宋体" w:cs="Times New Roman"/>
                <w:b/>
                <w:bCs/>
                <w:color w:val="000000" w:themeColor="text1"/>
                <w:spacing w:val="0"/>
                <w:kern w:val="0"/>
                <w:position w:val="0"/>
                <w:sz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0"/>
                <w:position w:val="0"/>
                <w:sz w:val="24"/>
                <w:highlight w:val="none"/>
                <w:u w:val="none"/>
                <w:lang w:val="en-US" w:eastAsia="zh-CN"/>
                <w14:textFill>
                  <w14:solidFill>
                    <w14:schemeClr w14:val="tx1"/>
                  </w14:solidFill>
                </w14:textFill>
              </w:rPr>
              <w:t>（1）火灾、爆炸事故预防和控制</w:t>
            </w:r>
          </w:p>
          <w:p w14:paraId="3EA41449">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a.</w:t>
            </w: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加强火源监管；明火控制，包括火柴、烟头、打火机等，化学品仓库等应设置明显防火标志，确保无明火靠近；</w:t>
            </w:r>
            <w:r>
              <w:rPr>
                <w:rFonts w:hint="eastAsia" w:ascii="Times New Roman" w:hAnsi="Times New Roman" w:eastAsia="宋体" w:cs="Times New Roman"/>
                <w:bCs/>
                <w:color w:val="000000" w:themeColor="text1"/>
                <w:sz w:val="24"/>
                <w:highlight w:val="none"/>
                <w:u w:val="none"/>
                <w:lang w:val="en-US" w:eastAsia="zh-CN"/>
                <w14:textFill>
                  <w14:solidFill>
                    <w14:schemeClr w14:val="tx1"/>
                  </w14:solidFill>
                </w14:textFill>
              </w:rPr>
              <w:t>危险废物贮存间设置间内设置防火装置、通讯设备、照明设施、安全防护装置等。</w:t>
            </w:r>
          </w:p>
          <w:p w14:paraId="0A2B978A">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b.</w:t>
            </w: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制定原料的使用、储存、运输，以及生产设备等的安全操作规程，职工严格按照操作规程进行操作。</w:t>
            </w:r>
          </w:p>
          <w:p w14:paraId="783B895B">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c.</w:t>
            </w: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安装天然气可燃气体报警仪；</w:t>
            </w:r>
            <w:r>
              <w:rPr>
                <w:rFonts w:hint="eastAsia" w:ascii="宋体" w:hAnsi="宋体" w:eastAsia="宋体" w:cs="宋体"/>
                <w:color w:val="000000" w:themeColor="text1"/>
                <w:kern w:val="0"/>
                <w:sz w:val="24"/>
                <w:szCs w:val="24"/>
                <w:lang w:val="en-US" w:eastAsia="zh-CN" w:bidi="ar"/>
                <w14:textFill>
                  <w14:solidFill>
                    <w14:schemeClr w14:val="tx1"/>
                  </w14:solidFill>
                </w14:textFill>
              </w:rPr>
              <w:t>设置压力、流量、温度监控报警装置。积极进行点检、润滑、防腐、保养、维护、修复等工作。</w:t>
            </w:r>
          </w:p>
          <w:p w14:paraId="3D991212">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d.</w:t>
            </w: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制定完善的消防安全管理制度，落实消防安全责任，加强消防管理，如日常的防火巡查等。</w:t>
            </w:r>
          </w:p>
          <w:p w14:paraId="68D1C20D">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e.</w:t>
            </w: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加强消防知识教育培训和演练，提高员工安全意识及事故应急能力。</w:t>
            </w:r>
          </w:p>
          <w:p w14:paraId="710AC9F8">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f.生产车间配备完善的消防、急救器材，如灭火器、消防栓，防火服、呼吸器等。按消防管理部门要求做好火灾等事故的防范和应急措施。</w:t>
            </w:r>
          </w:p>
          <w:p w14:paraId="1D23B02B">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000000" w:themeColor="text1"/>
                <w:sz w:val="24"/>
                <w:highlight w:val="none"/>
                <w:u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u w:val="none"/>
                <w:lang w:val="en-US" w:eastAsia="zh-CN"/>
                <w14:textFill>
                  <w14:solidFill>
                    <w14:schemeClr w14:val="tx1"/>
                  </w14:solidFill>
                </w14:textFill>
              </w:rPr>
              <w:t>g.厂区雨污总排放口设置阀门控制，防止事故状态下消防废水进入外环境。</w:t>
            </w:r>
          </w:p>
          <w:p w14:paraId="2DB2A353">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left"/>
              <w:rPr>
                <w:rFonts w:hint="eastAsia" w:ascii="Times New Roman" w:hAnsi="Times New Roman" w:eastAsia="宋体" w:cs="Times New Roman"/>
                <w:b/>
                <w:bCs/>
                <w:color w:val="000000" w:themeColor="text1"/>
                <w:spacing w:val="0"/>
                <w:kern w:val="0"/>
                <w:position w:val="0"/>
                <w:sz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0"/>
                <w:position w:val="0"/>
                <w:sz w:val="24"/>
                <w:highlight w:val="none"/>
                <w:u w:val="none"/>
                <w:lang w:val="en-US" w:eastAsia="zh-CN"/>
                <w14:textFill>
                  <w14:solidFill>
                    <w14:schemeClr w14:val="tx1"/>
                  </w14:solidFill>
                </w14:textFill>
              </w:rPr>
              <w:t xml:space="preserve">（2）废气事故性排放的风险防范措施 </w:t>
            </w:r>
          </w:p>
          <w:p w14:paraId="093E0403">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a.</w:t>
            </w: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废气治理设施按相关的标准要求设计、施工和管理。对治理设施</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从设备到运输管道</w:t>
            </w: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进行定期和不定期检查</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，发现问题及时解决</w:t>
            </w: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，机器维修或更换不良部件</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w:t>
            </w:r>
          </w:p>
          <w:p w14:paraId="7D3FD08D">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b.</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各生产岗位制定严格的操作规程和注意事项，车间工人需熟悉工作流程，严格按操作规程进行运行控制，防止操作失误导致废气事故排放。</w:t>
            </w:r>
          </w:p>
          <w:p w14:paraId="16AD1D33">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c.</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定期更换活性炭，</w:t>
            </w: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同时确保项目</w:t>
            </w:r>
            <w:r>
              <w:rPr>
                <w:rFonts w:hint="default" w:ascii="Times New Roman" w:hAnsi="Times New Roman" w:eastAsia="宋体" w:cs="Times New Roman"/>
                <w:color w:val="000000" w:themeColor="text1"/>
                <w:sz w:val="24"/>
                <w:highlight w:val="none"/>
                <w:u w:val="none"/>
                <w:vertAlign w:val="baseline"/>
                <w:lang w:val="en-US" w:eastAsia="zh-CN"/>
                <w14:textFill>
                  <w14:solidFill>
                    <w14:schemeClr w14:val="tx1"/>
                  </w14:solidFill>
                </w14:textFill>
              </w:rPr>
              <w:t>活性炭吸附装置一次性装置量</w:t>
            </w:r>
            <w:r>
              <w:rPr>
                <w:rFonts w:hint="eastAsia" w:ascii="Times New Roman" w:hAnsi="Times New Roman" w:eastAsia="宋体" w:cs="Times New Roman"/>
                <w:color w:val="000000" w:themeColor="text1"/>
                <w:sz w:val="24"/>
                <w:highlight w:val="none"/>
                <w:u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zh-CN"/>
                <w14:textFill>
                  <w14:solidFill>
                    <w14:schemeClr w14:val="tx1"/>
                  </w14:solidFill>
                </w14:textFill>
              </w:rPr>
              <w:t>定期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排放喷淋废水，</w:t>
            </w:r>
            <w:r>
              <w:rPr>
                <w:rFonts w:hint="eastAsia" w:ascii="Times New Roman" w:hAnsi="Times New Roman" w:eastAsia="宋体" w:cs="Times New Roman"/>
                <w:color w:val="000000" w:themeColor="text1"/>
                <w:sz w:val="24"/>
                <w:highlight w:val="none"/>
                <w:u w:val="none"/>
                <w:vertAlign w:val="baseline"/>
                <w:lang w:val="en-US" w:eastAsia="zh-CN"/>
                <w14:textFill>
                  <w14:solidFill>
                    <w14:schemeClr w14:val="tx1"/>
                  </w14:solidFill>
                </w14:textFill>
              </w:rPr>
              <w:t>按废气自行监测要求，定期委托有资质单位进行检测。</w:t>
            </w:r>
          </w:p>
          <w:p w14:paraId="6BC209F5">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left"/>
              <w:rPr>
                <w:rFonts w:hint="eastAsia" w:ascii="Times New Roman" w:hAnsi="Times New Roman" w:eastAsia="宋体" w:cs="Times New Roman"/>
                <w:b/>
                <w:bCs/>
                <w:color w:val="000000" w:themeColor="text1"/>
                <w:spacing w:val="0"/>
                <w:kern w:val="0"/>
                <w:position w:val="0"/>
                <w:sz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0"/>
                <w:position w:val="0"/>
                <w:sz w:val="24"/>
                <w:highlight w:val="none"/>
                <w:u w:val="none"/>
                <w:lang w:val="en-US" w:eastAsia="zh-CN"/>
                <w14:textFill>
                  <w14:solidFill>
                    <w14:schemeClr w14:val="tx1"/>
                  </w14:solidFill>
                </w14:textFill>
              </w:rPr>
              <w:t>（3）废水处理设施事故防范措施</w:t>
            </w:r>
          </w:p>
          <w:p w14:paraId="19B51FC3">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position w:val="0"/>
                <w:sz w:val="24"/>
                <w:szCs w:val="24"/>
                <w:lang w:val="en-US" w:eastAsia="zh-CN" w:bidi="ar-SA"/>
                <w14:textFill>
                  <w14:solidFill>
                    <w14:schemeClr w14:val="tx1"/>
                  </w14:solidFill>
                </w14:textFill>
              </w:rPr>
              <w:t>本项目针对污水处理设施的防范措施：</w:t>
            </w:r>
          </w:p>
          <w:p w14:paraId="519B4226">
            <w:pPr>
              <w:autoSpaceDE w:val="0"/>
              <w:autoSpaceDN w:val="0"/>
              <w:adjustRightInd w:val="0"/>
              <w:spacing w:line="360" w:lineRule="auto"/>
              <w:ind w:firstLine="480" w:firstLineChars="200"/>
              <w:jc w:val="both"/>
              <w:rPr>
                <w:rFonts w:hint="default" w:ascii="Times New Roman" w:hAnsi="Times New Roman" w:eastAsia="宋体"/>
                <w:color w:val="000000" w:themeColor="text1"/>
                <w:sz w:val="24"/>
                <w:lang w:val="en-US"/>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a.</w:t>
            </w:r>
            <w:r>
              <w:rPr>
                <w:rFonts w:hint="eastAsia" w:ascii="Times New Roman" w:hAnsi="Times New Roman" w:eastAsia="宋体"/>
                <w:color w:val="000000" w:themeColor="text1"/>
                <w:sz w:val="24"/>
                <w14:textFill>
                  <w14:solidFill>
                    <w14:schemeClr w14:val="tx1"/>
                  </w14:solidFill>
                </w14:textFill>
              </w:rPr>
              <w:t>定期对废水</w:t>
            </w:r>
            <w:r>
              <w:rPr>
                <w:rFonts w:hint="eastAsia" w:ascii="Times New Roman" w:hAnsi="Times New Roman" w:eastAsia="宋体"/>
                <w:color w:val="000000" w:themeColor="text1"/>
                <w:sz w:val="24"/>
                <w:lang w:val="en-US" w:eastAsia="zh-CN"/>
                <w14:textFill>
                  <w14:solidFill>
                    <w14:schemeClr w14:val="tx1"/>
                  </w14:solidFill>
                </w14:textFill>
              </w:rPr>
              <w:t>收集池</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废水管道、</w:t>
            </w: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前处理及电泳线</w:t>
            </w:r>
            <w:r>
              <w:rPr>
                <w:rFonts w:hint="eastAsia" w:ascii="Times New Roman" w:hAnsi="Times New Roman" w:eastAsia="宋体"/>
                <w:color w:val="000000" w:themeColor="text1"/>
                <w:sz w:val="24"/>
                <w14:textFill>
                  <w14:solidFill>
                    <w14:schemeClr w14:val="tx1"/>
                  </w14:solidFill>
                </w14:textFill>
              </w:rPr>
              <w:t>进行检查和维修。废水</w:t>
            </w:r>
            <w:r>
              <w:rPr>
                <w:rFonts w:hint="eastAsia" w:ascii="Times New Roman" w:hAnsi="Times New Roman" w:eastAsia="宋体"/>
                <w:color w:val="000000" w:themeColor="text1"/>
                <w:sz w:val="24"/>
                <w:lang w:val="en-US" w:eastAsia="zh-CN"/>
                <w14:textFill>
                  <w14:solidFill>
                    <w14:schemeClr w14:val="tx1"/>
                  </w14:solidFill>
                </w14:textFill>
              </w:rPr>
              <w:t>收集池</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前处理及电泳线</w:t>
            </w:r>
            <w:r>
              <w:rPr>
                <w:rFonts w:hint="eastAsia" w:ascii="Times New Roman" w:hAnsi="Times New Roman" w:eastAsia="宋体"/>
                <w:color w:val="000000" w:themeColor="text1"/>
                <w:sz w:val="24"/>
                <w:lang w:val="en-US" w:eastAsia="zh-CN"/>
                <w14:textFill>
                  <w14:solidFill>
                    <w14:schemeClr w14:val="tx1"/>
                  </w14:solidFill>
                </w14:textFill>
              </w:rPr>
              <w:t>地面按重点防渗要求建设。废水管道采用明管形式，便于及时发现泄漏情况。</w:t>
            </w:r>
          </w:p>
          <w:p w14:paraId="30C0C97B">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b.</w:t>
            </w:r>
            <w:r>
              <w:rPr>
                <w:rFonts w:hint="eastAsia" w:ascii="Times New Roman" w:hAnsi="Times New Roman" w:eastAsia="宋体"/>
                <w:color w:val="000000" w:themeColor="text1"/>
                <w:sz w:val="24"/>
                <w:lang w:val="en-US" w:eastAsia="zh-CN"/>
                <w14:textFill>
                  <w14:solidFill>
                    <w14:schemeClr w14:val="tx1"/>
                  </w14:solidFill>
                </w14:textFill>
              </w:rPr>
              <w:t>生产废水</w:t>
            </w:r>
            <w:r>
              <w:rPr>
                <w:rFonts w:hint="eastAsia" w:ascii="Times New Roman" w:hAnsi="Times New Roman" w:eastAsia="宋体"/>
                <w:color w:val="000000" w:themeColor="text1"/>
                <w:sz w:val="24"/>
                <w14:textFill>
                  <w14:solidFill>
                    <w14:schemeClr w14:val="tx1"/>
                  </w14:solidFill>
                </w14:textFill>
              </w:rPr>
              <w:t>严禁未处理排放、偷排、漏排现象，</w:t>
            </w:r>
            <w:r>
              <w:rPr>
                <w:rFonts w:hint="eastAsia" w:ascii="Times New Roman" w:hAnsi="Times New Roman" w:eastAsia="宋体"/>
                <w:color w:val="000000" w:themeColor="text1"/>
                <w:sz w:val="24"/>
                <w:lang w:val="en-US" w:eastAsia="zh-CN"/>
                <w14:textFill>
                  <w14:solidFill>
                    <w14:schemeClr w14:val="tx1"/>
                  </w14:solidFill>
                </w14:textFill>
              </w:rPr>
              <w:t>应</w:t>
            </w:r>
            <w:r>
              <w:rPr>
                <w:rFonts w:hint="eastAsia" w:ascii="Times New Roman" w:hAnsi="Times New Roman" w:eastAsia="宋体"/>
                <w:color w:val="000000" w:themeColor="text1"/>
                <w:sz w:val="24"/>
                <w14:textFill>
                  <w14:solidFill>
                    <w14:schemeClr w14:val="tx1"/>
                  </w14:solidFill>
                </w14:textFill>
              </w:rPr>
              <w:t>经处理后</w:t>
            </w:r>
            <w:r>
              <w:rPr>
                <w:rFonts w:hint="eastAsia" w:ascii="Times New Roman" w:hAnsi="Times New Roman" w:eastAsia="宋体"/>
                <w:color w:val="000000" w:themeColor="text1"/>
                <w:sz w:val="24"/>
                <w:lang w:val="en-US" w:eastAsia="zh-CN"/>
                <w14:textFill>
                  <w14:solidFill>
                    <w14:schemeClr w14:val="tx1"/>
                  </w14:solidFill>
                </w14:textFill>
              </w:rPr>
              <w:t>达标排放</w:t>
            </w:r>
            <w:r>
              <w:rPr>
                <w:rFonts w:hint="eastAsia" w:ascii="Times New Roman" w:hAnsi="Times New Roman" w:eastAsia="宋体"/>
                <w:color w:val="000000" w:themeColor="text1"/>
                <w:sz w:val="24"/>
                <w14:textFill>
                  <w14:solidFill>
                    <w14:schemeClr w14:val="tx1"/>
                  </w14:solidFill>
                </w14:textFill>
              </w:rPr>
              <w:t>。</w:t>
            </w:r>
          </w:p>
          <w:p w14:paraId="6BA3B0D0">
            <w:pPr>
              <w:autoSpaceDE w:val="0"/>
              <w:autoSpaceDN w:val="0"/>
              <w:adjustRightInd w:val="0"/>
              <w:spacing w:line="360" w:lineRule="auto"/>
              <w:ind w:firstLine="480" w:firstLineChars="200"/>
              <w:jc w:val="both"/>
              <w:rPr>
                <w:rFonts w:hint="default" w:ascii="Times New Roman" w:hAnsi="Times New Roman" w:eastAsia="宋体"/>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c.</w:t>
            </w:r>
            <w:r>
              <w:rPr>
                <w:rFonts w:hint="eastAsia" w:ascii="Times New Roman" w:hAnsi="Times New Roman" w:eastAsia="宋体"/>
                <w:color w:val="000000" w:themeColor="text1"/>
                <w:sz w:val="24"/>
                <w14:textFill>
                  <w14:solidFill>
                    <w14:schemeClr w14:val="tx1"/>
                  </w14:solidFill>
                </w14:textFill>
              </w:rPr>
              <w:t>项目应急物资仓库应储备有堵漏工具及物资</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如抽水泵、沙袋等</w:t>
            </w:r>
            <w:r>
              <w:rPr>
                <w:rFonts w:hint="eastAsia" w:ascii="Times New Roman" w:hAnsi="Times New Roman" w:eastAsia="宋体"/>
                <w:color w:val="000000" w:themeColor="text1"/>
                <w:sz w:val="24"/>
                <w:lang w:eastAsia="zh-CN"/>
                <w14:textFill>
                  <w14:solidFill>
                    <w14:schemeClr w14:val="tx1"/>
                  </w14:solidFill>
                </w14:textFill>
              </w:rPr>
              <w:t>）。</w:t>
            </w:r>
          </w:p>
          <w:p w14:paraId="675822D5">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left"/>
              <w:rPr>
                <w:rFonts w:hint="eastAsia" w:ascii="Times New Roman" w:hAnsi="Times New Roman" w:eastAsia="宋体" w:cs="Times New Roman"/>
                <w:b/>
                <w:bCs/>
                <w:color w:val="000000" w:themeColor="text1"/>
                <w:spacing w:val="0"/>
                <w:kern w:val="0"/>
                <w:position w:val="0"/>
                <w:sz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0"/>
                <w:position w:val="0"/>
                <w:sz w:val="24"/>
                <w:highlight w:val="none"/>
                <w:u w:val="none"/>
                <w:lang w:val="en-US" w:eastAsia="zh-CN"/>
                <w14:textFill>
                  <w14:solidFill>
                    <w14:schemeClr w14:val="tx1"/>
                  </w14:solidFill>
                </w14:textFill>
              </w:rPr>
              <w:t>（4）原辅料、危险废物泄漏防范措施</w:t>
            </w:r>
          </w:p>
          <w:p w14:paraId="052D3BDD">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a.</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危险废物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贮存</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间应按照《危险废物贮存污染控制标准》（GB 18597-2023）要求进行防渗，化学品仓库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按照</w:t>
            </w:r>
            <w:r>
              <w:rPr>
                <w:rFonts w:hint="eastAsia" w:ascii="Times New Roman" w:hAnsi="Times New Roman" w:eastAsia="宋体" w:cs="Times New Roman"/>
                <w:color w:val="000000" w:themeColor="text1"/>
                <w:sz w:val="24"/>
                <w:lang w:val="en-US" w:eastAsia="zh-CN"/>
                <w14:textFill>
                  <w14:solidFill>
                    <w14:schemeClr w14:val="tx1"/>
                  </w14:solidFill>
                </w14:textFill>
              </w:rPr>
              <w:t>重点防渗要求进行建设，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具备防风、防雨、防晒、</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防渗漏措施；危险废物贮存</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化学品仓库四周设置围堰及导流沟槽，并设收集池，收集池容积应大于最大包装物容积。</w:t>
            </w:r>
            <w:r>
              <w:rPr>
                <w:rFonts w:hint="eastAsia"/>
                <w:color w:val="000000" w:themeColor="text1"/>
                <w:kern w:val="0"/>
                <w:sz w:val="24"/>
                <w14:textFill>
                  <w14:solidFill>
                    <w14:schemeClr w14:val="tx1"/>
                  </w14:solidFill>
                </w14:textFill>
              </w:rPr>
              <w:t>废弃物容器的充填量不能超过其设计容量。</w:t>
            </w:r>
          </w:p>
          <w:p w14:paraId="3BF5741B">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b.</w:t>
            </w: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设置警示标识等</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。设置专人管理。</w:t>
            </w:r>
          </w:p>
          <w:p w14:paraId="73C9DF69">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c.</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危险废物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贮存</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化学品仓库及作业车间</w:t>
            </w: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严禁明火，严格遵守操作规程，避免因操作失误发生事故</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w:t>
            </w:r>
          </w:p>
          <w:p w14:paraId="468F2DB0">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d.</w:t>
            </w: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贮存所内配备通讯设备、照明设备、安全防护服装及工具，并有应急防护措施；配备相应的堵漏材料</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沙袋、吸油毡等</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w:t>
            </w:r>
          </w:p>
          <w:p w14:paraId="34F64595">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e.</w:t>
            </w: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根据</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危险废物的</w:t>
            </w: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特性</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进行</w:t>
            </w: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分区、分类、分库贮存。各类</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危险废物等</w:t>
            </w: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不得与禁忌化学品混合贮存</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w:t>
            </w:r>
          </w:p>
          <w:p w14:paraId="1E37F4CC">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f.</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制定危险废物管理计划及建立危废台账，加强危险废物管理。制定化学品进出台账，加强危险化学品管理。</w:t>
            </w:r>
          </w:p>
          <w:p w14:paraId="3E650462">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u w:val="none"/>
                <w:lang w:val="en-US" w:eastAsia="zh-CN"/>
                <w14:textFill>
                  <w14:solidFill>
                    <w14:schemeClr w14:val="tx1"/>
                  </w14:solidFill>
                </w14:textFill>
              </w:rPr>
              <w:t>g.</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及时对危险废物委托资质单位清运处置，对储存容器定期检查，对破损容器及时更换，同时对危废间、化学品仓库等防渗区防渗层定期检查，对破损防渗层进行修补。</w:t>
            </w:r>
          </w:p>
          <w:p w14:paraId="66DB4EBA">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完善化学品仓库、危险物质贮存设施，加强对物料储存、使用的安全管理和检查，避免物料出现泄漏。</w:t>
            </w:r>
          </w:p>
          <w:p w14:paraId="5C9DDB4C">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left"/>
              <w:rPr>
                <w:rFonts w:hint="eastAsia" w:ascii="Times New Roman" w:hAnsi="Times New Roman" w:eastAsia="宋体" w:cs="Times New Roman"/>
                <w:b/>
                <w:bCs/>
                <w:color w:val="000000" w:themeColor="text1"/>
                <w:spacing w:val="0"/>
                <w:kern w:val="0"/>
                <w:position w:val="0"/>
                <w:sz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kern w:val="0"/>
                <w:position w:val="0"/>
                <w:sz w:val="24"/>
                <w:highlight w:val="none"/>
                <w:u w:val="none"/>
                <w:lang w:val="en-US" w:eastAsia="zh-CN"/>
                <w14:textFill>
                  <w14:solidFill>
                    <w14:schemeClr w14:val="tx1"/>
                  </w14:solidFill>
                </w14:textFill>
              </w:rPr>
              <w:t>（5）生产车间泄漏防范措施</w:t>
            </w:r>
          </w:p>
          <w:p w14:paraId="34AC8DDF">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a.</w:t>
            </w:r>
            <w:r>
              <w:rPr>
                <w:rFonts w:hint="eastAsia" w:ascii="Times New Roman" w:hAnsi="Times New Roman" w:eastAsia="宋体" w:cs="Times New Roman"/>
                <w:color w:val="000000" w:themeColor="text1"/>
                <w:spacing w:val="0"/>
                <w:kern w:val="0"/>
                <w:position w:val="0"/>
                <w:sz w:val="24"/>
                <w:lang w:val="en-US" w:eastAsia="zh-CN"/>
                <w14:textFill>
                  <w14:solidFill>
                    <w14:schemeClr w14:val="tx1"/>
                  </w14:solidFill>
                </w14:textFill>
              </w:rPr>
              <w:t>做好前处理和电泳线各槽体的防渗防漏措施，槽体四周设围堰及导流沟，拦截和收集溢流出池体的槽液，并将溢流出的槽液导流至废水收集池，泵入现有工程</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废水处理设施处理</w:t>
            </w: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w:t>
            </w:r>
          </w:p>
          <w:p w14:paraId="4473117A">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u w:val="none"/>
                <w:lang w:val="en-US" w:eastAsia="zh-CN"/>
                <w14:textFill>
                  <w14:solidFill>
                    <w14:schemeClr w14:val="tx1"/>
                  </w14:solidFill>
                </w14:textFill>
              </w:rPr>
              <w:t>b.</w:t>
            </w:r>
            <w:r>
              <w:rPr>
                <w:rFonts w:hint="eastAsia" w:ascii="Times New Roman" w:hAnsi="Times New Roman" w:eastAsia="宋体"/>
                <w:color w:val="000000" w:themeColor="text1"/>
                <w:sz w:val="24"/>
                <w14:textFill>
                  <w14:solidFill>
                    <w14:schemeClr w14:val="tx1"/>
                  </w14:solidFill>
                </w14:textFill>
              </w:rPr>
              <w:t>定期对</w:t>
            </w:r>
            <w:r>
              <w:rPr>
                <w:rFonts w:hint="eastAsia" w:ascii="Times New Roman" w:hAnsi="Times New Roman" w:eastAsia="宋体"/>
                <w:color w:val="000000" w:themeColor="text1"/>
                <w:sz w:val="24"/>
                <w:lang w:val="en-US" w:eastAsia="zh-CN"/>
                <w14:textFill>
                  <w14:solidFill>
                    <w14:schemeClr w14:val="tx1"/>
                  </w14:solidFill>
                </w14:textFill>
              </w:rPr>
              <w:t>槽体、配套管线等设施</w:t>
            </w:r>
            <w:r>
              <w:rPr>
                <w:rFonts w:hint="eastAsia" w:ascii="Times New Roman" w:hAnsi="Times New Roman" w:eastAsia="宋体"/>
                <w:color w:val="000000" w:themeColor="text1"/>
                <w:sz w:val="24"/>
                <w14:textFill>
                  <w14:solidFill>
                    <w14:schemeClr w14:val="tx1"/>
                  </w14:solidFill>
                </w14:textFill>
              </w:rPr>
              <w:t>进行检查和维修。</w:t>
            </w:r>
          </w:p>
          <w:p w14:paraId="4D4EAE5C">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2"/>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4.</w:t>
            </w:r>
            <w:r>
              <w:rPr>
                <w:rFonts w:hint="eastAsia" w:cs="Times New Roman"/>
                <w:b/>
                <w:bCs/>
                <w:color w:val="000000" w:themeColor="text1"/>
                <w:sz w:val="24"/>
                <w:highlight w:val="none"/>
                <w:lang w:val="en-US" w:eastAsia="zh-CN"/>
                <w14:textFill>
                  <w14:solidFill>
                    <w14:schemeClr w14:val="tx1"/>
                  </w14:solidFill>
                </w14:textFill>
              </w:rPr>
              <w:t>8</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事故应急池设置</w:t>
            </w:r>
          </w:p>
          <w:p w14:paraId="73F3AE5A">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事故池主要用于厂区内发生事故或火灾时，控制、收集和存放污染事故水(包括污染雨水)及污染消防水。污染事故水及污染消防水通过雨水的管道收集。本评价事故应急水池容量参照《</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事故状态下水体污染的预防与控制技术规范</w:t>
            </w:r>
            <w:r>
              <w:rPr>
                <w:rFonts w:hint="default" w:ascii="Times New Roman" w:hAnsi="Times New Roman" w:eastAsia="宋体" w:cs="Times New Roman"/>
                <w:color w:val="000000" w:themeColor="text1"/>
                <w:kern w:val="0"/>
                <w:sz w:val="24"/>
                <w:highlight w:val="none"/>
                <w:u w:val="none"/>
                <w:lang w:val="en-US" w:eastAsia="zh-CN"/>
                <w14:textFill>
                  <w14:solidFill>
                    <w14:schemeClr w14:val="tx1"/>
                  </w14:solidFill>
                </w14:textFill>
              </w:rPr>
              <w:t xml:space="preserve">》(Q/SY 08190-2019)附录B中事故缓冲设施总有效容积的计算公式计算： </w:t>
            </w:r>
          </w:p>
          <w:p w14:paraId="2593808D">
            <w:pPr>
              <w:keepNext w:val="0"/>
              <w:keepLines w:val="0"/>
              <w:pageBreakBefore w:val="0"/>
              <w:kinsoku/>
              <w:wordWrap/>
              <w:overflowPunct/>
              <w:topLinePunct w:val="0"/>
              <w:bidi w:val="0"/>
              <w:adjustRightInd w:val="0"/>
              <w:snapToGrid w:val="0"/>
              <w:spacing w:line="360" w:lineRule="auto"/>
              <w:ind w:firstLine="48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object>
                <v:shape id="_x0000_i1027" o:spt="75" type="#_x0000_t75" style="height:22.65pt;width:199.05pt;" o:ole="t" filled="f" o:preferrelative="t" stroked="f" coordsize="21600,21600">
                  <v:path/>
                  <v:fill on="f" focussize="0,0"/>
                  <v:stroke on="f"/>
                  <v:imagedata r:id="rId27" o:title=""/>
                  <o:lock v:ext="edit" aspectratio="t"/>
                  <w10:wrap type="none"/>
                  <w10:anchorlock/>
                </v:shape>
                <o:OLEObject Type="Embed" ProgID="Equation.3" ShapeID="_x0000_i1027" DrawAspect="Content" ObjectID="_1468075727" r:id="rId26">
                  <o:LockedField>false</o:LockedField>
                </o:OLEObject>
              </w:object>
            </w:r>
          </w:p>
          <w:p w14:paraId="3D5098E5">
            <w:pPr>
              <w:keepNext w:val="0"/>
              <w:keepLines w:val="0"/>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V</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=ΣQ</w:t>
            </w:r>
            <w:r>
              <w:rPr>
                <w:rFonts w:hint="default" w:ascii="Times New Roman" w:hAnsi="Times New Roman" w:cs="Times New Roman"/>
                <w:color w:val="000000" w:themeColor="text1"/>
                <w:sz w:val="24"/>
                <w:vertAlign w:val="subscript"/>
                <w14:textFill>
                  <w14:solidFill>
                    <w14:schemeClr w14:val="tx1"/>
                  </w14:solidFill>
                </w14:textFill>
              </w:rPr>
              <w:t>消</w:t>
            </w:r>
            <w:r>
              <w:rPr>
                <w:rFonts w:hint="default" w:ascii="Times New Roman" w:hAnsi="Times New Roman" w:cs="Times New Roman"/>
                <w:color w:val="000000" w:themeColor="text1"/>
                <w:sz w:val="24"/>
                <w:lang w:val="en-US" w:eastAsia="zh-CN"/>
                <w14:textFill>
                  <w14:solidFill>
                    <w14:schemeClr w14:val="tx1"/>
                  </w14:solidFill>
                </w14:textFill>
              </w:rPr>
              <w:t>t</w:t>
            </w:r>
            <w:r>
              <w:rPr>
                <w:rFonts w:hint="default" w:ascii="Times New Roman" w:hAnsi="Times New Roman" w:cs="Times New Roman"/>
                <w:color w:val="000000" w:themeColor="text1"/>
                <w:sz w:val="24"/>
                <w:vertAlign w:val="subscript"/>
                <w14:textFill>
                  <w14:solidFill>
                    <w14:schemeClr w14:val="tx1"/>
                  </w14:solidFill>
                </w14:textFill>
              </w:rPr>
              <w:t>消</w:t>
            </w:r>
          </w:p>
          <w:p w14:paraId="6158492D">
            <w:pPr>
              <w:keepNext w:val="0"/>
              <w:keepLines w:val="0"/>
              <w:pageBreakBefore w:val="0"/>
              <w:kinsoku/>
              <w:wordWrap/>
              <w:overflowPunct/>
              <w:topLinePunct w:val="0"/>
              <w:bidi w:val="0"/>
              <w:adjustRightInd w:val="0"/>
              <w:snapToGrid w:val="0"/>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p>
          <w:p w14:paraId="0FC36C05">
            <w:pPr>
              <w:keepNext w:val="0"/>
              <w:keepLines w:val="0"/>
              <w:pageBreakBefore w:val="0"/>
              <w:kinsoku/>
              <w:wordWrap/>
              <w:overflowPunct/>
              <w:topLinePunct w:val="0"/>
              <w:bidi w:val="0"/>
              <w:adjustRightInd w:val="0"/>
              <w:snapToGrid w:val="0"/>
              <w:spacing w:line="360" w:lineRule="auto"/>
              <w:ind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V</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总：</w:t>
            </w:r>
            <w:r>
              <w:rPr>
                <w:rFonts w:hint="default" w:ascii="Times New Roman" w:hAnsi="Times New Roman" w:cs="Times New Roman"/>
                <w:color w:val="000000" w:themeColor="text1"/>
                <w:sz w:val="24"/>
                <w:szCs w:val="24"/>
                <w14:textFill>
                  <w14:solidFill>
                    <w14:schemeClr w14:val="tx1"/>
                  </w14:solidFill>
                </w14:textFill>
              </w:rPr>
              <w:t>——事故缓冲设施总有效容积，单位为m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14:paraId="2695D3ED">
            <w:pPr>
              <w:keepNext w:val="0"/>
              <w:keepLines w:val="0"/>
              <w:pageBreakBefore w:val="0"/>
              <w:kinsoku/>
              <w:wordWrap/>
              <w:overflowPunct/>
              <w:topLinePunct w:val="0"/>
              <w:bidi w:val="0"/>
              <w:adjustRightInd w:val="0"/>
              <w:snapToGrid w:val="0"/>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V</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——收集系统范围内发生事故的物料量，单位为m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14:paraId="494B6262">
            <w:pPr>
              <w:keepNext w:val="0"/>
              <w:keepLines w:val="0"/>
              <w:pageBreakBefore w:val="0"/>
              <w:kinsoku/>
              <w:wordWrap/>
              <w:overflowPunct/>
              <w:topLinePunct w:val="0"/>
              <w:bidi w:val="0"/>
              <w:adjustRightInd w:val="0"/>
              <w:snapToGrid w:val="0"/>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V</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 xml:space="preserve"> ——发生事故的储罐、装置或铁路、汽车装卸区的消防水量，单位为m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14:paraId="75E91D57">
            <w:pPr>
              <w:keepNext w:val="0"/>
              <w:keepLines w:val="0"/>
              <w:pageBreakBefore w:val="0"/>
              <w:kinsoku/>
              <w:wordWrap/>
              <w:overflowPunct/>
              <w:topLinePunct w:val="0"/>
              <w:bidi w:val="0"/>
              <w:adjustRightInd w:val="0"/>
              <w:snapToGrid w:val="0"/>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Q</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消</w:t>
            </w:r>
            <w:r>
              <w:rPr>
                <w:rFonts w:hint="default" w:ascii="Times New Roman" w:hAnsi="Times New Roman" w:cs="Times New Roman"/>
                <w:color w:val="000000" w:themeColor="text1"/>
                <w:sz w:val="24"/>
                <w:szCs w:val="24"/>
                <w14:textFill>
                  <w14:solidFill>
                    <w14:schemeClr w14:val="tx1"/>
                  </w14:solidFill>
                </w14:textFill>
              </w:rPr>
              <w:t>——发生事故的储罐、装置或铁路、汽车装卸区同时使用的消防设施给水流量，单位为m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h；</w:t>
            </w:r>
          </w:p>
          <w:p w14:paraId="637DE11B">
            <w:pPr>
              <w:keepNext w:val="0"/>
              <w:keepLines w:val="0"/>
              <w:pageBreakBefore w:val="0"/>
              <w:kinsoku/>
              <w:wordWrap/>
              <w:overflowPunct/>
              <w:topLinePunct w:val="0"/>
              <w:bidi w:val="0"/>
              <w:adjustRightInd w:val="0"/>
              <w:snapToGrid w:val="0"/>
              <w:spacing w:line="360" w:lineRule="auto"/>
              <w:ind w:firstLine="48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t</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消</w:t>
            </w:r>
            <w:r>
              <w:rPr>
                <w:rFonts w:hint="default" w:ascii="Times New Roman" w:hAnsi="Times New Roman" w:cs="Times New Roman"/>
                <w:color w:val="000000" w:themeColor="text1"/>
                <w:sz w:val="24"/>
                <w:szCs w:val="24"/>
                <w14:textFill>
                  <w14:solidFill>
                    <w14:schemeClr w14:val="tx1"/>
                  </w14:solidFill>
                </w14:textFill>
              </w:rPr>
              <w:t>——消防设施对应的设计消防历时，单位为h</w:t>
            </w:r>
            <w:r>
              <w:rPr>
                <w:rFonts w:hint="default" w:ascii="Times New Roman" w:hAnsi="Times New Roman" w:cs="Times New Roman"/>
                <w:color w:val="000000" w:themeColor="text1"/>
                <w:sz w:val="24"/>
                <w:szCs w:val="24"/>
                <w:lang w:eastAsia="zh-CN"/>
                <w14:textFill>
                  <w14:solidFill>
                    <w14:schemeClr w14:val="tx1"/>
                  </w14:solidFill>
                </w14:textFill>
              </w:rPr>
              <w:t>；</w:t>
            </w:r>
          </w:p>
          <w:p w14:paraId="5A143755">
            <w:pPr>
              <w:keepNext w:val="0"/>
              <w:keepLines w:val="0"/>
              <w:pageBreakBefore w:val="0"/>
              <w:kinsoku/>
              <w:wordWrap/>
              <w:overflowPunct/>
              <w:topLinePunct w:val="0"/>
              <w:bidi w:val="0"/>
              <w:adjustRightInd w:val="0"/>
              <w:snapToGrid w:val="0"/>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V</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发生事故时可以</w:t>
            </w:r>
            <w:r>
              <w:rPr>
                <w:rFonts w:hint="eastAsia" w:ascii="Times New Roman" w:hAnsi="Times New Roman" w:cs="Times New Roman"/>
                <w:color w:val="000000" w:themeColor="text1"/>
                <w:sz w:val="24"/>
                <w:szCs w:val="24"/>
                <w:lang w:val="en-US" w:eastAsia="zh-CN"/>
                <w14:textFill>
                  <w14:solidFill>
                    <w14:schemeClr w14:val="tx1"/>
                  </w14:solidFill>
                </w14:textFill>
              </w:rPr>
              <w:t>传输</w:t>
            </w:r>
            <w:r>
              <w:rPr>
                <w:rFonts w:hint="default" w:ascii="Times New Roman" w:hAnsi="Times New Roman" w:cs="Times New Roman"/>
                <w:color w:val="000000" w:themeColor="text1"/>
                <w:sz w:val="24"/>
                <w:szCs w:val="24"/>
                <w:lang w:val="en-US" w:eastAsia="zh-CN"/>
                <w14:textFill>
                  <w14:solidFill>
                    <w14:schemeClr w14:val="tx1"/>
                  </w14:solidFill>
                </w14:textFill>
              </w:rPr>
              <w:t>到其他储存或处理设施的物料量，</w:t>
            </w:r>
            <w:r>
              <w:rPr>
                <w:rFonts w:hint="default" w:ascii="Times New Roman" w:hAnsi="Times New Roman" w:cs="Times New Roman"/>
                <w:color w:val="000000" w:themeColor="text1"/>
                <w:sz w:val="24"/>
                <w:szCs w:val="24"/>
                <w14:textFill>
                  <w14:solidFill>
                    <w14:schemeClr w14:val="tx1"/>
                  </w14:solidFill>
                </w14:textFill>
              </w:rPr>
              <w:t>单位为m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14:paraId="64000E90">
            <w:pPr>
              <w:keepNext w:val="0"/>
              <w:keepLines w:val="0"/>
              <w:pageBreakBefore w:val="0"/>
              <w:kinsoku/>
              <w:wordWrap/>
              <w:overflowPunct/>
              <w:topLinePunct w:val="0"/>
              <w:bidi w:val="0"/>
              <w:adjustRightInd w:val="0"/>
              <w:snapToGrid w:val="0"/>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V</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——发生事故时仍必须进入该收集系统的生产废水量，单位为m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14:paraId="1ED88D25">
            <w:pPr>
              <w:keepNext w:val="0"/>
              <w:keepLines w:val="0"/>
              <w:pageBreakBefore w:val="0"/>
              <w:kinsoku/>
              <w:wordWrap/>
              <w:overflowPunct/>
              <w:topLinePunct w:val="0"/>
              <w:bidi w:val="0"/>
              <w:adjustRightInd w:val="0"/>
              <w:snapToGrid w:val="0"/>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V</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——发生事故时可能进入该收集系统的降雨量，单位为m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14:paraId="02E08B69">
            <w:pPr>
              <w:keepNext w:val="0"/>
              <w:keepLines w:val="0"/>
              <w:pageBreakBefore w:val="0"/>
              <w:widowControl/>
              <w:numPr>
                <w:ilvl w:val="0"/>
                <w:numId w:val="6"/>
              </w:numPr>
              <w:kinsoku/>
              <w:wordWrap/>
              <w:overflowPunct/>
              <w:topLinePunct w:val="0"/>
              <w:autoSpaceDE w:val="0"/>
              <w:autoSpaceDN w:val="0"/>
              <w:bidi w:val="0"/>
              <w:adjustRightInd w:val="0"/>
              <w:snapToGrid w:val="0"/>
              <w:spacing w:line="360" w:lineRule="auto"/>
              <w:ind w:firstLine="480" w:firstLineChars="200"/>
              <w:textAlignment w:val="bottom"/>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V</w:t>
            </w:r>
            <w:r>
              <w:rPr>
                <w:rFonts w:hint="default" w:ascii="Times New Roman" w:hAnsi="Times New Roman" w:cs="Times New Roman"/>
                <w:color w:val="000000" w:themeColor="text1"/>
                <w:sz w:val="24"/>
                <w:szCs w:val="24"/>
                <w:vertAlign w:val="subscript"/>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项目</w:t>
            </w:r>
            <w:r>
              <w:rPr>
                <w:rFonts w:hint="eastAsia" w:ascii="Times New Roman" w:hAnsi="Times New Roman" w:cs="Times New Roman"/>
                <w:color w:val="000000" w:themeColor="text1"/>
                <w:sz w:val="24"/>
                <w:szCs w:val="24"/>
                <w:lang w:val="en-US" w:eastAsia="zh-CN"/>
                <w14:textFill>
                  <w14:solidFill>
                    <w14:schemeClr w14:val="tx1"/>
                  </w14:solidFill>
                </w14:textFill>
              </w:rPr>
              <w:t>危险废物、化学品仓库设置导流沟槽、收集池及围堰，收集池</w:t>
            </w:r>
            <w:r>
              <w:rPr>
                <w:rFonts w:hint="eastAsia" w:ascii="Times New Roman" w:hAnsi="Times New Roman" w:eastAsia="宋体"/>
                <w:color w:val="000000" w:themeColor="text1"/>
                <w:sz w:val="24"/>
                <w:highlight w:val="none"/>
                <w:lang w:eastAsia="zh-CN"/>
                <w14:textFill>
                  <w14:solidFill>
                    <w14:schemeClr w14:val="tx1"/>
                  </w14:solidFill>
                </w14:textFill>
              </w:rPr>
              <w:t>容</w:t>
            </w:r>
            <w:r>
              <w:rPr>
                <w:rFonts w:hint="eastAsia" w:ascii="Times New Roman" w:hAnsi="Times New Roman" w:eastAsia="宋体"/>
                <w:color w:val="000000" w:themeColor="text1"/>
                <w:sz w:val="24"/>
                <w:highlight w:val="none"/>
                <w:lang w:val="en-US" w:eastAsia="zh-CN"/>
                <w14:textFill>
                  <w14:solidFill>
                    <w14:schemeClr w14:val="tx1"/>
                  </w14:solidFill>
                </w14:textFill>
              </w:rPr>
              <w:t>积满足</w:t>
            </w: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液态化学品</w:t>
            </w:r>
            <w:r>
              <w:rPr>
                <w:rFonts w:hint="eastAsia" w:ascii="Times New Roman" w:hAnsi="Times New Roman" w:eastAsia="宋体" w:cs="Times New Roman"/>
                <w:color w:val="000000" w:themeColor="text1"/>
                <w:kern w:val="0"/>
                <w:sz w:val="24"/>
                <w:highlight w:val="none"/>
                <w:u w:val="none"/>
                <w:lang w:val="en-US" w:eastAsia="zh-CN"/>
                <w14:textFill>
                  <w14:solidFill>
                    <w14:schemeClr w14:val="tx1"/>
                  </w14:solidFill>
                </w14:textFill>
              </w:rPr>
              <w:t>最大泄漏量（单桶）的储存要求</w:t>
            </w:r>
            <w:r>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t>，因此</w:t>
            </w:r>
            <w:r>
              <w:rPr>
                <w:rFonts w:hint="eastAsia" w:ascii="Times New Roman" w:hAnsi="Times New Roman" w:cs="Times New Roman"/>
                <w:color w:val="000000" w:themeColor="text1"/>
                <w:sz w:val="24"/>
                <w:szCs w:val="24"/>
                <w:lang w:val="en-US" w:eastAsia="zh-CN"/>
                <w14:textFill>
                  <w14:solidFill>
                    <w14:schemeClr w14:val="tx1"/>
                  </w14:solidFill>
                </w14:textFill>
              </w:rPr>
              <w:t>发生泄漏可控制在收集池内，</w:t>
            </w:r>
            <w:r>
              <w:rPr>
                <w:rFonts w:hint="default" w:ascii="Times New Roman" w:hAnsi="Times New Roman" w:cs="Times New Roman"/>
                <w:color w:val="000000" w:themeColor="text1"/>
                <w:sz w:val="24"/>
                <w:szCs w:val="24"/>
                <w:lang w:val="en-US" w:eastAsia="zh-CN"/>
                <w14:textFill>
                  <w14:solidFill>
                    <w14:schemeClr w14:val="tx1"/>
                  </w14:solidFill>
                </w14:textFill>
              </w:rPr>
              <w:t>则V</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7077EF6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ottom"/>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B</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V</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消防给水及消火栓系统技术规范</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(GB50974-2014)表3.5.2</w:t>
            </w:r>
            <w:r>
              <w:rPr>
                <w:rFonts w:hint="default" w:ascii="Times New Roman" w:hAnsi="Times New Roman" w:eastAsia="宋体" w:cs="Times New Roman"/>
                <w:color w:val="000000" w:themeColor="text1"/>
                <w:sz w:val="24"/>
                <w:szCs w:val="24"/>
                <w14:textFill>
                  <w14:solidFill>
                    <w14:schemeClr w14:val="tx1"/>
                  </w14:solidFill>
                </w14:textFill>
              </w:rPr>
              <w:t>建筑物室内消火栓设计流量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室内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消火栓设计流量为1</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L/s，</w:t>
            </w:r>
            <w:r>
              <w:rPr>
                <w:rFonts w:hint="default" w:ascii="Times New Roman" w:hAnsi="Times New Roman" w:cs="Times New Roman"/>
                <w:color w:val="000000" w:themeColor="text1"/>
                <w:sz w:val="24"/>
                <w:szCs w:val="24"/>
                <w:lang w:val="en-US" w:eastAsia="zh-CN"/>
                <w14:textFill>
                  <w14:solidFill>
                    <w14:schemeClr w14:val="tx1"/>
                  </w14:solidFill>
                </w14:textFill>
              </w:rPr>
              <w:t>发生火灾事故</w:t>
            </w:r>
            <w:r>
              <w:rPr>
                <w:rFonts w:hint="default" w:ascii="Times New Roman" w:hAnsi="Times New Roman" w:cs="Times New Roman"/>
                <w:color w:val="000000" w:themeColor="text1"/>
                <w:sz w:val="24"/>
                <w:szCs w:val="24"/>
                <w14:textFill>
                  <w14:solidFill>
                    <w14:schemeClr w14:val="tx1"/>
                  </w14:solidFill>
                </w14:textFill>
              </w:rPr>
              <w:t>消防历时</w:t>
            </w:r>
            <w:r>
              <w:rPr>
                <w:rFonts w:hint="default" w:ascii="Times New Roman" w:hAnsi="Times New Roman" w:cs="Times New Roman"/>
                <w:color w:val="000000" w:themeColor="text1"/>
                <w:sz w:val="24"/>
                <w:szCs w:val="24"/>
                <w:lang w:val="en-US" w:eastAsia="zh-CN"/>
                <w14:textFill>
                  <w14:solidFill>
                    <w14:schemeClr w14:val="tx1"/>
                  </w14:solidFill>
                </w14:textFill>
              </w:rPr>
              <w:t>按</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.0h计算</w:t>
            </w:r>
            <w:r>
              <w:rPr>
                <w:rFonts w:hint="default" w:ascii="Times New Roman" w:hAnsi="Times New Roman" w:cs="Times New Roman"/>
                <w:color w:val="000000" w:themeColor="text1"/>
                <w:sz w:val="24"/>
                <w:szCs w:val="24"/>
                <w14:textFill>
                  <w14:solidFill>
                    <w14:schemeClr w14:val="tx1"/>
                  </w14:solidFill>
                </w14:textFill>
              </w:rPr>
              <w:t>，则V</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=ΣQ消t消=</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L/s×</w:t>
            </w:r>
            <w:r>
              <w:rPr>
                <w:rFonts w:hint="eastAsia" w:ascii="Times New Roman" w:hAnsi="Times New Roman" w:cs="Times New Roman"/>
                <w:color w:val="000000" w:themeColor="text1"/>
                <w:sz w:val="24"/>
                <w:szCs w:val="24"/>
                <w:lang w:val="en-US" w:eastAsia="zh-CN"/>
                <w14:textFill>
                  <w14:solidFill>
                    <w14:schemeClr w14:val="tx1"/>
                  </w14:solidFill>
                </w14:textFill>
              </w:rPr>
              <w:t>36</w:t>
            </w:r>
            <w:r>
              <w:rPr>
                <w:rFonts w:hint="default" w:ascii="Times New Roman" w:hAnsi="Times New Roman" w:cs="Times New Roman"/>
                <w:color w:val="000000" w:themeColor="text1"/>
                <w:sz w:val="24"/>
                <w:szCs w:val="24"/>
                <w:lang w:val="en-US" w:eastAsia="zh-CN"/>
                <w14:textFill>
                  <w14:solidFill>
                    <w14:schemeClr w14:val="tx1"/>
                  </w14:solidFill>
                </w14:textFill>
              </w:rPr>
              <w:t>00s</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15*1*3600/1000 \* MERGEFORMAT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54</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14:paraId="465475B2">
            <w:pPr>
              <w:adjustRightInd w:val="0"/>
              <w:snapToGrid w:val="0"/>
              <w:spacing w:line="360" w:lineRule="auto"/>
              <w:ind w:firstLine="480"/>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C</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V</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发生事故时</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可以</w:t>
            </w:r>
            <w:r>
              <w:rPr>
                <w:rFonts w:hint="eastAsia" w:ascii="Times New Roman" w:hAnsi="Times New Roman" w:cs="Times New Roman"/>
                <w:color w:val="000000" w:themeColor="text1"/>
                <w:sz w:val="24"/>
                <w:szCs w:val="24"/>
                <w:lang w:val="en-US" w:eastAsia="zh-CN"/>
                <w14:textFill>
                  <w14:solidFill>
                    <w14:schemeClr w14:val="tx1"/>
                  </w14:solidFill>
                </w14:textFill>
              </w:rPr>
              <w:t>传输</w:t>
            </w:r>
            <w:r>
              <w:rPr>
                <w:rFonts w:hint="default" w:ascii="Times New Roman" w:hAnsi="Times New Roman" w:cs="Times New Roman"/>
                <w:color w:val="000000" w:themeColor="text1"/>
                <w:sz w:val="24"/>
                <w:szCs w:val="24"/>
                <w:lang w:val="en-US" w:eastAsia="zh-CN"/>
                <w14:textFill>
                  <w14:solidFill>
                    <w14:schemeClr w14:val="tx1"/>
                  </w14:solidFill>
                </w14:textFill>
              </w:rPr>
              <w:t>到其他储存或处理设施的物料量</w:t>
            </w:r>
            <w:r>
              <w:rPr>
                <w:rFonts w:hint="eastAsia" w:ascii="Times New Roman" w:hAnsi="Times New Roman" w:cs="Times New Roman"/>
                <w:color w:val="000000" w:themeColor="text1"/>
                <w:sz w:val="24"/>
                <w:szCs w:val="24"/>
                <w:lang w:val="en-US" w:eastAsia="zh-CN"/>
                <w14:textFill>
                  <w14:solidFill>
                    <w14:schemeClr w14:val="tx1"/>
                  </w14:solidFill>
                </w14:textFill>
              </w:rPr>
              <w:t>，本项目设有沥水槽2座，容积各约</w:t>
            </w:r>
            <w:r>
              <w:rPr>
                <w:rFonts w:hint="eastAsia" w:cs="Times New Roman"/>
                <w:color w:val="000000" w:themeColor="text1"/>
                <w:sz w:val="24"/>
                <w:szCs w:val="24"/>
                <w:lang w:val="en-US" w:eastAsia="zh-CN"/>
                <w14:textFill>
                  <w14:solidFill>
                    <w14:schemeClr w14:val="tx1"/>
                  </w14:solidFill>
                </w14:textFill>
              </w:rPr>
              <w:t>18.7</w:t>
            </w:r>
            <w:r>
              <w:rPr>
                <w:rFonts w:hint="eastAsia" w:ascii="Times New Roman" w:hAnsi="Times New Roman" w:cs="Times New Roman"/>
                <w:color w:val="000000" w:themeColor="text1"/>
                <w:sz w:val="24"/>
                <w:szCs w:val="24"/>
                <w:lang w:val="en-US" w:eastAsia="zh-CN"/>
                <w14:textFill>
                  <w14:solidFill>
                    <w14:schemeClr w14:val="tx1"/>
                  </w14:solidFill>
                </w14:textFill>
              </w:rPr>
              <w:t>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13</w:t>
            </w:r>
            <w:r>
              <w:rPr>
                <w:rFonts w:hint="eastAsia" w:ascii="Times New Roman" w:hAnsi="Times New Roman" w:cs="Times New Roman"/>
                <w:color w:val="000000" w:themeColor="text1"/>
                <w:sz w:val="24"/>
                <w:szCs w:val="24"/>
                <w:lang w:val="en-US" w:eastAsia="zh-CN"/>
                <w14:textFill>
                  <w14:solidFill>
                    <w14:schemeClr w14:val="tx1"/>
                  </w14:solidFill>
                </w14:textFill>
              </w:rPr>
              <w:t>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，主要作为</w:t>
            </w:r>
            <w:r>
              <w:rPr>
                <w:rFonts w:hint="default"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工件出槽后沥水</w:t>
            </w:r>
            <w:r>
              <w:rPr>
                <w:rFonts w:hint="eastAsia" w:ascii="Times New Roman" w:hAnsi="Times New Roman" w:eastAsia="宋体" w:cs="Times New Roman"/>
                <w:color w:val="000000" w:themeColor="text1"/>
                <w:position w:val="0"/>
                <w:sz w:val="24"/>
                <w:szCs w:val="24"/>
                <w:highlight w:val="none"/>
                <w:lang w:val="en-US" w:eastAsia="zh-CN"/>
                <w14:textFill>
                  <w14:solidFill>
                    <w14:schemeClr w14:val="tx1"/>
                  </w14:solidFill>
                </w14:textFill>
              </w:rPr>
              <w:t>使用，基本处于空置状态，事故时可作为暂存池使用，</w:t>
            </w:r>
            <w:r>
              <w:rPr>
                <w:rFonts w:hint="default" w:ascii="Times New Roman" w:hAnsi="Times New Roman" w:cs="Times New Roman"/>
                <w:color w:val="000000" w:themeColor="text1"/>
                <w:sz w:val="24"/>
                <w:szCs w:val="24"/>
                <w:lang w:val="en-US" w:eastAsia="zh-CN"/>
                <w14:textFill>
                  <w14:solidFill>
                    <w14:schemeClr w14:val="tx1"/>
                  </w14:solidFill>
                </w14:textFill>
              </w:rPr>
              <w:t>则V</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cs="Times New Roman"/>
                <w:color w:val="000000" w:themeColor="text1"/>
                <w:sz w:val="24"/>
                <w:szCs w:val="24"/>
                <w:lang w:eastAsia="zh-CN"/>
                <w14:textFill>
                  <w14:solidFill>
                    <w14:schemeClr w14:val="tx1"/>
                  </w14:solidFill>
                </w14:textFill>
              </w:rPr>
              <w:instrText xml:space="preserve"> = 18.7+13 \* MERGEFORMAT </w:instrText>
            </w:r>
            <w:r>
              <w:rPr>
                <w:rFonts w:hint="default" w:ascii="Times New Roman" w:hAnsi="Times New Roman"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cs="Times New Roman"/>
                <w:color w:val="000000" w:themeColor="text1"/>
                <w:sz w:val="24"/>
                <w:szCs w:val="24"/>
                <w:lang w:eastAsia="zh-CN"/>
                <w14:textFill>
                  <w14:solidFill>
                    <w14:schemeClr w14:val="tx1"/>
                  </w14:solidFill>
                </w14:textFill>
              </w:rPr>
              <w:t>31.7</w:t>
            </w:r>
            <w:r>
              <w:rPr>
                <w:rFonts w:hint="default" w:ascii="Times New Roman" w:hAnsi="Times New Roman" w:cs="Times New Roman"/>
                <w:color w:val="000000" w:themeColor="text1"/>
                <w:sz w:val="24"/>
                <w:szCs w:val="24"/>
                <w:lang w:eastAsia="zh-CN"/>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283310B4">
            <w:pPr>
              <w:keepNext w:val="0"/>
              <w:keepLines w:val="0"/>
              <w:pageBreakBefore w:val="0"/>
              <w:kinsoku/>
              <w:wordWrap/>
              <w:overflowPunct/>
              <w:topLinePunct w:val="0"/>
              <w:bidi w:val="0"/>
              <w:adjustRightInd w:val="0"/>
              <w:snapToGrid w:val="0"/>
              <w:spacing w:line="360" w:lineRule="auto"/>
              <w:ind w:firstLine="48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D</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V</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本项目为间歇排水，事故时可不排放，</w:t>
            </w:r>
            <w:r>
              <w:rPr>
                <w:rFonts w:hint="default" w:ascii="Times New Roman" w:hAnsi="Times New Roman" w:cs="Times New Roman"/>
                <w:color w:val="000000" w:themeColor="text1"/>
                <w:sz w:val="24"/>
                <w:szCs w:val="24"/>
                <w:lang w:val="en-US" w:eastAsia="zh-CN"/>
                <w14:textFill>
                  <w14:solidFill>
                    <w14:schemeClr w14:val="tx1"/>
                  </w14:solidFill>
                </w14:textFill>
              </w:rPr>
              <w:t>则V</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4</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3BC6B35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ottom"/>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E</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V</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发生事故时可能进入该收集系统的降雨量</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V</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87.04</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14:paraId="3A2D1B19">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center"/>
              <w:textAlignment w:val="bottom"/>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V</w:t>
            </w:r>
            <w:r>
              <w:rPr>
                <w:rFonts w:hint="default" w:ascii="Times New Roman" w:hAnsi="Times New Roman" w:cs="Times New Roman"/>
                <w:color w:val="000000" w:themeColor="text1"/>
                <w:sz w:val="24"/>
                <w:szCs w:val="24"/>
                <w:vertAlign w:val="subscript"/>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=10q</w:t>
            </w:r>
            <w:r>
              <w:rPr>
                <w:rFonts w:hint="default" w:ascii="Times New Roman" w:hAnsi="Times New Roman" w:cs="Times New Roman"/>
                <w:color w:val="000000" w:themeColor="text1"/>
                <w:sz w:val="24"/>
                <w:szCs w:val="24"/>
                <w:lang w:val="en-US" w:eastAsia="zh-CN"/>
                <w14:textFill>
                  <w14:solidFill>
                    <w14:schemeClr w14:val="tx1"/>
                  </w14:solidFill>
                </w14:textFill>
              </w:rPr>
              <w:t>f</w:t>
            </w:r>
          </w:p>
          <w:p w14:paraId="69E19692">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center"/>
              <w:textAlignment w:val="bottom"/>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q=qa/n</w:t>
            </w:r>
          </w:p>
          <w:p w14:paraId="4951919A">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bottom"/>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p>
          <w:p w14:paraId="509E61F2">
            <w:pPr>
              <w:keepNext w:val="0"/>
              <w:keepLines w:val="0"/>
              <w:pageBreakBefore w:val="0"/>
              <w:kinsoku/>
              <w:wordWrap/>
              <w:overflowPunct/>
              <w:topLinePunct w:val="0"/>
              <w:bidi w:val="0"/>
              <w:adjustRightInd w:val="0"/>
              <w:snapToGrid w:val="0"/>
              <w:spacing w:line="360" w:lineRule="auto"/>
              <w:ind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q——降雨强度，按平均日降雨量，单位为毫米(mm)</w:t>
            </w:r>
            <w:r>
              <w:rPr>
                <w:rFonts w:hint="default" w:ascii="Times New Roman" w:hAnsi="Times New Roman" w:cs="Times New Roman"/>
                <w:color w:val="000000" w:themeColor="text1"/>
                <w:sz w:val="24"/>
                <w:szCs w:val="24"/>
                <w:lang w:eastAsia="zh-CN"/>
                <w14:textFill>
                  <w14:solidFill>
                    <w14:schemeClr w14:val="tx1"/>
                  </w14:solidFill>
                </w14:textFill>
              </w:rPr>
              <w:t>；</w:t>
            </w:r>
          </w:p>
          <w:p w14:paraId="2121FAC8">
            <w:pPr>
              <w:keepNext w:val="0"/>
              <w:keepLines w:val="0"/>
              <w:pageBreakBefore w:val="0"/>
              <w:kinsoku/>
              <w:wordWrap/>
              <w:overflowPunct/>
              <w:topLinePunct w:val="0"/>
              <w:bidi w:val="0"/>
              <w:adjustRightInd w:val="0"/>
              <w:snapToGrid w:val="0"/>
              <w:spacing w:line="360" w:lineRule="auto"/>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qa——年平均降雨量，单位为毫米(mm)</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计算时取qa=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1673.9</w:t>
            </w:r>
            <w:r>
              <w:rPr>
                <w:rFonts w:hint="default" w:ascii="Times New Roman" w:hAnsi="Times New Roman" w:cs="Times New Roman"/>
                <w:color w:val="000000" w:themeColor="text1"/>
                <w:sz w:val="24"/>
                <w:szCs w:val="24"/>
                <w14:textFill>
                  <w14:solidFill>
                    <w14:schemeClr w14:val="tx1"/>
                  </w14:solidFill>
                </w14:textFill>
              </w:rPr>
              <w:t>mm；</w:t>
            </w:r>
          </w:p>
          <w:p w14:paraId="3FD5ACFB">
            <w:pPr>
              <w:keepNext w:val="0"/>
              <w:keepLines w:val="0"/>
              <w:pageBreakBefore w:val="0"/>
              <w:kinsoku/>
              <w:wordWrap/>
              <w:overflowPunct/>
              <w:topLinePunct w:val="0"/>
              <w:bidi w:val="0"/>
              <w:adjustRightInd w:val="0"/>
              <w:snapToGrid w:val="0"/>
              <w:spacing w:line="360" w:lineRule="auto"/>
              <w:ind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n——年平均降雨日数，单位为天(d)</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计算时n取</w:t>
            </w:r>
            <w:r>
              <w:rPr>
                <w:rFonts w:hint="eastAsia" w:ascii="Times New Roman" w:hAnsi="Times New Roman" w:cs="Times New Roman"/>
                <w:color w:val="000000" w:themeColor="text1"/>
                <w:sz w:val="24"/>
                <w:szCs w:val="24"/>
                <w:lang w:val="en-US" w:eastAsia="zh-CN"/>
                <w14:textFill>
                  <w14:solidFill>
                    <w14:schemeClr w14:val="tx1"/>
                  </w14:solidFill>
                </w14:textFill>
              </w:rPr>
              <w:t>150</w:t>
            </w:r>
            <w:r>
              <w:rPr>
                <w:rFonts w:hint="default" w:ascii="Times New Roman" w:hAnsi="Times New Roman" w:cs="Times New Roman"/>
                <w:color w:val="000000" w:themeColor="text1"/>
                <w:sz w:val="24"/>
                <w:szCs w:val="24"/>
                <w14:textFill>
                  <w14:solidFill>
                    <w14:schemeClr w14:val="tx1"/>
                  </w14:solidFill>
                </w14:textFill>
              </w:rPr>
              <w:t>天；</w:t>
            </w:r>
          </w:p>
          <w:p w14:paraId="7969A638">
            <w:pPr>
              <w:keepNext w:val="0"/>
              <w:keepLines w:val="0"/>
              <w:pageBreakBefore w:val="0"/>
              <w:kinsoku/>
              <w:wordWrap/>
              <w:overflowPunct/>
              <w:topLinePunct w:val="0"/>
              <w:bidi w:val="0"/>
              <w:adjustRightInd w:val="0"/>
              <w:snapToGrid w:val="0"/>
              <w:spacing w:line="360" w:lineRule="auto"/>
              <w:ind w:firstLine="480"/>
              <w:rPr>
                <w:rFonts w:hint="eastAsia" w:ascii="Times New Roman" w:hAnsi="Times New Roman" w:eastAsia="宋体"/>
                <w:color w:val="000000" w:themeColor="text1"/>
                <w:sz w:val="24"/>
                <w:szCs w:val="24"/>
                <w:highlight w:val="yellow"/>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f——必须</w:t>
            </w:r>
            <w:r>
              <w:rPr>
                <w:rFonts w:hint="default" w:ascii="Times New Roman" w:hAnsi="Times New Roman" w:cs="Times New Roman"/>
                <w:color w:val="000000" w:themeColor="text1"/>
                <w:sz w:val="24"/>
                <w:szCs w:val="24"/>
                <w:highlight w:val="none"/>
                <w:lang w:eastAsia="zh-CN"/>
                <w14:textFill>
                  <w14:solidFill>
                    <w14:schemeClr w14:val="tx1"/>
                  </w14:solidFill>
                </w14:textFill>
              </w:rPr>
              <w:t>进入</w:t>
            </w:r>
            <w:r>
              <w:rPr>
                <w:rFonts w:hint="default" w:ascii="Times New Roman" w:hAnsi="Times New Roman" w:cs="Times New Roman"/>
                <w:color w:val="000000" w:themeColor="text1"/>
                <w:sz w:val="24"/>
                <w:szCs w:val="24"/>
                <w:highlight w:val="none"/>
                <w14:textFill>
                  <w14:solidFill>
                    <w14:schemeClr w14:val="tx1"/>
                  </w14:solidFill>
                </w14:textFill>
              </w:rPr>
              <w:t>事故废水收集系统的雨水汇水面积，单位为公顷(ha)</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2"/>
                <w:sz w:val="24"/>
                <w:szCs w:val="24"/>
                <w:highlight w:val="none"/>
                <w:lang w:val="en-US" w:eastAsia="zh-CN"/>
                <w14:textFill>
                  <w14:solidFill>
                    <w14:schemeClr w14:val="tx1"/>
                  </w14:solidFill>
                </w14:textFill>
              </w:rPr>
              <w:t>项目用地面积约7790.24m</w:t>
            </w:r>
            <w:r>
              <w:rPr>
                <w:rFonts w:hint="eastAsia" w:ascii="Times New Roman" w:hAnsi="Times New Roman" w:eastAsia="宋体" w:cs="Times New Roman"/>
                <w:color w:val="000000" w:themeColor="text1"/>
                <w:kern w:val="22"/>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kern w:val="22"/>
                <w:sz w:val="24"/>
                <w:szCs w:val="24"/>
                <w:highlight w:val="none"/>
                <w:vertAlign w:val="baseline"/>
                <w:lang w:val="en-US" w:eastAsia="zh-CN"/>
                <w14:textFill>
                  <w14:solidFill>
                    <w14:schemeClr w14:val="tx1"/>
                  </w14:solidFill>
                </w14:textFill>
              </w:rPr>
              <w:t>，汇水面积f取0.78ha</w:t>
            </w:r>
            <w:r>
              <w:rPr>
                <w:rFonts w:ascii="Times New Roman" w:hAnsi="Times New Roman" w:eastAsia="宋体" w:cs="Times New Roman"/>
                <w:color w:val="000000" w:themeColor="text1"/>
                <w:sz w:val="24"/>
                <w:szCs w:val="24"/>
                <w:highlight w:val="none"/>
                <w14:textFill>
                  <w14:solidFill>
                    <w14:schemeClr w14:val="tx1"/>
                  </w14:solidFill>
                </w14:textFill>
              </w:rPr>
              <w:t>；</w:t>
            </w:r>
          </w:p>
          <w:p w14:paraId="79291DE9">
            <w:pPr>
              <w:pStyle w:val="78"/>
              <w:rPr>
                <w:rFonts w:hint="eastAsia" w:cs="Times New Roman"/>
                <w:color w:val="000000" w:themeColor="text1"/>
                <w:vertAlign w:val="baseline"/>
                <w:lang w:val="en-US" w:eastAsia="zh-CN" w:bidi="he-IL"/>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V</w:t>
            </w:r>
            <w:r>
              <w:rPr>
                <w:rFonts w:hint="default" w:ascii="Times New Roman" w:hAnsi="Times New Roman" w:cs="Times New Roman"/>
                <w:color w:val="000000" w:themeColor="text1"/>
                <w:sz w:val="24"/>
                <w:szCs w:val="24"/>
                <w:vertAlign w:val="subscript"/>
                <w14:textFill>
                  <w14:solidFill>
                    <w14:schemeClr w14:val="tx1"/>
                  </w14:solidFill>
                </w14:textFill>
              </w:rPr>
              <w:t>事故池</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eastAsia" w:cs="Times New Roman"/>
                <w:color w:val="000000" w:themeColor="text1"/>
                <w:sz w:val="24"/>
                <w:szCs w:val="24"/>
                <w:lang w:val="en-US" w:eastAsia="zh-CN"/>
                <w14:textFill>
                  <w14:solidFill>
                    <w14:schemeClr w14:val="tx1"/>
                  </w14:solidFill>
                </w14:textFill>
              </w:rPr>
              <w:t>54</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31.7</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0+87.04</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fldChar w:fldCharType="begin"/>
            </w:r>
            <w:r>
              <w:rPr>
                <w:rFonts w:hint="default" w:ascii="Times New Roman" w:hAnsi="Times New Roman" w:cs="Times New Roman"/>
                <w:color w:val="000000" w:themeColor="text1"/>
                <w:sz w:val="24"/>
                <w:szCs w:val="24"/>
                <w:lang w:eastAsia="zh-CN"/>
                <w14:textFill>
                  <w14:solidFill>
                    <w14:schemeClr w14:val="tx1"/>
                  </w14:solidFill>
                </w14:textFill>
              </w:rPr>
              <w:instrText xml:space="preserve"> = 54-31.7+87.04 \* MERGEFORMAT </w:instrText>
            </w:r>
            <w:r>
              <w:rPr>
                <w:rFonts w:hint="default" w:ascii="Times New Roman" w:hAnsi="Times New Roman" w:cs="Times New Roman"/>
                <w:color w:val="000000" w:themeColor="text1"/>
                <w:sz w:val="24"/>
                <w:szCs w:val="24"/>
                <w:lang w:eastAsia="zh-CN"/>
                <w14:textFill>
                  <w14:solidFill>
                    <w14:schemeClr w14:val="tx1"/>
                  </w14:solidFill>
                </w14:textFill>
              </w:rPr>
              <w:fldChar w:fldCharType="separate"/>
            </w:r>
            <w:r>
              <w:rPr>
                <w:rFonts w:hint="default" w:ascii="Times New Roman" w:hAnsi="Times New Roman" w:cs="Times New Roman"/>
                <w:color w:val="000000" w:themeColor="text1"/>
                <w:sz w:val="24"/>
                <w:szCs w:val="24"/>
                <w:lang w:eastAsia="zh-CN"/>
                <w14:textFill>
                  <w14:solidFill>
                    <w14:schemeClr w14:val="tx1"/>
                  </w14:solidFill>
                </w14:textFill>
              </w:rPr>
              <w:t>109.34</w:t>
            </w:r>
            <w:r>
              <w:rPr>
                <w:rFonts w:hint="default" w:ascii="Times New Roman" w:hAnsi="Times New Roman" w:cs="Times New Roman"/>
                <w:color w:val="000000" w:themeColor="text1"/>
                <w:sz w:val="24"/>
                <w:szCs w:val="24"/>
                <w:lang w:eastAsia="zh-CN"/>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m³，因此，项目应配套建设容积不低于</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eastAsia="宋体" w:cs="宋体"/>
                <w:bCs/>
                <w:color w:val="000000" w:themeColor="text1"/>
                <w:sz w:val="24"/>
                <w:szCs w:val="24"/>
                <w:lang w:val="en-US" w:eastAsia="zh-CN"/>
                <w14:textFill>
                  <w14:solidFill>
                    <w14:schemeClr w14:val="tx1"/>
                  </w14:solidFill>
                </w14:textFill>
              </w:rPr>
              <w:t>的应急池。</w:t>
            </w:r>
            <w:r>
              <w:rPr>
                <w:rFonts w:hint="eastAsia" w:cs="Times New Roman"/>
                <w:color w:val="000000" w:themeColor="text1"/>
                <w:lang w:val="en-US" w:eastAsia="zh-CN" w:bidi="he-IL"/>
                <w14:textFill>
                  <w14:solidFill>
                    <w14:schemeClr w14:val="tx1"/>
                  </w14:solidFill>
                </w14:textFill>
              </w:rPr>
              <w:t>据调查</w:t>
            </w:r>
            <w:r>
              <w:rPr>
                <w:rFonts w:hint="eastAsia" w:ascii="Times New Roman" w:hAnsi="Times New Roman" w:cs="Times New Roman"/>
                <w:color w:val="000000" w:themeColor="text1"/>
                <w:spacing w:val="0"/>
                <w:sz w:val="24"/>
                <w:szCs w:val="24"/>
                <w:lang w:val="en-US" w:eastAsia="zh-CN"/>
                <w14:textFill>
                  <w14:solidFill>
                    <w14:schemeClr w14:val="tx1"/>
                  </w14:solidFill>
                </w14:textFill>
              </w:rPr>
              <w:t>，出租方厂区内现有一座265</w:t>
            </w:r>
            <w:r>
              <w:rPr>
                <w:rFonts w:hint="eastAsia" w:cs="Times New Roman"/>
                <w:color w:val="000000" w:themeColor="text1"/>
                <w:lang w:val="en-US" w:eastAsia="zh-CN" w:bidi="he-IL"/>
                <w14:textFill>
                  <w14:solidFill>
                    <w14:schemeClr w14:val="tx1"/>
                  </w14:solidFill>
                </w14:textFill>
              </w:rPr>
              <w:t>m</w:t>
            </w:r>
            <w:r>
              <w:rPr>
                <w:rFonts w:hint="eastAsia" w:cs="Times New Roman"/>
                <w:color w:val="000000" w:themeColor="text1"/>
                <w:vertAlign w:val="superscript"/>
                <w:lang w:val="en-US" w:eastAsia="zh-CN" w:bidi="he-IL"/>
                <w14:textFill>
                  <w14:solidFill>
                    <w14:schemeClr w14:val="tx1"/>
                  </w14:solidFill>
                </w14:textFill>
              </w:rPr>
              <w:t>3</w:t>
            </w:r>
            <w:r>
              <w:rPr>
                <w:rFonts w:hint="eastAsia" w:cs="Times New Roman"/>
                <w:color w:val="000000" w:themeColor="text1"/>
                <w:vertAlign w:val="baseline"/>
                <w:lang w:val="en-US" w:eastAsia="zh-CN" w:bidi="he-IL"/>
                <w14:textFill>
                  <w14:solidFill>
                    <w14:schemeClr w14:val="tx1"/>
                  </w14:solidFill>
                </w14:textFill>
              </w:rPr>
              <w:t>应急池，在事故时可供本项目应急使用，其容积满足本项目事故废水储存要求，雨水排放口前设有集水池，可通过关闭雨水闸阀，将事故废水泵入应急池暂存。</w:t>
            </w:r>
          </w:p>
          <w:p w14:paraId="548A1CE0">
            <w:pPr>
              <w:pStyle w:val="78"/>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vertAlign w:val="baseline"/>
                <w:lang w:val="en-US" w:eastAsia="zh-CN" w:bidi="he-IL"/>
                <w14:textFill>
                  <w14:solidFill>
                    <w14:schemeClr w14:val="tx1"/>
                  </w14:solidFill>
                </w14:textFill>
              </w:rPr>
              <w:t>由于出租方现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未在厂区内从事生产加工活动，生产厂房全部用于出租，配套的应急池缺乏管理，现场较为破败杂乱，应急池</w:t>
            </w:r>
            <w:r>
              <w:rPr>
                <w:rFonts w:hint="eastAsia" w:ascii="Times New Roman" w:hAnsi="Times New Roman" w:eastAsia="宋体" w:cs="Times New Roman"/>
                <w:color w:val="000000" w:themeColor="text1"/>
                <w:szCs w:val="21"/>
                <w:lang w:val="en-US" w:eastAsia="zh-CN"/>
                <w14:textFill>
                  <w14:solidFill>
                    <w14:schemeClr w14:val="tx1"/>
                  </w14:solidFill>
                </w14:textFill>
              </w:rPr>
              <w:t>内部残留雨水和垃圾，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企业应对依托的出租方应急设施进行修缮维护，完善</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事故废水收集和拦截设施，确保</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应急池</w:t>
            </w:r>
            <w:r>
              <w:rPr>
                <w:rFonts w:hint="eastAsia" w:cs="宋体"/>
                <w:bCs/>
                <w:color w:val="000000" w:themeColor="text1"/>
                <w:sz w:val="24"/>
                <w:szCs w:val="24"/>
                <w:lang w:val="en-US" w:eastAsia="zh-CN"/>
                <w14:textFill>
                  <w14:solidFill>
                    <w14:schemeClr w14:val="tx1"/>
                  </w14:solidFill>
                </w14:textFill>
              </w:rPr>
              <w:t>有足够容积接纳事故废水</w:t>
            </w:r>
            <w:r>
              <w:rPr>
                <w:rFonts w:hint="eastAsia" w:ascii="Times New Roman" w:hAnsi="Times New Roman" w:eastAsia="宋体" w:cs="宋体"/>
                <w:bCs/>
                <w:color w:val="000000" w:themeColor="text1"/>
                <w:sz w:val="24"/>
                <w:szCs w:val="24"/>
                <w14:textFill>
                  <w14:solidFill>
                    <w14:schemeClr w14:val="tx1"/>
                  </w14:solidFill>
                </w14:textFill>
              </w:rPr>
              <w:t>。事故废水</w:t>
            </w:r>
            <w:r>
              <w:rPr>
                <w:rFonts w:hint="eastAsia" w:ascii="Times New Roman" w:hAnsi="Times New Roman" w:eastAsia="宋体" w:cs="宋体"/>
                <w:bCs/>
                <w:color w:val="000000" w:themeColor="text1"/>
                <w:sz w:val="24"/>
                <w:szCs w:val="24"/>
                <w:lang w:eastAsia="zh-CN"/>
                <w14:textFill>
                  <w14:solidFill>
                    <w14:schemeClr w14:val="tx1"/>
                  </w14:solidFill>
                </w14:textFill>
              </w:rPr>
              <w:t>经暂存后</w:t>
            </w:r>
            <w:r>
              <w:rPr>
                <w:rFonts w:hint="eastAsia" w:ascii="Times New Roman" w:hAnsi="Times New Roman" w:eastAsia="宋体" w:cs="宋体"/>
                <w:bCs/>
                <w:color w:val="000000" w:themeColor="text1"/>
                <w:sz w:val="24"/>
                <w:szCs w:val="24"/>
                <w:lang w:val="en-US" w:eastAsia="zh-CN"/>
                <w14:textFill>
                  <w14:solidFill>
                    <w14:schemeClr w14:val="tx1"/>
                  </w14:solidFill>
                </w14:textFill>
              </w:rPr>
              <w:t>处理达标，方可排入区域污水管网或作为危险废物委托处置</w:t>
            </w:r>
            <w:r>
              <w:rPr>
                <w:rFonts w:hint="eastAsia" w:ascii="Times New Roman" w:hAnsi="Times New Roman" w:eastAsia="宋体" w:cs="宋体"/>
                <w:bCs/>
                <w:color w:val="000000" w:themeColor="text1"/>
                <w:sz w:val="24"/>
                <w:szCs w:val="24"/>
                <w14:textFill>
                  <w14:solidFill>
                    <w14:schemeClr w14:val="tx1"/>
                  </w14:solidFill>
                </w14:textFill>
              </w:rPr>
              <w:t>。</w:t>
            </w:r>
          </w:p>
          <w:p w14:paraId="60089A9C">
            <w:pPr>
              <w:pStyle w:val="78"/>
              <w:ind w:left="0" w:leftChars="0" w:firstLine="0" w:firstLineChars="0"/>
              <w:rPr>
                <w:rFonts w:hint="default" w:ascii="Times New Roman" w:hAnsi="Times New Roman" w:cs="Times New Roman"/>
                <w:b/>
                <w:bCs/>
                <w:color w:val="000000" w:themeColor="text1"/>
                <w:spacing w:val="0"/>
                <w:position w:val="0"/>
                <w:highlight w:val="none"/>
                <w14:textFill>
                  <w14:solidFill>
                    <w14:schemeClr w14:val="tx1"/>
                  </w14:solidFill>
                </w14:textFill>
              </w:rPr>
            </w:pPr>
            <w:r>
              <w:rPr>
                <w:rFonts w:hint="eastAsia" w:ascii="Times New Roman" w:hAnsi="Times New Roman" w:cs="Times New Roman"/>
                <w:b/>
                <w:bCs/>
                <w:color w:val="000000" w:themeColor="text1"/>
                <w:spacing w:val="0"/>
                <w:position w:val="0"/>
                <w:highlight w:val="none"/>
                <w:lang w:val="en-US" w:eastAsia="zh-CN"/>
                <w14:textFill>
                  <w14:solidFill>
                    <w14:schemeClr w14:val="tx1"/>
                  </w14:solidFill>
                </w14:textFill>
              </w:rPr>
              <w:t>4.</w:t>
            </w:r>
            <w:r>
              <w:rPr>
                <w:rFonts w:hint="eastAsia" w:cs="Times New Roman"/>
                <w:b/>
                <w:bCs/>
                <w:color w:val="000000" w:themeColor="text1"/>
                <w:spacing w:val="0"/>
                <w:position w:val="0"/>
                <w:highlight w:val="none"/>
                <w:lang w:val="en-US" w:eastAsia="zh-CN"/>
                <w14:textFill>
                  <w14:solidFill>
                    <w14:schemeClr w14:val="tx1"/>
                  </w14:solidFill>
                </w14:textFill>
              </w:rPr>
              <w:t>8</w:t>
            </w:r>
            <w:r>
              <w:rPr>
                <w:rFonts w:hint="eastAsia" w:ascii="Times New Roman" w:hAnsi="Times New Roman" w:cs="Times New Roman"/>
                <w:b/>
                <w:bCs/>
                <w:color w:val="000000" w:themeColor="text1"/>
                <w:spacing w:val="0"/>
                <w:position w:val="0"/>
                <w:highlight w:val="none"/>
                <w:lang w:val="en-US" w:eastAsia="zh-CN"/>
                <w14:textFill>
                  <w14:solidFill>
                    <w14:schemeClr w14:val="tx1"/>
                  </w14:solidFill>
                </w14:textFill>
              </w:rPr>
              <w:t>.6</w:t>
            </w:r>
            <w:r>
              <w:rPr>
                <w:rFonts w:hint="default" w:ascii="Times New Roman" w:hAnsi="Times New Roman" w:cs="Times New Roman"/>
                <w:b/>
                <w:bCs/>
                <w:color w:val="000000" w:themeColor="text1"/>
                <w:spacing w:val="0"/>
                <w:position w:val="0"/>
                <w:highlight w:val="none"/>
                <w14:textFill>
                  <w14:solidFill>
                    <w14:schemeClr w14:val="tx1"/>
                  </w14:solidFill>
                </w14:textFill>
              </w:rPr>
              <w:t>风险分析结论</w:t>
            </w:r>
          </w:p>
          <w:p w14:paraId="174C8C68">
            <w:pPr>
              <w:keepNext w:val="0"/>
              <w:keepLines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本项目在配备相应的应急物资，加强厂区防火管理，加强环保设施运行维护，完善事故风险防范措施的前提下，事故发生概率</w:t>
            </w:r>
            <w:r>
              <w:rPr>
                <w:rFonts w:hint="eastAsia" w:ascii="Times New Roman" w:hAnsi="Times New Roman" w:eastAsia="宋体" w:cs="Times New Roman"/>
                <w:color w:val="000000" w:themeColor="text1"/>
                <w:sz w:val="24"/>
                <w:lang w:val="en-US" w:eastAsia="zh-CN"/>
                <w14:textFill>
                  <w14:solidFill>
                    <w14:schemeClr w14:val="tx1"/>
                  </w14:solidFill>
                </w14:textFill>
              </w:rPr>
              <w:t>较</w:t>
            </w:r>
            <w:r>
              <w:rPr>
                <w:rFonts w:hint="default" w:ascii="Times New Roman" w:hAnsi="Times New Roman" w:eastAsia="宋体" w:cs="Times New Roman"/>
                <w:color w:val="000000" w:themeColor="text1"/>
                <w:sz w:val="24"/>
                <w:lang w:val="en-US" w:eastAsia="zh-CN"/>
                <w14:textFill>
                  <w14:solidFill>
                    <w14:schemeClr w14:val="tx1"/>
                  </w14:solidFill>
                </w14:textFill>
              </w:rPr>
              <w:t>低，本项目环境风险在可接受的范围内。</w:t>
            </w:r>
          </w:p>
          <w:p w14:paraId="4A9385CE">
            <w:pPr>
              <w:keepNext w:val="0"/>
              <w:keepLines w:val="0"/>
              <w:pageBreakBefore w:val="0"/>
              <w:widowControl w:val="0"/>
              <w:kinsoku/>
              <w:wordWrap/>
              <w:overflowPunct/>
              <w:topLinePunct w:val="0"/>
              <w:autoSpaceDE/>
              <w:autoSpaceDN/>
              <w:bidi w:val="0"/>
              <w:adjustRightInd/>
              <w:snapToGrid/>
              <w:spacing w:before="166" w:beforeLines="5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表4.</w:t>
            </w:r>
            <w:r>
              <w:rPr>
                <w:rFonts w:hint="eastAsia" w:cs="Times New Roman"/>
                <w:b/>
                <w:bCs/>
                <w:color w:val="000000" w:themeColor="text1"/>
                <w:sz w:val="24"/>
                <w:lang w:val="en-US" w:eastAsia="zh-CN"/>
                <w14:textFill>
                  <w14:solidFill>
                    <w14:schemeClr w14:val="tx1"/>
                  </w14:solidFill>
                </w14:textFill>
              </w:rPr>
              <w:t>8</w:t>
            </w:r>
            <w:r>
              <w:rPr>
                <w:rFonts w:hint="eastAsia" w:ascii="Times New Roman" w:hAnsi="Times New Roman" w:eastAsia="宋体" w:cs="Times New Roman"/>
                <w:b/>
                <w:bCs/>
                <w:color w:val="000000" w:themeColor="text1"/>
                <w:sz w:val="24"/>
                <w:lang w:val="en-US" w:eastAsia="zh-CN"/>
                <w14:textFill>
                  <w14:solidFill>
                    <w14:schemeClr w14:val="tx1"/>
                  </w14:solidFill>
                </w14:textFill>
              </w:rPr>
              <w:t>-3 项目环境风险简单分析内容表</w:t>
            </w:r>
          </w:p>
          <w:tbl>
            <w:tblPr>
              <w:tblStyle w:val="30"/>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5"/>
              <w:gridCol w:w="2352"/>
              <w:gridCol w:w="4670"/>
            </w:tblGrid>
            <w:tr w14:paraId="6AA4C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3" w:type="pct"/>
                  <w:tcBorders>
                    <w:tl2br w:val="nil"/>
                    <w:tr2bl w:val="nil"/>
                  </w:tcBorders>
                  <w:noWrap w:val="0"/>
                  <w:vAlign w:val="center"/>
                </w:tcPr>
                <w:p w14:paraId="24E7465C">
                  <w:pPr>
                    <w:pStyle w:val="141"/>
                    <w:rPr>
                      <w:rFonts w:ascii="Times New Roman" w:hAnsi="Times New Roman" w:eastAsia="宋体"/>
                      <w:b/>
                      <w:bCs/>
                      <w:snapToGrid w:val="0"/>
                      <w:color w:val="000000" w:themeColor="text1"/>
                      <w14:textFill>
                        <w14:solidFill>
                          <w14:schemeClr w14:val="tx1"/>
                        </w14:solidFill>
                      </w14:textFill>
                    </w:rPr>
                  </w:pPr>
                  <w:r>
                    <w:rPr>
                      <w:rFonts w:ascii="Times New Roman" w:hAnsi="Times New Roman" w:eastAsia="宋体"/>
                      <w:b/>
                      <w:bCs/>
                      <w:snapToGrid w:val="0"/>
                      <w:color w:val="000000" w:themeColor="text1"/>
                      <w14:textFill>
                        <w14:solidFill>
                          <w14:schemeClr w14:val="tx1"/>
                        </w14:solidFill>
                      </w14:textFill>
                    </w:rPr>
                    <w:t>建设项目名称</w:t>
                  </w:r>
                </w:p>
              </w:tc>
              <w:tc>
                <w:tcPr>
                  <w:tcW w:w="4036" w:type="pct"/>
                  <w:gridSpan w:val="2"/>
                  <w:tcBorders>
                    <w:tl2br w:val="nil"/>
                    <w:tr2bl w:val="nil"/>
                  </w:tcBorders>
                  <w:noWrap w:val="0"/>
                  <w:vAlign w:val="center"/>
                </w:tcPr>
                <w:p w14:paraId="737A7F0A">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汽车零部件生产线技术改造项目</w:t>
                  </w:r>
                </w:p>
              </w:tc>
            </w:tr>
            <w:tr w14:paraId="5E633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3" w:type="pct"/>
                  <w:tcBorders>
                    <w:tl2br w:val="nil"/>
                    <w:tr2bl w:val="nil"/>
                  </w:tcBorders>
                  <w:noWrap w:val="0"/>
                  <w:vAlign w:val="center"/>
                </w:tcPr>
                <w:p w14:paraId="20794334">
                  <w:pPr>
                    <w:pStyle w:val="141"/>
                    <w:rPr>
                      <w:rFonts w:ascii="Times New Roman" w:hAnsi="Times New Roman" w:eastAsia="宋体"/>
                      <w:snapToGrid w:val="0"/>
                      <w:color w:val="000000" w:themeColor="text1"/>
                      <w14:textFill>
                        <w14:solidFill>
                          <w14:schemeClr w14:val="tx1"/>
                        </w14:solidFill>
                      </w14:textFill>
                    </w:rPr>
                  </w:pPr>
                  <w:r>
                    <w:rPr>
                      <w:rFonts w:ascii="Times New Roman" w:hAnsi="Times New Roman" w:eastAsia="宋体"/>
                      <w:snapToGrid w:val="0"/>
                      <w:color w:val="000000" w:themeColor="text1"/>
                      <w14:textFill>
                        <w14:solidFill>
                          <w14:schemeClr w14:val="tx1"/>
                        </w14:solidFill>
                      </w14:textFill>
                    </w:rPr>
                    <w:t>建设地点</w:t>
                  </w:r>
                </w:p>
              </w:tc>
              <w:tc>
                <w:tcPr>
                  <w:tcW w:w="4036" w:type="pct"/>
                  <w:gridSpan w:val="2"/>
                  <w:tcBorders>
                    <w:tl2br w:val="nil"/>
                    <w:tr2bl w:val="nil"/>
                  </w:tcBorders>
                  <w:noWrap w:val="0"/>
                  <w:vAlign w:val="center"/>
                </w:tcPr>
                <w:p w14:paraId="62AB433F">
                  <w:pPr>
                    <w:widowControl/>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福州术立新能源科技有限公司</w:t>
                  </w:r>
                </w:p>
              </w:tc>
            </w:tr>
            <w:tr w14:paraId="4CEBF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3" w:type="pct"/>
                  <w:tcBorders>
                    <w:tl2br w:val="nil"/>
                    <w:tr2bl w:val="nil"/>
                  </w:tcBorders>
                  <w:noWrap w:val="0"/>
                  <w:vAlign w:val="center"/>
                </w:tcPr>
                <w:p w14:paraId="43FEE60B">
                  <w:pPr>
                    <w:pStyle w:val="141"/>
                    <w:rPr>
                      <w:rFonts w:ascii="Times New Roman" w:hAnsi="Times New Roman" w:eastAsia="宋体"/>
                      <w:snapToGrid w:val="0"/>
                      <w:color w:val="000000" w:themeColor="text1"/>
                      <w14:textFill>
                        <w14:solidFill>
                          <w14:schemeClr w14:val="tx1"/>
                        </w14:solidFill>
                      </w14:textFill>
                    </w:rPr>
                  </w:pPr>
                  <w:r>
                    <w:rPr>
                      <w:rFonts w:ascii="Times New Roman" w:hAnsi="Times New Roman" w:eastAsia="宋体"/>
                      <w:snapToGrid w:val="0"/>
                      <w:color w:val="000000" w:themeColor="text1"/>
                      <w14:textFill>
                        <w14:solidFill>
                          <w14:schemeClr w14:val="tx1"/>
                        </w14:solidFill>
                      </w14:textFill>
                    </w:rPr>
                    <w:t>地理坐标</w:t>
                  </w:r>
                </w:p>
              </w:tc>
              <w:tc>
                <w:tcPr>
                  <w:tcW w:w="4036" w:type="pct"/>
                  <w:gridSpan w:val="2"/>
                  <w:tcBorders>
                    <w:tl2br w:val="nil"/>
                    <w:tr2bl w:val="nil"/>
                  </w:tcBorders>
                  <w:noWrap w:val="0"/>
                  <w:vAlign w:val="center"/>
                </w:tcPr>
                <w:p w14:paraId="533A691D">
                  <w:pPr>
                    <w:jc w:val="center"/>
                    <w:rPr>
                      <w:rFonts w:ascii="Times New Roman" w:hAnsi="Times New Roman" w:eastAsia="宋体"/>
                      <w:snapToGrid w:val="0"/>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经度：119°20′35.038"，纬度：25°54′22.964"</w:t>
                  </w:r>
                </w:p>
              </w:tc>
            </w:tr>
            <w:tr w14:paraId="7F9BB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963" w:type="pct"/>
                  <w:vMerge w:val="restart"/>
                  <w:tcBorders>
                    <w:tl2br w:val="nil"/>
                    <w:tr2bl w:val="nil"/>
                  </w:tcBorders>
                  <w:noWrap w:val="0"/>
                  <w:vAlign w:val="center"/>
                </w:tcPr>
                <w:p w14:paraId="22881FB5">
                  <w:pPr>
                    <w:pStyle w:val="141"/>
                    <w:rPr>
                      <w:rFonts w:ascii="Times New Roman" w:hAnsi="Times New Roman" w:eastAsia="宋体"/>
                      <w:snapToGrid w:val="0"/>
                      <w:color w:val="000000" w:themeColor="text1"/>
                      <w14:textFill>
                        <w14:solidFill>
                          <w14:schemeClr w14:val="tx1"/>
                        </w14:solidFill>
                      </w14:textFill>
                    </w:rPr>
                  </w:pPr>
                  <w:r>
                    <w:rPr>
                      <w:rFonts w:ascii="Times New Roman" w:hAnsi="Times New Roman" w:eastAsia="宋体"/>
                      <w:snapToGrid w:val="0"/>
                      <w:color w:val="000000" w:themeColor="text1"/>
                      <w14:textFill>
                        <w14:solidFill>
                          <w14:schemeClr w14:val="tx1"/>
                        </w14:solidFill>
                      </w14:textFill>
                    </w:rPr>
                    <w:t>主要危险物质及分布</w:t>
                  </w:r>
                </w:p>
              </w:tc>
              <w:tc>
                <w:tcPr>
                  <w:tcW w:w="1352" w:type="pct"/>
                  <w:tcBorders>
                    <w:tl2br w:val="nil"/>
                    <w:tr2bl w:val="nil"/>
                  </w:tcBorders>
                  <w:noWrap w:val="0"/>
                  <w:vAlign w:val="center"/>
                </w:tcPr>
                <w:p w14:paraId="17DE4E60">
                  <w:pPr>
                    <w:jc w:val="center"/>
                    <w:rPr>
                      <w:rFonts w:hint="eastAsia" w:ascii="Times New Roman" w:hAnsi="Times New Roman" w:eastAsia="宋体"/>
                      <w:snapToGrid w:val="0"/>
                      <w:color w:val="000000" w:themeColor="text1"/>
                      <w:lang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贮存位置</w:t>
                  </w:r>
                </w:p>
              </w:tc>
              <w:tc>
                <w:tcPr>
                  <w:tcW w:w="2684" w:type="pct"/>
                  <w:tcBorders>
                    <w:tl2br w:val="nil"/>
                    <w:tr2bl w:val="nil"/>
                  </w:tcBorders>
                  <w:noWrap w:val="0"/>
                  <w:vAlign w:val="center"/>
                </w:tcPr>
                <w:p w14:paraId="5FA0A973">
                  <w:pPr>
                    <w:jc w:val="center"/>
                    <w:rPr>
                      <w:rFonts w:ascii="Times New Roman" w:hAnsi="Times New Roman" w:eastAsia="宋体"/>
                      <w:snapToGrid w:val="0"/>
                      <w:color w:val="000000" w:themeColor="text1"/>
                      <w14:textFill>
                        <w14:solidFill>
                          <w14:schemeClr w14:val="tx1"/>
                        </w14:solidFill>
                      </w14:textFill>
                    </w:rPr>
                  </w:pPr>
                  <w:r>
                    <w:rPr>
                      <w:rFonts w:hint="eastAsia" w:ascii="Times New Roman" w:hAnsi="Times New Roman" w:eastAsia="宋体"/>
                      <w:snapToGrid w:val="0"/>
                      <w:color w:val="000000" w:themeColor="text1"/>
                      <w:lang w:eastAsia="zh-CN"/>
                      <w14:textFill>
                        <w14:solidFill>
                          <w14:schemeClr w14:val="tx1"/>
                        </w14:solidFill>
                      </w14:textFill>
                    </w:rPr>
                    <w:t>危险物质</w:t>
                  </w:r>
                </w:p>
              </w:tc>
            </w:tr>
            <w:tr w14:paraId="30716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963" w:type="pct"/>
                  <w:vMerge w:val="continue"/>
                  <w:tcBorders>
                    <w:tl2br w:val="nil"/>
                    <w:tr2bl w:val="nil"/>
                  </w:tcBorders>
                  <w:noWrap w:val="0"/>
                  <w:vAlign w:val="center"/>
                </w:tcPr>
                <w:p w14:paraId="1F8187E3">
                  <w:pPr>
                    <w:pStyle w:val="141"/>
                    <w:rPr>
                      <w:rFonts w:ascii="Times New Roman" w:hAnsi="Times New Roman" w:eastAsia="宋体"/>
                      <w:color w:val="000000" w:themeColor="text1"/>
                      <w14:textFill>
                        <w14:solidFill>
                          <w14:schemeClr w14:val="tx1"/>
                        </w14:solidFill>
                      </w14:textFill>
                    </w:rPr>
                  </w:pPr>
                </w:p>
              </w:tc>
              <w:tc>
                <w:tcPr>
                  <w:tcW w:w="1352" w:type="pct"/>
                  <w:tcBorders>
                    <w:tl2br w:val="nil"/>
                    <w:tr2bl w:val="nil"/>
                  </w:tcBorders>
                  <w:noWrap w:val="0"/>
                  <w:vAlign w:val="center"/>
                </w:tcPr>
                <w:p w14:paraId="72AA340A">
                  <w:pPr>
                    <w:pStyle w:val="141"/>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化学品仓库</w:t>
                  </w:r>
                </w:p>
              </w:tc>
              <w:tc>
                <w:tcPr>
                  <w:tcW w:w="2684" w:type="pct"/>
                  <w:tcBorders>
                    <w:tl2br w:val="nil"/>
                    <w:tr2bl w:val="nil"/>
                  </w:tcBorders>
                  <w:noWrap w:val="0"/>
                  <w:vAlign w:val="center"/>
                </w:tcPr>
                <w:p w14:paraId="66E2F7FB">
                  <w:pPr>
                    <w:widowControl/>
                    <w:jc w:val="center"/>
                    <w:textAlignment w:val="center"/>
                    <w:rPr>
                      <w:rFonts w:hint="default" w:ascii="Times New Roman" w:hAnsi="Times New Roman" w:eastAsia="宋体"/>
                      <w:snapToGrid w:val="0"/>
                      <w:color w:val="000000" w:themeColor="text1"/>
                      <w:lang w:val="en-US" w:eastAsia="zh-CN"/>
                      <w14:textFill>
                        <w14:solidFill>
                          <w14:schemeClr w14:val="tx1"/>
                        </w14:solidFill>
                      </w14:textFill>
                    </w:rPr>
                  </w:pPr>
                  <w:r>
                    <w:rPr>
                      <w:rFonts w:hint="eastAsia" w:ascii="Times New Roman" w:hAnsi="Times New Roman" w:eastAsia="宋体"/>
                      <w:snapToGrid w:val="0"/>
                      <w:color w:val="000000" w:themeColor="text1"/>
                      <w:lang w:val="en-US" w:eastAsia="zh-CN"/>
                      <w14:textFill>
                        <w14:solidFill>
                          <w14:schemeClr w14:val="tx1"/>
                        </w14:solidFill>
                      </w14:textFill>
                    </w:rPr>
                    <w:t>磷化剂、表调剂、促进剂、电泳涂料、脱脂剂</w:t>
                  </w:r>
                  <w:r>
                    <w:rPr>
                      <w:rFonts w:hint="eastAsia"/>
                      <w:snapToGrid w:val="0"/>
                      <w:color w:val="000000" w:themeColor="text1"/>
                      <w:lang w:val="en-US" w:eastAsia="zh-CN"/>
                      <w14:textFill>
                        <w14:solidFill>
                          <w14:schemeClr w14:val="tx1"/>
                        </w14:solidFill>
                      </w14:textFill>
                    </w:rPr>
                    <w:t>、钝化剂、稀释剂、脱漆剂、油墨、洗网水</w:t>
                  </w:r>
                  <w:r>
                    <w:rPr>
                      <w:rFonts w:hint="eastAsia" w:ascii="Times New Roman" w:hAnsi="Times New Roman" w:eastAsia="宋体"/>
                      <w:snapToGrid w:val="0"/>
                      <w:color w:val="000000" w:themeColor="text1"/>
                      <w:lang w:val="en-US" w:eastAsia="zh-CN"/>
                      <w14:textFill>
                        <w14:solidFill>
                          <w14:schemeClr w14:val="tx1"/>
                        </w14:solidFill>
                      </w14:textFill>
                    </w:rPr>
                    <w:t>等</w:t>
                  </w:r>
                </w:p>
              </w:tc>
            </w:tr>
            <w:tr w14:paraId="0A0354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963" w:type="pct"/>
                  <w:vMerge w:val="continue"/>
                  <w:tcBorders>
                    <w:tl2br w:val="nil"/>
                    <w:tr2bl w:val="nil"/>
                  </w:tcBorders>
                  <w:noWrap w:val="0"/>
                  <w:vAlign w:val="center"/>
                </w:tcPr>
                <w:p w14:paraId="66B0010C">
                  <w:pPr>
                    <w:pStyle w:val="141"/>
                    <w:rPr>
                      <w:rFonts w:ascii="Times New Roman" w:hAnsi="Times New Roman" w:eastAsia="宋体"/>
                      <w:color w:val="000000" w:themeColor="text1"/>
                      <w14:textFill>
                        <w14:solidFill>
                          <w14:schemeClr w14:val="tx1"/>
                        </w14:solidFill>
                      </w14:textFill>
                    </w:rPr>
                  </w:pPr>
                </w:p>
              </w:tc>
              <w:tc>
                <w:tcPr>
                  <w:tcW w:w="1352" w:type="pct"/>
                  <w:tcBorders>
                    <w:tl2br w:val="nil"/>
                    <w:tr2bl w:val="nil"/>
                  </w:tcBorders>
                  <w:noWrap w:val="0"/>
                  <w:vAlign w:val="center"/>
                </w:tcPr>
                <w:p w14:paraId="31E95529">
                  <w:pPr>
                    <w:pStyle w:val="141"/>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危险废物贮存</w:t>
                  </w:r>
                  <w:r>
                    <w:rPr>
                      <w:rFonts w:hint="eastAsia" w:ascii="Times New Roman" w:hAnsi="Times New Roman" w:eastAsia="宋体"/>
                      <w:color w:val="000000" w:themeColor="text1"/>
                      <w:lang w:val="en-US" w:eastAsia="zh-CN"/>
                      <w14:textFill>
                        <w14:solidFill>
                          <w14:schemeClr w14:val="tx1"/>
                        </w14:solidFill>
                      </w14:textFill>
                    </w:rPr>
                    <w:t>间</w:t>
                  </w:r>
                </w:p>
              </w:tc>
              <w:tc>
                <w:tcPr>
                  <w:tcW w:w="2684" w:type="pct"/>
                  <w:tcBorders>
                    <w:tl2br w:val="nil"/>
                    <w:tr2bl w:val="nil"/>
                  </w:tcBorders>
                  <w:noWrap w:val="0"/>
                  <w:vAlign w:val="center"/>
                </w:tcPr>
                <w:p w14:paraId="5825C7F4">
                  <w:pPr>
                    <w:widowControl/>
                    <w:jc w:val="center"/>
                    <w:textAlignment w:val="center"/>
                    <w:rPr>
                      <w:rFonts w:hint="default" w:ascii="Times New Roman" w:hAnsi="Times New Roman" w:eastAsia="宋体"/>
                      <w:snapToGrid w:val="0"/>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t>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机</w:t>
                  </w:r>
                  <w:r>
                    <w:rPr>
                      <w:rFonts w:hint="eastAsia" w:ascii="Times New Roman" w:hAnsi="Times New Roman" w:eastAsia="宋体" w:cs="Times New Roman"/>
                      <w:color w:val="000000" w:themeColor="text1"/>
                      <w:sz w:val="21"/>
                      <w:szCs w:val="21"/>
                      <w:highlight w:val="none"/>
                      <w:lang w:val="zh-CN" w:eastAsia="zh-CN"/>
                      <w14:textFill>
                        <w14:solidFill>
                          <w14:schemeClr w14:val="tx1"/>
                        </w14:solidFill>
                      </w14:textFill>
                    </w:rPr>
                    <w:t>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危险化学品包装桶、槽渣、废活性炭等</w:t>
                  </w:r>
                </w:p>
              </w:tc>
            </w:tr>
            <w:tr w14:paraId="56BFE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3" w:type="pct"/>
                  <w:tcBorders>
                    <w:tl2br w:val="nil"/>
                    <w:tr2bl w:val="nil"/>
                  </w:tcBorders>
                  <w:noWrap w:val="0"/>
                  <w:vAlign w:val="center"/>
                </w:tcPr>
                <w:p w14:paraId="62E6C08F">
                  <w:pPr>
                    <w:pStyle w:val="141"/>
                    <w:rPr>
                      <w:rFonts w:ascii="Times New Roman" w:hAnsi="Times New Roman" w:eastAsia="宋体"/>
                      <w:snapToGrid w:val="0"/>
                      <w:color w:val="000000" w:themeColor="text1"/>
                      <w14:textFill>
                        <w14:solidFill>
                          <w14:schemeClr w14:val="tx1"/>
                        </w14:solidFill>
                      </w14:textFill>
                    </w:rPr>
                  </w:pPr>
                  <w:r>
                    <w:rPr>
                      <w:rFonts w:ascii="Times New Roman" w:hAnsi="Times New Roman" w:eastAsia="宋体"/>
                      <w:snapToGrid w:val="0"/>
                      <w:color w:val="000000" w:themeColor="text1"/>
                      <w14:textFill>
                        <w14:solidFill>
                          <w14:schemeClr w14:val="tx1"/>
                        </w14:solidFill>
                      </w14:textFill>
                    </w:rPr>
                    <w:t>环境影响途径及危害后果</w:t>
                  </w:r>
                </w:p>
              </w:tc>
              <w:tc>
                <w:tcPr>
                  <w:tcW w:w="4036" w:type="pct"/>
                  <w:gridSpan w:val="2"/>
                  <w:tcBorders>
                    <w:tl2br w:val="nil"/>
                    <w:tr2bl w:val="nil"/>
                  </w:tcBorders>
                  <w:noWrap w:val="0"/>
                  <w:vAlign w:val="center"/>
                </w:tcPr>
                <w:p w14:paraId="00016BEA">
                  <w:pPr>
                    <w:pStyle w:val="141"/>
                    <w:jc w:val="left"/>
                    <w:rPr>
                      <w:rFonts w:hint="eastAsia" w:ascii="Times New Roman" w:hAnsi="Times New Roman" w:eastAsia="宋体"/>
                      <w:snapToGrid w:val="0"/>
                      <w:color w:val="000000" w:themeColor="text1"/>
                      <w14:textFill>
                        <w14:solidFill>
                          <w14:schemeClr w14:val="tx1"/>
                        </w14:solidFill>
                      </w14:textFill>
                    </w:rPr>
                  </w:pPr>
                  <w:r>
                    <w:rPr>
                      <w:rFonts w:hint="eastAsia" w:ascii="Times New Roman" w:hAnsi="Times New Roman" w:eastAsia="宋体"/>
                      <w:snapToGrid w:val="0"/>
                      <w:color w:val="000000" w:themeColor="text1"/>
                      <w14:textFill>
                        <w14:solidFill>
                          <w14:schemeClr w14:val="tx1"/>
                        </w14:solidFill>
                      </w14:textFill>
                    </w:rPr>
                    <w:t>本项目</w:t>
                  </w:r>
                  <w:r>
                    <w:rPr>
                      <w:rFonts w:hint="eastAsia" w:ascii="Times New Roman" w:hAnsi="Times New Roman" w:eastAsia="宋体"/>
                      <w:snapToGrid w:val="0"/>
                      <w:color w:val="000000" w:themeColor="text1"/>
                      <w:lang w:eastAsia="zh-CN"/>
                      <w14:textFill>
                        <w14:solidFill>
                          <w14:schemeClr w14:val="tx1"/>
                        </w14:solidFill>
                      </w14:textFill>
                    </w:rPr>
                    <w:t>危险单元</w:t>
                  </w:r>
                  <w:r>
                    <w:rPr>
                      <w:rFonts w:hint="eastAsia" w:ascii="Times New Roman" w:hAnsi="Times New Roman" w:eastAsia="宋体"/>
                      <w:snapToGrid w:val="0"/>
                      <w:color w:val="000000" w:themeColor="text1"/>
                      <w:lang w:val="en-US" w:eastAsia="zh-CN"/>
                      <w14:textFill>
                        <w14:solidFill>
                          <w14:schemeClr w14:val="tx1"/>
                        </w14:solidFill>
                      </w14:textFill>
                    </w:rPr>
                    <w:t>废水收集池、废水管道、前处理和电泳槽</w:t>
                  </w:r>
                  <w:r>
                    <w:rPr>
                      <w:rFonts w:hint="eastAsia" w:ascii="Times New Roman" w:hAnsi="Times New Roman" w:eastAsia="宋体"/>
                      <w:snapToGrid w:val="0"/>
                      <w:color w:val="000000" w:themeColor="text1"/>
                      <w:lang w:eastAsia="zh-CN"/>
                      <w14:textFill>
                        <w14:solidFill>
                          <w14:schemeClr w14:val="tx1"/>
                        </w14:solidFill>
                      </w14:textFill>
                    </w:rPr>
                    <w:t>，可能因故障、管道</w:t>
                  </w:r>
                  <w:r>
                    <w:rPr>
                      <w:rFonts w:hint="eastAsia" w:ascii="Times New Roman" w:hAnsi="Times New Roman" w:eastAsia="宋体"/>
                      <w:snapToGrid w:val="0"/>
                      <w:color w:val="000000" w:themeColor="text1"/>
                      <w:lang w:val="en-US" w:eastAsia="zh-CN"/>
                      <w14:textFill>
                        <w14:solidFill>
                          <w14:schemeClr w14:val="tx1"/>
                        </w14:solidFill>
                      </w14:textFill>
                    </w:rPr>
                    <w:t>或池体</w:t>
                  </w:r>
                  <w:r>
                    <w:rPr>
                      <w:rFonts w:hint="eastAsia" w:ascii="Times New Roman" w:hAnsi="Times New Roman" w:eastAsia="宋体"/>
                      <w:snapToGrid w:val="0"/>
                      <w:color w:val="000000" w:themeColor="text1"/>
                      <w:lang w:eastAsia="zh-CN"/>
                      <w14:textFill>
                        <w14:solidFill>
                          <w14:schemeClr w14:val="tx1"/>
                        </w14:solidFill>
                      </w14:textFill>
                    </w:rPr>
                    <w:t>破裂、人为操作失误等导致废水</w:t>
                  </w:r>
                  <w:r>
                    <w:rPr>
                      <w:rFonts w:hint="eastAsia" w:ascii="Times New Roman" w:hAnsi="Times New Roman" w:eastAsia="宋体"/>
                      <w:snapToGrid w:val="0"/>
                      <w:color w:val="000000" w:themeColor="text1"/>
                      <w:lang w:val="en-US" w:eastAsia="zh-CN"/>
                      <w14:textFill>
                        <w14:solidFill>
                          <w14:schemeClr w14:val="tx1"/>
                        </w14:solidFill>
                      </w14:textFill>
                    </w:rPr>
                    <w:t>/废液</w:t>
                  </w:r>
                  <w:r>
                    <w:rPr>
                      <w:rFonts w:hint="eastAsia" w:ascii="Times New Roman" w:hAnsi="Times New Roman" w:eastAsia="宋体"/>
                      <w:snapToGrid w:val="0"/>
                      <w:color w:val="000000" w:themeColor="text1"/>
                      <w:lang w:eastAsia="zh-CN"/>
                      <w14:textFill>
                        <w14:solidFill>
                          <w14:schemeClr w14:val="tx1"/>
                        </w14:solidFill>
                      </w14:textFill>
                    </w:rPr>
                    <w:t>事故排放，影响周边地表水体和下游污水处理厂。危险单元化学品仓库、危险废物贮存</w:t>
                  </w:r>
                  <w:r>
                    <w:rPr>
                      <w:rFonts w:hint="eastAsia" w:ascii="Times New Roman" w:hAnsi="Times New Roman" w:eastAsia="宋体"/>
                      <w:color w:val="000000" w:themeColor="text1"/>
                      <w:lang w:val="en-US" w:eastAsia="zh-CN"/>
                      <w14:textFill>
                        <w14:solidFill>
                          <w14:schemeClr w14:val="tx1"/>
                        </w14:solidFill>
                      </w14:textFill>
                    </w:rPr>
                    <w:t>间</w:t>
                  </w:r>
                  <w:r>
                    <w:rPr>
                      <w:rFonts w:hint="eastAsia" w:ascii="Times New Roman" w:hAnsi="Times New Roman" w:eastAsia="宋体"/>
                      <w:snapToGrid w:val="0"/>
                      <w:color w:val="000000" w:themeColor="text1"/>
                      <w:lang w:eastAsia="zh-CN"/>
                      <w14:textFill>
                        <w14:solidFill>
                          <w14:schemeClr w14:val="tx1"/>
                        </w14:solidFill>
                      </w14:textFill>
                    </w:rPr>
                    <w:t>可能发生因容器破裂等原因导致的危险化学品、危险废物泄漏事故，对周边土壤、地下水、地表水、大气环境造成影响；废气处理设施故障可能导致废气事故排放，对周边大气环境造成影响；厂内化学品仓库、危险废物贮存</w:t>
                  </w:r>
                  <w:r>
                    <w:rPr>
                      <w:rFonts w:hint="eastAsia" w:ascii="Times New Roman" w:hAnsi="Times New Roman" w:eastAsia="宋体"/>
                      <w:snapToGrid w:val="0"/>
                      <w:color w:val="000000" w:themeColor="text1"/>
                      <w:lang w:val="en-US" w:eastAsia="zh-CN"/>
                      <w14:textFill>
                        <w14:solidFill>
                          <w14:schemeClr w14:val="tx1"/>
                        </w14:solidFill>
                      </w14:textFill>
                    </w:rPr>
                    <w:t>间</w:t>
                  </w:r>
                  <w:r>
                    <w:rPr>
                      <w:rFonts w:hint="eastAsia" w:ascii="Times New Roman" w:hAnsi="Times New Roman" w:eastAsia="宋体"/>
                      <w:snapToGrid w:val="0"/>
                      <w:color w:val="000000" w:themeColor="text1"/>
                      <w:lang w:eastAsia="zh-CN"/>
                      <w14:textFill>
                        <w14:solidFill>
                          <w14:schemeClr w14:val="tx1"/>
                        </w14:solidFill>
                      </w14:textFill>
                    </w:rPr>
                    <w:t>、</w:t>
                  </w:r>
                  <w:r>
                    <w:rPr>
                      <w:rFonts w:hint="eastAsia" w:ascii="Times New Roman" w:hAnsi="Times New Roman" w:eastAsia="宋体"/>
                      <w:snapToGrid w:val="0"/>
                      <w:color w:val="000000" w:themeColor="text1"/>
                      <w:lang w:val="en-US" w:eastAsia="zh-CN"/>
                      <w14:textFill>
                        <w14:solidFill>
                          <w14:schemeClr w14:val="tx1"/>
                        </w14:solidFill>
                      </w14:textFill>
                    </w:rPr>
                    <w:t>天然气管道</w:t>
                  </w:r>
                  <w:r>
                    <w:rPr>
                      <w:rFonts w:hint="eastAsia" w:ascii="Times New Roman" w:hAnsi="Times New Roman" w:eastAsia="宋体"/>
                      <w:snapToGrid w:val="0"/>
                      <w:color w:val="000000" w:themeColor="text1"/>
                      <w:lang w:eastAsia="zh-CN"/>
                      <w14:textFill>
                        <w14:solidFill>
                          <w14:schemeClr w14:val="tx1"/>
                        </w14:solidFill>
                      </w14:textFill>
                    </w:rPr>
                    <w:t>等可能发生</w:t>
                  </w:r>
                  <w:r>
                    <w:rPr>
                      <w:rFonts w:hint="eastAsia" w:ascii="Times New Roman" w:hAnsi="Times New Roman" w:eastAsia="宋体"/>
                      <w:snapToGrid w:val="0"/>
                      <w:color w:val="000000" w:themeColor="text1"/>
                      <w14:textFill>
                        <w14:solidFill>
                          <w14:schemeClr w14:val="tx1"/>
                        </w14:solidFill>
                      </w14:textFill>
                    </w:rPr>
                    <w:t>电线短路、静电火花、</w:t>
                  </w:r>
                  <w:r>
                    <w:rPr>
                      <w:rFonts w:hint="eastAsia" w:ascii="Times New Roman" w:hAnsi="Times New Roman" w:eastAsia="宋体"/>
                      <w:snapToGrid w:val="0"/>
                      <w:color w:val="000000" w:themeColor="text1"/>
                      <w:lang w:eastAsia="zh-CN"/>
                      <w14:textFill>
                        <w14:solidFill>
                          <w14:schemeClr w14:val="tx1"/>
                        </w14:solidFill>
                      </w14:textFill>
                    </w:rPr>
                    <w:t>易燃可燃物质</w:t>
                  </w:r>
                  <w:r>
                    <w:rPr>
                      <w:rFonts w:hint="eastAsia" w:ascii="Times New Roman" w:hAnsi="Times New Roman" w:eastAsia="宋体"/>
                      <w:snapToGrid w:val="0"/>
                      <w:color w:val="000000" w:themeColor="text1"/>
                      <w14:textFill>
                        <w14:solidFill>
                          <w14:schemeClr w14:val="tx1"/>
                        </w14:solidFill>
                      </w14:textFill>
                    </w:rPr>
                    <w:t>泄漏遇明火或高热等发生火灾事故及其次生/伴生事故，对周边环境造成的影响。</w:t>
                  </w:r>
                </w:p>
              </w:tc>
            </w:tr>
            <w:tr w14:paraId="2B6E6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3" w:type="pct"/>
                  <w:tcBorders>
                    <w:tl2br w:val="nil"/>
                    <w:tr2bl w:val="nil"/>
                  </w:tcBorders>
                  <w:noWrap w:val="0"/>
                  <w:vAlign w:val="center"/>
                </w:tcPr>
                <w:p w14:paraId="45F3C466">
                  <w:pPr>
                    <w:pStyle w:val="141"/>
                    <w:rPr>
                      <w:rFonts w:ascii="Times New Roman" w:hAnsi="Times New Roman" w:eastAsia="宋体"/>
                      <w:snapToGrid w:val="0"/>
                      <w:color w:val="000000" w:themeColor="text1"/>
                      <w14:textFill>
                        <w14:solidFill>
                          <w14:schemeClr w14:val="tx1"/>
                        </w14:solidFill>
                      </w14:textFill>
                    </w:rPr>
                  </w:pPr>
                  <w:r>
                    <w:rPr>
                      <w:rFonts w:ascii="Times New Roman" w:hAnsi="Times New Roman" w:eastAsia="宋体"/>
                      <w:snapToGrid w:val="0"/>
                      <w:color w:val="000000" w:themeColor="text1"/>
                      <w14:textFill>
                        <w14:solidFill>
                          <w14:schemeClr w14:val="tx1"/>
                        </w14:solidFill>
                      </w14:textFill>
                    </w:rPr>
                    <w:t>风险防范措施要求</w:t>
                  </w:r>
                </w:p>
              </w:tc>
              <w:tc>
                <w:tcPr>
                  <w:tcW w:w="4036" w:type="pct"/>
                  <w:gridSpan w:val="2"/>
                  <w:tcBorders>
                    <w:tl2br w:val="nil"/>
                    <w:tr2bl w:val="nil"/>
                  </w:tcBorders>
                  <w:noWrap w:val="0"/>
                  <w:vAlign w:val="center"/>
                </w:tcPr>
                <w:p w14:paraId="6B3539FE">
                  <w:pPr>
                    <w:pStyle w:val="141"/>
                    <w:jc w:val="left"/>
                    <w:rPr>
                      <w:rFonts w:ascii="Times New Roman" w:hAnsi="Times New Roman" w:eastAsia="宋体"/>
                      <w:snapToGrid w:val="0"/>
                      <w:color w:val="000000" w:themeColor="text1"/>
                      <w14:textFill>
                        <w14:solidFill>
                          <w14:schemeClr w14:val="tx1"/>
                        </w14:solidFill>
                      </w14:textFill>
                    </w:rPr>
                  </w:pPr>
                  <w:r>
                    <w:rPr>
                      <w:rFonts w:ascii="Times New Roman" w:hAnsi="Times New Roman" w:eastAsia="宋体"/>
                      <w:snapToGrid w:val="0"/>
                      <w:color w:val="000000" w:themeColor="text1"/>
                      <w14:textFill>
                        <w14:solidFill>
                          <w14:schemeClr w14:val="tx1"/>
                        </w14:solidFill>
                      </w14:textFill>
                    </w:rPr>
                    <w:t>本项目拟采取以下风险防范措施：</w:t>
                  </w:r>
                </w:p>
                <w:p w14:paraId="7A09AF61">
                  <w:pPr>
                    <w:pStyle w:val="141"/>
                    <w:numPr>
                      <w:ilvl w:val="0"/>
                      <w:numId w:val="0"/>
                    </w:numPr>
                    <w:jc w:val="left"/>
                    <w:rPr>
                      <w:rFonts w:hint="eastAsia" w:ascii="Times New Roman" w:hAnsi="Times New Roman" w:eastAsia="宋体"/>
                      <w:snapToGrid w:val="0"/>
                      <w:color w:val="000000" w:themeColor="text1"/>
                      <w:lang w:eastAsia="zh-CN"/>
                      <w14:textFill>
                        <w14:solidFill>
                          <w14:schemeClr w14:val="tx1"/>
                        </w14:solidFill>
                      </w14:textFill>
                    </w:rPr>
                  </w:pPr>
                  <w:r>
                    <w:rPr>
                      <w:rFonts w:hint="eastAsia" w:ascii="Times New Roman" w:hAnsi="Times New Roman" w:eastAsia="宋体"/>
                      <w:snapToGrid w:val="0"/>
                      <w:color w:val="000000" w:themeColor="text1"/>
                      <w:kern w:val="24"/>
                      <w:sz w:val="21"/>
                      <w:szCs w:val="21"/>
                      <w:lang w:val="en-US" w:eastAsia="zh-CN" w:bidi="ar-SA"/>
                      <w14:textFill>
                        <w14:solidFill>
                          <w14:schemeClr w14:val="tx1"/>
                        </w14:solidFill>
                      </w14:textFill>
                    </w:rPr>
                    <w:t>（1）</w:t>
                  </w:r>
                  <w:r>
                    <w:rPr>
                      <w:rFonts w:hint="eastAsia" w:ascii="Times New Roman" w:hAnsi="Times New Roman" w:eastAsia="宋体"/>
                      <w:snapToGrid w:val="0"/>
                      <w:color w:val="000000" w:themeColor="text1"/>
                      <w:lang w:eastAsia="zh-CN"/>
                      <w14:textFill>
                        <w14:solidFill>
                          <w14:schemeClr w14:val="tx1"/>
                        </w14:solidFill>
                      </w14:textFill>
                    </w:rPr>
                    <w:t>对厂区按要求进行分区防渗，自建</w:t>
                  </w:r>
                  <w:r>
                    <w:rPr>
                      <w:rFonts w:hint="eastAsia" w:ascii="Times New Roman" w:hAnsi="Times New Roman" w:eastAsia="宋体"/>
                      <w:snapToGrid w:val="0"/>
                      <w:color w:val="000000" w:themeColor="text1"/>
                      <w:lang w:val="en-US" w:eastAsia="zh-CN"/>
                      <w14:textFill>
                        <w14:solidFill>
                          <w14:schemeClr w14:val="tx1"/>
                        </w14:solidFill>
                      </w14:textFill>
                    </w:rPr>
                    <w:t>废水收集池</w:t>
                  </w:r>
                  <w:r>
                    <w:rPr>
                      <w:rFonts w:hint="eastAsia" w:ascii="Times New Roman" w:hAnsi="Times New Roman" w:eastAsia="宋体"/>
                      <w:snapToGrid w:val="0"/>
                      <w:color w:val="000000" w:themeColor="text1"/>
                      <w:lang w:eastAsia="zh-CN"/>
                      <w14:textFill>
                        <w14:solidFill>
                          <w14:schemeClr w14:val="tx1"/>
                        </w14:solidFill>
                      </w14:textFill>
                    </w:rPr>
                    <w:t>、危险废物贮存</w:t>
                  </w:r>
                  <w:r>
                    <w:rPr>
                      <w:rFonts w:hint="eastAsia" w:ascii="Times New Roman" w:hAnsi="Times New Roman" w:eastAsia="宋体"/>
                      <w:snapToGrid w:val="0"/>
                      <w:color w:val="000000" w:themeColor="text1"/>
                      <w:lang w:val="en-US" w:eastAsia="zh-CN"/>
                      <w14:textFill>
                        <w14:solidFill>
                          <w14:schemeClr w14:val="tx1"/>
                        </w14:solidFill>
                      </w14:textFill>
                    </w:rPr>
                    <w:t>间</w:t>
                  </w:r>
                  <w:r>
                    <w:rPr>
                      <w:rFonts w:hint="eastAsia" w:ascii="Times New Roman" w:hAnsi="Times New Roman" w:eastAsia="宋体"/>
                      <w:snapToGrid w:val="0"/>
                      <w:color w:val="000000" w:themeColor="text1"/>
                      <w:lang w:eastAsia="zh-CN"/>
                      <w14:textFill>
                        <w14:solidFill>
                          <w14:schemeClr w14:val="tx1"/>
                        </w14:solidFill>
                      </w14:textFill>
                    </w:rPr>
                    <w:t>、</w:t>
                  </w:r>
                  <w:r>
                    <w:rPr>
                      <w:rFonts w:hint="eastAsia" w:ascii="Times New Roman" w:hAnsi="Times New Roman" w:eastAsia="宋体"/>
                      <w:snapToGrid w:val="0"/>
                      <w:color w:val="000000" w:themeColor="text1"/>
                      <w:lang w:val="en-US" w:eastAsia="zh-CN"/>
                      <w14:textFill>
                        <w14:solidFill>
                          <w14:schemeClr w14:val="tx1"/>
                        </w14:solidFill>
                      </w14:textFill>
                    </w:rPr>
                    <w:t>前处理和电泳槽生产区</w:t>
                  </w:r>
                  <w:r>
                    <w:rPr>
                      <w:rFonts w:hint="eastAsia" w:ascii="Times New Roman" w:hAnsi="Times New Roman" w:eastAsia="宋体"/>
                      <w:snapToGrid w:val="0"/>
                      <w:color w:val="000000" w:themeColor="text1"/>
                      <w:lang w:eastAsia="zh-CN"/>
                      <w14:textFill>
                        <w14:solidFill>
                          <w14:schemeClr w14:val="tx1"/>
                        </w14:solidFill>
                      </w14:textFill>
                    </w:rPr>
                    <w:t>等按重点防渗要求</w:t>
                  </w:r>
                  <w:r>
                    <w:rPr>
                      <w:rFonts w:hint="eastAsia" w:ascii="Times New Roman" w:hAnsi="Times New Roman" w:eastAsia="宋体"/>
                      <w:snapToGrid w:val="0"/>
                      <w:color w:val="000000" w:themeColor="text1"/>
                      <w:lang w:val="en-US" w:eastAsia="zh-CN"/>
                      <w14:textFill>
                        <w14:solidFill>
                          <w14:schemeClr w14:val="tx1"/>
                        </w14:solidFill>
                      </w14:textFill>
                    </w:rPr>
                    <w:t>进行防渗</w:t>
                  </w:r>
                  <w:r>
                    <w:rPr>
                      <w:rFonts w:hint="eastAsia" w:ascii="Times New Roman" w:hAnsi="Times New Roman" w:eastAsia="宋体"/>
                      <w:snapToGrid w:val="0"/>
                      <w:color w:val="000000" w:themeColor="text1"/>
                      <w:lang w:eastAsia="zh-CN"/>
                      <w14:textFill>
                        <w14:solidFill>
                          <w14:schemeClr w14:val="tx1"/>
                        </w14:solidFill>
                      </w14:textFill>
                    </w:rPr>
                    <w:t>；危险废物贮存</w:t>
                  </w:r>
                  <w:r>
                    <w:rPr>
                      <w:rFonts w:hint="eastAsia" w:ascii="Times New Roman" w:hAnsi="Times New Roman" w:eastAsia="宋体"/>
                      <w:snapToGrid w:val="0"/>
                      <w:color w:val="000000" w:themeColor="text1"/>
                      <w:lang w:val="en-US" w:eastAsia="zh-CN"/>
                      <w14:textFill>
                        <w14:solidFill>
                          <w14:schemeClr w14:val="tx1"/>
                        </w14:solidFill>
                      </w14:textFill>
                    </w:rPr>
                    <w:t>间</w:t>
                  </w:r>
                  <w:r>
                    <w:rPr>
                      <w:rFonts w:hint="eastAsia" w:ascii="Times New Roman" w:hAnsi="Times New Roman" w:eastAsia="宋体"/>
                      <w:snapToGrid w:val="0"/>
                      <w:color w:val="000000" w:themeColor="text1"/>
                      <w:lang w:eastAsia="zh-CN"/>
                      <w14:textFill>
                        <w14:solidFill>
                          <w14:schemeClr w14:val="tx1"/>
                        </w14:solidFill>
                      </w14:textFill>
                    </w:rPr>
                    <w:t>、化学品仓库四周设置导流沟槽、</w:t>
                  </w:r>
                  <w:r>
                    <w:rPr>
                      <w:rFonts w:hint="eastAsia" w:ascii="Times New Roman" w:hAnsi="Times New Roman" w:eastAsia="宋体"/>
                      <w:snapToGrid w:val="0"/>
                      <w:color w:val="000000" w:themeColor="text1"/>
                      <w:lang w:val="en-US" w:eastAsia="zh-CN"/>
                      <w14:textFill>
                        <w14:solidFill>
                          <w14:schemeClr w14:val="tx1"/>
                        </w14:solidFill>
                      </w14:textFill>
                    </w:rPr>
                    <w:t>围堰和收集池</w:t>
                  </w:r>
                  <w:r>
                    <w:rPr>
                      <w:rFonts w:hint="eastAsia" w:ascii="Times New Roman" w:hAnsi="Times New Roman" w:eastAsia="宋体"/>
                      <w:snapToGrid w:val="0"/>
                      <w:color w:val="000000" w:themeColor="text1"/>
                      <w:lang w:eastAsia="zh-CN"/>
                      <w14:textFill>
                        <w14:solidFill>
                          <w14:schemeClr w14:val="tx1"/>
                        </w14:solidFill>
                      </w14:textFill>
                    </w:rPr>
                    <w:t>，</w:t>
                  </w:r>
                  <w:r>
                    <w:rPr>
                      <w:rFonts w:hint="eastAsia" w:ascii="Times New Roman" w:hAnsi="Times New Roman" w:eastAsia="宋体"/>
                      <w:snapToGrid w:val="0"/>
                      <w:color w:val="000000" w:themeColor="text1"/>
                      <w:lang w:val="en-US" w:eastAsia="zh-CN"/>
                      <w14:textFill>
                        <w14:solidFill>
                          <w14:schemeClr w14:val="tx1"/>
                        </w14:solidFill>
                      </w14:textFill>
                    </w:rPr>
                    <w:t>前处理和电泳槽</w:t>
                  </w:r>
                  <w:r>
                    <w:rPr>
                      <w:rFonts w:hint="eastAsia" w:ascii="Times New Roman" w:hAnsi="Times New Roman" w:eastAsia="宋体"/>
                      <w:snapToGrid w:val="0"/>
                      <w:color w:val="000000" w:themeColor="text1"/>
                      <w:lang w:eastAsia="zh-CN"/>
                      <w14:textFill>
                        <w14:solidFill>
                          <w14:schemeClr w14:val="tx1"/>
                        </w14:solidFill>
                      </w14:textFill>
                    </w:rPr>
                    <w:t>四周设置导流沟槽、</w:t>
                  </w:r>
                  <w:r>
                    <w:rPr>
                      <w:rFonts w:hint="eastAsia" w:ascii="Times New Roman" w:hAnsi="Times New Roman" w:eastAsia="宋体"/>
                      <w:snapToGrid w:val="0"/>
                      <w:color w:val="000000" w:themeColor="text1"/>
                      <w:lang w:val="en-US" w:eastAsia="zh-CN"/>
                      <w14:textFill>
                        <w14:solidFill>
                          <w14:schemeClr w14:val="tx1"/>
                        </w14:solidFill>
                      </w14:textFill>
                    </w:rPr>
                    <w:t>围堰</w:t>
                  </w:r>
                  <w:r>
                    <w:rPr>
                      <w:rFonts w:hint="eastAsia" w:ascii="Times New Roman" w:hAnsi="Times New Roman" w:eastAsia="宋体"/>
                      <w:snapToGrid w:val="0"/>
                      <w:color w:val="000000" w:themeColor="text1"/>
                      <w:lang w:eastAsia="zh-CN"/>
                      <w14:textFill>
                        <w14:solidFill>
                          <w14:schemeClr w14:val="tx1"/>
                        </w14:solidFill>
                      </w14:textFill>
                    </w:rPr>
                    <w:t>；</w:t>
                  </w:r>
                </w:p>
                <w:p w14:paraId="39179AEE">
                  <w:pPr>
                    <w:pStyle w:val="141"/>
                    <w:numPr>
                      <w:ilvl w:val="0"/>
                      <w:numId w:val="0"/>
                    </w:numPr>
                    <w:jc w:val="left"/>
                    <w:rPr>
                      <w:rFonts w:hint="eastAsia" w:ascii="Times New Roman" w:hAnsi="Times New Roman" w:eastAsia="宋体"/>
                      <w:snapToGrid w:val="0"/>
                      <w:color w:val="000000" w:themeColor="text1"/>
                      <w:lang w:eastAsia="zh-CN"/>
                      <w14:textFill>
                        <w14:solidFill>
                          <w14:schemeClr w14:val="tx1"/>
                        </w14:solidFill>
                      </w14:textFill>
                    </w:rPr>
                  </w:pPr>
                  <w:r>
                    <w:rPr>
                      <w:rFonts w:hint="eastAsia" w:ascii="Times New Roman" w:hAnsi="Times New Roman" w:eastAsia="宋体"/>
                      <w:snapToGrid w:val="0"/>
                      <w:color w:val="000000" w:themeColor="text1"/>
                      <w:kern w:val="24"/>
                      <w:sz w:val="21"/>
                      <w:szCs w:val="21"/>
                      <w:lang w:val="en-US" w:eastAsia="zh-CN" w:bidi="ar-SA"/>
                      <w14:textFill>
                        <w14:solidFill>
                          <w14:schemeClr w14:val="tx1"/>
                        </w14:solidFill>
                      </w14:textFill>
                    </w:rPr>
                    <w:t>（2）</w:t>
                  </w:r>
                  <w:r>
                    <w:rPr>
                      <w:rFonts w:hint="eastAsia" w:ascii="Times New Roman" w:hAnsi="Times New Roman" w:eastAsia="宋体"/>
                      <w:snapToGrid w:val="0"/>
                      <w:color w:val="000000" w:themeColor="text1"/>
                      <w:lang w:eastAsia="zh-CN"/>
                      <w14:textFill>
                        <w14:solidFill>
                          <w14:schemeClr w14:val="tx1"/>
                        </w14:solidFill>
                      </w14:textFill>
                    </w:rPr>
                    <w:t>定期对设施、管道进行检修及维护保养；定期更换废气处理设施内过滤吸附介质（活性炭），</w:t>
                  </w:r>
                  <w:r>
                    <w:rPr>
                      <w:rFonts w:hint="eastAsia" w:ascii="Times New Roman" w:hAnsi="Times New Roman" w:eastAsia="宋体"/>
                      <w:snapToGrid w:val="0"/>
                      <w:color w:val="000000" w:themeColor="text1"/>
                      <w:lang w:val="en-US" w:eastAsia="zh-CN"/>
                      <w14:textFill>
                        <w14:solidFill>
                          <w14:schemeClr w14:val="tx1"/>
                        </w14:solidFill>
                      </w14:textFill>
                    </w:rPr>
                    <w:t>定期排放喷淋废水</w:t>
                  </w:r>
                  <w:r>
                    <w:rPr>
                      <w:rFonts w:hint="eastAsia" w:ascii="Times New Roman" w:hAnsi="Times New Roman" w:eastAsia="宋体"/>
                      <w:snapToGrid w:val="0"/>
                      <w:color w:val="000000" w:themeColor="text1"/>
                      <w:lang w:eastAsia="zh-CN"/>
                      <w14:textFill>
                        <w14:solidFill>
                          <w14:schemeClr w14:val="tx1"/>
                        </w14:solidFill>
                      </w14:textFill>
                    </w:rPr>
                    <w:t>；</w:t>
                  </w:r>
                </w:p>
                <w:p w14:paraId="5B494A7D">
                  <w:pPr>
                    <w:pStyle w:val="141"/>
                    <w:numPr>
                      <w:ilvl w:val="0"/>
                      <w:numId w:val="0"/>
                    </w:numPr>
                    <w:ind w:left="0" w:leftChars="0" w:firstLine="0" w:firstLineChars="0"/>
                    <w:jc w:val="left"/>
                    <w:rPr>
                      <w:rFonts w:hint="eastAsia" w:ascii="Times New Roman" w:hAnsi="Times New Roman" w:eastAsia="宋体"/>
                      <w:snapToGrid w:val="0"/>
                      <w:color w:val="000000" w:themeColor="text1"/>
                      <w:lang w:eastAsia="zh-CN"/>
                      <w14:textFill>
                        <w14:solidFill>
                          <w14:schemeClr w14:val="tx1"/>
                        </w14:solidFill>
                      </w14:textFill>
                    </w:rPr>
                  </w:pPr>
                  <w:r>
                    <w:rPr>
                      <w:rFonts w:hint="eastAsia" w:ascii="Times New Roman" w:hAnsi="Times New Roman" w:eastAsia="宋体"/>
                      <w:snapToGrid w:val="0"/>
                      <w:color w:val="000000" w:themeColor="text1"/>
                      <w:kern w:val="24"/>
                      <w:sz w:val="21"/>
                      <w:szCs w:val="21"/>
                      <w:lang w:val="en-US" w:eastAsia="zh-CN" w:bidi="ar-SA"/>
                      <w14:textFill>
                        <w14:solidFill>
                          <w14:schemeClr w14:val="tx1"/>
                        </w14:solidFill>
                      </w14:textFill>
                    </w:rPr>
                    <w:t>（3）</w:t>
                  </w:r>
                  <w:r>
                    <w:rPr>
                      <w:rFonts w:hint="eastAsia" w:ascii="Times New Roman" w:hAnsi="Times New Roman" w:eastAsia="宋体"/>
                      <w:snapToGrid w:val="0"/>
                      <w:color w:val="000000" w:themeColor="text1"/>
                      <w:lang w:eastAsia="zh-CN"/>
                      <w14:textFill>
                        <w14:solidFill>
                          <w14:schemeClr w14:val="tx1"/>
                        </w14:solidFill>
                      </w14:textFill>
                    </w:rPr>
                    <w:t>各生产岗位制定严格的操作规程和注意事项；设置警示标识等，</w:t>
                  </w:r>
                  <w:r>
                    <w:rPr>
                      <w:rFonts w:hint="eastAsia" w:ascii="Times New Roman" w:hAnsi="Times New Roman" w:eastAsia="宋体"/>
                      <w:snapToGrid w:val="0"/>
                      <w:color w:val="000000" w:themeColor="text1"/>
                      <w14:textFill>
                        <w14:solidFill>
                          <w14:schemeClr w14:val="tx1"/>
                        </w14:solidFill>
                      </w14:textFill>
                    </w:rPr>
                    <w:t>厂区内严禁烟火，严格动火审批制度。定期进行防火安全检查</w:t>
                  </w:r>
                  <w:r>
                    <w:rPr>
                      <w:rFonts w:hint="eastAsia" w:eastAsia="宋体"/>
                      <w:snapToGrid w:val="0"/>
                      <w:color w:val="000000" w:themeColor="text1"/>
                      <w:lang w:eastAsia="zh-CN"/>
                      <w14:textFill>
                        <w14:solidFill>
                          <w14:schemeClr w14:val="tx1"/>
                        </w14:solidFill>
                      </w14:textFill>
                    </w:rPr>
                    <w:t>；</w:t>
                  </w:r>
                </w:p>
                <w:p w14:paraId="3F7F3168">
                  <w:pPr>
                    <w:pStyle w:val="141"/>
                    <w:numPr>
                      <w:ilvl w:val="0"/>
                      <w:numId w:val="0"/>
                    </w:numPr>
                    <w:ind w:left="0" w:leftChars="0" w:firstLine="0" w:firstLineChars="0"/>
                    <w:jc w:val="left"/>
                    <w:rPr>
                      <w:rFonts w:hint="eastAsia" w:eastAsia="宋体"/>
                      <w:snapToGrid w:val="0"/>
                      <w:color w:val="000000" w:themeColor="text1"/>
                      <w:lang w:eastAsia="zh-CN"/>
                      <w14:textFill>
                        <w14:solidFill>
                          <w14:schemeClr w14:val="tx1"/>
                        </w14:solidFill>
                      </w14:textFill>
                    </w:rPr>
                  </w:pPr>
                  <w:r>
                    <w:rPr>
                      <w:rFonts w:hint="eastAsia" w:ascii="Times New Roman" w:hAnsi="Times New Roman" w:eastAsia="宋体"/>
                      <w:snapToGrid w:val="0"/>
                      <w:color w:val="000000" w:themeColor="text1"/>
                      <w:kern w:val="24"/>
                      <w:sz w:val="21"/>
                      <w:szCs w:val="21"/>
                      <w:lang w:val="en-US" w:eastAsia="zh-CN" w:bidi="ar-SA"/>
                      <w14:textFill>
                        <w14:solidFill>
                          <w14:schemeClr w14:val="tx1"/>
                        </w14:solidFill>
                      </w14:textFill>
                    </w:rPr>
                    <w:t>（4）</w:t>
                  </w:r>
                  <w:r>
                    <w:rPr>
                      <w:rFonts w:hint="eastAsia" w:ascii="Times New Roman" w:hAnsi="Times New Roman" w:eastAsia="宋体"/>
                      <w:snapToGrid w:val="0"/>
                      <w:color w:val="000000" w:themeColor="text1"/>
                      <w14:textFill>
                        <w14:solidFill>
                          <w14:schemeClr w14:val="tx1"/>
                        </w14:solidFill>
                      </w14:textFill>
                    </w:rPr>
                    <w:t>配备相应的</w:t>
                  </w:r>
                  <w:r>
                    <w:rPr>
                      <w:rFonts w:hint="eastAsia" w:ascii="Times New Roman" w:hAnsi="Times New Roman" w:eastAsia="宋体"/>
                      <w:snapToGrid w:val="0"/>
                      <w:color w:val="000000" w:themeColor="text1"/>
                      <w:lang w:eastAsia="zh-CN"/>
                      <w14:textFill>
                        <w14:solidFill>
                          <w14:schemeClr w14:val="tx1"/>
                        </w14:solidFill>
                      </w14:textFill>
                    </w:rPr>
                    <w:t>应急物资</w:t>
                  </w:r>
                  <w:r>
                    <w:rPr>
                      <w:rFonts w:hint="eastAsia" w:ascii="Times New Roman" w:hAnsi="Times New Roman" w:eastAsia="宋体"/>
                      <w:snapToGrid w:val="0"/>
                      <w:color w:val="000000" w:themeColor="text1"/>
                      <w14:textFill>
                        <w14:solidFill>
                          <w14:schemeClr w14:val="tx1"/>
                        </w14:solidFill>
                      </w14:textFill>
                    </w:rPr>
                    <w:t>(</w:t>
                  </w:r>
                  <w:r>
                    <w:rPr>
                      <w:rFonts w:hint="eastAsia" w:ascii="Times New Roman" w:hAnsi="Times New Roman" w:eastAsia="宋体"/>
                      <w:snapToGrid w:val="0"/>
                      <w:color w:val="000000" w:themeColor="text1"/>
                      <w:lang w:eastAsia="zh-CN"/>
                      <w14:textFill>
                        <w14:solidFill>
                          <w14:schemeClr w14:val="tx1"/>
                        </w14:solidFill>
                      </w14:textFill>
                    </w:rPr>
                    <w:t>沙袋</w:t>
                  </w:r>
                  <w:r>
                    <w:rPr>
                      <w:rFonts w:hint="eastAsia" w:ascii="Times New Roman" w:hAnsi="Times New Roman" w:eastAsia="宋体"/>
                      <w:snapToGrid w:val="0"/>
                      <w:color w:val="000000" w:themeColor="text1"/>
                      <w14:textFill>
                        <w14:solidFill>
                          <w14:schemeClr w14:val="tx1"/>
                        </w14:solidFill>
                      </w14:textFill>
                    </w:rPr>
                    <w:t>、吸油毡等)</w:t>
                  </w:r>
                  <w:r>
                    <w:rPr>
                      <w:rFonts w:hint="eastAsia" w:ascii="Times New Roman" w:hAnsi="Times New Roman" w:eastAsia="宋体"/>
                      <w:snapToGrid w:val="0"/>
                      <w:color w:val="000000" w:themeColor="text1"/>
                      <w:lang w:eastAsia="zh-CN"/>
                      <w14:textFill>
                        <w14:solidFill>
                          <w14:schemeClr w14:val="tx1"/>
                        </w14:solidFill>
                      </w14:textFill>
                    </w:rPr>
                    <w:t>、雨</w:t>
                  </w:r>
                  <w:r>
                    <w:rPr>
                      <w:rFonts w:hint="eastAsia" w:ascii="Times New Roman" w:hAnsi="Times New Roman" w:eastAsia="宋体"/>
                      <w:snapToGrid w:val="0"/>
                      <w:color w:val="000000" w:themeColor="text1"/>
                      <w:lang w:val="en-US" w:eastAsia="zh-CN"/>
                      <w14:textFill>
                        <w14:solidFill>
                          <w14:schemeClr w14:val="tx1"/>
                        </w14:solidFill>
                      </w14:textFill>
                    </w:rPr>
                    <w:t>水</w:t>
                  </w:r>
                  <w:r>
                    <w:rPr>
                      <w:rFonts w:hint="eastAsia" w:ascii="Times New Roman" w:hAnsi="Times New Roman" w:eastAsia="宋体"/>
                      <w:snapToGrid w:val="0"/>
                      <w:color w:val="000000" w:themeColor="text1"/>
                      <w:lang w:eastAsia="zh-CN"/>
                      <w14:textFill>
                        <w14:solidFill>
                          <w14:schemeClr w14:val="tx1"/>
                        </w14:solidFill>
                      </w14:textFill>
                    </w:rPr>
                    <w:t>总排放口设置阀门控制</w:t>
                  </w:r>
                  <w:r>
                    <w:rPr>
                      <w:rFonts w:hint="eastAsia" w:eastAsia="宋体"/>
                      <w:snapToGrid w:val="0"/>
                      <w:color w:val="000000" w:themeColor="text1"/>
                      <w:lang w:eastAsia="zh-CN"/>
                      <w14:textFill>
                        <w14:solidFill>
                          <w14:schemeClr w14:val="tx1"/>
                        </w14:solidFill>
                      </w14:textFill>
                    </w:rPr>
                    <w:t>；</w:t>
                  </w:r>
                </w:p>
                <w:p w14:paraId="658F7F16">
                  <w:pPr>
                    <w:pStyle w:val="141"/>
                    <w:numPr>
                      <w:ilvl w:val="0"/>
                      <w:numId w:val="0"/>
                    </w:numPr>
                    <w:ind w:left="0" w:leftChars="0" w:firstLine="0" w:firstLineChars="0"/>
                    <w:jc w:val="left"/>
                    <w:rPr>
                      <w:rFonts w:hint="eastAsia" w:ascii="Times New Roman" w:hAnsi="Times New Roman" w:eastAsia="宋体"/>
                      <w:snapToGrid w:val="0"/>
                      <w:color w:val="000000" w:themeColor="text1"/>
                      <w:lang w:val="en-US" w:eastAsia="zh-CN"/>
                      <w14:textFill>
                        <w14:solidFill>
                          <w14:schemeClr w14:val="tx1"/>
                        </w14:solidFill>
                      </w14:textFill>
                    </w:rPr>
                  </w:pPr>
                  <w:r>
                    <w:rPr>
                      <w:rFonts w:hint="eastAsia" w:eastAsia="宋体"/>
                      <w:snapToGrid w:val="0"/>
                      <w:color w:val="000000" w:themeColor="text1"/>
                      <w:lang w:eastAsia="zh-CN"/>
                      <w14:textFill>
                        <w14:solidFill>
                          <w14:schemeClr w14:val="tx1"/>
                        </w14:solidFill>
                      </w14:textFill>
                    </w:rPr>
                    <w:t>（</w:t>
                  </w:r>
                  <w:r>
                    <w:rPr>
                      <w:rFonts w:hint="eastAsia" w:eastAsia="宋体"/>
                      <w:snapToGrid w:val="0"/>
                      <w:color w:val="000000" w:themeColor="text1"/>
                      <w:lang w:val="en-US" w:eastAsia="zh-CN"/>
                      <w14:textFill>
                        <w14:solidFill>
                          <w14:schemeClr w14:val="tx1"/>
                        </w14:solidFill>
                      </w14:textFill>
                    </w:rPr>
                    <w:t>5</w:t>
                  </w:r>
                  <w:r>
                    <w:rPr>
                      <w:rFonts w:hint="eastAsia" w:eastAsia="宋体"/>
                      <w:snapToGrid w:val="0"/>
                      <w:color w:val="000000" w:themeColor="text1"/>
                      <w:lang w:eastAsia="zh-CN"/>
                      <w14:textFill>
                        <w14:solidFill>
                          <w14:schemeClr w14:val="tx1"/>
                        </w14:solidFill>
                      </w14:textFill>
                    </w:rPr>
                    <w:t>）</w:t>
                  </w:r>
                  <w:r>
                    <w:rPr>
                      <w:rFonts w:hint="eastAsia" w:eastAsia="宋体"/>
                      <w:snapToGrid w:val="0"/>
                      <w:color w:val="000000" w:themeColor="text1"/>
                      <w:lang w:val="en-US" w:eastAsia="zh-CN"/>
                      <w14:textFill>
                        <w14:solidFill>
                          <w14:schemeClr w14:val="tx1"/>
                        </w14:solidFill>
                      </w14:textFill>
                    </w:rPr>
                    <w:t>修订应急预案并报主管部门备案</w:t>
                  </w:r>
                  <w:r>
                    <w:rPr>
                      <w:rFonts w:hint="eastAsia" w:ascii="Times New Roman" w:hAnsi="Times New Roman" w:eastAsia="宋体"/>
                      <w:snapToGrid w:val="0"/>
                      <w:color w:val="000000" w:themeColor="text1"/>
                      <w14:textFill>
                        <w14:solidFill>
                          <w14:schemeClr w14:val="tx1"/>
                        </w14:solidFill>
                      </w14:textFill>
                    </w:rPr>
                    <w:t>。</w:t>
                  </w:r>
                </w:p>
              </w:tc>
            </w:tr>
            <w:bookmarkEnd w:id="41"/>
          </w:tbl>
          <w:p w14:paraId="2327C4E2">
            <w:pPr>
              <w:spacing w:line="360" w:lineRule="auto"/>
              <w:rPr>
                <w:rFonts w:hint="default" w:ascii="Times New Roman" w:hAnsi="Times New Roman" w:cs="Times New Roman"/>
                <w:b/>
                <w:bCs/>
                <w:color w:val="000000" w:themeColor="text1"/>
                <w:spacing w:val="0"/>
                <w:kern w:val="0"/>
                <w:position w:val="0"/>
                <w:sz w:val="28"/>
                <w:szCs w:val="28"/>
                <w14:textFill>
                  <w14:solidFill>
                    <w14:schemeClr w14:val="tx1"/>
                  </w14:solidFill>
                </w14:textFill>
              </w:rPr>
            </w:pPr>
            <w:r>
              <w:rPr>
                <w:rFonts w:hint="default" w:ascii="Times New Roman" w:hAnsi="Times New Roman" w:cs="Times New Roman"/>
                <w:b/>
                <w:bCs/>
                <w:color w:val="000000" w:themeColor="text1"/>
                <w:spacing w:val="0"/>
                <w:kern w:val="0"/>
                <w:position w:val="0"/>
                <w:sz w:val="28"/>
                <w:szCs w:val="28"/>
                <w14:textFill>
                  <w14:solidFill>
                    <w14:schemeClr w14:val="tx1"/>
                  </w14:solidFill>
                </w14:textFill>
              </w:rPr>
              <w:t>4.</w:t>
            </w:r>
            <w:r>
              <w:rPr>
                <w:rFonts w:hint="eastAsia" w:cs="Times New Roman"/>
                <w:b/>
                <w:bCs/>
                <w:color w:val="000000" w:themeColor="text1"/>
                <w:spacing w:val="0"/>
                <w:kern w:val="0"/>
                <w:position w:val="0"/>
                <w:sz w:val="28"/>
                <w:szCs w:val="28"/>
                <w:lang w:val="en-US" w:eastAsia="zh-CN"/>
                <w14:textFill>
                  <w14:solidFill>
                    <w14:schemeClr w14:val="tx1"/>
                  </w14:solidFill>
                </w14:textFill>
              </w:rPr>
              <w:t>9</w:t>
            </w:r>
            <w:r>
              <w:rPr>
                <w:rFonts w:hint="default" w:ascii="Times New Roman" w:hAnsi="Times New Roman" w:cs="Times New Roman"/>
                <w:b/>
                <w:bCs/>
                <w:color w:val="000000" w:themeColor="text1"/>
                <w:spacing w:val="0"/>
                <w:kern w:val="0"/>
                <w:position w:val="0"/>
                <w:sz w:val="28"/>
                <w:szCs w:val="28"/>
                <w14:textFill>
                  <w14:solidFill>
                    <w14:schemeClr w14:val="tx1"/>
                  </w14:solidFill>
                </w14:textFill>
              </w:rPr>
              <w:t>环保投资估算</w:t>
            </w:r>
          </w:p>
          <w:p w14:paraId="5B3776EB">
            <w:pPr>
              <w:spacing w:line="360" w:lineRule="auto"/>
              <w:ind w:firstLine="480" w:firstLineChars="200"/>
              <w:rPr>
                <w:rFonts w:hint="default" w:ascii="Times New Roman" w:hAnsi="Times New Roman" w:cs="Times New Roman"/>
                <w:color w:val="000000" w:themeColor="text1"/>
                <w:spacing w:val="0"/>
                <w:kern w:val="0"/>
                <w:position w:val="0"/>
                <w:sz w:val="24"/>
                <w14:textFill>
                  <w14:solidFill>
                    <w14:schemeClr w14:val="tx1"/>
                  </w14:solidFill>
                </w14:textFill>
              </w:rPr>
            </w:pPr>
            <w:r>
              <w:rPr>
                <w:rFonts w:hint="default" w:ascii="Times New Roman" w:hAnsi="Times New Roman" w:cs="Times New Roman"/>
                <w:color w:val="000000" w:themeColor="text1"/>
                <w:spacing w:val="0"/>
                <w:kern w:val="0"/>
                <w:position w:val="0"/>
                <w:sz w:val="24"/>
                <w14:textFill>
                  <w14:solidFill>
                    <w14:schemeClr w14:val="tx1"/>
                  </w14:solidFill>
                </w14:textFill>
              </w:rPr>
              <w:t>本项</w:t>
            </w:r>
            <w:r>
              <w:rPr>
                <w:rFonts w:hint="default" w:ascii="Times New Roman" w:hAnsi="Times New Roman" w:eastAsia="宋体" w:cs="Times New Roman"/>
                <w:color w:val="000000" w:themeColor="text1"/>
                <w:spacing w:val="0"/>
                <w:kern w:val="2"/>
                <w:position w:val="0"/>
                <w:sz w:val="24"/>
                <w:szCs w:val="24"/>
                <w:highlight w:val="none"/>
                <w:lang w:val="en-GB" w:eastAsia="zh-CN" w:bidi="ar-SA"/>
                <w14:textFill>
                  <w14:solidFill>
                    <w14:schemeClr w14:val="tx1"/>
                  </w14:solidFill>
                </w14:textFill>
              </w:rPr>
              <w:t>目环保投资估算具</w:t>
            </w:r>
            <w:r>
              <w:rPr>
                <w:rFonts w:hint="default" w:ascii="Times New Roman" w:hAnsi="Times New Roman" w:cs="Times New Roman"/>
                <w:color w:val="000000" w:themeColor="text1"/>
                <w:spacing w:val="0"/>
                <w:kern w:val="0"/>
                <w:position w:val="0"/>
                <w:sz w:val="24"/>
                <w14:textFill>
                  <w14:solidFill>
                    <w14:schemeClr w14:val="tx1"/>
                  </w14:solidFill>
                </w14:textFill>
              </w:rPr>
              <w:t>体明细见表4.</w:t>
            </w:r>
            <w:r>
              <w:rPr>
                <w:rFonts w:hint="eastAsia" w:cs="Times New Roman"/>
                <w:color w:val="000000" w:themeColor="text1"/>
                <w:spacing w:val="0"/>
                <w:kern w:val="0"/>
                <w:position w:val="0"/>
                <w:sz w:val="24"/>
                <w:lang w:val="en-US" w:eastAsia="zh-CN"/>
                <w14:textFill>
                  <w14:solidFill>
                    <w14:schemeClr w14:val="tx1"/>
                  </w14:solidFill>
                </w14:textFill>
              </w:rPr>
              <w:t>9</w:t>
            </w:r>
            <w:r>
              <w:rPr>
                <w:rFonts w:hint="default" w:ascii="Times New Roman" w:hAnsi="Times New Roman" w:cs="Times New Roman"/>
                <w:color w:val="000000" w:themeColor="text1"/>
                <w:spacing w:val="0"/>
                <w:kern w:val="0"/>
                <w:position w:val="0"/>
                <w:sz w:val="24"/>
                <w14:textFill>
                  <w14:solidFill>
                    <w14:schemeClr w14:val="tx1"/>
                  </w14:solidFill>
                </w14:textFill>
              </w:rPr>
              <w:t>-1。</w:t>
            </w:r>
          </w:p>
          <w:p w14:paraId="64CA7960">
            <w:pPr>
              <w:rPr>
                <w:rFonts w:hint="default"/>
                <w:color w:val="000000" w:themeColor="text1"/>
                <w14:textFill>
                  <w14:solidFill>
                    <w14:schemeClr w14:val="tx1"/>
                  </w14:solidFill>
                </w14:textFill>
              </w:rPr>
            </w:pPr>
          </w:p>
          <w:p w14:paraId="51931542">
            <w:pPr>
              <w:pStyle w:val="83"/>
              <w:numPr>
                <w:ilvl w:val="0"/>
                <w:numId w:val="0"/>
              </w:numPr>
              <w:autoSpaceDE/>
              <w:autoSpaceDN/>
              <w:spacing w:after="0" w:line="240" w:lineRule="auto"/>
              <w:ind w:left="0" w:leftChars="0" w:firstLine="200" w:firstLineChars="0"/>
              <w:outlineLvl w:val="9"/>
              <w:rPr>
                <w:rFonts w:hint="default" w:ascii="Times New Roman" w:hAnsi="Times New Roman" w:eastAsia="宋体" w:cs="宋体"/>
                <w:bCs/>
                <w:color w:val="000000" w:themeColor="text1"/>
                <w:szCs w:val="21"/>
                <w:lang w:val="en-US" w:eastAsia="zh-CN"/>
                <w14:textFill>
                  <w14:solidFill>
                    <w14:schemeClr w14:val="tx1"/>
                  </w14:solidFill>
                </w14:textFill>
              </w:rPr>
            </w:pPr>
            <w:r>
              <w:rPr>
                <w:rFonts w:hint="default" w:ascii="Times New Roman" w:hAnsi="Times New Roman" w:eastAsia="宋体" w:cs="宋体"/>
                <w:bCs/>
                <w:color w:val="000000" w:themeColor="text1"/>
                <w:szCs w:val="21"/>
                <w:lang w:val="en-US" w:eastAsia="zh-CN"/>
                <w14:textFill>
                  <w14:solidFill>
                    <w14:schemeClr w14:val="tx1"/>
                  </w14:solidFill>
                </w14:textFill>
              </w:rPr>
              <w:t>表4.</w:t>
            </w:r>
            <w:r>
              <w:rPr>
                <w:rFonts w:hint="eastAsia" w:cs="宋体"/>
                <w:bCs/>
                <w:color w:val="000000" w:themeColor="text1"/>
                <w:szCs w:val="21"/>
                <w:lang w:val="en-US" w:eastAsia="zh-CN"/>
                <w14:textFill>
                  <w14:solidFill>
                    <w14:schemeClr w14:val="tx1"/>
                  </w14:solidFill>
                </w14:textFill>
              </w:rPr>
              <w:t>9</w:t>
            </w:r>
            <w:r>
              <w:rPr>
                <w:rFonts w:hint="default" w:ascii="Times New Roman" w:hAnsi="Times New Roman" w:eastAsia="宋体" w:cs="宋体"/>
                <w:bCs/>
                <w:color w:val="000000" w:themeColor="text1"/>
                <w:szCs w:val="21"/>
                <w:lang w:val="en-US" w:eastAsia="zh-CN"/>
                <w14:textFill>
                  <w14:solidFill>
                    <w14:schemeClr w14:val="tx1"/>
                  </w14:solidFill>
                </w14:textFill>
              </w:rPr>
              <w:t>-1</w:t>
            </w:r>
            <w:r>
              <w:rPr>
                <w:rFonts w:hint="eastAsia" w:ascii="Times New Roman" w:hAnsi="Times New Roman" w:eastAsia="宋体" w:cs="宋体"/>
                <w:bCs/>
                <w:color w:val="000000" w:themeColor="text1"/>
                <w:szCs w:val="21"/>
                <w:lang w:val="en-US" w:eastAsia="zh-CN"/>
                <w14:textFill>
                  <w14:solidFill>
                    <w14:schemeClr w14:val="tx1"/>
                  </w14:solidFill>
                </w14:textFill>
              </w:rPr>
              <w:t xml:space="preserve">  工程</w:t>
            </w:r>
            <w:r>
              <w:rPr>
                <w:rFonts w:hint="default" w:ascii="Times New Roman" w:hAnsi="Times New Roman" w:eastAsia="宋体" w:cs="宋体"/>
                <w:bCs/>
                <w:color w:val="000000" w:themeColor="text1"/>
                <w:szCs w:val="21"/>
                <w:lang w:val="en-US" w:eastAsia="zh-CN"/>
                <w14:textFill>
                  <w14:solidFill>
                    <w14:schemeClr w14:val="tx1"/>
                  </w14:solidFill>
                </w14:textFill>
              </w:rPr>
              <w:t>环保措施投资明细表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11"/>
              <w:gridCol w:w="853"/>
              <w:gridCol w:w="6310"/>
              <w:gridCol w:w="1023"/>
            </w:tblGrid>
            <w:tr w14:paraId="1B336A8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94" w:type="pct"/>
                  <w:noWrap w:val="0"/>
                  <w:vAlign w:val="center"/>
                </w:tcPr>
                <w:p w14:paraId="3BC2EB44">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cs="Times New Roman"/>
                      <w:color w:val="000000" w:themeColor="text1"/>
                      <w:spacing w:val="0"/>
                      <w:position w:val="0"/>
                      <w:sz w:val="21"/>
                      <w:szCs w:val="21"/>
                      <w14:textFill>
                        <w14:solidFill>
                          <w14:schemeClr w14:val="tx1"/>
                        </w14:solidFill>
                      </w14:textFill>
                    </w:rPr>
                  </w:pPr>
                  <w:r>
                    <w:rPr>
                      <w:rFonts w:hint="default" w:ascii="Times New Roman" w:hAnsi="Times New Roman" w:cs="Times New Roman"/>
                      <w:color w:val="000000" w:themeColor="text1"/>
                      <w:spacing w:val="0"/>
                      <w:position w:val="0"/>
                      <w:sz w:val="21"/>
                      <w:szCs w:val="21"/>
                      <w14:textFill>
                        <w14:solidFill>
                          <w14:schemeClr w14:val="tx1"/>
                        </w14:solidFill>
                      </w14:textFill>
                    </w:rPr>
                    <w:t>序号</w:t>
                  </w:r>
                </w:p>
              </w:tc>
              <w:tc>
                <w:tcPr>
                  <w:tcW w:w="490" w:type="pct"/>
                  <w:noWrap w:val="0"/>
                  <w:vAlign w:val="center"/>
                </w:tcPr>
                <w:p w14:paraId="2F1B9A38">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cs="Times New Roman"/>
                      <w:color w:val="000000" w:themeColor="text1"/>
                      <w:spacing w:val="0"/>
                      <w:position w:val="0"/>
                      <w:sz w:val="21"/>
                      <w:szCs w:val="21"/>
                      <w14:textFill>
                        <w14:solidFill>
                          <w14:schemeClr w14:val="tx1"/>
                        </w14:solidFill>
                      </w14:textFill>
                    </w:rPr>
                  </w:pPr>
                  <w:r>
                    <w:rPr>
                      <w:rFonts w:hint="default" w:ascii="Times New Roman" w:hAnsi="Times New Roman" w:cs="Times New Roman"/>
                      <w:color w:val="000000" w:themeColor="text1"/>
                      <w:spacing w:val="0"/>
                      <w:position w:val="0"/>
                      <w:sz w:val="21"/>
                      <w:szCs w:val="21"/>
                      <w14:textFill>
                        <w14:solidFill>
                          <w14:schemeClr w14:val="tx1"/>
                        </w14:solidFill>
                      </w14:textFill>
                    </w:rPr>
                    <w:t>污染源</w:t>
                  </w:r>
                </w:p>
              </w:tc>
              <w:tc>
                <w:tcPr>
                  <w:tcW w:w="3627" w:type="pct"/>
                  <w:noWrap w:val="0"/>
                  <w:vAlign w:val="center"/>
                </w:tcPr>
                <w:p w14:paraId="7D3AE310">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cs="Times New Roman"/>
                      <w:color w:val="000000" w:themeColor="text1"/>
                      <w:spacing w:val="0"/>
                      <w:position w:val="0"/>
                      <w:sz w:val="21"/>
                      <w:szCs w:val="21"/>
                      <w14:textFill>
                        <w14:solidFill>
                          <w14:schemeClr w14:val="tx1"/>
                        </w14:solidFill>
                      </w14:textFill>
                    </w:rPr>
                  </w:pPr>
                  <w:r>
                    <w:rPr>
                      <w:rFonts w:hint="default" w:ascii="Times New Roman" w:hAnsi="Times New Roman" w:cs="Times New Roman"/>
                      <w:color w:val="000000" w:themeColor="text1"/>
                      <w:spacing w:val="0"/>
                      <w:position w:val="0"/>
                      <w:sz w:val="21"/>
                      <w:szCs w:val="21"/>
                      <w14:textFill>
                        <w14:solidFill>
                          <w14:schemeClr w14:val="tx1"/>
                        </w14:solidFill>
                      </w14:textFill>
                    </w:rPr>
                    <w:t>治理措施或设施</w:t>
                  </w:r>
                </w:p>
              </w:tc>
              <w:tc>
                <w:tcPr>
                  <w:tcW w:w="588" w:type="pct"/>
                  <w:noWrap w:val="0"/>
                  <w:vAlign w:val="center"/>
                </w:tcPr>
                <w:p w14:paraId="0371BE30">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cs="Times New Roman"/>
                      <w:color w:val="000000" w:themeColor="text1"/>
                      <w:spacing w:val="0"/>
                      <w:position w:val="0"/>
                      <w:sz w:val="21"/>
                      <w:szCs w:val="21"/>
                      <w14:textFill>
                        <w14:solidFill>
                          <w14:schemeClr w14:val="tx1"/>
                        </w14:solidFill>
                      </w14:textFill>
                    </w:rPr>
                  </w:pPr>
                  <w:r>
                    <w:rPr>
                      <w:rFonts w:hint="default" w:ascii="Times New Roman" w:hAnsi="Times New Roman" w:cs="Times New Roman"/>
                      <w:color w:val="000000" w:themeColor="text1"/>
                      <w:spacing w:val="0"/>
                      <w:position w:val="0"/>
                      <w:sz w:val="21"/>
                      <w:szCs w:val="21"/>
                      <w14:textFill>
                        <w14:solidFill>
                          <w14:schemeClr w14:val="tx1"/>
                        </w14:solidFill>
                      </w14:textFill>
                    </w:rPr>
                    <w:t>投资金额(万元)</w:t>
                  </w:r>
                </w:p>
              </w:tc>
            </w:tr>
            <w:tr w14:paraId="0A34B1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94" w:type="pct"/>
                  <w:vMerge w:val="restart"/>
                  <w:noWrap w:val="0"/>
                  <w:vAlign w:val="center"/>
                </w:tcPr>
                <w:p w14:paraId="76932650">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t>1</w:t>
                  </w:r>
                </w:p>
              </w:tc>
              <w:tc>
                <w:tcPr>
                  <w:tcW w:w="490" w:type="pct"/>
                  <w:vMerge w:val="restart"/>
                  <w:noWrap w:val="0"/>
                  <w:vAlign w:val="center"/>
                </w:tcPr>
                <w:p w14:paraId="012A03F7">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t>废气</w:t>
                  </w:r>
                </w:p>
              </w:tc>
              <w:tc>
                <w:tcPr>
                  <w:tcW w:w="3627" w:type="pct"/>
                  <w:shd w:val="clear" w:color="auto" w:fill="auto"/>
                  <w:noWrap w:val="0"/>
                  <w:vAlign w:val="center"/>
                </w:tcPr>
                <w:p w14:paraId="3E6A4E02">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color w:val="000000" w:themeColor="text1"/>
                      <w:spacing w:val="0"/>
                      <w:position w:val="0"/>
                      <w:sz w:val="21"/>
                      <w:szCs w:val="21"/>
                      <w:lang w:val="en-US" w:eastAsia="zh-CN"/>
                      <w14:textFill>
                        <w14:solidFill>
                          <w14:schemeClr w14:val="tx1"/>
                        </w14:solidFill>
                      </w14:textFill>
                    </w:rPr>
                    <w:t>3</w:t>
                  </w:r>
                  <w:r>
                    <w:rPr>
                      <w:rFonts w:hint="eastAsia" w:ascii="Times New Roman" w:hAnsi="Times New Roman"/>
                      <w:color w:val="000000" w:themeColor="text1"/>
                      <w:spacing w:val="0"/>
                      <w:position w:val="0"/>
                      <w:sz w:val="21"/>
                      <w:szCs w:val="21"/>
                      <w14:textFill>
                        <w14:solidFill>
                          <w14:schemeClr w14:val="tx1"/>
                        </w14:solidFill>
                      </w14:textFill>
                    </w:rPr>
                    <w:t>#厂房</w:t>
                  </w: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电泳前处理酸性废气</w:t>
                  </w:r>
                  <w:r>
                    <w:rPr>
                      <w:rFonts w:hint="eastAsia" w:ascii="Times New Roman" w:hAnsi="Times New Roman"/>
                      <w:color w:val="000000" w:themeColor="text1"/>
                      <w:spacing w:val="0"/>
                      <w:position w:val="0"/>
                      <w:sz w:val="21"/>
                      <w:szCs w:val="21"/>
                      <w14:textFill>
                        <w14:solidFill>
                          <w14:schemeClr w14:val="tx1"/>
                        </w14:solidFill>
                      </w14:textFill>
                    </w:rPr>
                    <w:t>：集气罩收集+碱液喷淋+1根</w:t>
                  </w:r>
                  <w:r>
                    <w:rPr>
                      <w:rFonts w:hint="eastAsia" w:ascii="Times New Roman" w:hAnsi="Times New Roman"/>
                      <w:color w:val="000000" w:themeColor="text1"/>
                      <w:spacing w:val="0"/>
                      <w:position w:val="0"/>
                      <w:sz w:val="21"/>
                      <w:szCs w:val="21"/>
                      <w:lang w:val="en-US" w:eastAsia="zh-CN"/>
                      <w14:textFill>
                        <w14:solidFill>
                          <w14:schemeClr w14:val="tx1"/>
                        </w14:solidFill>
                      </w14:textFill>
                    </w:rPr>
                    <w:t>22</w:t>
                  </w:r>
                  <w:r>
                    <w:rPr>
                      <w:rFonts w:hint="eastAsia" w:ascii="Times New Roman" w:hAnsi="Times New Roman"/>
                      <w:color w:val="000000" w:themeColor="text1"/>
                      <w:spacing w:val="0"/>
                      <w:position w:val="0"/>
                      <w:sz w:val="21"/>
                      <w:szCs w:val="21"/>
                      <w14:textFill>
                        <w14:solidFill>
                          <w14:schemeClr w14:val="tx1"/>
                        </w14:solidFill>
                      </w14:textFill>
                    </w:rPr>
                    <w:t>m高排气筒排放（DA00</w:t>
                  </w:r>
                  <w:r>
                    <w:rPr>
                      <w:rFonts w:hint="eastAsia" w:ascii="Times New Roman" w:hAnsi="Times New Roman"/>
                      <w:color w:val="000000" w:themeColor="text1"/>
                      <w:spacing w:val="0"/>
                      <w:position w:val="0"/>
                      <w:sz w:val="21"/>
                      <w:szCs w:val="21"/>
                      <w:lang w:val="en-US" w:eastAsia="zh-CN"/>
                      <w14:textFill>
                        <w14:solidFill>
                          <w14:schemeClr w14:val="tx1"/>
                        </w14:solidFill>
                      </w14:textFill>
                    </w:rPr>
                    <w:t>1</w:t>
                  </w:r>
                  <w:r>
                    <w:rPr>
                      <w:rFonts w:hint="eastAsia" w:ascii="Times New Roman" w:hAnsi="Times New Roman"/>
                      <w:color w:val="000000" w:themeColor="text1"/>
                      <w:spacing w:val="0"/>
                      <w:position w:val="0"/>
                      <w:sz w:val="21"/>
                      <w:szCs w:val="21"/>
                      <w14:textFill>
                        <w14:solidFill>
                          <w14:schemeClr w14:val="tx1"/>
                        </w14:solidFill>
                      </w14:textFill>
                    </w:rPr>
                    <w:t>）</w:t>
                  </w:r>
                </w:p>
              </w:tc>
              <w:tc>
                <w:tcPr>
                  <w:tcW w:w="588" w:type="pct"/>
                  <w:shd w:val="clear" w:color="auto" w:fill="auto"/>
                  <w:noWrap w:val="0"/>
                  <w:vAlign w:val="center"/>
                </w:tcPr>
                <w:p w14:paraId="0BBD180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kern w:val="2"/>
                      <w:positio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position w:val="0"/>
                      <w:sz w:val="21"/>
                      <w:szCs w:val="21"/>
                      <w:lang w:val="en-US" w:eastAsia="zh-CN"/>
                      <w14:textFill>
                        <w14:solidFill>
                          <w14:schemeClr w14:val="tx1"/>
                        </w14:solidFill>
                      </w14:textFill>
                    </w:rPr>
                    <w:t>10.0</w:t>
                  </w:r>
                </w:p>
              </w:tc>
            </w:tr>
            <w:tr w14:paraId="0DEA00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94" w:type="pct"/>
                  <w:vMerge w:val="continue"/>
                  <w:noWrap w:val="0"/>
                  <w:vAlign w:val="center"/>
                </w:tcPr>
                <w:p w14:paraId="01ED8ABB">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p>
              </w:tc>
              <w:tc>
                <w:tcPr>
                  <w:tcW w:w="490" w:type="pct"/>
                  <w:vMerge w:val="continue"/>
                  <w:noWrap w:val="0"/>
                  <w:vAlign w:val="center"/>
                </w:tcPr>
                <w:p w14:paraId="38F9F47A">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p>
              </w:tc>
              <w:tc>
                <w:tcPr>
                  <w:tcW w:w="3627" w:type="pct"/>
                  <w:shd w:val="clear" w:color="auto" w:fill="auto"/>
                  <w:noWrap w:val="0"/>
                  <w:vAlign w:val="center"/>
                </w:tcPr>
                <w:p w14:paraId="7C0A85BB">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color w:val="000000" w:themeColor="text1"/>
                      <w:spacing w:val="0"/>
                      <w:position w:val="0"/>
                      <w:sz w:val="21"/>
                      <w:szCs w:val="21"/>
                      <w14:textFill>
                        <w14:solidFill>
                          <w14:schemeClr w14:val="tx1"/>
                        </w14:solidFill>
                      </w14:textFill>
                    </w:rPr>
                    <w:t>3#厂房</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电泳废气</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电泳烘干固化、喷粉烘干固化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、脱漆废气</w:t>
                  </w:r>
                  <w:r>
                    <w:rPr>
                      <w:rFonts w:hint="eastAsia" w:ascii="Times New Roman" w:hAnsi="Times New Roman"/>
                      <w:color w:val="000000" w:themeColor="text1"/>
                      <w:spacing w:val="0"/>
                      <w:position w:val="0"/>
                      <w:sz w:val="21"/>
                      <w:szCs w:val="21"/>
                      <w14:textFill>
                        <w14:solidFill>
                          <w14:schemeClr w14:val="tx1"/>
                        </w14:solidFill>
                      </w14:textFill>
                    </w:rPr>
                    <w:t>：集气罩收集+</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水</w:t>
                  </w:r>
                  <w:r>
                    <w:rPr>
                      <w:rFonts w:hint="eastAsia"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喷淋</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+干式过滤</w:t>
                  </w:r>
                  <w:r>
                    <w:rPr>
                      <w:rFonts w:hint="eastAsia" w:ascii="Times New Roman" w:hAnsi="Times New Roman"/>
                      <w:color w:val="000000" w:themeColor="text1"/>
                      <w:spacing w:val="0"/>
                      <w:position w:val="0"/>
                      <w:sz w:val="21"/>
                      <w:szCs w:val="21"/>
                      <w14:textFill>
                        <w14:solidFill>
                          <w14:schemeClr w14:val="tx1"/>
                        </w14:solidFill>
                      </w14:textFill>
                    </w:rPr>
                    <w:t>+活性炭吸附+1根22m高排气筒高空排放（DA00</w:t>
                  </w:r>
                  <w:r>
                    <w:rPr>
                      <w:rFonts w:hint="eastAsia" w:ascii="Times New Roman" w:hAnsi="Times New Roman"/>
                      <w:color w:val="000000" w:themeColor="text1"/>
                      <w:spacing w:val="0"/>
                      <w:position w:val="0"/>
                      <w:sz w:val="21"/>
                      <w:szCs w:val="21"/>
                      <w:lang w:val="en-US" w:eastAsia="zh-CN"/>
                      <w14:textFill>
                        <w14:solidFill>
                          <w14:schemeClr w14:val="tx1"/>
                        </w14:solidFill>
                      </w14:textFill>
                    </w:rPr>
                    <w:t>2</w:t>
                  </w:r>
                  <w:r>
                    <w:rPr>
                      <w:rFonts w:hint="eastAsia" w:ascii="Times New Roman" w:hAnsi="Times New Roman"/>
                      <w:color w:val="000000" w:themeColor="text1"/>
                      <w:spacing w:val="0"/>
                      <w:position w:val="0"/>
                      <w:sz w:val="21"/>
                      <w:szCs w:val="21"/>
                      <w14:textFill>
                        <w14:solidFill>
                          <w14:schemeClr w14:val="tx1"/>
                        </w14:solidFill>
                      </w14:textFill>
                    </w:rPr>
                    <w:t>）</w:t>
                  </w:r>
                </w:p>
              </w:tc>
              <w:tc>
                <w:tcPr>
                  <w:tcW w:w="588" w:type="pct"/>
                  <w:shd w:val="clear" w:color="auto" w:fill="auto"/>
                  <w:noWrap w:val="0"/>
                  <w:vAlign w:val="center"/>
                </w:tcPr>
                <w:p w14:paraId="4D067675">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eastAsia="宋体" w:cs="Times New Roman"/>
                      <w:color w:val="000000" w:themeColor="text1"/>
                      <w:spacing w:val="0"/>
                      <w:kern w:val="2"/>
                      <w:position w:val="0"/>
                      <w:sz w:val="21"/>
                      <w:szCs w:val="21"/>
                      <w:lang w:val="en-US" w:eastAsia="zh-CN" w:bidi="ar-SA"/>
                      <w14:textFill>
                        <w14:solidFill>
                          <w14:schemeClr w14:val="tx1"/>
                        </w14:solidFill>
                      </w14:textFill>
                    </w:rPr>
                  </w:pPr>
                  <w:r>
                    <w:rPr>
                      <w:rFonts w:hint="eastAsia" w:cs="Times New Roman"/>
                      <w:color w:val="000000" w:themeColor="text1"/>
                      <w:spacing w:val="0"/>
                      <w:position w:val="0"/>
                      <w:sz w:val="21"/>
                      <w:szCs w:val="21"/>
                      <w:lang w:val="en-US" w:eastAsia="zh-CN"/>
                      <w14:textFill>
                        <w14:solidFill>
                          <w14:schemeClr w14:val="tx1"/>
                        </w14:solidFill>
                      </w14:textFill>
                    </w:rPr>
                    <w:t>3</w:t>
                  </w:r>
                  <w:r>
                    <w:rPr>
                      <w:rFonts w:hint="eastAsia" w:ascii="Times New Roman" w:hAnsi="Times New Roman" w:cs="Times New Roman"/>
                      <w:color w:val="000000" w:themeColor="text1"/>
                      <w:spacing w:val="0"/>
                      <w:position w:val="0"/>
                      <w:sz w:val="21"/>
                      <w:szCs w:val="21"/>
                      <w:lang w:val="en-US" w:eastAsia="zh-CN"/>
                      <w14:textFill>
                        <w14:solidFill>
                          <w14:schemeClr w14:val="tx1"/>
                        </w14:solidFill>
                      </w14:textFill>
                    </w:rPr>
                    <w:t>5.0</w:t>
                  </w:r>
                </w:p>
              </w:tc>
            </w:tr>
            <w:tr w14:paraId="419EAEA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94" w:type="pct"/>
                  <w:vMerge w:val="continue"/>
                  <w:noWrap w:val="0"/>
                  <w:vAlign w:val="center"/>
                </w:tcPr>
                <w:p w14:paraId="5078972D">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p>
              </w:tc>
              <w:tc>
                <w:tcPr>
                  <w:tcW w:w="490" w:type="pct"/>
                  <w:vMerge w:val="continue"/>
                  <w:noWrap w:val="0"/>
                  <w:vAlign w:val="center"/>
                </w:tcPr>
                <w:p w14:paraId="3AC8AF1A">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p>
              </w:tc>
              <w:tc>
                <w:tcPr>
                  <w:tcW w:w="3627" w:type="pct"/>
                  <w:shd w:val="clear" w:color="auto" w:fill="auto"/>
                  <w:noWrap w:val="0"/>
                  <w:vAlign w:val="center"/>
                </w:tcPr>
                <w:p w14:paraId="19B67D1A">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color w:val="000000" w:themeColor="text1"/>
                      <w:spacing w:val="0"/>
                      <w:position w:val="0"/>
                      <w:sz w:val="21"/>
                      <w:szCs w:val="21"/>
                      <w14:textFill>
                        <w14:solidFill>
                          <w14:schemeClr w14:val="tx1"/>
                        </w14:solidFill>
                      </w14:textFill>
                    </w:rPr>
                  </w:pPr>
                  <w:r>
                    <w:rPr>
                      <w:rFonts w:hint="eastAsia" w:ascii="Times New Roman" w:hAnsi="Times New Roman"/>
                      <w:color w:val="000000" w:themeColor="text1"/>
                      <w:spacing w:val="0"/>
                      <w:position w:val="0"/>
                      <w:sz w:val="21"/>
                      <w:szCs w:val="21"/>
                      <w14:textFill>
                        <w14:solidFill>
                          <w14:schemeClr w14:val="tx1"/>
                        </w14:solidFill>
                      </w14:textFill>
                    </w:rPr>
                    <w:t>3#厂房</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喷胶</w:t>
                  </w:r>
                  <w:r>
                    <w:rPr>
                      <w:rFonts w:hint="eastAsia" w:ascii="Times New Roman" w:hAnsi="Times New Roman" w:cs="Times New Roman"/>
                      <w:color w:val="000000" w:themeColor="text1"/>
                      <w:spacing w:val="0"/>
                      <w:kern w:val="0"/>
                      <w:sz w:val="21"/>
                      <w:szCs w:val="21"/>
                      <w:lang w:val="en-US" w:eastAsia="zh-CN" w:bidi="ar"/>
                      <w14:textFill>
                        <w14:solidFill>
                          <w14:schemeClr w14:val="tx1"/>
                        </w14:solidFill>
                      </w14:textFill>
                    </w:rPr>
                    <w:t>/喷漆</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废气及烘干固化废气</w:t>
                  </w:r>
                  <w:r>
                    <w:rPr>
                      <w:rFonts w:hint="eastAsia" w:ascii="Times New Roman" w:hAnsi="Times New Roman"/>
                      <w:color w:val="000000" w:themeColor="text1"/>
                      <w:spacing w:val="0"/>
                      <w:position w:val="0"/>
                      <w:sz w:val="21"/>
                      <w:szCs w:val="21"/>
                      <w14:textFill>
                        <w14:solidFill>
                          <w14:schemeClr w14:val="tx1"/>
                        </w14:solidFill>
                      </w14:textFill>
                    </w:rPr>
                    <w:t>：集气罩收集+</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水</w:t>
                  </w:r>
                  <w:r>
                    <w:rPr>
                      <w:rFonts w:hint="eastAsia"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喷淋</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+干式过滤</w:t>
                  </w:r>
                  <w:r>
                    <w:rPr>
                      <w:rFonts w:hint="eastAsia" w:ascii="Times New Roman" w:hAnsi="Times New Roman"/>
                      <w:color w:val="000000" w:themeColor="text1"/>
                      <w:spacing w:val="0"/>
                      <w:position w:val="0"/>
                      <w:sz w:val="21"/>
                      <w:szCs w:val="21"/>
                      <w14:textFill>
                        <w14:solidFill>
                          <w14:schemeClr w14:val="tx1"/>
                        </w14:solidFill>
                      </w14:textFill>
                    </w:rPr>
                    <w:t>+活性炭吸附+1根22m高排气筒高空排放（DA00</w:t>
                  </w:r>
                  <w:r>
                    <w:rPr>
                      <w:rFonts w:hint="eastAsia" w:ascii="Times New Roman" w:hAnsi="Times New Roman"/>
                      <w:color w:val="000000" w:themeColor="text1"/>
                      <w:spacing w:val="0"/>
                      <w:position w:val="0"/>
                      <w:sz w:val="21"/>
                      <w:szCs w:val="21"/>
                      <w:lang w:val="en-US" w:eastAsia="zh-CN"/>
                      <w14:textFill>
                        <w14:solidFill>
                          <w14:schemeClr w14:val="tx1"/>
                        </w14:solidFill>
                      </w14:textFill>
                    </w:rPr>
                    <w:t>9</w:t>
                  </w:r>
                  <w:r>
                    <w:rPr>
                      <w:rFonts w:hint="eastAsia" w:ascii="Times New Roman" w:hAnsi="Times New Roman"/>
                      <w:color w:val="000000" w:themeColor="text1"/>
                      <w:spacing w:val="0"/>
                      <w:position w:val="0"/>
                      <w:sz w:val="21"/>
                      <w:szCs w:val="21"/>
                      <w14:textFill>
                        <w14:solidFill>
                          <w14:schemeClr w14:val="tx1"/>
                        </w14:solidFill>
                      </w14:textFill>
                    </w:rPr>
                    <w:t>）</w:t>
                  </w:r>
                </w:p>
              </w:tc>
              <w:tc>
                <w:tcPr>
                  <w:tcW w:w="588" w:type="pct"/>
                  <w:shd w:val="clear" w:color="auto" w:fill="auto"/>
                  <w:noWrap w:val="0"/>
                  <w:vAlign w:val="center"/>
                </w:tcPr>
                <w:p w14:paraId="3F5A5609">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000000" w:themeColor="text1"/>
                      <w:spacing w:val="0"/>
                      <w:position w:val="0"/>
                      <w:sz w:val="21"/>
                      <w:szCs w:val="21"/>
                      <w:lang w:val="en-US" w:eastAsia="zh-CN"/>
                      <w14:textFill>
                        <w14:solidFill>
                          <w14:schemeClr w14:val="tx1"/>
                        </w14:solidFill>
                      </w14:textFill>
                    </w:rPr>
                  </w:pPr>
                  <w:r>
                    <w:rPr>
                      <w:rFonts w:hint="eastAsia" w:cs="Times New Roman"/>
                      <w:color w:val="000000" w:themeColor="text1"/>
                      <w:spacing w:val="0"/>
                      <w:position w:val="0"/>
                      <w:sz w:val="21"/>
                      <w:szCs w:val="21"/>
                      <w:lang w:val="en-US" w:eastAsia="zh-CN"/>
                      <w14:textFill>
                        <w14:solidFill>
                          <w14:schemeClr w14:val="tx1"/>
                        </w14:solidFill>
                      </w14:textFill>
                    </w:rPr>
                    <w:t>20.0</w:t>
                  </w:r>
                </w:p>
              </w:tc>
            </w:tr>
            <w:tr w14:paraId="435BFC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94" w:type="pct"/>
                  <w:vMerge w:val="continue"/>
                  <w:noWrap w:val="0"/>
                  <w:vAlign w:val="center"/>
                </w:tcPr>
                <w:p w14:paraId="0DD0FD73">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p>
              </w:tc>
              <w:tc>
                <w:tcPr>
                  <w:tcW w:w="490" w:type="pct"/>
                  <w:vMerge w:val="continue"/>
                  <w:noWrap w:val="0"/>
                  <w:vAlign w:val="center"/>
                </w:tcPr>
                <w:p w14:paraId="2BF23EAA">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p>
              </w:tc>
              <w:tc>
                <w:tcPr>
                  <w:tcW w:w="3627" w:type="pct"/>
                  <w:shd w:val="clear" w:color="auto" w:fill="auto"/>
                  <w:noWrap w:val="0"/>
                  <w:vAlign w:val="center"/>
                </w:tcPr>
                <w:p w14:paraId="1343226E">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color w:val="000000" w:themeColor="text1"/>
                      <w:spacing w:val="0"/>
                      <w:position w:val="0"/>
                      <w:sz w:val="21"/>
                      <w:szCs w:val="21"/>
                      <w14:textFill>
                        <w14:solidFill>
                          <w14:schemeClr w14:val="tx1"/>
                        </w14:solidFill>
                      </w14:textFill>
                    </w:rPr>
                    <w:t>2#厂房</w:t>
                  </w: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电泳前处理及钝化酸性废气</w:t>
                  </w:r>
                  <w:r>
                    <w:rPr>
                      <w:rFonts w:hint="eastAsia" w:ascii="Times New Roman" w:hAnsi="Times New Roman"/>
                      <w:color w:val="000000" w:themeColor="text1"/>
                      <w:spacing w:val="0"/>
                      <w:position w:val="0"/>
                      <w:sz w:val="21"/>
                      <w:szCs w:val="21"/>
                      <w14:textFill>
                        <w14:solidFill>
                          <w14:schemeClr w14:val="tx1"/>
                        </w14:solidFill>
                      </w14:textFill>
                    </w:rPr>
                    <w:t>：集气罩收集+碱液喷淋+1根15m高排气筒排放（DA00</w:t>
                  </w:r>
                  <w:r>
                    <w:rPr>
                      <w:rFonts w:hint="eastAsia" w:ascii="Times New Roman" w:hAnsi="Times New Roman"/>
                      <w:color w:val="000000" w:themeColor="text1"/>
                      <w:spacing w:val="0"/>
                      <w:position w:val="0"/>
                      <w:sz w:val="21"/>
                      <w:szCs w:val="21"/>
                      <w:lang w:val="en-US" w:eastAsia="zh-CN"/>
                      <w14:textFill>
                        <w14:solidFill>
                          <w14:schemeClr w14:val="tx1"/>
                        </w14:solidFill>
                      </w14:textFill>
                    </w:rPr>
                    <w:t>3</w:t>
                  </w:r>
                  <w:r>
                    <w:rPr>
                      <w:rFonts w:hint="eastAsia" w:ascii="Times New Roman" w:hAnsi="Times New Roman"/>
                      <w:color w:val="000000" w:themeColor="text1"/>
                      <w:spacing w:val="0"/>
                      <w:position w:val="0"/>
                      <w:sz w:val="21"/>
                      <w:szCs w:val="21"/>
                      <w14:textFill>
                        <w14:solidFill>
                          <w14:schemeClr w14:val="tx1"/>
                        </w14:solidFill>
                      </w14:textFill>
                    </w:rPr>
                    <w:t>）</w:t>
                  </w:r>
                </w:p>
              </w:tc>
              <w:tc>
                <w:tcPr>
                  <w:tcW w:w="588" w:type="pct"/>
                  <w:shd w:val="clear" w:color="auto" w:fill="auto"/>
                  <w:noWrap w:val="0"/>
                  <w:vAlign w:val="center"/>
                </w:tcPr>
                <w:p w14:paraId="0099456D">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eastAsia="宋体" w:cs="Times New Roman"/>
                      <w:color w:val="000000" w:themeColor="text1"/>
                      <w:spacing w:val="0"/>
                      <w:kern w:val="2"/>
                      <w:positio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position w:val="0"/>
                      <w:sz w:val="21"/>
                      <w:szCs w:val="21"/>
                      <w:lang w:val="en-US" w:eastAsia="zh-CN"/>
                      <w14:textFill>
                        <w14:solidFill>
                          <w14:schemeClr w14:val="tx1"/>
                        </w14:solidFill>
                      </w14:textFill>
                    </w:rPr>
                    <w:t>20.0</w:t>
                  </w:r>
                </w:p>
              </w:tc>
            </w:tr>
            <w:tr w14:paraId="6A0A33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94" w:type="pct"/>
                  <w:vMerge w:val="continue"/>
                  <w:noWrap w:val="0"/>
                  <w:vAlign w:val="center"/>
                </w:tcPr>
                <w:p w14:paraId="6EBA7BA6">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p>
              </w:tc>
              <w:tc>
                <w:tcPr>
                  <w:tcW w:w="490" w:type="pct"/>
                  <w:vMerge w:val="continue"/>
                  <w:noWrap w:val="0"/>
                  <w:vAlign w:val="center"/>
                </w:tcPr>
                <w:p w14:paraId="342A65A9">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p>
              </w:tc>
              <w:tc>
                <w:tcPr>
                  <w:tcW w:w="6309" w:type="dxa"/>
                  <w:noWrap w:val="0"/>
                  <w:vAlign w:val="center"/>
                </w:tcPr>
                <w:p w14:paraId="41212770">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color w:val="000000" w:themeColor="text1"/>
                      <w:spacing w:val="0"/>
                      <w:position w:val="0"/>
                      <w:sz w:val="21"/>
                      <w:szCs w:val="21"/>
                      <w14:textFill>
                        <w14:solidFill>
                          <w14:schemeClr w14:val="tx1"/>
                        </w14:solidFill>
                      </w14:textFill>
                    </w:rPr>
                    <w:t>2#厂房</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电泳废气</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eastAsia" w:ascii="Times New Roman" w:hAnsi="Times New Roman" w:cs="Times New Roman"/>
                      <w:color w:val="000000" w:themeColor="text1"/>
                      <w:kern w:val="18"/>
                      <w:sz w:val="21"/>
                      <w:szCs w:val="21"/>
                      <w:lang w:val="en-US" w:eastAsia="zh-CN"/>
                      <w14:textFill>
                        <w14:solidFill>
                          <w14:schemeClr w14:val="tx1"/>
                        </w14:solidFill>
                      </w14:textFill>
                    </w:rPr>
                    <w:t>电泳烘干固化、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钝化水洗烘干、</w:t>
                  </w:r>
                  <w:r>
                    <w:rPr>
                      <w:rFonts w:hint="eastAsia" w:ascii="Times New Roman" w:hAnsi="Times New Roman" w:cs="Times New Roman"/>
                      <w:color w:val="000000" w:themeColor="text1"/>
                      <w:kern w:val="18"/>
                      <w:sz w:val="21"/>
                      <w:szCs w:val="21"/>
                      <w:lang w:val="en-US" w:eastAsia="zh-CN"/>
                      <w14:textFill>
                        <w14:solidFill>
                          <w14:schemeClr w14:val="tx1"/>
                        </w14:solidFill>
                      </w14:textFill>
                    </w:rPr>
                    <w:t>喷粉烘干固化、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丝印烘干</w:t>
                  </w:r>
                  <w:r>
                    <w:rPr>
                      <w:rFonts w:hint="eastAsia" w:ascii="Times New Roman" w:hAnsi="Times New Roman"/>
                      <w:color w:val="000000" w:themeColor="text1"/>
                      <w:spacing w:val="0"/>
                      <w:position w:val="0"/>
                      <w:sz w:val="21"/>
                      <w:szCs w:val="21"/>
                      <w14:textFill>
                        <w14:solidFill>
                          <w14:schemeClr w14:val="tx1"/>
                        </w14:solidFill>
                      </w14:textFill>
                    </w:rPr>
                    <w:t>：集气罩收集+</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水</w:t>
                  </w:r>
                  <w:r>
                    <w:rPr>
                      <w:rFonts w:hint="eastAsia"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喷淋</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+干式过滤</w:t>
                  </w:r>
                  <w:r>
                    <w:rPr>
                      <w:rFonts w:hint="eastAsia" w:ascii="Times New Roman" w:hAnsi="Times New Roman"/>
                      <w:color w:val="000000" w:themeColor="text1"/>
                      <w:spacing w:val="0"/>
                      <w:position w:val="0"/>
                      <w:sz w:val="21"/>
                      <w:szCs w:val="21"/>
                      <w14:textFill>
                        <w14:solidFill>
                          <w14:schemeClr w14:val="tx1"/>
                        </w14:solidFill>
                      </w14:textFill>
                    </w:rPr>
                    <w:t>+活性炭吸附+1根15m高排气筒排放（DA00</w:t>
                  </w:r>
                  <w:r>
                    <w:rPr>
                      <w:rFonts w:hint="eastAsia" w:ascii="Times New Roman" w:hAnsi="Times New Roman"/>
                      <w:color w:val="000000" w:themeColor="text1"/>
                      <w:spacing w:val="0"/>
                      <w:position w:val="0"/>
                      <w:sz w:val="21"/>
                      <w:szCs w:val="21"/>
                      <w:lang w:val="en-US" w:eastAsia="zh-CN"/>
                      <w14:textFill>
                        <w14:solidFill>
                          <w14:schemeClr w14:val="tx1"/>
                        </w14:solidFill>
                      </w14:textFill>
                    </w:rPr>
                    <w:t>4</w:t>
                  </w:r>
                  <w:r>
                    <w:rPr>
                      <w:rFonts w:hint="eastAsia" w:ascii="Times New Roman" w:hAnsi="Times New Roman"/>
                      <w:color w:val="000000" w:themeColor="text1"/>
                      <w:spacing w:val="0"/>
                      <w:position w:val="0"/>
                      <w:sz w:val="21"/>
                      <w:szCs w:val="21"/>
                      <w14:textFill>
                        <w14:solidFill>
                          <w14:schemeClr w14:val="tx1"/>
                        </w14:solidFill>
                      </w14:textFill>
                    </w:rPr>
                    <w:t>）</w:t>
                  </w:r>
                </w:p>
              </w:tc>
              <w:tc>
                <w:tcPr>
                  <w:tcW w:w="1023" w:type="dxa"/>
                  <w:noWrap w:val="0"/>
                  <w:vAlign w:val="center"/>
                </w:tcPr>
                <w:p w14:paraId="0A1C6398">
                  <w:pPr>
                    <w:keepNext w:val="0"/>
                    <w:keepLines w:val="0"/>
                    <w:pageBreakBefore w:val="0"/>
                    <w:widowControl w:val="0"/>
                    <w:kinsoku/>
                    <w:wordWrap/>
                    <w:overflowPunct/>
                    <w:topLinePunct w:val="0"/>
                    <w:bidi w:val="0"/>
                    <w:adjustRightInd w:val="0"/>
                    <w:snapToGrid w:val="0"/>
                    <w:spacing w:line="340" w:lineRule="exact"/>
                    <w:jc w:val="center"/>
                    <w:textAlignment w:val="auto"/>
                    <w:rPr>
                      <w:rFonts w:hint="eastAsia" w:ascii="Times New Roman" w:hAnsi="Times New Roman"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lang w:val="en-US" w:eastAsia="zh-CN"/>
                      <w14:textFill>
                        <w14:solidFill>
                          <w14:schemeClr w14:val="tx1"/>
                        </w14:solidFill>
                      </w14:textFill>
                    </w:rPr>
                    <w:t>30.0</w:t>
                  </w:r>
                </w:p>
              </w:tc>
            </w:tr>
            <w:tr w14:paraId="2C5298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94" w:type="pct"/>
                  <w:vMerge w:val="continue"/>
                  <w:noWrap w:val="0"/>
                  <w:vAlign w:val="center"/>
                </w:tcPr>
                <w:p w14:paraId="4A358FFF">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p>
              </w:tc>
              <w:tc>
                <w:tcPr>
                  <w:tcW w:w="490" w:type="pct"/>
                  <w:vMerge w:val="continue"/>
                  <w:noWrap w:val="0"/>
                  <w:vAlign w:val="center"/>
                </w:tcPr>
                <w:p w14:paraId="3772D25E">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p>
              </w:tc>
              <w:tc>
                <w:tcPr>
                  <w:tcW w:w="6309" w:type="dxa"/>
                  <w:noWrap w:val="0"/>
                  <w:vAlign w:val="center"/>
                </w:tcPr>
                <w:p w14:paraId="3EFC6CD1">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color w:val="000000" w:themeColor="text1"/>
                      <w:spacing w:val="0"/>
                      <w:position w:val="0"/>
                      <w:sz w:val="21"/>
                      <w:szCs w:val="21"/>
                      <w14:textFill>
                        <w14:solidFill>
                          <w14:schemeClr w14:val="tx1"/>
                        </w14:solidFill>
                      </w14:textFill>
                    </w:rPr>
                  </w:pPr>
                  <w:r>
                    <w:rPr>
                      <w:rFonts w:hint="eastAsia" w:ascii="Times New Roman" w:hAnsi="Times New Roman"/>
                      <w:color w:val="000000" w:themeColor="text1"/>
                      <w:spacing w:val="0"/>
                      <w:position w:val="0"/>
                      <w:sz w:val="21"/>
                      <w:szCs w:val="21"/>
                      <w14:textFill>
                        <w14:solidFill>
                          <w14:schemeClr w14:val="tx1"/>
                        </w14:solidFill>
                      </w14:textFill>
                    </w:rPr>
                    <w:t>2#厂房喷胶生产线废气、烘干废气：集气罩收集+</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水</w:t>
                  </w:r>
                  <w:r>
                    <w:rPr>
                      <w:rFonts w:hint="eastAsia"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喷淋</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+干式过滤</w:t>
                  </w:r>
                  <w:r>
                    <w:rPr>
                      <w:rFonts w:hint="eastAsia" w:ascii="Times New Roman" w:hAnsi="Times New Roman"/>
                      <w:color w:val="000000" w:themeColor="text1"/>
                      <w:spacing w:val="0"/>
                      <w:position w:val="0"/>
                      <w:sz w:val="21"/>
                      <w:szCs w:val="21"/>
                      <w14:textFill>
                        <w14:solidFill>
                          <w14:schemeClr w14:val="tx1"/>
                        </w14:solidFill>
                      </w14:textFill>
                    </w:rPr>
                    <w:t>+活性炭吸附+1根15m高排气筒排放（DA00</w:t>
                  </w:r>
                  <w:r>
                    <w:rPr>
                      <w:rFonts w:hint="eastAsia" w:ascii="Times New Roman" w:hAnsi="Times New Roman"/>
                      <w:color w:val="000000" w:themeColor="text1"/>
                      <w:spacing w:val="0"/>
                      <w:position w:val="0"/>
                      <w:sz w:val="21"/>
                      <w:szCs w:val="21"/>
                      <w:lang w:val="en-US" w:eastAsia="zh-CN"/>
                      <w14:textFill>
                        <w14:solidFill>
                          <w14:schemeClr w14:val="tx1"/>
                        </w14:solidFill>
                      </w14:textFill>
                    </w:rPr>
                    <w:t>5</w:t>
                  </w:r>
                  <w:r>
                    <w:rPr>
                      <w:rFonts w:hint="eastAsia" w:ascii="Times New Roman" w:hAnsi="Times New Roman"/>
                      <w:color w:val="000000" w:themeColor="text1"/>
                      <w:spacing w:val="0"/>
                      <w:position w:val="0"/>
                      <w:sz w:val="21"/>
                      <w:szCs w:val="21"/>
                      <w14:textFill>
                        <w14:solidFill>
                          <w14:schemeClr w14:val="tx1"/>
                        </w14:solidFill>
                      </w14:textFill>
                    </w:rPr>
                    <w:t>）</w:t>
                  </w:r>
                </w:p>
              </w:tc>
              <w:tc>
                <w:tcPr>
                  <w:tcW w:w="1023" w:type="dxa"/>
                  <w:noWrap w:val="0"/>
                  <w:vAlign w:val="center"/>
                </w:tcPr>
                <w:p w14:paraId="11D7A9AF">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000000" w:themeColor="text1"/>
                      <w:spacing w:val="0"/>
                      <w:position w:val="0"/>
                      <w:sz w:val="21"/>
                      <w:szCs w:val="21"/>
                      <w:lang w:val="en-US" w:eastAsia="zh-CN"/>
                      <w14:textFill>
                        <w14:solidFill>
                          <w14:schemeClr w14:val="tx1"/>
                        </w14:solidFill>
                      </w14:textFill>
                    </w:rPr>
                  </w:pPr>
                  <w:r>
                    <w:rPr>
                      <w:rFonts w:hint="eastAsia" w:cs="Times New Roman"/>
                      <w:color w:val="000000" w:themeColor="text1"/>
                      <w:spacing w:val="0"/>
                      <w:position w:val="0"/>
                      <w:sz w:val="21"/>
                      <w:szCs w:val="21"/>
                      <w:lang w:val="en-US" w:eastAsia="zh-CN"/>
                      <w14:textFill>
                        <w14:solidFill>
                          <w14:schemeClr w14:val="tx1"/>
                        </w14:solidFill>
                      </w14:textFill>
                    </w:rPr>
                    <w:t>2</w:t>
                  </w:r>
                  <w:r>
                    <w:rPr>
                      <w:rFonts w:hint="eastAsia" w:ascii="Times New Roman" w:hAnsi="Times New Roman" w:cs="Times New Roman"/>
                      <w:color w:val="000000" w:themeColor="text1"/>
                      <w:spacing w:val="0"/>
                      <w:position w:val="0"/>
                      <w:sz w:val="21"/>
                      <w:szCs w:val="21"/>
                      <w:lang w:val="en-US" w:eastAsia="zh-CN"/>
                      <w14:textFill>
                        <w14:solidFill>
                          <w14:schemeClr w14:val="tx1"/>
                        </w14:solidFill>
                      </w14:textFill>
                    </w:rPr>
                    <w:t>0.0</w:t>
                  </w:r>
                </w:p>
              </w:tc>
            </w:tr>
            <w:tr w14:paraId="4C11E9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94" w:type="pct"/>
                  <w:vMerge w:val="continue"/>
                  <w:noWrap w:val="0"/>
                  <w:vAlign w:val="center"/>
                </w:tcPr>
                <w:p w14:paraId="54124204">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p>
              </w:tc>
              <w:tc>
                <w:tcPr>
                  <w:tcW w:w="490" w:type="pct"/>
                  <w:vMerge w:val="continue"/>
                  <w:noWrap w:val="0"/>
                  <w:vAlign w:val="center"/>
                </w:tcPr>
                <w:p w14:paraId="2225A0E8">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p>
              </w:tc>
              <w:tc>
                <w:tcPr>
                  <w:tcW w:w="3627" w:type="pct"/>
                  <w:noWrap w:val="0"/>
                  <w:vAlign w:val="center"/>
                </w:tcPr>
                <w:p w14:paraId="6D9ACA3E">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color w:val="000000" w:themeColor="text1"/>
                      <w:spacing w:val="0"/>
                      <w:position w:val="0"/>
                      <w:sz w:val="21"/>
                      <w:szCs w:val="21"/>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2#厂房热水锅炉</w:t>
                  </w: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废气</w:t>
                  </w:r>
                  <w:r>
                    <w:rPr>
                      <w:rFonts w:hint="eastAsia" w:ascii="Times New Roman" w:hAnsi="Times New Roman"/>
                      <w:color w:val="000000" w:themeColor="text1"/>
                      <w:spacing w:val="0"/>
                      <w:position w:val="0"/>
                      <w:sz w:val="21"/>
                      <w:szCs w:val="21"/>
                      <w14:textFill>
                        <w14:solidFill>
                          <w14:schemeClr w14:val="tx1"/>
                        </w14:solidFill>
                      </w14:textFill>
                    </w:rPr>
                    <w:t>：1根15m高排气筒排放（DA00</w:t>
                  </w:r>
                  <w:r>
                    <w:rPr>
                      <w:rFonts w:hint="eastAsia" w:ascii="Times New Roman" w:hAnsi="Times New Roman"/>
                      <w:color w:val="000000" w:themeColor="text1"/>
                      <w:spacing w:val="0"/>
                      <w:position w:val="0"/>
                      <w:sz w:val="21"/>
                      <w:szCs w:val="21"/>
                      <w:lang w:val="en-US" w:eastAsia="zh-CN"/>
                      <w14:textFill>
                        <w14:solidFill>
                          <w14:schemeClr w14:val="tx1"/>
                        </w14:solidFill>
                      </w14:textFill>
                    </w:rPr>
                    <w:t>6</w:t>
                  </w:r>
                  <w:r>
                    <w:rPr>
                      <w:rFonts w:hint="eastAsia" w:ascii="Times New Roman" w:hAnsi="Times New Roman"/>
                      <w:color w:val="000000" w:themeColor="text1"/>
                      <w:spacing w:val="0"/>
                      <w:position w:val="0"/>
                      <w:sz w:val="21"/>
                      <w:szCs w:val="21"/>
                      <w14:textFill>
                        <w14:solidFill>
                          <w14:schemeClr w14:val="tx1"/>
                        </w14:solidFill>
                      </w14:textFill>
                    </w:rPr>
                    <w:t>）</w:t>
                  </w:r>
                </w:p>
              </w:tc>
              <w:tc>
                <w:tcPr>
                  <w:tcW w:w="588" w:type="pct"/>
                  <w:noWrap w:val="0"/>
                  <w:vAlign w:val="center"/>
                </w:tcPr>
                <w:p w14:paraId="32619D0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000000" w:themeColor="text1"/>
                      <w:spacing w:val="0"/>
                      <w:position w:val="0"/>
                      <w:sz w:val="21"/>
                      <w:szCs w:val="21"/>
                      <w:lang w:val="en-US" w:eastAsia="zh-CN"/>
                      <w14:textFill>
                        <w14:solidFill>
                          <w14:schemeClr w14:val="tx1"/>
                        </w14:solidFill>
                      </w14:textFill>
                    </w:rPr>
                  </w:pPr>
                  <w:r>
                    <w:rPr>
                      <w:rFonts w:hint="eastAsia" w:cs="Times New Roman"/>
                      <w:color w:val="000000" w:themeColor="text1"/>
                      <w:spacing w:val="0"/>
                      <w:position w:val="0"/>
                      <w:sz w:val="21"/>
                      <w:szCs w:val="21"/>
                      <w:lang w:val="en-US" w:eastAsia="zh-CN"/>
                      <w14:textFill>
                        <w14:solidFill>
                          <w14:schemeClr w14:val="tx1"/>
                        </w14:solidFill>
                      </w14:textFill>
                    </w:rPr>
                    <w:t>5.0</w:t>
                  </w:r>
                </w:p>
              </w:tc>
            </w:tr>
            <w:tr w14:paraId="1B4870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94" w:type="pct"/>
                  <w:vMerge w:val="continue"/>
                  <w:noWrap w:val="0"/>
                  <w:vAlign w:val="center"/>
                </w:tcPr>
                <w:p w14:paraId="3E858039">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p>
              </w:tc>
              <w:tc>
                <w:tcPr>
                  <w:tcW w:w="490" w:type="pct"/>
                  <w:vMerge w:val="continue"/>
                  <w:noWrap w:val="0"/>
                  <w:vAlign w:val="center"/>
                </w:tcPr>
                <w:p w14:paraId="347C9AB5">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p>
              </w:tc>
              <w:tc>
                <w:tcPr>
                  <w:tcW w:w="3627" w:type="pct"/>
                  <w:noWrap w:val="0"/>
                  <w:vAlign w:val="center"/>
                </w:tcPr>
                <w:p w14:paraId="2CE40611">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olor w:val="000000" w:themeColor="text1"/>
                      <w:spacing w:val="0"/>
                      <w:position w:val="0"/>
                      <w:sz w:val="21"/>
                      <w:szCs w:val="21"/>
                      <w:lang w:val="en-US" w:eastAsia="zh-CN"/>
                      <w14:textFill>
                        <w14:solidFill>
                          <w14:schemeClr w14:val="tx1"/>
                        </w14:solidFill>
                      </w14:textFill>
                    </w:rPr>
                  </w:pPr>
                  <w:r>
                    <w:rPr>
                      <w:rFonts w:hint="eastAsia" w:ascii="Times New Roman" w:hAnsi="Times New Roman"/>
                      <w:color w:val="000000" w:themeColor="text1"/>
                      <w:spacing w:val="0"/>
                      <w:position w:val="0"/>
                      <w:sz w:val="21"/>
                      <w:szCs w:val="21"/>
                      <w:lang w:val="en-US" w:eastAsia="zh-CN"/>
                      <w14:textFill>
                        <w14:solidFill>
                          <w14:schemeClr w14:val="tx1"/>
                        </w14:solidFill>
                      </w14:textFill>
                    </w:rPr>
                    <w:t>喷粉粉尘：脉冲式袋式除尘器（5套），2</w:t>
                  </w:r>
                  <w:r>
                    <w:rPr>
                      <w:rFonts w:hint="eastAsia" w:ascii="Times New Roman" w:hAnsi="Times New Roman"/>
                      <w:color w:val="000000" w:themeColor="text1"/>
                      <w:spacing w:val="0"/>
                      <w:position w:val="0"/>
                      <w:sz w:val="21"/>
                      <w:szCs w:val="21"/>
                      <w14:textFill>
                        <w14:solidFill>
                          <w14:schemeClr w14:val="tx1"/>
                        </w14:solidFill>
                      </w14:textFill>
                    </w:rPr>
                    <w:t>根15m高排气筒（DA00</w:t>
                  </w:r>
                  <w:r>
                    <w:rPr>
                      <w:rFonts w:hint="eastAsia" w:ascii="Times New Roman" w:hAnsi="Times New Roman"/>
                      <w:color w:val="000000" w:themeColor="text1"/>
                      <w:spacing w:val="0"/>
                      <w:position w:val="0"/>
                      <w:sz w:val="21"/>
                      <w:szCs w:val="21"/>
                      <w:lang w:val="en-US" w:eastAsia="zh-CN"/>
                      <w14:textFill>
                        <w14:solidFill>
                          <w14:schemeClr w14:val="tx1"/>
                        </w14:solidFill>
                      </w14:textFill>
                    </w:rPr>
                    <w:t>7、</w:t>
                  </w:r>
                  <w:r>
                    <w:rPr>
                      <w:rFonts w:hint="eastAsia" w:ascii="Times New Roman" w:hAnsi="Times New Roman"/>
                      <w:color w:val="000000" w:themeColor="text1"/>
                      <w:spacing w:val="0"/>
                      <w:position w:val="0"/>
                      <w:sz w:val="21"/>
                      <w:szCs w:val="21"/>
                      <w14:textFill>
                        <w14:solidFill>
                          <w14:schemeClr w14:val="tx1"/>
                        </w14:solidFill>
                      </w14:textFill>
                    </w:rPr>
                    <w:t>DA00</w:t>
                  </w:r>
                  <w:r>
                    <w:rPr>
                      <w:rFonts w:hint="eastAsia" w:ascii="Times New Roman" w:hAnsi="Times New Roman"/>
                      <w:color w:val="000000" w:themeColor="text1"/>
                      <w:spacing w:val="0"/>
                      <w:position w:val="0"/>
                      <w:sz w:val="21"/>
                      <w:szCs w:val="21"/>
                      <w:lang w:val="en-US" w:eastAsia="zh-CN"/>
                      <w14:textFill>
                        <w14:solidFill>
                          <w14:schemeClr w14:val="tx1"/>
                        </w14:solidFill>
                      </w14:textFill>
                    </w:rPr>
                    <w:t>8</w:t>
                  </w:r>
                  <w:r>
                    <w:rPr>
                      <w:rFonts w:hint="eastAsia" w:ascii="Times New Roman" w:hAnsi="Times New Roman"/>
                      <w:color w:val="000000" w:themeColor="text1"/>
                      <w:spacing w:val="0"/>
                      <w:position w:val="0"/>
                      <w:sz w:val="21"/>
                      <w:szCs w:val="21"/>
                      <w14:textFill>
                        <w14:solidFill>
                          <w14:schemeClr w14:val="tx1"/>
                        </w14:solidFill>
                      </w14:textFill>
                    </w:rPr>
                    <w:t>）</w:t>
                  </w:r>
                </w:p>
              </w:tc>
              <w:tc>
                <w:tcPr>
                  <w:tcW w:w="588" w:type="pct"/>
                  <w:noWrap w:val="0"/>
                  <w:vAlign w:val="center"/>
                </w:tcPr>
                <w:p w14:paraId="1D4DFC0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cs="Times New Roman"/>
                      <w:color w:val="000000" w:themeColor="text1"/>
                      <w:spacing w:val="0"/>
                      <w:position w:val="0"/>
                      <w:sz w:val="21"/>
                      <w:szCs w:val="21"/>
                      <w:lang w:val="en-US" w:eastAsia="zh-CN"/>
                      <w14:textFill>
                        <w14:solidFill>
                          <w14:schemeClr w14:val="tx1"/>
                        </w14:solidFill>
                      </w14:textFill>
                    </w:rPr>
                  </w:pPr>
                  <w:r>
                    <w:rPr>
                      <w:rFonts w:hint="eastAsia" w:cs="Times New Roman"/>
                      <w:color w:val="000000" w:themeColor="text1"/>
                      <w:spacing w:val="0"/>
                      <w:position w:val="0"/>
                      <w:sz w:val="21"/>
                      <w:szCs w:val="21"/>
                      <w:lang w:val="en-US" w:eastAsia="zh-CN"/>
                      <w14:textFill>
                        <w14:solidFill>
                          <w14:schemeClr w14:val="tx1"/>
                        </w14:solidFill>
                      </w14:textFill>
                    </w:rPr>
                    <w:t>50.0</w:t>
                  </w:r>
                </w:p>
              </w:tc>
            </w:tr>
            <w:tr w14:paraId="062932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94" w:type="pct"/>
                  <w:noWrap w:val="0"/>
                  <w:vAlign w:val="center"/>
                </w:tcPr>
                <w:p w14:paraId="3864B9F9">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lang w:val="en-US" w:eastAsia="zh-CN" w:bidi="ar-SA"/>
                      <w14:textFill>
                        <w14:solidFill>
                          <w14:schemeClr w14:val="tx1"/>
                        </w14:solidFill>
                      </w14:textFill>
                    </w:rPr>
                    <w:t>2</w:t>
                  </w:r>
                </w:p>
              </w:tc>
              <w:tc>
                <w:tcPr>
                  <w:tcW w:w="490" w:type="pct"/>
                  <w:noWrap w:val="0"/>
                  <w:vAlign w:val="center"/>
                </w:tcPr>
                <w:p w14:paraId="18B79822">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lang w:val="en-US" w:eastAsia="zh-CN" w:bidi="ar-SA"/>
                      <w14:textFill>
                        <w14:solidFill>
                          <w14:schemeClr w14:val="tx1"/>
                        </w14:solidFill>
                      </w14:textFill>
                    </w:rPr>
                    <w:t>废水</w:t>
                  </w:r>
                </w:p>
              </w:tc>
              <w:tc>
                <w:tcPr>
                  <w:tcW w:w="3627" w:type="pct"/>
                  <w:noWrap w:val="0"/>
                  <w:vAlign w:val="center"/>
                </w:tcPr>
                <w:p w14:paraId="1D8ED4D1">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color w:val="000000" w:themeColor="text1"/>
                      <w:spacing w:val="0"/>
                      <w:position w:val="0"/>
                      <w:sz w:val="21"/>
                      <w:szCs w:val="21"/>
                      <w:lang w:val="en-US" w:eastAsia="zh-CN"/>
                      <w14:textFill>
                        <w14:solidFill>
                          <w14:schemeClr w14:val="tx1"/>
                        </w14:solidFill>
                      </w14:textFill>
                    </w:rPr>
                    <w:t>改造生产废水处理设施（扩容）</w:t>
                  </w:r>
                </w:p>
              </w:tc>
              <w:tc>
                <w:tcPr>
                  <w:tcW w:w="588" w:type="pct"/>
                  <w:noWrap w:val="0"/>
                  <w:vAlign w:val="center"/>
                </w:tcPr>
                <w:p w14:paraId="30E9B64F">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cs="Times New Roman"/>
                      <w:color w:val="000000" w:themeColor="text1"/>
                      <w:spacing w:val="0"/>
                      <w:position w:val="0"/>
                      <w:sz w:val="21"/>
                      <w:szCs w:val="21"/>
                      <w:lang w:val="en-US" w:eastAsia="zh-CN"/>
                      <w14:textFill>
                        <w14:solidFill>
                          <w14:schemeClr w14:val="tx1"/>
                        </w14:solidFill>
                      </w14:textFill>
                    </w:rPr>
                  </w:pPr>
                  <w:r>
                    <w:rPr>
                      <w:rFonts w:hint="eastAsia" w:cs="Times New Roman"/>
                      <w:color w:val="000000" w:themeColor="text1"/>
                      <w:spacing w:val="0"/>
                      <w:position w:val="0"/>
                      <w:sz w:val="21"/>
                      <w:szCs w:val="21"/>
                      <w:lang w:val="en-US" w:eastAsia="zh-CN"/>
                      <w14:textFill>
                        <w14:solidFill>
                          <w14:schemeClr w14:val="tx1"/>
                        </w14:solidFill>
                      </w14:textFill>
                    </w:rPr>
                    <w:t>40.0</w:t>
                  </w:r>
                </w:p>
              </w:tc>
            </w:tr>
            <w:tr w14:paraId="16304E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94" w:type="pct"/>
                  <w:noWrap w:val="0"/>
                  <w:vAlign w:val="center"/>
                </w:tcPr>
                <w:p w14:paraId="00528EF1">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lang w:val="en-US" w:eastAsia="zh-CN" w:bidi="ar-SA"/>
                      <w14:textFill>
                        <w14:solidFill>
                          <w14:schemeClr w14:val="tx1"/>
                        </w14:solidFill>
                      </w14:textFill>
                    </w:rPr>
                    <w:t>3</w:t>
                  </w:r>
                </w:p>
              </w:tc>
              <w:tc>
                <w:tcPr>
                  <w:tcW w:w="490" w:type="pct"/>
                  <w:noWrap w:val="0"/>
                  <w:vAlign w:val="center"/>
                </w:tcPr>
                <w:p w14:paraId="12EF1F66">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t>噪声</w:t>
                  </w:r>
                </w:p>
              </w:tc>
              <w:tc>
                <w:tcPr>
                  <w:tcW w:w="3627" w:type="pct"/>
                  <w:noWrap w:val="0"/>
                  <w:vAlign w:val="center"/>
                </w:tcPr>
                <w:p w14:paraId="263EA40B">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t>厂房隔声、设备基础设置</w:t>
                  </w:r>
                  <w:r>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t>减振垫等综合降噪措施</w:t>
                  </w:r>
                </w:p>
              </w:tc>
              <w:tc>
                <w:tcPr>
                  <w:tcW w:w="588" w:type="pct"/>
                  <w:noWrap w:val="0"/>
                  <w:vAlign w:val="center"/>
                </w:tcPr>
                <w:p w14:paraId="58EA08B1">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lang w:val="en-US" w:eastAsia="zh-CN"/>
                      <w14:textFill>
                        <w14:solidFill>
                          <w14:schemeClr w14:val="tx1"/>
                        </w14:solidFill>
                      </w14:textFill>
                    </w:rPr>
                    <w:t>10.0</w:t>
                  </w:r>
                </w:p>
              </w:tc>
            </w:tr>
            <w:tr w14:paraId="15DC04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94" w:type="pct"/>
                  <w:noWrap w:val="0"/>
                  <w:vAlign w:val="center"/>
                </w:tcPr>
                <w:p w14:paraId="0A92EF6E">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lang w:val="en-US" w:eastAsia="zh-CN" w:bidi="ar-SA"/>
                      <w14:textFill>
                        <w14:solidFill>
                          <w14:schemeClr w14:val="tx1"/>
                        </w14:solidFill>
                      </w14:textFill>
                    </w:rPr>
                    <w:t>4</w:t>
                  </w:r>
                </w:p>
              </w:tc>
              <w:tc>
                <w:tcPr>
                  <w:tcW w:w="490" w:type="pct"/>
                  <w:noWrap w:val="0"/>
                  <w:vAlign w:val="center"/>
                </w:tcPr>
                <w:p w14:paraId="075CD38A">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t>固体</w:t>
                  </w:r>
                </w:p>
                <w:p w14:paraId="716F1836">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t>废物</w:t>
                  </w:r>
                </w:p>
              </w:tc>
              <w:tc>
                <w:tcPr>
                  <w:tcW w:w="3627" w:type="pct"/>
                  <w:noWrap w:val="0"/>
                  <w:vAlign w:val="center"/>
                </w:tcPr>
                <w:p w14:paraId="0AA43C1E">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t>垃圾收集装置，</w:t>
                  </w:r>
                  <w:r>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t>一般工业固废暂存间、</w:t>
                  </w:r>
                  <w:r>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t>危险废物暂存间及委托处置</w:t>
                  </w:r>
                  <w:r>
                    <w:rPr>
                      <w:rFonts w:hint="eastAsia"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t>等</w:t>
                  </w:r>
                </w:p>
              </w:tc>
              <w:tc>
                <w:tcPr>
                  <w:tcW w:w="588" w:type="pct"/>
                  <w:noWrap w:val="0"/>
                  <w:vAlign w:val="center"/>
                </w:tcPr>
                <w:p w14:paraId="46A10170">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lang w:val="en-US" w:eastAsia="zh-CN"/>
                      <w14:textFill>
                        <w14:solidFill>
                          <w14:schemeClr w14:val="tx1"/>
                        </w14:solidFill>
                      </w14:textFill>
                    </w:rPr>
                    <w:t>30.0</w:t>
                  </w:r>
                </w:p>
              </w:tc>
            </w:tr>
            <w:tr w14:paraId="2D7225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94" w:type="pct"/>
                  <w:noWrap w:val="0"/>
                  <w:vAlign w:val="center"/>
                </w:tcPr>
                <w:p w14:paraId="592223AD">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lang w:val="en-US" w:eastAsia="zh-CN" w:bidi="ar-SA"/>
                      <w14:textFill>
                        <w14:solidFill>
                          <w14:schemeClr w14:val="tx1"/>
                        </w14:solidFill>
                      </w14:textFill>
                    </w:rPr>
                    <w:t>5</w:t>
                  </w:r>
                </w:p>
              </w:tc>
              <w:tc>
                <w:tcPr>
                  <w:tcW w:w="490" w:type="pct"/>
                  <w:noWrap w:val="0"/>
                  <w:vAlign w:val="center"/>
                </w:tcPr>
                <w:p w14:paraId="68FDE8C8">
                  <w:pPr>
                    <w:pStyle w:val="25"/>
                    <w:widowControl w:val="0"/>
                    <w:autoSpaceDE w:val="0"/>
                    <w:autoSpaceDN w:val="0"/>
                    <w:adjustRightInd w:val="0"/>
                    <w:spacing w:before="0" w:beforeAutospacing="0" w:after="0" w:afterAutospacing="0" w:line="320" w:lineRule="atLeast"/>
                    <w:jc w:val="center"/>
                    <w:rPr>
                      <w:rFonts w:hint="default" w:ascii="Times New Roman" w:hAnsi="Times New Roman" w:eastAsia="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地下水及土壤</w:t>
                  </w:r>
                </w:p>
              </w:tc>
              <w:tc>
                <w:tcPr>
                  <w:tcW w:w="3627" w:type="pct"/>
                  <w:noWrap w:val="0"/>
                  <w:vAlign w:val="center"/>
                </w:tcPr>
                <w:p w14:paraId="4F1A177F">
                  <w:pPr>
                    <w:pStyle w:val="25"/>
                    <w:widowControl w:val="0"/>
                    <w:autoSpaceDE w:val="0"/>
                    <w:autoSpaceDN w:val="0"/>
                    <w:adjustRightInd w:val="0"/>
                    <w:spacing w:before="0" w:beforeAutospacing="0" w:after="0" w:afterAutospacing="0" w:line="320" w:lineRule="atLeast"/>
                    <w:jc w:val="center"/>
                    <w:rPr>
                      <w:rFonts w:hint="default" w:ascii="Times New Roman" w:hAnsi="Times New Roman" w:eastAsia="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分区防渗</w:t>
                  </w:r>
                </w:p>
              </w:tc>
              <w:tc>
                <w:tcPr>
                  <w:tcW w:w="588" w:type="pct"/>
                  <w:noWrap w:val="0"/>
                  <w:vAlign w:val="center"/>
                </w:tcPr>
                <w:p w14:paraId="6B5E5108">
                  <w:pPr>
                    <w:pStyle w:val="25"/>
                    <w:widowControl w:val="0"/>
                    <w:autoSpaceDE w:val="0"/>
                    <w:autoSpaceDN w:val="0"/>
                    <w:adjustRightInd w:val="0"/>
                    <w:spacing w:before="0" w:beforeAutospacing="0" w:after="0" w:afterAutospacing="0" w:line="320" w:lineRule="atLeast"/>
                    <w:jc w:val="center"/>
                    <w:rPr>
                      <w:rFonts w:hint="eastAsia" w:ascii="Times New Roman" w:hAnsi="Times New Roman" w:eastAsia="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25.0</w:t>
                  </w:r>
                </w:p>
              </w:tc>
            </w:tr>
            <w:tr w14:paraId="7F54E7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94" w:type="pct"/>
                  <w:noWrap w:val="0"/>
                  <w:vAlign w:val="center"/>
                </w:tcPr>
                <w:p w14:paraId="14A91B11">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lang w:val="en-US" w:eastAsia="zh-CN" w:bidi="ar-SA"/>
                      <w14:textFill>
                        <w14:solidFill>
                          <w14:schemeClr w14:val="tx1"/>
                        </w14:solidFill>
                      </w14:textFill>
                    </w:rPr>
                    <w:t>6</w:t>
                  </w:r>
                </w:p>
              </w:tc>
              <w:tc>
                <w:tcPr>
                  <w:tcW w:w="490" w:type="pct"/>
                  <w:noWrap w:val="0"/>
                  <w:vAlign w:val="center"/>
                </w:tcPr>
                <w:p w14:paraId="7A9F91BC">
                  <w:pPr>
                    <w:pStyle w:val="25"/>
                    <w:widowControl w:val="0"/>
                    <w:autoSpaceDE w:val="0"/>
                    <w:autoSpaceDN w:val="0"/>
                    <w:adjustRightInd w:val="0"/>
                    <w:spacing w:before="0" w:beforeAutospacing="0" w:after="0" w:afterAutospacing="0" w:line="320" w:lineRule="atLeast"/>
                    <w:jc w:val="center"/>
                    <w:rPr>
                      <w:rFonts w:hint="default" w:ascii="Times New Roman" w:hAnsi="Times New Roman" w:eastAsia="宋体"/>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环境风险</w:t>
                  </w:r>
                </w:p>
              </w:tc>
              <w:tc>
                <w:tcPr>
                  <w:tcW w:w="3627" w:type="pct"/>
                  <w:noWrap w:val="0"/>
                  <w:vAlign w:val="center"/>
                </w:tcPr>
                <w:p w14:paraId="0C683D89">
                  <w:pPr>
                    <w:pStyle w:val="25"/>
                    <w:widowControl w:val="0"/>
                    <w:autoSpaceDE w:val="0"/>
                    <w:autoSpaceDN w:val="0"/>
                    <w:adjustRightInd w:val="0"/>
                    <w:spacing w:before="0" w:beforeAutospacing="0" w:after="0" w:afterAutospacing="0" w:line="320" w:lineRule="atLeas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配套</w:t>
                  </w:r>
                  <w:r>
                    <w:rPr>
                      <w:rFonts w:hint="eastAsia" w:ascii="Times New Roman" w:hAnsi="Times New Roman" w:eastAsia="宋体"/>
                      <w:color w:val="000000" w:themeColor="text1"/>
                      <w:sz w:val="21"/>
                      <w:szCs w:val="21"/>
                      <w:lang w:val="en-US" w:eastAsia="zh-CN"/>
                      <w14:textFill>
                        <w14:solidFill>
                          <w14:schemeClr w14:val="tx1"/>
                        </w14:solidFill>
                      </w14:textFill>
                    </w:rPr>
                    <w:t>应急物资，建设应急相关管道、雨水排放口阀门，设置化学品仓库、危险废物贮存间导流沟槽及围堰，</w:t>
                  </w:r>
                  <w:r>
                    <w:rPr>
                      <w:rFonts w:hint="eastAsia" w:ascii="Times New Roman" w:hAnsi="Times New Roman" w:eastAsia="宋体"/>
                      <w:snapToGrid w:val="0"/>
                      <w:color w:val="000000" w:themeColor="text1"/>
                      <w:sz w:val="21"/>
                      <w:szCs w:val="21"/>
                      <w:lang w:val="en-US" w:eastAsia="zh-CN"/>
                      <w14:textFill>
                        <w14:solidFill>
                          <w14:schemeClr w14:val="tx1"/>
                        </w14:solidFill>
                      </w14:textFill>
                    </w:rPr>
                    <w:t>前处理和电泳槽</w:t>
                  </w:r>
                  <w:r>
                    <w:rPr>
                      <w:rFonts w:hint="eastAsia" w:ascii="Times New Roman" w:hAnsi="Times New Roman" w:eastAsia="宋体"/>
                      <w:snapToGrid w:val="0"/>
                      <w:color w:val="000000" w:themeColor="text1"/>
                      <w:sz w:val="21"/>
                      <w:szCs w:val="21"/>
                      <w:lang w:eastAsia="zh-CN"/>
                      <w14:textFill>
                        <w14:solidFill>
                          <w14:schemeClr w14:val="tx1"/>
                        </w14:solidFill>
                      </w14:textFill>
                    </w:rPr>
                    <w:t>四周设置导流沟槽、</w:t>
                  </w:r>
                  <w:r>
                    <w:rPr>
                      <w:rFonts w:hint="eastAsia" w:ascii="Times New Roman" w:hAnsi="Times New Roman" w:eastAsia="宋体"/>
                      <w:snapToGrid w:val="0"/>
                      <w:color w:val="000000" w:themeColor="text1"/>
                      <w:sz w:val="21"/>
                      <w:szCs w:val="21"/>
                      <w:lang w:val="en-US" w:eastAsia="zh-CN"/>
                      <w14:textFill>
                        <w14:solidFill>
                          <w14:schemeClr w14:val="tx1"/>
                        </w14:solidFill>
                      </w14:textFill>
                    </w:rPr>
                    <w:t>围堰</w:t>
                  </w:r>
                  <w:r>
                    <w:rPr>
                      <w:rFonts w:hint="eastAsia" w:ascii="Times New Roman" w:hAnsi="Times New Roman"/>
                      <w:snapToGrid w:val="0"/>
                      <w:color w:val="000000" w:themeColor="text1"/>
                      <w:sz w:val="21"/>
                      <w:szCs w:val="21"/>
                      <w:lang w:val="en-US" w:eastAsia="zh-CN"/>
                      <w14:textFill>
                        <w14:solidFill>
                          <w14:schemeClr w14:val="tx1"/>
                        </w14:solidFill>
                      </w14:textFill>
                    </w:rPr>
                    <w:t>，完善应急池建设</w:t>
                  </w:r>
                </w:p>
              </w:tc>
              <w:tc>
                <w:tcPr>
                  <w:tcW w:w="588" w:type="pct"/>
                  <w:noWrap w:val="0"/>
                  <w:vAlign w:val="center"/>
                </w:tcPr>
                <w:p w14:paraId="73FE32CF">
                  <w:pPr>
                    <w:pStyle w:val="25"/>
                    <w:widowControl w:val="0"/>
                    <w:autoSpaceDE w:val="0"/>
                    <w:autoSpaceDN w:val="0"/>
                    <w:adjustRightInd w:val="0"/>
                    <w:spacing w:before="0" w:beforeAutospacing="0" w:after="0" w:afterAutospacing="0" w:line="320" w:lineRule="atLeast"/>
                    <w:jc w:val="center"/>
                    <w:rPr>
                      <w:rFonts w:hint="eastAsia" w:ascii="Times New Roman" w:hAnsi="Times New Roman" w:eastAsia="宋体"/>
                      <w:color w:val="000000" w:themeColor="text1"/>
                      <w:kern w:val="0"/>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olor w:val="000000" w:themeColor="text1"/>
                      <w:sz w:val="21"/>
                      <w:szCs w:val="21"/>
                      <w:lang w:val="en-US" w:eastAsia="zh-CN"/>
                      <w14:textFill>
                        <w14:solidFill>
                          <w14:schemeClr w14:val="tx1"/>
                        </w14:solidFill>
                      </w14:textFill>
                    </w:rPr>
                    <w:t>0.0</w:t>
                  </w:r>
                </w:p>
              </w:tc>
            </w:tr>
            <w:tr w14:paraId="4DF69A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411" w:type="pct"/>
                  <w:gridSpan w:val="3"/>
                  <w:noWrap w:val="0"/>
                  <w:vAlign w:val="center"/>
                </w:tcPr>
                <w:p w14:paraId="4FC5B56D">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lang w:val="en-US" w:eastAsia="zh-CN" w:bidi="ar-SA"/>
                      <w14:textFill>
                        <w14:solidFill>
                          <w14:schemeClr w14:val="tx1"/>
                        </w14:solidFill>
                      </w14:textFill>
                    </w:rPr>
                    <w:t>合  计</w:t>
                  </w:r>
                </w:p>
              </w:tc>
              <w:tc>
                <w:tcPr>
                  <w:tcW w:w="588" w:type="pct"/>
                  <w:noWrap w:val="0"/>
                  <w:vAlign w:val="center"/>
                </w:tcPr>
                <w:p w14:paraId="47A12447">
                  <w:pPr>
                    <w:pStyle w:val="25"/>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lang w:val="en-US" w:eastAsia="zh-CN"/>
                      <w14:textFill>
                        <w14:solidFill>
                          <w14:schemeClr w14:val="tx1"/>
                        </w14:solidFill>
                      </w14:textFill>
                    </w:rPr>
                    <w:t>325</w:t>
                  </w:r>
                </w:p>
              </w:tc>
            </w:tr>
          </w:tbl>
          <w:p w14:paraId="10D9030C">
            <w:pPr>
              <w:pStyle w:val="25"/>
              <w:jc w:val="center"/>
              <w:outlineLvl w:val="0"/>
              <w:rPr>
                <w:rFonts w:hint="default" w:ascii="Times New Roman" w:hAnsi="Times New Roman" w:eastAsia="黑体" w:cs="Times New Roman"/>
                <w:snapToGrid w:val="0"/>
                <w:color w:val="000000" w:themeColor="text1"/>
                <w:spacing w:val="0"/>
                <w:position w:val="0"/>
                <w:sz w:val="30"/>
                <w:szCs w:val="30"/>
                <w:highlight w:val="none"/>
                <w:vertAlign w:val="baseline"/>
                <w14:textFill>
                  <w14:solidFill>
                    <w14:schemeClr w14:val="tx1"/>
                  </w14:solidFill>
                </w14:textFill>
              </w:rPr>
            </w:pPr>
          </w:p>
        </w:tc>
      </w:tr>
    </w:tbl>
    <w:p w14:paraId="4CF8F811">
      <w:pPr>
        <w:pStyle w:val="25"/>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sectPr>
          <w:pgSz w:w="11906" w:h="16838"/>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pPr>
    </w:p>
    <w:p w14:paraId="7BBF84BC">
      <w:pPr>
        <w:pStyle w:val="25"/>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bookmarkStart w:id="42" w:name="_Toc23327"/>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五、</w:t>
      </w:r>
      <w:bookmarkStart w:id="43" w:name="_Hlk54167917"/>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环境保护措施监督检查清单</w:t>
      </w:r>
      <w:bookmarkEnd w:id="33"/>
      <w:bookmarkEnd w:id="42"/>
      <w:bookmarkEnd w:id="43"/>
    </w:p>
    <w:tbl>
      <w:tblPr>
        <w:tblStyle w:val="30"/>
        <w:tblW w:w="5151"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635"/>
        <w:gridCol w:w="1791"/>
        <w:gridCol w:w="1370"/>
        <w:gridCol w:w="1503"/>
        <w:gridCol w:w="4068"/>
      </w:tblGrid>
      <w:tr w14:paraId="553D2E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07" w:hRule="atLeast"/>
        </w:trPr>
        <w:tc>
          <w:tcPr>
            <w:tcW w:w="339" w:type="pct"/>
            <w:tcBorders>
              <w:tl2br w:val="nil"/>
              <w:tr2bl w:val="nil"/>
            </w:tcBorders>
            <w:noWrap w:val="0"/>
            <w:vAlign w:val="center"/>
          </w:tcPr>
          <w:p w14:paraId="49BA48FB">
            <w:pPr>
              <w:pStyle w:val="87"/>
              <w:keepNext w:val="0"/>
              <w:keepLines w:val="0"/>
              <w:pageBreakBefore w:val="0"/>
              <w:kinsoku/>
              <w:wordWrap/>
              <w:overflowPunct/>
              <w:topLinePunct w:val="0"/>
              <w:bidi w:val="0"/>
              <w:spacing w:before="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mc:AlternateContent>
                <mc:Choice Requires="wpg">
                  <w:drawing>
                    <wp:anchor distT="0" distB="0" distL="0" distR="0" simplePos="0" relativeHeight="251659264" behindDoc="1" locked="0" layoutInCell="1" allowOverlap="1">
                      <wp:simplePos x="0" y="0"/>
                      <wp:positionH relativeFrom="column">
                        <wp:posOffset>1905</wp:posOffset>
                      </wp:positionH>
                      <wp:positionV relativeFrom="paragraph">
                        <wp:posOffset>-3810</wp:posOffset>
                      </wp:positionV>
                      <wp:extent cx="403225" cy="583565"/>
                      <wp:effectExtent l="1270" t="635" r="1905" b="12700"/>
                      <wp:wrapNone/>
                      <wp:docPr id="257" name="Group 257"/>
                      <wp:cNvGraphicFramePr/>
                      <a:graphic xmlns:a="http://schemas.openxmlformats.org/drawingml/2006/main">
                        <a:graphicData uri="http://schemas.microsoft.com/office/word/2010/wordprocessingGroup">
                          <wpg:wgp>
                            <wpg:cNvGrpSpPr/>
                            <wpg:grpSpPr>
                              <a:xfrm>
                                <a:off x="0" y="0"/>
                                <a:ext cx="403225" cy="583565"/>
                                <a:chOff x="0" y="0"/>
                                <a:chExt cx="437515" cy="854075"/>
                              </a:xfrm>
                              <a:effectLst/>
                            </wpg:grpSpPr>
                            <wps:wsp>
                              <wps:cNvPr id="258" name="Graphic 258"/>
                              <wps:cNvSpPr/>
                              <wps:spPr>
                                <a:xfrm>
                                  <a:off x="3175" y="3175"/>
                                  <a:ext cx="431165" cy="847725"/>
                                </a:xfrm>
                                <a:custGeom>
                                  <a:avLst/>
                                  <a:gdLst/>
                                  <a:ahLst/>
                                  <a:cxnLst/>
                                  <a:rect l="l" t="t" r="r" b="b"/>
                                  <a:pathLst>
                                    <a:path w="431165" h="847725">
                                      <a:moveTo>
                                        <a:pt x="0" y="0"/>
                                      </a:moveTo>
                                      <a:lnTo>
                                        <a:pt x="431165" y="847725"/>
                                      </a:lnTo>
                                    </a:path>
                                  </a:pathLst>
                                </a:custGeom>
                                <a:noFill/>
                                <a:ln w="6350">
                                  <a:solidFill>
                                    <a:srgbClr val="000000"/>
                                  </a:solidFill>
                                  <a:prstDash val="solid"/>
                                </a:ln>
                                <a:effectLst/>
                              </wps:spPr>
                              <wps:bodyPr vert="horz" wrap="square" lIns="0" tIns="0" rIns="0" bIns="0" rtlCol="0" anchor="t" anchorCtr="0">
                                <a:noAutofit/>
                              </wps:bodyPr>
                            </wps:wsp>
                          </wpg:wgp>
                        </a:graphicData>
                      </a:graphic>
                    </wp:anchor>
                  </w:drawing>
                </mc:Choice>
                <mc:Fallback>
                  <w:pict>
                    <v:group id="Group 257" o:spid="_x0000_s1026" o:spt="203" style="position:absolute;left:0pt;margin-left:0.15pt;margin-top:-0.3pt;height:45.95pt;width:31.75pt;z-index:-251657216;mso-width-relative:page;mso-height-relative:page;" coordsize="437515,854075" o:gfxdata="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4YQzy1AAAAAQBAAAPAAAAAAAAAAEAIAAAACIAAABkcnMvZG93bnJldi54bWxQ&#10;SwECFAAUAAAACACHTuJA6kRzJaYCAAAPBgAADgAAAAAAAAABACAAAAAjAQAAZHJzL2Uyb0RvYy54&#10;bWxQSwUGAAAAAAYABgBZAQAAOwYAAAAA&#10;">
                      <o:lock v:ext="edit" aspectratio="f"/>
                      <v:shape id="Graphic 258" o:spid="_x0000_s1026" o:spt="100" style="position:absolute;left:3175;top:3175;height:847725;width:431165;" filled="f" stroked="t" coordsize="431165,847725" o:gfxdata="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YPX3ugAAANwA&#10;AAAPAAAAAAAAAAEAIAAAACIAAABkcnMvZG93bnJldi54bWxQSwECFAAUAAAACACHTuJAMy8FnjsA&#10;AAA5AAAAEAAAAAAAAAABACAAAAAJAQAAZHJzL3NoYXBleG1sLnhtbFBLBQYAAAAABgAGAFsBAACz&#10;AwAAAAA=&#10;" path="m0,0l431165,847725e">
                        <v:fill on="f" focussize="0,0"/>
                        <v:stroke weight="0.5pt" color="#000000" joinstyle="round"/>
                        <v:imagedata o:title=""/>
                        <o:lock v:ext="edit" aspectratio="f"/>
                        <v:textbox inset="0mm,0mm,0mm,0mm"/>
                      </v:shape>
                    </v:group>
                  </w:pict>
                </mc:Fallback>
              </mc:AlternateContent>
            </w:r>
            <w:r>
              <w:rPr>
                <w:rFonts w:hint="default" w:ascii="Times New Roman" w:hAnsi="Times New Roman" w:cs="Times New Roman"/>
                <w:color w:val="000000" w:themeColor="text1"/>
                <w:spacing w:val="0"/>
                <w:sz w:val="21"/>
                <w:szCs w:val="21"/>
                <w14:textFill>
                  <w14:solidFill>
                    <w14:schemeClr w14:val="tx1"/>
                  </w14:solidFill>
                </w14:textFill>
              </w:rPr>
              <w:t>内容</w:t>
            </w:r>
          </w:p>
          <w:p w14:paraId="4E1D5FAD">
            <w:pPr>
              <w:pStyle w:val="87"/>
              <w:keepNext w:val="0"/>
              <w:keepLines w:val="0"/>
              <w:pageBreakBefore w:val="0"/>
              <w:kinsoku/>
              <w:wordWrap/>
              <w:overflowPunct/>
              <w:topLinePunct w:val="0"/>
              <w:bidi w:val="0"/>
              <w:spacing w:before="0" w:line="240" w:lineRule="auto"/>
              <w:ind w:left="0" w:firstLine="0" w:firstLineChars="0"/>
              <w:jc w:val="both"/>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要</w:t>
            </w:r>
          </w:p>
          <w:p w14:paraId="7E862C0C">
            <w:pPr>
              <w:pStyle w:val="87"/>
              <w:keepNext w:val="0"/>
              <w:keepLines w:val="0"/>
              <w:pageBreakBefore w:val="0"/>
              <w:kinsoku/>
              <w:wordWrap/>
              <w:overflowPunct/>
              <w:topLinePunct w:val="0"/>
              <w:bidi w:val="0"/>
              <w:spacing w:before="0" w:line="240" w:lineRule="auto"/>
              <w:ind w:left="0" w:firstLine="0" w:firstLineChars="0"/>
              <w:jc w:val="both"/>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素</w:t>
            </w:r>
          </w:p>
        </w:tc>
        <w:tc>
          <w:tcPr>
            <w:tcW w:w="956" w:type="pct"/>
            <w:tcBorders>
              <w:tl2br w:val="nil"/>
              <w:tr2bl w:val="nil"/>
            </w:tcBorders>
            <w:noWrap w:val="0"/>
            <w:vAlign w:val="center"/>
          </w:tcPr>
          <w:p w14:paraId="7B2D370D">
            <w:pPr>
              <w:pStyle w:val="87"/>
              <w:keepNext w:val="0"/>
              <w:keepLines w:val="0"/>
              <w:pageBreakBefore w:val="0"/>
              <w:kinsoku/>
              <w:wordWrap/>
              <w:overflowPunct/>
              <w:topLinePunct w:val="0"/>
              <w:bidi w:val="0"/>
              <w:spacing w:before="0" w:line="240" w:lineRule="auto"/>
              <w:ind w:left="0" w:righ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排放口</w:t>
            </w:r>
            <w:r>
              <w:rPr>
                <w:rFonts w:hint="default" w:ascii="Times New Roman" w:hAnsi="Times New Roman" w:eastAsia="Times New Roman" w:cs="Times New Roman"/>
                <w:color w:val="000000" w:themeColor="text1"/>
                <w:spacing w:val="0"/>
                <w:sz w:val="21"/>
                <w:szCs w:val="21"/>
                <w14:textFill>
                  <w14:solidFill>
                    <w14:schemeClr w14:val="tx1"/>
                  </w14:solidFill>
                </w14:textFill>
              </w:rPr>
              <w:t>(</w:t>
            </w:r>
            <w:r>
              <w:rPr>
                <w:rFonts w:hint="default" w:ascii="Times New Roman" w:hAnsi="Times New Roman" w:cs="Times New Roman"/>
                <w:color w:val="000000" w:themeColor="text1"/>
                <w:spacing w:val="0"/>
                <w:sz w:val="21"/>
                <w:szCs w:val="21"/>
                <w14:textFill>
                  <w14:solidFill>
                    <w14:schemeClr w14:val="tx1"/>
                  </w14:solidFill>
                </w14:textFill>
              </w:rPr>
              <w:t>编号、名称</w:t>
            </w:r>
            <w:r>
              <w:rPr>
                <w:rFonts w:hint="default" w:ascii="Times New Roman" w:hAnsi="Times New Roman" w:eastAsia="Times New Roman" w:cs="Times New Roman"/>
                <w:color w:val="000000" w:themeColor="text1"/>
                <w:spacing w:val="0"/>
                <w:sz w:val="21"/>
                <w:szCs w:val="21"/>
                <w14:textFill>
                  <w14:solidFill>
                    <w14:schemeClr w14:val="tx1"/>
                  </w14:solidFill>
                </w14:textFill>
              </w:rPr>
              <w:t>)/</w:t>
            </w:r>
            <w:r>
              <w:rPr>
                <w:rFonts w:hint="default" w:ascii="Times New Roman" w:hAnsi="Times New Roman" w:cs="Times New Roman"/>
                <w:color w:val="000000" w:themeColor="text1"/>
                <w:spacing w:val="0"/>
                <w:sz w:val="21"/>
                <w:szCs w:val="21"/>
                <w14:textFill>
                  <w14:solidFill>
                    <w14:schemeClr w14:val="tx1"/>
                  </w14:solidFill>
                </w14:textFill>
              </w:rPr>
              <w:t>污染源</w:t>
            </w:r>
          </w:p>
        </w:tc>
        <w:tc>
          <w:tcPr>
            <w:tcW w:w="731" w:type="pct"/>
            <w:tcBorders>
              <w:tl2br w:val="nil"/>
              <w:tr2bl w:val="nil"/>
            </w:tcBorders>
            <w:noWrap w:val="0"/>
            <w:vAlign w:val="center"/>
          </w:tcPr>
          <w:p w14:paraId="39CE3020">
            <w:pPr>
              <w:pStyle w:val="87"/>
              <w:keepNext w:val="0"/>
              <w:keepLines w:val="0"/>
              <w:pageBreakBefore w:val="0"/>
              <w:kinsoku/>
              <w:wordWrap/>
              <w:overflowPunct/>
              <w:topLinePunct w:val="0"/>
              <w:bidi w:val="0"/>
              <w:spacing w:line="240" w:lineRule="auto"/>
              <w:ind w:lef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污染物项目</w:t>
            </w:r>
          </w:p>
        </w:tc>
        <w:tc>
          <w:tcPr>
            <w:tcW w:w="802" w:type="pct"/>
            <w:tcBorders>
              <w:tl2br w:val="nil"/>
              <w:tr2bl w:val="nil"/>
            </w:tcBorders>
            <w:noWrap w:val="0"/>
            <w:vAlign w:val="center"/>
          </w:tcPr>
          <w:p w14:paraId="25F7488A">
            <w:pPr>
              <w:pStyle w:val="87"/>
              <w:keepNext w:val="0"/>
              <w:keepLines w:val="0"/>
              <w:pageBreakBefore w:val="0"/>
              <w:kinsoku/>
              <w:wordWrap/>
              <w:overflowPunct/>
              <w:topLinePunct w:val="0"/>
              <w:bidi w:val="0"/>
              <w:spacing w:line="240" w:lineRule="auto"/>
              <w:ind w:lef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环境保护措施</w:t>
            </w:r>
          </w:p>
        </w:tc>
        <w:tc>
          <w:tcPr>
            <w:tcW w:w="2169" w:type="pct"/>
            <w:tcBorders>
              <w:tl2br w:val="nil"/>
              <w:tr2bl w:val="nil"/>
            </w:tcBorders>
            <w:noWrap w:val="0"/>
            <w:vAlign w:val="center"/>
          </w:tcPr>
          <w:p w14:paraId="610E02D8">
            <w:pPr>
              <w:pStyle w:val="87"/>
              <w:keepNext w:val="0"/>
              <w:keepLines w:val="0"/>
              <w:pageBreakBefore w:val="0"/>
              <w:kinsoku/>
              <w:wordWrap/>
              <w:overflowPunct/>
              <w:topLinePunct w:val="0"/>
              <w:bidi w:val="0"/>
              <w:spacing w:line="240" w:lineRule="auto"/>
              <w:ind w:lef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执行标准</w:t>
            </w:r>
          </w:p>
        </w:tc>
      </w:tr>
      <w:tr w14:paraId="18E7DD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39" w:type="pct"/>
            <w:vMerge w:val="restart"/>
            <w:tcBorders>
              <w:tl2br w:val="nil"/>
              <w:tr2bl w:val="nil"/>
            </w:tcBorders>
            <w:noWrap w:val="0"/>
            <w:vAlign w:val="center"/>
          </w:tcPr>
          <w:p w14:paraId="5958D983">
            <w:pPr>
              <w:pStyle w:val="87"/>
              <w:keepNext w:val="0"/>
              <w:keepLines w:val="0"/>
              <w:pageBreakBefore w:val="0"/>
              <w:kinsoku/>
              <w:wordWrap/>
              <w:overflowPunct/>
              <w:topLinePunct w:val="0"/>
              <w:bidi w:val="0"/>
              <w:spacing w:line="240" w:lineRule="auto"/>
              <w:ind w:left="0" w:righ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大气环境</w:t>
            </w:r>
          </w:p>
        </w:tc>
        <w:tc>
          <w:tcPr>
            <w:tcW w:w="956" w:type="pct"/>
            <w:tcBorders>
              <w:tl2br w:val="nil"/>
              <w:tr2bl w:val="nil"/>
            </w:tcBorders>
            <w:noWrap w:val="0"/>
            <w:vAlign w:val="center"/>
          </w:tcPr>
          <w:p w14:paraId="03C5F474">
            <w:pPr>
              <w:pStyle w:val="87"/>
              <w:keepNext w:val="0"/>
              <w:keepLines w:val="0"/>
              <w:pageBreakBefore w:val="0"/>
              <w:kinsoku/>
              <w:wordWrap/>
              <w:overflowPunct/>
              <w:topLinePunct w:val="0"/>
              <w:bidi w:val="0"/>
              <w:spacing w:before="0" w:line="240" w:lineRule="auto"/>
              <w:ind w:left="0" w:righ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3#厂房</w:t>
            </w: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电泳前处理酸性废气</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排放口（</w:t>
            </w:r>
            <w:r>
              <w:rPr>
                <w:rFonts w:hint="default" w:ascii="Times New Roman" w:hAnsi="Times New Roman" w:eastAsia="Times New Roman" w:cs="Times New Roman"/>
                <w:color w:val="000000" w:themeColor="text1"/>
                <w:spacing w:val="0"/>
                <w:sz w:val="21"/>
                <w:szCs w:val="21"/>
                <w14:textFill>
                  <w14:solidFill>
                    <w14:schemeClr w14:val="tx1"/>
                  </w14:solidFill>
                </w14:textFill>
              </w:rPr>
              <w:t>DA00</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731" w:type="pct"/>
            <w:tcBorders>
              <w:tl2br w:val="nil"/>
              <w:tr2bl w:val="nil"/>
            </w:tcBorders>
            <w:noWrap w:val="0"/>
            <w:vAlign w:val="center"/>
          </w:tcPr>
          <w:p w14:paraId="5BE16034">
            <w:pPr>
              <w:pStyle w:val="87"/>
              <w:keepNext w:val="0"/>
              <w:keepLines w:val="0"/>
              <w:pageBreakBefore w:val="0"/>
              <w:kinsoku/>
              <w:wordWrap/>
              <w:overflowPunct/>
              <w:topLinePunct w:val="0"/>
              <w:bidi w:val="0"/>
              <w:spacing w:line="240" w:lineRule="auto"/>
              <w:ind w:lef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磷酸</w:t>
            </w:r>
          </w:p>
        </w:tc>
        <w:tc>
          <w:tcPr>
            <w:tcW w:w="802" w:type="pct"/>
            <w:tcBorders>
              <w:tl2br w:val="nil"/>
              <w:tr2bl w:val="nil"/>
            </w:tcBorders>
            <w:noWrap w:val="0"/>
            <w:vAlign w:val="center"/>
          </w:tcPr>
          <w:p w14:paraId="6CEF827E">
            <w:pPr>
              <w:pStyle w:val="87"/>
              <w:keepNext w:val="0"/>
              <w:keepLines w:val="0"/>
              <w:pageBreakBefore w:val="0"/>
              <w:kinsoku/>
              <w:wordWrap/>
              <w:overflowPunct/>
              <w:topLinePunct w:val="0"/>
              <w:bidi w:val="0"/>
              <w:spacing w:line="240" w:lineRule="auto"/>
              <w:ind w:lef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碱液喷淋后由</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22</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m排气筒排放</w:t>
            </w:r>
          </w:p>
        </w:tc>
        <w:tc>
          <w:tcPr>
            <w:tcW w:w="2169" w:type="pct"/>
            <w:tcBorders>
              <w:tl2br w:val="nil"/>
              <w:tr2bl w:val="nil"/>
            </w:tcBorders>
            <w:noWrap w:val="0"/>
            <w:vAlign w:val="center"/>
          </w:tcPr>
          <w:p w14:paraId="79DE9AD5">
            <w:pPr>
              <w:pStyle w:val="87"/>
              <w:keepNext w:val="0"/>
              <w:keepLines w:val="0"/>
              <w:pageBreakBefore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验收落实</w:t>
            </w:r>
          </w:p>
        </w:tc>
      </w:tr>
      <w:tr w14:paraId="32D880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881" w:hRule="atLeast"/>
        </w:trPr>
        <w:tc>
          <w:tcPr>
            <w:tcW w:w="339" w:type="pct"/>
            <w:vMerge w:val="continue"/>
            <w:tcBorders>
              <w:tl2br w:val="nil"/>
              <w:tr2bl w:val="nil"/>
            </w:tcBorders>
            <w:noWrap w:val="0"/>
            <w:vAlign w:val="center"/>
          </w:tcPr>
          <w:p w14:paraId="572F234E">
            <w:pPr>
              <w:pStyle w:val="87"/>
              <w:keepNext w:val="0"/>
              <w:keepLines w:val="0"/>
              <w:pageBreakBefore w:val="0"/>
              <w:kinsoku/>
              <w:wordWrap/>
              <w:overflowPunct/>
              <w:topLinePunct w:val="0"/>
              <w:bidi w:val="0"/>
              <w:spacing w:line="240" w:lineRule="auto"/>
              <w:ind w:left="0" w:righ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p>
        </w:tc>
        <w:tc>
          <w:tcPr>
            <w:tcW w:w="956" w:type="pct"/>
            <w:tcBorders>
              <w:tl2br w:val="nil"/>
              <w:tr2bl w:val="nil"/>
            </w:tcBorders>
            <w:noWrap w:val="0"/>
            <w:vAlign w:val="center"/>
          </w:tcPr>
          <w:p w14:paraId="22CABFC8">
            <w:pPr>
              <w:pStyle w:val="13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3#厂房</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电泳废气</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电泳烘干固化、喷粉烘干固化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、脱漆废气</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排放口（</w:t>
            </w:r>
            <w:r>
              <w:rPr>
                <w:rFonts w:hint="default" w:ascii="Times New Roman" w:hAnsi="Times New Roman" w:eastAsia="Times New Roman" w:cs="Times New Roman"/>
                <w:color w:val="000000" w:themeColor="text1"/>
                <w:spacing w:val="0"/>
                <w:sz w:val="21"/>
                <w:szCs w:val="21"/>
                <w14:textFill>
                  <w14:solidFill>
                    <w14:schemeClr w14:val="tx1"/>
                  </w14:solidFill>
                </w14:textFill>
              </w:rPr>
              <w:t>DA00</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731" w:type="pct"/>
            <w:tcBorders>
              <w:tl2br w:val="nil"/>
              <w:tr2bl w:val="nil"/>
            </w:tcBorders>
            <w:noWrap w:val="0"/>
            <w:vAlign w:val="center"/>
          </w:tcPr>
          <w:p w14:paraId="733EA790">
            <w:pPr>
              <w:pStyle w:val="13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非甲烷总烃</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SO</w:t>
            </w:r>
            <w:r>
              <w:rPr>
                <w:rFonts w:hint="default" w:ascii="Times New Roman" w:hAnsi="Times New Roman"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、NO</w:t>
            </w:r>
            <w:r>
              <w:rPr>
                <w:rFonts w:hint="default" w:ascii="Times New Roman" w:hAnsi="Times New Roman" w:cs="Times New Roman"/>
                <w:color w:val="000000" w:themeColor="text1"/>
                <w:spacing w:val="0"/>
                <w:sz w:val="21"/>
                <w:szCs w:val="21"/>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0"/>
                <w:sz w:val="21"/>
                <w:szCs w:val="21"/>
                <w14:textFill>
                  <w14:solidFill>
                    <w14:schemeClr w14:val="tx1"/>
                  </w14:solidFill>
                </w14:textFill>
              </w:rPr>
              <w:t>林格曼黑度</w:t>
            </w:r>
          </w:p>
        </w:tc>
        <w:tc>
          <w:tcPr>
            <w:tcW w:w="802" w:type="pct"/>
            <w:tcBorders>
              <w:tl2br w:val="nil"/>
              <w:tr2bl w:val="nil"/>
            </w:tcBorders>
            <w:noWrap w:val="0"/>
            <w:vAlign w:val="center"/>
          </w:tcPr>
          <w:p w14:paraId="75B98556">
            <w:pPr>
              <w:pStyle w:val="87"/>
              <w:keepNext w:val="0"/>
              <w:keepLines w:val="0"/>
              <w:pageBreakBefore w:val="0"/>
              <w:numPr>
                <w:ilvl w:val="0"/>
                <w:numId w:val="0"/>
              </w:numPr>
              <w:kinsoku/>
              <w:wordWrap/>
              <w:overflowPunct/>
              <w:topLinePunct w:val="0"/>
              <w:bidi w:val="0"/>
              <w:spacing w:before="0" w:line="240" w:lineRule="auto"/>
              <w:ind w:left="0" w:right="0" w:firstLine="0" w:firstLineChars="0"/>
              <w:jc w:val="both"/>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固化炉加热装置配套</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低氮燃烧器，</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废气经</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水</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喷淋+</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干式过滤+</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活性炭吸附处理后由</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22</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m排气筒排放</w:t>
            </w:r>
          </w:p>
        </w:tc>
        <w:tc>
          <w:tcPr>
            <w:tcW w:w="2169" w:type="pct"/>
            <w:tcBorders>
              <w:tl2br w:val="nil"/>
              <w:tr2bl w:val="nil"/>
            </w:tcBorders>
            <w:noWrap w:val="0"/>
            <w:vAlign w:val="center"/>
          </w:tcPr>
          <w:p w14:paraId="58C0A27D">
            <w:pPr>
              <w:pStyle w:val="87"/>
              <w:keepNext w:val="0"/>
              <w:keepLines w:val="0"/>
              <w:pageBreakBefore w:val="0"/>
              <w:kinsoku/>
              <w:wordWrap/>
              <w:overflowPunct/>
              <w:topLinePunct w:val="0"/>
              <w:bidi w:val="0"/>
              <w:spacing w:before="0" w:line="240" w:lineRule="auto"/>
              <w:ind w:left="0" w:right="0" w:firstLine="0" w:firstLineChars="0"/>
              <w:jc w:val="left"/>
              <w:textAlignment w:val="auto"/>
              <w:rPr>
                <w:rFonts w:hint="default" w:ascii="Times New Roman" w:hAnsi="Times New Roman" w:cs="Times New Roman"/>
                <w:color w:val="000000" w:themeColor="text1"/>
                <w:spacing w:val="0"/>
                <w:sz w:val="21"/>
                <w:szCs w:val="21"/>
                <w:lang w:eastAsia="zh-CN"/>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《工业涂装工序挥发性有机物排放标准》(DB35/1783—2018)表1中涉涂装工序的其它行业排气筒挥发性有机物排放限值</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非甲烷总烃</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最高浓度限值≤60mg/m</w:t>
            </w:r>
            <w:r>
              <w:rPr>
                <w:rFonts w:hint="default" w:ascii="Times New Roman" w:hAnsi="Times New Roman" w:cs="Times New Roman"/>
                <w:color w:val="000000" w:themeColor="text1"/>
                <w:spacing w:val="0"/>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，最高允许排放速率≤</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7.18</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kg/h</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w:t>
            </w:r>
          </w:p>
          <w:p w14:paraId="34F19A3A">
            <w:pPr>
              <w:pStyle w:val="87"/>
              <w:keepNext w:val="0"/>
              <w:keepLines w:val="0"/>
              <w:pageBreakBefore w:val="0"/>
              <w:kinsoku/>
              <w:wordWrap/>
              <w:overflowPunct/>
              <w:topLinePunct w:val="0"/>
              <w:bidi w:val="0"/>
              <w:spacing w:before="0" w:line="240" w:lineRule="auto"/>
              <w:ind w:left="0" w:right="0" w:firstLine="0" w:firstLineChars="0"/>
              <w:jc w:val="left"/>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《福建省工业炉窑大气污染综合治理方案》（闽环保大气〔2019〕10号）中要求（颗粒物</w:t>
            </w:r>
            <w:r>
              <w:rPr>
                <w:rFonts w:hint="default" w:ascii="Times New Roman" w:hAnsi="Times New Roman" w:cs="Times New Roman"/>
                <w:color w:val="000000" w:themeColor="text1"/>
                <w:sz w:val="21"/>
                <w:szCs w:val="21"/>
                <w14:textFill>
                  <w14:solidFill>
                    <w14:schemeClr w14:val="tx1"/>
                  </w14:solidFill>
                </w14:textFill>
              </w:rPr>
              <w:t>排放浓度</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0mg/m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排放浓度</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14:textFill>
                  <w14:solidFill>
                    <w14:schemeClr w14:val="tx1"/>
                  </w14:solidFill>
                </w14:textFill>
              </w:rPr>
              <w:t>0mg/m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，NOx排放浓度</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30</w:t>
            </w:r>
            <w:r>
              <w:rPr>
                <w:rFonts w:hint="default" w:ascii="Times New Roman" w:hAnsi="Times New Roman" w:cs="Times New Roman"/>
                <w:color w:val="000000" w:themeColor="text1"/>
                <w:sz w:val="21"/>
                <w:szCs w:val="21"/>
                <w14:textFill>
                  <w14:solidFill>
                    <w14:schemeClr w14:val="tx1"/>
                  </w14:solidFill>
                </w14:textFill>
              </w:rPr>
              <w:t>0mg/m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p>
          <w:p w14:paraId="0E94F16B">
            <w:pPr>
              <w:pStyle w:val="87"/>
              <w:keepNext w:val="0"/>
              <w:keepLines w:val="0"/>
              <w:pageBreakBefore w:val="0"/>
              <w:kinsoku/>
              <w:wordWrap/>
              <w:overflowPunct/>
              <w:topLinePunct w:val="0"/>
              <w:bidi w:val="0"/>
              <w:spacing w:before="0" w:line="240" w:lineRule="auto"/>
              <w:ind w:left="0" w:right="0" w:firstLine="0" w:firstLineChars="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烟</w:t>
            </w:r>
            <w:r>
              <w:rPr>
                <w:rFonts w:hint="default" w:ascii="Times New Roman" w:hAnsi="Times New Roman" w:cs="Times New Roman"/>
                <w:color w:val="000000" w:themeColor="text1"/>
                <w:sz w:val="21"/>
                <w:szCs w:val="21"/>
                <w14:textFill>
                  <w14:solidFill>
                    <w14:schemeClr w14:val="tx1"/>
                  </w14:solidFill>
                </w14:textFill>
              </w:rPr>
              <w:t>《工业炉窑大气污染物排放标准》（GB9078-1996）</w:t>
            </w:r>
            <w:r>
              <w:rPr>
                <w:rFonts w:hint="default" w:ascii="Times New Roman" w:hAnsi="Times New Roman" w:cs="Times New Roman"/>
                <w:color w:val="000000" w:themeColor="text1"/>
                <w:sz w:val="21"/>
                <w:szCs w:val="21"/>
                <w:lang w:val="en-US" w:eastAsia="zh-CN"/>
                <w14:textFill>
                  <w14:solidFill>
                    <w14:schemeClr w14:val="tx1"/>
                  </w14:solidFill>
                </w14:textFill>
              </w:rPr>
              <w:t>中标准</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林格曼黑度</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≤1级</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p>
        </w:tc>
      </w:tr>
      <w:tr w14:paraId="2DBAEF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72" w:hRule="atLeast"/>
        </w:trPr>
        <w:tc>
          <w:tcPr>
            <w:tcW w:w="339" w:type="pct"/>
            <w:vMerge w:val="continue"/>
            <w:tcBorders>
              <w:tl2br w:val="nil"/>
              <w:tr2bl w:val="nil"/>
            </w:tcBorders>
            <w:noWrap w:val="0"/>
            <w:vAlign w:val="center"/>
          </w:tcPr>
          <w:p w14:paraId="226ECABF">
            <w:pPr>
              <w:pStyle w:val="87"/>
              <w:keepNext w:val="0"/>
              <w:keepLines w:val="0"/>
              <w:pageBreakBefore w:val="0"/>
              <w:kinsoku/>
              <w:wordWrap/>
              <w:overflowPunct/>
              <w:topLinePunct w:val="0"/>
              <w:bidi w:val="0"/>
              <w:spacing w:line="240" w:lineRule="auto"/>
              <w:ind w:left="0" w:righ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p>
        </w:tc>
        <w:tc>
          <w:tcPr>
            <w:tcW w:w="956" w:type="pct"/>
            <w:tcBorders>
              <w:tl2br w:val="nil"/>
              <w:tr2bl w:val="nil"/>
            </w:tcBorders>
            <w:shd w:val="clear" w:color="auto" w:fill="auto"/>
            <w:noWrap w:val="0"/>
            <w:vAlign w:val="center"/>
          </w:tcPr>
          <w:p w14:paraId="101AE8DB">
            <w:pPr>
              <w:pStyle w:val="13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2#厂房</w:t>
            </w: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电泳前处理及钝化酸性废气</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排放口（</w:t>
            </w:r>
            <w:r>
              <w:rPr>
                <w:rFonts w:hint="default" w:ascii="Times New Roman" w:hAnsi="Times New Roman" w:eastAsia="Times New Roman" w:cs="Times New Roman"/>
                <w:color w:val="000000" w:themeColor="text1"/>
                <w:spacing w:val="0"/>
                <w:sz w:val="21"/>
                <w:szCs w:val="21"/>
                <w14:textFill>
                  <w14:solidFill>
                    <w14:schemeClr w14:val="tx1"/>
                  </w14:solidFill>
                </w14:textFill>
              </w:rPr>
              <w:t>DA00</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731" w:type="pct"/>
            <w:tcBorders>
              <w:tl2br w:val="nil"/>
              <w:tr2bl w:val="nil"/>
            </w:tcBorders>
            <w:shd w:val="clear" w:color="auto" w:fill="auto"/>
            <w:noWrap w:val="0"/>
            <w:vAlign w:val="center"/>
          </w:tcPr>
          <w:p w14:paraId="612BFE2E">
            <w:pPr>
              <w:pStyle w:val="13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磷酸</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、氮氧化物</w:t>
            </w:r>
          </w:p>
        </w:tc>
        <w:tc>
          <w:tcPr>
            <w:tcW w:w="802" w:type="pct"/>
            <w:tcBorders>
              <w:tl2br w:val="nil"/>
              <w:tr2bl w:val="nil"/>
            </w:tcBorders>
            <w:shd w:val="clear" w:color="auto" w:fill="auto"/>
            <w:noWrap w:val="0"/>
            <w:vAlign w:val="center"/>
          </w:tcPr>
          <w:p w14:paraId="3ECC884B">
            <w:pPr>
              <w:pStyle w:val="87"/>
              <w:keepNext w:val="0"/>
              <w:keepLines w:val="0"/>
              <w:pageBreakBefore w:val="0"/>
              <w:numPr>
                <w:ilvl w:val="0"/>
                <w:numId w:val="0"/>
              </w:numPr>
              <w:kinsoku/>
              <w:wordWrap/>
              <w:overflowPunct/>
              <w:topLinePunct w:val="0"/>
              <w:bidi w:val="0"/>
              <w:spacing w:before="0" w:line="240" w:lineRule="auto"/>
              <w:ind w:left="0" w:leftChars="0" w:right="0" w:rightChars="0" w:firstLine="0" w:firstLineChars="0"/>
              <w:jc w:val="both"/>
              <w:textAlignment w:val="auto"/>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碱液喷淋后由15m排气筒排放</w:t>
            </w:r>
          </w:p>
        </w:tc>
        <w:tc>
          <w:tcPr>
            <w:tcW w:w="2169" w:type="pct"/>
            <w:tcBorders>
              <w:tl2br w:val="nil"/>
              <w:tr2bl w:val="nil"/>
            </w:tcBorders>
            <w:shd w:val="clear" w:color="auto" w:fill="auto"/>
            <w:noWrap w:val="0"/>
            <w:vAlign w:val="center"/>
          </w:tcPr>
          <w:p w14:paraId="79A2A444">
            <w:pPr>
              <w:pStyle w:val="87"/>
              <w:keepNext w:val="0"/>
              <w:keepLines w:val="0"/>
              <w:pageBreakBefore w:val="0"/>
              <w:kinsoku/>
              <w:wordWrap/>
              <w:overflowPunct/>
              <w:topLinePunct w:val="0"/>
              <w:bidi w:val="0"/>
              <w:spacing w:before="0"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《大气污染物综合排放标准》（GB16297-1996）表2排放限值</w:t>
            </w:r>
            <w:r>
              <w:rPr>
                <w:rFonts w:hint="eastAsia" w:ascii="Times New Roman" w:hAnsi="Times New Roman" w:eastAsia="宋体" w:cs="Times New Roman"/>
                <w:color w:val="000000" w:themeColor="text1"/>
                <w:lang w:val="en-US" w:eastAsia="zh-CN"/>
                <w14:textFill>
                  <w14:solidFill>
                    <w14:schemeClr w14:val="tx1"/>
                  </w14:solidFill>
                </w14:textFill>
              </w:rPr>
              <w:t>（氮氧化物排放速率从严50%执行，</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0.385kg/h，浓度</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24</w:t>
            </w:r>
            <w:r>
              <w:rPr>
                <w:rFonts w:hint="default" w:ascii="Times New Roman" w:hAnsi="Times New Roman" w:cs="Times New Roman"/>
                <w:color w:val="000000" w:themeColor="text1"/>
                <w:sz w:val="21"/>
                <w:szCs w:val="21"/>
                <w14:textFill>
                  <w14:solidFill>
                    <w14:schemeClr w14:val="tx1"/>
                  </w14:solidFill>
                </w14:textFill>
              </w:rPr>
              <w:t>0mg/m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w:t>
            </w:r>
          </w:p>
        </w:tc>
      </w:tr>
      <w:tr w14:paraId="67E9BE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 w:type="pct"/>
            <w:vMerge w:val="continue"/>
            <w:tcBorders>
              <w:tl2br w:val="nil"/>
              <w:tr2bl w:val="nil"/>
            </w:tcBorders>
            <w:noWrap w:val="0"/>
            <w:vAlign w:val="center"/>
          </w:tcPr>
          <w:p w14:paraId="6C26CF5E">
            <w:pPr>
              <w:pStyle w:val="87"/>
              <w:keepNext w:val="0"/>
              <w:keepLines w:val="0"/>
              <w:pageBreakBefore w:val="0"/>
              <w:kinsoku/>
              <w:wordWrap/>
              <w:overflowPunct/>
              <w:topLinePunct w:val="0"/>
              <w:bidi w:val="0"/>
              <w:spacing w:line="240" w:lineRule="auto"/>
              <w:ind w:left="0" w:righ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p>
        </w:tc>
        <w:tc>
          <w:tcPr>
            <w:tcW w:w="956" w:type="pct"/>
            <w:tcBorders>
              <w:tl2br w:val="nil"/>
              <w:tr2bl w:val="nil"/>
            </w:tcBorders>
            <w:noWrap w:val="0"/>
            <w:vAlign w:val="center"/>
          </w:tcPr>
          <w:p w14:paraId="644E4AD3">
            <w:pPr>
              <w:pStyle w:val="13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2#厂房</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电泳废气</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eastAsia" w:ascii="Times New Roman" w:hAnsi="Times New Roman" w:cs="Times New Roman"/>
                <w:color w:val="000000" w:themeColor="text1"/>
                <w:kern w:val="18"/>
                <w:sz w:val="21"/>
                <w:szCs w:val="21"/>
                <w:lang w:val="en-US" w:eastAsia="zh-CN"/>
                <w14:textFill>
                  <w14:solidFill>
                    <w14:schemeClr w14:val="tx1"/>
                  </w14:solidFill>
                </w14:textFill>
              </w:rPr>
              <w:t>电泳烘干固化、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钝化水洗烘干、</w:t>
            </w:r>
            <w:r>
              <w:rPr>
                <w:rFonts w:hint="eastAsia" w:ascii="Times New Roman" w:hAnsi="Times New Roman" w:cs="Times New Roman"/>
                <w:color w:val="000000" w:themeColor="text1"/>
                <w:kern w:val="18"/>
                <w:sz w:val="21"/>
                <w:szCs w:val="21"/>
                <w:lang w:val="en-US" w:eastAsia="zh-CN"/>
                <w14:textFill>
                  <w14:solidFill>
                    <w14:schemeClr w14:val="tx1"/>
                  </w14:solidFill>
                </w14:textFill>
              </w:rPr>
              <w:t>喷粉烘干固化、</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丝印烘干废气</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排放口（</w:t>
            </w:r>
            <w:r>
              <w:rPr>
                <w:rFonts w:hint="default" w:ascii="Times New Roman" w:hAnsi="Times New Roman" w:eastAsia="Times New Roman" w:cs="Times New Roman"/>
                <w:color w:val="000000" w:themeColor="text1"/>
                <w:spacing w:val="0"/>
                <w:sz w:val="21"/>
                <w:szCs w:val="21"/>
                <w14:textFill>
                  <w14:solidFill>
                    <w14:schemeClr w14:val="tx1"/>
                  </w14:solidFill>
                </w14:textFill>
              </w:rPr>
              <w:t>DA00</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731" w:type="pct"/>
            <w:tcBorders>
              <w:tl2br w:val="nil"/>
              <w:tr2bl w:val="nil"/>
            </w:tcBorders>
            <w:noWrap w:val="0"/>
            <w:vAlign w:val="center"/>
          </w:tcPr>
          <w:p w14:paraId="2E9B6000">
            <w:pPr>
              <w:pStyle w:val="13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非甲烷总烃、</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甲苯、</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SO</w:t>
            </w:r>
            <w:r>
              <w:rPr>
                <w:rFonts w:hint="default" w:ascii="Times New Roman" w:hAnsi="Times New Roman"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、NO</w:t>
            </w:r>
            <w:r>
              <w:rPr>
                <w:rFonts w:hint="default" w:ascii="Times New Roman" w:hAnsi="Times New Roman" w:cs="Times New Roman"/>
                <w:color w:val="000000" w:themeColor="text1"/>
                <w:spacing w:val="0"/>
                <w:sz w:val="21"/>
                <w:szCs w:val="21"/>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0"/>
                <w:sz w:val="21"/>
                <w:szCs w:val="21"/>
                <w14:textFill>
                  <w14:solidFill>
                    <w14:schemeClr w14:val="tx1"/>
                  </w14:solidFill>
                </w14:textFill>
              </w:rPr>
              <w:t>林格曼黑度</w:t>
            </w:r>
          </w:p>
        </w:tc>
        <w:tc>
          <w:tcPr>
            <w:tcW w:w="802" w:type="pct"/>
            <w:tcBorders>
              <w:tl2br w:val="nil"/>
              <w:tr2bl w:val="nil"/>
            </w:tcBorders>
            <w:noWrap w:val="0"/>
            <w:vAlign w:val="center"/>
          </w:tcPr>
          <w:p w14:paraId="54CC0605">
            <w:pPr>
              <w:pStyle w:val="87"/>
              <w:keepNext w:val="0"/>
              <w:keepLines w:val="0"/>
              <w:pageBreakBefore w:val="0"/>
              <w:numPr>
                <w:ilvl w:val="0"/>
                <w:numId w:val="0"/>
              </w:numPr>
              <w:kinsoku/>
              <w:wordWrap/>
              <w:overflowPunct/>
              <w:topLinePunct w:val="0"/>
              <w:bidi w:val="0"/>
              <w:spacing w:before="0" w:line="240" w:lineRule="auto"/>
              <w:ind w:left="0" w:right="0" w:firstLine="0" w:firstLineChars="0"/>
              <w:jc w:val="both"/>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固化炉加热装置配套</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低氮燃烧器</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，废气经</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水</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喷淋+</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干式过滤</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+活性炭吸附处理后由15m排气筒排放</w:t>
            </w:r>
          </w:p>
        </w:tc>
        <w:tc>
          <w:tcPr>
            <w:tcW w:w="2169" w:type="pct"/>
            <w:vMerge w:val="restart"/>
            <w:tcBorders>
              <w:tl2br w:val="nil"/>
              <w:tr2bl w:val="nil"/>
            </w:tcBorders>
            <w:noWrap w:val="0"/>
            <w:vAlign w:val="center"/>
          </w:tcPr>
          <w:p w14:paraId="0B139798">
            <w:pPr>
              <w:pStyle w:val="87"/>
              <w:keepNext w:val="0"/>
              <w:keepLines w:val="0"/>
              <w:pageBreakBefore w:val="0"/>
              <w:kinsoku/>
              <w:wordWrap/>
              <w:overflowPunct/>
              <w:topLinePunct w:val="0"/>
              <w:bidi w:val="0"/>
              <w:spacing w:before="0" w:line="240" w:lineRule="auto"/>
              <w:ind w:left="0" w:right="0" w:firstLine="0" w:firstLineChars="0"/>
              <w:jc w:val="both"/>
              <w:textAlignment w:val="auto"/>
              <w:rPr>
                <w:rFonts w:hint="default" w:ascii="Times New Roman" w:hAnsi="Times New Roman" w:cs="Times New Roman"/>
                <w:color w:val="000000" w:themeColor="text1"/>
                <w:spacing w:val="0"/>
                <w:sz w:val="21"/>
                <w:szCs w:val="21"/>
                <w:lang w:eastAsia="zh-CN"/>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《工业涂装工序挥发性有机物排放标准》(DB35/1783—2018)表1中涉涂装工序的其它行业排气筒挥发性有机物排放限值</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非甲烷总烃</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最高浓度限值≤60mg/m</w:t>
            </w:r>
            <w:r>
              <w:rPr>
                <w:rFonts w:hint="default" w:ascii="Times New Roman" w:hAnsi="Times New Roman" w:cs="Times New Roman"/>
                <w:color w:val="000000" w:themeColor="text1"/>
                <w:spacing w:val="0"/>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，最高允许排放速率≤2.5kg/h</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，甲苯</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最高浓度限值≤</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5</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mg/m</w:t>
            </w:r>
            <w:r>
              <w:rPr>
                <w:rFonts w:hint="default" w:ascii="Times New Roman" w:hAnsi="Times New Roman" w:cs="Times New Roman"/>
                <w:color w:val="000000" w:themeColor="text1"/>
                <w:spacing w:val="0"/>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，最高允许排放速率≤</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0.6</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kg/h</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0"/>
                <w:sz w:val="21"/>
                <w:szCs w:val="21"/>
                <w:lang w:eastAsia="zh-CN"/>
                <w14:textFill>
                  <w14:solidFill>
                    <w14:schemeClr w14:val="tx1"/>
                  </w14:solidFill>
                </w14:textFill>
              </w:rPr>
              <w:t>）；</w:t>
            </w:r>
          </w:p>
          <w:p w14:paraId="344B6D01">
            <w:pPr>
              <w:pStyle w:val="87"/>
              <w:keepNext w:val="0"/>
              <w:keepLines w:val="0"/>
              <w:pageBreakBefore w:val="0"/>
              <w:kinsoku/>
              <w:wordWrap/>
              <w:overflowPunct/>
              <w:topLinePunct w:val="0"/>
              <w:bidi w:val="0"/>
              <w:spacing w:before="0" w:line="240" w:lineRule="auto"/>
              <w:ind w:left="0" w:right="0" w:firstLine="0" w:firstLineChars="0"/>
              <w:jc w:val="both"/>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颗粒物、二氧化硫、氮氧化物</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排放</w:t>
            </w:r>
            <w:r>
              <w:rPr>
                <w:rFonts w:hint="default" w:ascii="Times New Roman" w:hAnsi="Times New Roman" w:cs="Times New Roman"/>
                <w:color w:val="000000" w:themeColor="text1"/>
                <w:sz w:val="21"/>
                <w:szCs w:val="21"/>
                <w:lang w:val="en-US" w:eastAsia="zh-CN"/>
                <w14:textFill>
                  <w14:solidFill>
                    <w14:schemeClr w14:val="tx1"/>
                  </w14:solidFill>
                </w14:textFill>
              </w:rPr>
              <w:t>参照执行《福建省工业炉窑大气污染综合治理方案》（闽环保大气〔2019〕10号）中要求（颗粒物</w:t>
            </w:r>
            <w:r>
              <w:rPr>
                <w:rFonts w:hint="default" w:ascii="Times New Roman" w:hAnsi="Times New Roman" w:cs="Times New Roman"/>
                <w:color w:val="000000" w:themeColor="text1"/>
                <w:sz w:val="21"/>
                <w:szCs w:val="21"/>
                <w14:textFill>
                  <w14:solidFill>
                    <w14:schemeClr w14:val="tx1"/>
                  </w14:solidFill>
                </w14:textFill>
              </w:rPr>
              <w:t>排放浓度</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0mg/m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排放浓度</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14:textFill>
                  <w14:solidFill>
                    <w14:schemeClr w14:val="tx1"/>
                  </w14:solidFill>
                </w14:textFill>
              </w:rPr>
              <w:t>0mg/m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，NOx排放浓度</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30</w:t>
            </w:r>
            <w:r>
              <w:rPr>
                <w:rFonts w:hint="default" w:ascii="Times New Roman" w:hAnsi="Times New Roman" w:cs="Times New Roman"/>
                <w:color w:val="000000" w:themeColor="text1"/>
                <w:sz w:val="21"/>
                <w:szCs w:val="21"/>
                <w14:textFill>
                  <w14:solidFill>
                    <w14:schemeClr w14:val="tx1"/>
                  </w14:solidFill>
                </w14:textFill>
              </w:rPr>
              <w:t>0mg/m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烟气黑度</w:t>
            </w:r>
            <w:r>
              <w:rPr>
                <w:rFonts w:hint="default" w:ascii="Times New Roman" w:hAnsi="Times New Roman" w:cs="Times New Roman"/>
                <w:color w:val="000000" w:themeColor="text1"/>
                <w:sz w:val="21"/>
                <w:szCs w:val="21"/>
                <w14:textFill>
                  <w14:solidFill>
                    <w14:schemeClr w14:val="tx1"/>
                  </w14:solidFill>
                </w14:textFill>
              </w:rPr>
              <w:t>排放执行《工业炉窑大气污染物排放标准》（GB9078-1996）</w:t>
            </w:r>
            <w:r>
              <w:rPr>
                <w:rFonts w:hint="default" w:ascii="Times New Roman" w:hAnsi="Times New Roman" w:cs="Times New Roman"/>
                <w:color w:val="000000" w:themeColor="text1"/>
                <w:sz w:val="21"/>
                <w:szCs w:val="21"/>
                <w:lang w:val="en-US" w:eastAsia="zh-CN"/>
                <w14:textFill>
                  <w14:solidFill>
                    <w14:schemeClr w14:val="tx1"/>
                  </w14:solidFill>
                </w14:textFill>
              </w:rPr>
              <w:t>中标准</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林格曼黑度</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≤1级</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p>
        </w:tc>
      </w:tr>
      <w:tr w14:paraId="22D38A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 w:type="pct"/>
            <w:vMerge w:val="continue"/>
            <w:tcBorders>
              <w:tl2br w:val="nil"/>
              <w:tr2bl w:val="nil"/>
            </w:tcBorders>
            <w:noWrap w:val="0"/>
            <w:vAlign w:val="center"/>
          </w:tcPr>
          <w:p w14:paraId="749C0710">
            <w:pPr>
              <w:pStyle w:val="87"/>
              <w:keepNext w:val="0"/>
              <w:keepLines w:val="0"/>
              <w:pageBreakBefore w:val="0"/>
              <w:kinsoku/>
              <w:wordWrap/>
              <w:overflowPunct/>
              <w:topLinePunct w:val="0"/>
              <w:bidi w:val="0"/>
              <w:spacing w:line="240" w:lineRule="auto"/>
              <w:ind w:left="0" w:righ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p>
        </w:tc>
        <w:tc>
          <w:tcPr>
            <w:tcW w:w="956" w:type="pct"/>
            <w:tcBorders>
              <w:tl2br w:val="nil"/>
              <w:tr2bl w:val="nil"/>
            </w:tcBorders>
            <w:noWrap w:val="0"/>
            <w:vAlign w:val="center"/>
          </w:tcPr>
          <w:p w14:paraId="09CDCC44">
            <w:pPr>
              <w:pStyle w:val="13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w:t>
            </w:r>
            <w:r>
              <w:rPr>
                <w:rFonts w:hint="eastAsia" w:ascii="Times New Roman" w:hAnsi="Times New Roman" w:cs="Times New Roman"/>
                <w:color w:val="000000" w:themeColor="text1"/>
                <w:spacing w:val="0"/>
                <w:kern w:val="0"/>
                <w:sz w:val="21"/>
                <w:szCs w:val="21"/>
                <w:lang w:val="en-US" w:eastAsia="zh-CN" w:bidi="ar"/>
                <w14:textFill>
                  <w14:solidFill>
                    <w14:schemeClr w14:val="tx1"/>
                  </w14:solidFill>
                </w14:textFill>
              </w:rPr>
              <w:t>厂房</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喷胶废气、</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喷胶</w:t>
            </w:r>
            <w:r>
              <w:rPr>
                <w:rFonts w:hint="eastAsia" w:ascii="Times New Roman" w:hAnsi="Times New Roman" w:cs="Times New Roman"/>
                <w:color w:val="000000" w:themeColor="text1"/>
                <w:spacing w:val="0"/>
                <w:kern w:val="0"/>
                <w:sz w:val="21"/>
                <w:szCs w:val="21"/>
                <w:lang w:val="en-US" w:eastAsia="zh-CN" w:bidi="ar"/>
                <w14:textFill>
                  <w14:solidFill>
                    <w14:schemeClr w14:val="tx1"/>
                  </w14:solidFill>
                </w14:textFill>
              </w:rPr>
              <w:t>烘干固化</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废气排放口（</w:t>
            </w:r>
            <w:r>
              <w:rPr>
                <w:rFonts w:hint="default" w:ascii="Times New Roman" w:hAnsi="Times New Roman" w:eastAsia="Times New Roman" w:cs="Times New Roman"/>
                <w:color w:val="000000" w:themeColor="text1"/>
                <w:spacing w:val="0"/>
                <w:sz w:val="21"/>
                <w:szCs w:val="21"/>
                <w14:textFill>
                  <w14:solidFill>
                    <w14:schemeClr w14:val="tx1"/>
                  </w14:solidFill>
                </w14:textFill>
              </w:rPr>
              <w:t>DA00</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731" w:type="pct"/>
            <w:tcBorders>
              <w:tl2br w:val="nil"/>
              <w:tr2bl w:val="nil"/>
            </w:tcBorders>
            <w:noWrap w:val="0"/>
            <w:vAlign w:val="center"/>
          </w:tcPr>
          <w:p w14:paraId="4B0A929C">
            <w:pPr>
              <w:pStyle w:val="13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非甲烷总烃、SO</w:t>
            </w:r>
            <w:r>
              <w:rPr>
                <w:rFonts w:hint="default" w:ascii="Times New Roman" w:hAnsi="Times New Roman"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、NO</w:t>
            </w:r>
            <w:r>
              <w:rPr>
                <w:rFonts w:hint="default" w:ascii="Times New Roman" w:hAnsi="Times New Roman" w:cs="Times New Roman"/>
                <w:color w:val="000000" w:themeColor="text1"/>
                <w:spacing w:val="0"/>
                <w:sz w:val="21"/>
                <w:szCs w:val="21"/>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0"/>
                <w:sz w:val="21"/>
                <w:szCs w:val="21"/>
                <w14:textFill>
                  <w14:solidFill>
                    <w14:schemeClr w14:val="tx1"/>
                  </w14:solidFill>
                </w14:textFill>
              </w:rPr>
              <w:t>林格曼黑度</w:t>
            </w:r>
          </w:p>
        </w:tc>
        <w:tc>
          <w:tcPr>
            <w:tcW w:w="802" w:type="pct"/>
            <w:tcBorders>
              <w:tl2br w:val="nil"/>
              <w:tr2bl w:val="nil"/>
            </w:tcBorders>
            <w:noWrap w:val="0"/>
            <w:vAlign w:val="center"/>
          </w:tcPr>
          <w:p w14:paraId="64890141">
            <w:pPr>
              <w:pStyle w:val="87"/>
              <w:keepNext w:val="0"/>
              <w:keepLines w:val="0"/>
              <w:pageBreakBefore w:val="0"/>
              <w:numPr>
                <w:ilvl w:val="0"/>
                <w:numId w:val="0"/>
              </w:numPr>
              <w:kinsoku/>
              <w:wordWrap/>
              <w:overflowPunct/>
              <w:topLinePunct w:val="0"/>
              <w:bidi w:val="0"/>
              <w:spacing w:before="0" w:line="240" w:lineRule="auto"/>
              <w:ind w:left="0" w:right="0" w:firstLine="0" w:firstLineChars="0"/>
              <w:jc w:val="both"/>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固化炉加热装置配套</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低氮燃烧器，</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废气经</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水</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喷淋+活性炭吸附处理后由15m排气筒排放</w:t>
            </w:r>
          </w:p>
        </w:tc>
        <w:tc>
          <w:tcPr>
            <w:tcW w:w="2169" w:type="pct"/>
            <w:vMerge w:val="continue"/>
            <w:tcBorders>
              <w:tl2br w:val="nil"/>
              <w:tr2bl w:val="nil"/>
            </w:tcBorders>
            <w:noWrap w:val="0"/>
            <w:vAlign w:val="center"/>
          </w:tcPr>
          <w:p w14:paraId="5389F2A6">
            <w:pPr>
              <w:pStyle w:val="87"/>
              <w:keepNext w:val="0"/>
              <w:keepLines w:val="0"/>
              <w:pageBreakBefore w:val="0"/>
              <w:kinsoku/>
              <w:wordWrap/>
              <w:overflowPunct/>
              <w:topLinePunct w:val="0"/>
              <w:bidi w:val="0"/>
              <w:spacing w:before="0" w:line="240" w:lineRule="auto"/>
              <w:ind w:left="0" w:right="0" w:firstLine="0" w:firstLineChars="0"/>
              <w:jc w:val="both"/>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p>
        </w:tc>
      </w:tr>
      <w:tr w14:paraId="3AA3CC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 w:type="pct"/>
            <w:vMerge w:val="continue"/>
            <w:tcBorders>
              <w:tl2br w:val="nil"/>
              <w:tr2bl w:val="nil"/>
            </w:tcBorders>
            <w:noWrap w:val="0"/>
            <w:vAlign w:val="center"/>
          </w:tcPr>
          <w:p w14:paraId="2CB2589F">
            <w:pPr>
              <w:pStyle w:val="87"/>
              <w:keepNext w:val="0"/>
              <w:keepLines w:val="0"/>
              <w:pageBreakBefore w:val="0"/>
              <w:kinsoku/>
              <w:wordWrap/>
              <w:overflowPunct/>
              <w:topLinePunct w:val="0"/>
              <w:bidi w:val="0"/>
              <w:spacing w:line="240" w:lineRule="auto"/>
              <w:ind w:left="0" w:righ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p>
        </w:tc>
        <w:tc>
          <w:tcPr>
            <w:tcW w:w="956" w:type="pct"/>
            <w:tcBorders>
              <w:tl2br w:val="nil"/>
              <w:tr2bl w:val="nil"/>
            </w:tcBorders>
            <w:shd w:val="clear" w:color="auto" w:fill="auto"/>
            <w:noWrap w:val="0"/>
            <w:vAlign w:val="center"/>
          </w:tcPr>
          <w:p w14:paraId="4C5CF3C6">
            <w:pPr>
              <w:pStyle w:val="13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2#厂房热水锅炉</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排放口（</w:t>
            </w:r>
            <w:r>
              <w:rPr>
                <w:rFonts w:hint="default" w:ascii="Times New Roman" w:hAnsi="Times New Roman" w:eastAsia="Times New Roman" w:cs="Times New Roman"/>
                <w:color w:val="000000" w:themeColor="text1"/>
                <w:spacing w:val="0"/>
                <w:sz w:val="21"/>
                <w:szCs w:val="21"/>
                <w14:textFill>
                  <w14:solidFill>
                    <w14:schemeClr w14:val="tx1"/>
                  </w14:solidFill>
                </w14:textFill>
              </w:rPr>
              <w:t>DA00</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731" w:type="pct"/>
            <w:tcBorders>
              <w:tl2br w:val="nil"/>
              <w:tr2bl w:val="nil"/>
            </w:tcBorders>
            <w:shd w:val="clear" w:color="auto" w:fill="auto"/>
            <w:noWrap w:val="0"/>
            <w:vAlign w:val="center"/>
          </w:tcPr>
          <w:p w14:paraId="3554AF2B">
            <w:pPr>
              <w:pStyle w:val="13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SO</w:t>
            </w:r>
            <w:r>
              <w:rPr>
                <w:rFonts w:hint="default" w:ascii="Times New Roman" w:hAnsi="Times New Roman"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、NO</w:t>
            </w:r>
            <w:r>
              <w:rPr>
                <w:rFonts w:hint="default" w:ascii="Times New Roman" w:hAnsi="Times New Roman" w:cs="Times New Roman"/>
                <w:color w:val="000000" w:themeColor="text1"/>
                <w:spacing w:val="0"/>
                <w:sz w:val="21"/>
                <w:szCs w:val="21"/>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0"/>
                <w:sz w:val="21"/>
                <w:szCs w:val="21"/>
                <w14:textFill>
                  <w14:solidFill>
                    <w14:schemeClr w14:val="tx1"/>
                  </w14:solidFill>
                </w14:textFill>
              </w:rPr>
              <w:t>林格曼黑度</w:t>
            </w:r>
          </w:p>
        </w:tc>
        <w:tc>
          <w:tcPr>
            <w:tcW w:w="802" w:type="pct"/>
            <w:tcBorders>
              <w:tl2br w:val="nil"/>
              <w:tr2bl w:val="nil"/>
            </w:tcBorders>
            <w:shd w:val="clear" w:color="auto" w:fill="auto"/>
            <w:noWrap w:val="0"/>
            <w:vAlign w:val="center"/>
          </w:tcPr>
          <w:p w14:paraId="1E6C279D">
            <w:pPr>
              <w:pStyle w:val="87"/>
              <w:keepNext w:val="0"/>
              <w:keepLines w:val="0"/>
              <w:pageBreakBefore w:val="0"/>
              <w:numPr>
                <w:ilvl w:val="0"/>
                <w:numId w:val="0"/>
              </w:numPr>
              <w:kinsoku/>
              <w:wordWrap/>
              <w:overflowPunct/>
              <w:topLinePunct w:val="0"/>
              <w:bidi w:val="0"/>
              <w:spacing w:before="0" w:line="240" w:lineRule="auto"/>
              <w:ind w:left="0" w:leftChars="0" w:right="0" w:rightChars="0" w:firstLine="0" w:firstLineChars="0"/>
              <w:jc w:val="both"/>
              <w:textAlignment w:val="auto"/>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15m排气筒排放</w:t>
            </w:r>
          </w:p>
        </w:tc>
        <w:tc>
          <w:tcPr>
            <w:tcW w:w="2169" w:type="pct"/>
            <w:tcBorders>
              <w:tl2br w:val="nil"/>
              <w:tr2bl w:val="nil"/>
            </w:tcBorders>
            <w:shd w:val="clear" w:color="auto" w:fill="auto"/>
            <w:noWrap w:val="0"/>
            <w:vAlign w:val="center"/>
          </w:tcPr>
          <w:p w14:paraId="436F19A0">
            <w:pPr>
              <w:pStyle w:val="87"/>
              <w:keepNext w:val="0"/>
              <w:keepLines w:val="0"/>
              <w:pageBreakBefore w:val="0"/>
              <w:kinsoku/>
              <w:wordWrap/>
              <w:overflowPunct/>
              <w:topLinePunct w:val="0"/>
              <w:bidi w:val="0"/>
              <w:spacing w:before="0"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bidi="he-IL"/>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执行《锅炉大气污染物排放标准》（GB13271-2014）表3的“燃气锅炉”特别排放限值要求</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(即</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颗粒物</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mg/m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SO</w:t>
            </w:r>
            <w:r>
              <w:rPr>
                <w:rFonts w:hint="eastAsia" w:ascii="Times New Roman" w:hAnsi="Times New Roman" w:eastAsia="宋体" w:cs="Times New Roman"/>
                <w:color w:val="000000" w:themeColor="text1"/>
                <w:kern w:val="0"/>
                <w:sz w:val="21"/>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50</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mg/m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、NOx</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150</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mg/m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、烟气黑度</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1级</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r>
      <w:tr w14:paraId="6827F6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 w:type="pct"/>
            <w:vMerge w:val="continue"/>
            <w:tcBorders>
              <w:tl2br w:val="nil"/>
              <w:tr2bl w:val="nil"/>
            </w:tcBorders>
            <w:noWrap w:val="0"/>
            <w:vAlign w:val="center"/>
          </w:tcPr>
          <w:p w14:paraId="2954BFC6">
            <w:pPr>
              <w:pStyle w:val="87"/>
              <w:keepNext w:val="0"/>
              <w:keepLines w:val="0"/>
              <w:pageBreakBefore w:val="0"/>
              <w:kinsoku/>
              <w:wordWrap/>
              <w:overflowPunct/>
              <w:topLinePunct w:val="0"/>
              <w:bidi w:val="0"/>
              <w:spacing w:line="240" w:lineRule="auto"/>
              <w:ind w:left="0" w:righ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p>
        </w:tc>
        <w:tc>
          <w:tcPr>
            <w:tcW w:w="956" w:type="pct"/>
            <w:tcBorders>
              <w:tl2br w:val="nil"/>
              <w:tr2bl w:val="nil"/>
            </w:tcBorders>
            <w:noWrap w:val="0"/>
            <w:vAlign w:val="center"/>
          </w:tcPr>
          <w:p w14:paraId="0D458F77">
            <w:pPr>
              <w:pStyle w:val="13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2#厂房喷粉粉尘（DA007</w:t>
            </w:r>
            <w:r>
              <w:rPr>
                <w:rFonts w:hint="eastAsia" w:ascii="Times New Roman" w:hAnsi="Times New Roman" w:cs="Times New Roman"/>
                <w:color w:val="000000" w:themeColor="text1"/>
                <w:spacing w:val="0"/>
                <w:kern w:val="0"/>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DA008）</w:t>
            </w:r>
          </w:p>
        </w:tc>
        <w:tc>
          <w:tcPr>
            <w:tcW w:w="731" w:type="pct"/>
            <w:tcBorders>
              <w:tl2br w:val="nil"/>
              <w:tr2bl w:val="nil"/>
            </w:tcBorders>
            <w:noWrap w:val="0"/>
            <w:vAlign w:val="center"/>
          </w:tcPr>
          <w:p w14:paraId="5DE90EA4">
            <w:pPr>
              <w:pStyle w:val="13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颗粒物</w:t>
            </w:r>
          </w:p>
        </w:tc>
        <w:tc>
          <w:tcPr>
            <w:tcW w:w="802" w:type="pct"/>
            <w:tcBorders>
              <w:tl2br w:val="nil"/>
              <w:tr2bl w:val="nil"/>
            </w:tcBorders>
            <w:noWrap w:val="0"/>
            <w:vAlign w:val="center"/>
          </w:tcPr>
          <w:p w14:paraId="2540F210">
            <w:pPr>
              <w:pStyle w:val="87"/>
              <w:keepNext w:val="0"/>
              <w:keepLines w:val="0"/>
              <w:pageBreakBefore w:val="0"/>
              <w:numPr>
                <w:ilvl w:val="0"/>
                <w:numId w:val="0"/>
              </w:numPr>
              <w:kinsoku/>
              <w:wordWrap/>
              <w:overflowPunct/>
              <w:topLinePunct w:val="0"/>
              <w:bidi w:val="0"/>
              <w:spacing w:before="0" w:line="240" w:lineRule="auto"/>
              <w:ind w:left="0" w:right="0" w:firstLine="0" w:firstLineChars="0"/>
              <w:jc w:val="both"/>
              <w:textAlignment w:val="auto"/>
              <w:rPr>
                <w:rFonts w:hint="default" w:ascii="Times New Roman" w:hAnsi="Times New Roman"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脉冲除尘器（4套）+</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15m排气筒排放</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（2根）</w:t>
            </w:r>
          </w:p>
        </w:tc>
        <w:tc>
          <w:tcPr>
            <w:tcW w:w="2169" w:type="pct"/>
            <w:tcBorders>
              <w:tl2br w:val="nil"/>
              <w:tr2bl w:val="nil"/>
            </w:tcBorders>
            <w:noWrap w:val="0"/>
            <w:vAlign w:val="center"/>
          </w:tcPr>
          <w:p w14:paraId="5D50C8A0">
            <w:pPr>
              <w:pStyle w:val="87"/>
              <w:keepNext w:val="0"/>
              <w:keepLines w:val="0"/>
              <w:pageBreakBefore w:val="0"/>
              <w:kinsoku/>
              <w:wordWrap/>
              <w:overflowPunct/>
              <w:topLinePunct w:val="0"/>
              <w:bidi w:val="0"/>
              <w:spacing w:before="0" w:line="240" w:lineRule="auto"/>
              <w:ind w:left="0" w:right="0" w:firstLine="0" w:firstLineChars="0"/>
              <w:jc w:val="both"/>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《大气污染物综合排放标准》（GB16297-1996）表2排放限值</w:t>
            </w:r>
            <w:r>
              <w:rPr>
                <w:rFonts w:hint="eastAsia" w:ascii="Times New Roman" w:hAnsi="Times New Roman" w:eastAsia="宋体" w:cs="Times New Roman"/>
                <w:color w:val="000000" w:themeColor="text1"/>
                <w:lang w:val="en-US" w:eastAsia="zh-CN"/>
                <w14:textFill>
                  <w14:solidFill>
                    <w14:schemeClr w14:val="tx1"/>
                  </w14:solidFill>
                </w14:textFill>
              </w:rPr>
              <w:t>（颗粒物排放速率从严50%执行，</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1.75kg/h，浓度</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12</w:t>
            </w:r>
            <w:r>
              <w:rPr>
                <w:rFonts w:hint="default" w:ascii="Times New Roman" w:hAnsi="Times New Roman" w:cs="Times New Roman"/>
                <w:color w:val="000000" w:themeColor="text1"/>
                <w:sz w:val="21"/>
                <w:szCs w:val="21"/>
                <w14:textFill>
                  <w14:solidFill>
                    <w14:schemeClr w14:val="tx1"/>
                  </w14:solidFill>
                </w14:textFill>
              </w:rPr>
              <w:t>0mg/m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w:t>
            </w:r>
          </w:p>
        </w:tc>
      </w:tr>
      <w:tr w14:paraId="179F04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 w:type="pct"/>
            <w:vMerge w:val="continue"/>
            <w:tcBorders>
              <w:tl2br w:val="nil"/>
              <w:tr2bl w:val="nil"/>
            </w:tcBorders>
            <w:noWrap w:val="0"/>
            <w:vAlign w:val="center"/>
          </w:tcPr>
          <w:p w14:paraId="6A0D16EC">
            <w:pPr>
              <w:pStyle w:val="87"/>
              <w:keepNext w:val="0"/>
              <w:keepLines w:val="0"/>
              <w:pageBreakBefore w:val="0"/>
              <w:kinsoku/>
              <w:wordWrap/>
              <w:overflowPunct/>
              <w:topLinePunct w:val="0"/>
              <w:bidi w:val="0"/>
              <w:spacing w:line="240" w:lineRule="auto"/>
              <w:ind w:left="0" w:righ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p>
        </w:tc>
        <w:tc>
          <w:tcPr>
            <w:tcW w:w="956" w:type="pct"/>
            <w:tcBorders>
              <w:tl2br w:val="nil"/>
              <w:tr2bl w:val="nil"/>
            </w:tcBorders>
            <w:shd w:val="clear" w:color="auto" w:fill="auto"/>
            <w:noWrap w:val="0"/>
            <w:vAlign w:val="center"/>
          </w:tcPr>
          <w:p w14:paraId="0440C123">
            <w:pPr>
              <w:pStyle w:val="13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3#厂房喷胶</w:t>
            </w:r>
            <w:r>
              <w:rPr>
                <w:rFonts w:hint="eastAsia" w:ascii="Times New Roman" w:hAnsi="Times New Roman" w:cs="Times New Roman"/>
                <w:color w:val="000000" w:themeColor="text1"/>
                <w:spacing w:val="0"/>
                <w:kern w:val="0"/>
                <w:sz w:val="21"/>
                <w:szCs w:val="21"/>
                <w:lang w:val="en-US" w:eastAsia="zh-CN" w:bidi="ar"/>
                <w14:textFill>
                  <w14:solidFill>
                    <w14:schemeClr w14:val="tx1"/>
                  </w14:solidFill>
                </w14:textFill>
              </w:rPr>
              <w:t>/喷漆</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废气及烘干固化废气</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排放口（</w:t>
            </w:r>
            <w:r>
              <w:rPr>
                <w:rFonts w:hint="default" w:ascii="Times New Roman" w:hAnsi="Times New Roman" w:eastAsia="Times New Roman" w:cs="Times New Roman"/>
                <w:color w:val="000000" w:themeColor="text1"/>
                <w:spacing w:val="0"/>
                <w:sz w:val="21"/>
                <w:szCs w:val="21"/>
                <w14:textFill>
                  <w14:solidFill>
                    <w14:schemeClr w14:val="tx1"/>
                  </w14:solidFill>
                </w14:textFill>
              </w:rPr>
              <w:t>DA00</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731" w:type="pct"/>
            <w:tcBorders>
              <w:tl2br w:val="nil"/>
              <w:tr2bl w:val="nil"/>
            </w:tcBorders>
            <w:shd w:val="clear" w:color="auto" w:fill="auto"/>
            <w:noWrap w:val="0"/>
            <w:vAlign w:val="center"/>
          </w:tcPr>
          <w:p w14:paraId="26465A2C">
            <w:pPr>
              <w:pStyle w:val="13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非甲烷总烃、</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二甲苯、乙酸丁酯、</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SO</w:t>
            </w:r>
            <w:r>
              <w:rPr>
                <w:rFonts w:hint="default" w:ascii="Times New Roman" w:hAnsi="Times New Roman" w:cs="Times New Roman"/>
                <w:color w:val="000000" w:themeColor="text1"/>
                <w:spacing w:val="0"/>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、NO</w:t>
            </w:r>
            <w:r>
              <w:rPr>
                <w:rFonts w:hint="default" w:ascii="Times New Roman" w:hAnsi="Times New Roman" w:cs="Times New Roman"/>
                <w:color w:val="000000" w:themeColor="text1"/>
                <w:spacing w:val="0"/>
                <w:sz w:val="21"/>
                <w:szCs w:val="21"/>
                <w:vertAlign w:val="subscript"/>
                <w:lang w:val="en-US" w:eastAsia="zh-CN"/>
                <w14:textFill>
                  <w14:solidFill>
                    <w14:schemeClr w14:val="tx1"/>
                  </w14:solidFill>
                </w14:textFill>
              </w:rPr>
              <w:t>X</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0"/>
                <w:sz w:val="21"/>
                <w:szCs w:val="21"/>
                <w14:textFill>
                  <w14:solidFill>
                    <w14:schemeClr w14:val="tx1"/>
                  </w14:solidFill>
                </w14:textFill>
              </w:rPr>
              <w:t>林格曼黑度</w:t>
            </w:r>
          </w:p>
        </w:tc>
        <w:tc>
          <w:tcPr>
            <w:tcW w:w="802" w:type="pct"/>
            <w:tcBorders>
              <w:tl2br w:val="nil"/>
              <w:tr2bl w:val="nil"/>
            </w:tcBorders>
            <w:shd w:val="clear" w:color="auto" w:fill="auto"/>
            <w:noWrap w:val="0"/>
            <w:vAlign w:val="center"/>
          </w:tcPr>
          <w:p w14:paraId="6617E96E">
            <w:pPr>
              <w:pStyle w:val="87"/>
              <w:keepNext w:val="0"/>
              <w:keepLines w:val="0"/>
              <w:pageBreakBefore w:val="0"/>
              <w:numPr>
                <w:ilvl w:val="0"/>
                <w:numId w:val="0"/>
              </w:numPr>
              <w:kinsoku/>
              <w:wordWrap/>
              <w:overflowPunct/>
              <w:topLinePunct w:val="0"/>
              <w:bidi w:val="0"/>
              <w:spacing w:before="0" w:line="240" w:lineRule="auto"/>
              <w:ind w:left="0" w:leftChars="0" w:right="0" w:rightChars="0" w:firstLine="0" w:firstLineChars="0"/>
              <w:jc w:val="both"/>
              <w:textAlignment w:val="auto"/>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固化炉加热装置配套</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低氮燃烧器，</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废气经</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水</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喷淋+</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干式过滤+</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活性炭吸附处理后由</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22</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m排气筒排放</w:t>
            </w:r>
          </w:p>
        </w:tc>
        <w:tc>
          <w:tcPr>
            <w:tcW w:w="2169" w:type="pct"/>
            <w:tcBorders>
              <w:tl2br w:val="nil"/>
              <w:tr2bl w:val="nil"/>
            </w:tcBorders>
            <w:shd w:val="clear" w:color="auto" w:fill="auto"/>
            <w:noWrap w:val="0"/>
            <w:vAlign w:val="center"/>
          </w:tcPr>
          <w:p w14:paraId="7900BB50">
            <w:pPr>
              <w:pStyle w:val="87"/>
              <w:keepNext w:val="0"/>
              <w:keepLines w:val="0"/>
              <w:pageBreakBefore w:val="0"/>
              <w:kinsoku/>
              <w:wordWrap/>
              <w:overflowPunct/>
              <w:topLinePunct w:val="0"/>
              <w:bidi w:val="0"/>
              <w:spacing w:before="0" w:line="240" w:lineRule="auto"/>
              <w:ind w:left="0" w:right="0" w:firstLine="0" w:firstLineChars="0"/>
              <w:jc w:val="left"/>
              <w:textAlignment w:val="auto"/>
              <w:rPr>
                <w:rFonts w:hint="default" w:ascii="Times New Roman" w:hAnsi="Times New Roman" w:cs="Times New Roman"/>
                <w:color w:val="000000" w:themeColor="text1"/>
                <w:spacing w:val="0"/>
                <w:sz w:val="21"/>
                <w:szCs w:val="21"/>
                <w:lang w:eastAsia="zh-CN"/>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《工业涂装工序挥发性有机物排放标准》(DB35/1783—2018)表1中涉涂装工序的其它行业排气筒挥发性有机物排放限值</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非甲烷总烃</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最高浓度限值≤60mg/m</w:t>
            </w:r>
            <w:r>
              <w:rPr>
                <w:rFonts w:hint="default" w:ascii="Times New Roman" w:hAnsi="Times New Roman" w:cs="Times New Roman"/>
                <w:color w:val="000000" w:themeColor="text1"/>
                <w:spacing w:val="0"/>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，最高允许排放速率≤</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7.18</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kg/h</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；二甲苯</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最高浓度限值≤</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15</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mg/m</w:t>
            </w:r>
            <w:r>
              <w:rPr>
                <w:rFonts w:hint="default" w:ascii="Times New Roman" w:hAnsi="Times New Roman" w:cs="Times New Roman"/>
                <w:color w:val="000000" w:themeColor="text1"/>
                <w:spacing w:val="0"/>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，最高允许排放速率≤</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1.6</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kg/h</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；乙酸丁酯</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最高浓度限值≤</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5</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0mg/m</w:t>
            </w:r>
            <w:r>
              <w:rPr>
                <w:rFonts w:hint="default" w:ascii="Times New Roman" w:hAnsi="Times New Roman" w:cs="Times New Roman"/>
                <w:color w:val="000000" w:themeColor="text1"/>
                <w:spacing w:val="0"/>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，最高允许排放速率≤</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1.2</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kg/h</w:t>
            </w:r>
            <w:r>
              <w:rPr>
                <w:rFonts w:hint="default" w:ascii="Times New Roman" w:hAnsi="Times New Roman" w:cs="Times New Roman"/>
                <w:color w:val="000000" w:themeColor="text1"/>
                <w:spacing w:val="0"/>
                <w:sz w:val="21"/>
                <w:szCs w:val="21"/>
                <w:lang w:eastAsia="zh-CN"/>
                <w14:textFill>
                  <w14:solidFill>
                    <w14:schemeClr w14:val="tx1"/>
                  </w14:solidFill>
                </w14:textFill>
              </w:rPr>
              <w:t>）；</w:t>
            </w:r>
          </w:p>
          <w:p w14:paraId="35CE4BBF">
            <w:pPr>
              <w:pStyle w:val="87"/>
              <w:keepNext w:val="0"/>
              <w:keepLines w:val="0"/>
              <w:pageBreakBefore w:val="0"/>
              <w:kinsoku/>
              <w:wordWrap/>
              <w:overflowPunct/>
              <w:topLinePunct w:val="0"/>
              <w:bidi w:val="0"/>
              <w:spacing w:before="0" w:line="240" w:lineRule="auto"/>
              <w:ind w:left="0" w:right="0" w:firstLine="0" w:firstLineChars="0"/>
              <w:jc w:val="left"/>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《福建省工业炉窑大气污染综合治理方案》（闽环保大气〔2019〕10号）中要求（颗粒物</w:t>
            </w:r>
            <w:r>
              <w:rPr>
                <w:rFonts w:hint="default" w:ascii="Times New Roman" w:hAnsi="Times New Roman" w:cs="Times New Roman"/>
                <w:color w:val="000000" w:themeColor="text1"/>
                <w:sz w:val="21"/>
                <w:szCs w:val="21"/>
                <w14:textFill>
                  <w14:solidFill>
                    <w14:schemeClr w14:val="tx1"/>
                  </w14:solidFill>
                </w14:textFill>
              </w:rPr>
              <w:t>排放浓度</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0mg/m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排放浓度</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14:textFill>
                  <w14:solidFill>
                    <w14:schemeClr w14:val="tx1"/>
                  </w14:solidFill>
                </w14:textFill>
              </w:rPr>
              <w:t>0mg/m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，NOx排放浓度</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30</w:t>
            </w:r>
            <w:r>
              <w:rPr>
                <w:rFonts w:hint="default" w:ascii="Times New Roman" w:hAnsi="Times New Roman" w:cs="Times New Roman"/>
                <w:color w:val="000000" w:themeColor="text1"/>
                <w:sz w:val="21"/>
                <w:szCs w:val="21"/>
                <w14:textFill>
                  <w14:solidFill>
                    <w14:schemeClr w14:val="tx1"/>
                  </w14:solidFill>
                </w14:textFill>
              </w:rPr>
              <w:t>0mg/m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p>
          <w:p w14:paraId="7FF94872">
            <w:pPr>
              <w:pStyle w:val="87"/>
              <w:keepNext w:val="0"/>
              <w:keepLines w:val="0"/>
              <w:pageBreakBefore w:val="0"/>
              <w:kinsoku/>
              <w:wordWrap/>
              <w:overflowPunct/>
              <w:topLinePunct w:val="0"/>
              <w:bidi w:val="0"/>
              <w:spacing w:before="0" w:line="240" w:lineRule="auto"/>
              <w:ind w:left="0" w:leftChars="0" w:right="0" w:rightChars="0" w:firstLine="0" w:firstLineChars="0"/>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烟</w:t>
            </w:r>
            <w:r>
              <w:rPr>
                <w:rFonts w:hint="default" w:ascii="Times New Roman" w:hAnsi="Times New Roman" w:cs="Times New Roman"/>
                <w:color w:val="000000" w:themeColor="text1"/>
                <w:sz w:val="21"/>
                <w:szCs w:val="21"/>
                <w14:textFill>
                  <w14:solidFill>
                    <w14:schemeClr w14:val="tx1"/>
                  </w14:solidFill>
                </w14:textFill>
              </w:rPr>
              <w:t>《工业炉窑大气污染物排放标准》（GB9078-1996）</w:t>
            </w:r>
            <w:r>
              <w:rPr>
                <w:rFonts w:hint="default" w:ascii="Times New Roman" w:hAnsi="Times New Roman" w:cs="Times New Roman"/>
                <w:color w:val="000000" w:themeColor="text1"/>
                <w:sz w:val="21"/>
                <w:szCs w:val="21"/>
                <w:lang w:val="en-US" w:eastAsia="zh-CN"/>
                <w14:textFill>
                  <w14:solidFill>
                    <w14:schemeClr w14:val="tx1"/>
                  </w14:solidFill>
                </w14:textFill>
              </w:rPr>
              <w:t>中标准</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林格曼黑度</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≤1级</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p>
        </w:tc>
      </w:tr>
      <w:tr w14:paraId="2A482A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 w:type="pct"/>
            <w:vMerge w:val="continue"/>
            <w:tcBorders>
              <w:bottom w:val="single" w:color="000000" w:sz="4" w:space="0"/>
              <w:tl2br w:val="nil"/>
              <w:tr2bl w:val="nil"/>
            </w:tcBorders>
            <w:noWrap w:val="0"/>
            <w:vAlign w:val="center"/>
          </w:tcPr>
          <w:p w14:paraId="19FBD58B">
            <w:pPr>
              <w:keepNext w:val="0"/>
              <w:keepLines w:val="0"/>
              <w:pageBreakBefore w:val="0"/>
              <w:kinsoku/>
              <w:wordWrap/>
              <w:overflowPunct/>
              <w:topLinePunct w:val="0"/>
              <w:bidi w:val="0"/>
              <w:spacing w:line="240" w:lineRule="auto"/>
              <w:ind w:firstLine="0" w:firstLineChars="0"/>
              <w:textAlignment w:val="auto"/>
              <w:rPr>
                <w:rFonts w:hint="default" w:ascii="Times New Roman" w:hAnsi="Times New Roman" w:cs="Times New Roman"/>
                <w:color w:val="000000" w:themeColor="text1"/>
                <w:spacing w:val="0"/>
                <w:sz w:val="21"/>
                <w:szCs w:val="21"/>
                <w14:textFill>
                  <w14:solidFill>
                    <w14:schemeClr w14:val="tx1"/>
                  </w14:solidFill>
                </w14:textFill>
              </w:rPr>
            </w:pPr>
          </w:p>
        </w:tc>
        <w:tc>
          <w:tcPr>
            <w:tcW w:w="95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A66152">
            <w:pPr>
              <w:pStyle w:val="87"/>
              <w:keepNext w:val="0"/>
              <w:keepLines w:val="0"/>
              <w:pageBreakBefore w:val="0"/>
              <w:kinsoku/>
              <w:wordWrap/>
              <w:overflowPunct/>
              <w:topLinePunct w:val="0"/>
              <w:bidi w:val="0"/>
              <w:spacing w:line="240" w:lineRule="auto"/>
              <w:ind w:righ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厂界、厂区内</w:t>
            </w: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11DA53">
            <w:pPr>
              <w:pStyle w:val="87"/>
              <w:keepNext w:val="0"/>
              <w:keepLines w:val="0"/>
              <w:pageBreakBefore w:val="0"/>
              <w:kinsoku/>
              <w:wordWrap/>
              <w:overflowPunct/>
              <w:topLinePunct w:val="0"/>
              <w:bidi w:val="0"/>
              <w:spacing w:line="240" w:lineRule="auto"/>
              <w:ind w:right="0" w:firstLine="0" w:firstLineChars="0"/>
              <w:jc w:val="both"/>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非甲烷总烃、</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甲苯、二甲苯、</w:t>
            </w:r>
            <w:r>
              <w:rPr>
                <w:rFonts w:hint="default" w:ascii="Times New Roman" w:hAnsi="Times New Roman" w:cs="Times New Roman"/>
                <w:color w:val="000000" w:themeColor="text1"/>
                <w:spacing w:val="0"/>
                <w:sz w:val="21"/>
                <w:szCs w:val="21"/>
                <w14:textFill>
                  <w14:solidFill>
                    <w14:schemeClr w14:val="tx1"/>
                  </w14:solidFill>
                </w14:textFill>
              </w:rPr>
              <w:t>颗粒物</w:t>
            </w:r>
            <w:r>
              <w:rPr>
                <w:rFonts w:hint="eastAsia" w:ascii="Times New Roman" w:hAnsi="Times New Roman" w:cs="Times New Roman"/>
                <w:color w:val="000000" w:themeColor="text1"/>
                <w:spacing w:val="0"/>
                <w:sz w:val="21"/>
                <w:szCs w:val="21"/>
                <w:lang w:eastAsia="zh-CN"/>
                <w14:textFill>
                  <w14:solidFill>
                    <w14:schemeClr w14:val="tx1"/>
                  </w14:solidFill>
                </w14:textFill>
              </w:rPr>
              <w:t>、</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氮氧化物</w:t>
            </w:r>
          </w:p>
        </w:tc>
        <w:tc>
          <w:tcPr>
            <w:tcW w:w="80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904681">
            <w:pPr>
              <w:pStyle w:val="147"/>
              <w:widowControl/>
              <w:jc w:val="both"/>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pP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①</w:t>
            </w:r>
            <w:r>
              <w:rPr>
                <w:rFonts w:hint="eastAsia"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3#厂房喷</w:t>
            </w: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粉废气：喷粉房密闭，喷粉粉尘经脉冲式布袋除尘器（1套）处理后，尾气在粉房内无组织排放。</w:t>
            </w:r>
          </w:p>
          <w:p w14:paraId="7BD91ECB">
            <w:pPr>
              <w:pStyle w:val="87"/>
              <w:keepNext w:val="0"/>
              <w:keepLines w:val="0"/>
              <w:pageBreakBefore w:val="0"/>
              <w:kinsoku/>
              <w:wordWrap/>
              <w:overflowPunct/>
              <w:topLinePunct w:val="0"/>
              <w:bidi w:val="0"/>
              <w:spacing w:before="0" w:line="240" w:lineRule="auto"/>
              <w:ind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eastAsia"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②喷砂废气：袋式除尘器处理后无组织排放。</w:t>
            </w:r>
          </w:p>
          <w:p w14:paraId="35F0C728">
            <w:pPr>
              <w:pStyle w:val="87"/>
              <w:keepNext w:val="0"/>
              <w:keepLines w:val="0"/>
              <w:pageBreakBefore w:val="0"/>
              <w:kinsoku/>
              <w:wordWrap/>
              <w:overflowPunct/>
              <w:topLinePunct w:val="0"/>
              <w:bidi w:val="0"/>
              <w:spacing w:before="0" w:line="240" w:lineRule="auto"/>
              <w:ind w:firstLine="0" w:firstLineChars="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③</w:t>
            </w:r>
            <w:r>
              <w:rPr>
                <w:rFonts w:hint="default" w:ascii="Times New Roman" w:hAnsi="Times New Roman" w:cs="Times New Roman"/>
                <w:color w:val="000000" w:themeColor="text1"/>
                <w:spacing w:val="0"/>
                <w:sz w:val="21"/>
                <w:szCs w:val="21"/>
                <w14:textFill>
                  <w14:solidFill>
                    <w14:schemeClr w14:val="tx1"/>
                  </w14:solidFill>
                </w14:textFill>
              </w:rPr>
              <w:t>加强</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全厂废气设施</w:t>
            </w:r>
            <w:r>
              <w:rPr>
                <w:rFonts w:hint="default" w:ascii="Times New Roman" w:hAnsi="Times New Roman" w:cs="Times New Roman"/>
                <w:color w:val="000000" w:themeColor="text1"/>
                <w:spacing w:val="0"/>
                <w:sz w:val="21"/>
                <w:szCs w:val="21"/>
                <w14:textFill>
                  <w14:solidFill>
                    <w14:schemeClr w14:val="tx1"/>
                  </w14:solidFill>
                </w14:textFill>
              </w:rPr>
              <w:t>集气效率</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各有机废气产生区域均设为密闭式</w:t>
            </w:r>
          </w:p>
        </w:tc>
        <w:tc>
          <w:tcPr>
            <w:tcW w:w="2169" w:type="pct"/>
            <w:tcBorders>
              <w:top w:val="single" w:color="000000" w:sz="4" w:space="0"/>
              <w:left w:val="single" w:color="000000" w:sz="4" w:space="0"/>
              <w:bottom w:val="single" w:color="000000" w:sz="4" w:space="0"/>
              <w:tl2br w:val="nil"/>
              <w:tr2bl w:val="nil"/>
            </w:tcBorders>
            <w:noWrap w:val="0"/>
            <w:vAlign w:val="center"/>
          </w:tcPr>
          <w:p w14:paraId="5635843C">
            <w:pPr>
              <w:pStyle w:val="87"/>
              <w:keepNext w:val="0"/>
              <w:keepLines w:val="0"/>
              <w:pageBreakBefore w:val="0"/>
              <w:kinsoku/>
              <w:wordWrap/>
              <w:overflowPunct/>
              <w:topLinePunct w:val="0"/>
              <w:bidi w:val="0"/>
              <w:spacing w:line="240" w:lineRule="auto"/>
              <w:ind w:left="0" w:right="0" w:firstLine="0" w:firstLineChars="0"/>
              <w:jc w:val="both"/>
              <w:textAlignment w:val="auto"/>
              <w:rPr>
                <w:rFonts w:hint="default" w:ascii="Times New Roman" w:hAnsi="Times New Roman" w:cs="Times New Roman"/>
                <w:color w:val="000000" w:themeColor="text1"/>
                <w:spacing w:val="0"/>
                <w:sz w:val="21"/>
                <w:szCs w:val="21"/>
                <w:vertAlign w:val="baseline"/>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《工业涂装工序挥发性有机物排放标准》（</w:t>
            </w:r>
            <w:r>
              <w:rPr>
                <w:rFonts w:hint="default" w:ascii="Times New Roman" w:hAnsi="Times New Roman" w:eastAsia="Times New Roman" w:cs="Times New Roman"/>
                <w:color w:val="000000" w:themeColor="text1"/>
                <w:spacing w:val="0"/>
                <w:sz w:val="21"/>
                <w:szCs w:val="21"/>
                <w14:textFill>
                  <w14:solidFill>
                    <w14:schemeClr w14:val="tx1"/>
                  </w14:solidFill>
                </w14:textFill>
              </w:rPr>
              <w:t>DB35/1783—2018</w:t>
            </w:r>
            <w:r>
              <w:rPr>
                <w:rFonts w:hint="default" w:ascii="Times New Roman" w:hAnsi="Times New Roman" w:cs="Times New Roman"/>
                <w:color w:val="000000" w:themeColor="text1"/>
                <w:spacing w:val="0"/>
                <w:sz w:val="21"/>
                <w:szCs w:val="21"/>
                <w14:textFill>
                  <w14:solidFill>
                    <w14:schemeClr w14:val="tx1"/>
                  </w14:solidFill>
                </w14:textFill>
              </w:rPr>
              <w:t>）（企业边界大气污染物排放限值非甲烷总烃</w:t>
            </w:r>
            <w:r>
              <w:rPr>
                <w:rFonts w:hint="default" w:ascii="Times New Roman" w:hAnsi="Times New Roman" w:eastAsia="Times New Roman" w:cs="Times New Roman"/>
                <w:color w:val="000000" w:themeColor="text1"/>
                <w:spacing w:val="0"/>
                <w:sz w:val="21"/>
                <w:szCs w:val="21"/>
                <w14:textFill>
                  <w14:solidFill>
                    <w14:schemeClr w14:val="tx1"/>
                  </w14:solidFill>
                </w14:textFill>
              </w:rPr>
              <w:t>2.0</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Times New Roman" w:cs="Times New Roman"/>
                <w:color w:val="000000" w:themeColor="text1"/>
                <w:spacing w:val="0"/>
                <w:sz w:val="21"/>
                <w:szCs w:val="21"/>
                <w14:textFill>
                  <w14:solidFill>
                    <w14:schemeClr w14:val="tx1"/>
                  </w14:solidFill>
                </w14:textFill>
              </w:rPr>
              <w:t>mg/m</w:t>
            </w:r>
            <w:r>
              <w:rPr>
                <w:rFonts w:hint="default" w:ascii="Times New Roman" w:hAnsi="Times New Roman" w:eastAsia="Times New Roman" w:cs="Times New Roman"/>
                <w:color w:val="000000" w:themeColor="text1"/>
                <w:spacing w:val="0"/>
                <w:sz w:val="21"/>
                <w:szCs w:val="21"/>
                <w:vertAlign w:val="superscript"/>
                <w14:textFill>
                  <w14:solidFill>
                    <w14:schemeClr w14:val="tx1"/>
                  </w14:solidFill>
                </w14:textFill>
              </w:rPr>
              <w:t>3</w:t>
            </w:r>
            <w:r>
              <w:rPr>
                <w:rFonts w:hint="default" w:ascii="Times New Roman" w:hAnsi="Times New Roman" w:cs="Times New Roman"/>
                <w:color w:val="000000" w:themeColor="text1"/>
                <w:spacing w:val="0"/>
                <w:sz w:val="21"/>
                <w:szCs w:val="21"/>
                <w:vertAlign w:val="baseline"/>
                <w14:textFill>
                  <w14:solidFill>
                    <w14:schemeClr w14:val="tx1"/>
                  </w14:solidFill>
                </w14:textFill>
              </w:rPr>
              <w:t>，</w:t>
            </w:r>
            <w:r>
              <w:rPr>
                <w:rFonts w:hint="eastAsia"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甲苯</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0.6</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Times New Roman" w:cs="Times New Roman"/>
                <w:color w:val="000000" w:themeColor="text1"/>
                <w:spacing w:val="0"/>
                <w:sz w:val="21"/>
                <w:szCs w:val="21"/>
                <w14:textFill>
                  <w14:solidFill>
                    <w14:schemeClr w14:val="tx1"/>
                  </w14:solidFill>
                </w14:textFill>
              </w:rPr>
              <w:t>mg/m</w:t>
            </w:r>
            <w:r>
              <w:rPr>
                <w:rFonts w:hint="default" w:ascii="Times New Roman" w:hAnsi="Times New Roman" w:eastAsia="Times New Roman" w:cs="Times New Roman"/>
                <w:color w:val="000000" w:themeColor="text1"/>
                <w:spacing w:val="0"/>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pacing w:val="0"/>
                <w:sz w:val="21"/>
                <w:szCs w:val="21"/>
                <w:vertAlign w:val="baseline"/>
                <w:lang w:eastAsia="zh-CN"/>
                <w14:textFill>
                  <w14:solidFill>
                    <w14:schemeClr w14:val="tx1"/>
                  </w14:solidFill>
                </w14:textFill>
              </w:rPr>
              <w:t>，</w:t>
            </w:r>
            <w:r>
              <w:rPr>
                <w:rFonts w:hint="eastAsia"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二甲苯</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0.2</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Times New Roman" w:cs="Times New Roman"/>
                <w:color w:val="000000" w:themeColor="text1"/>
                <w:spacing w:val="0"/>
                <w:sz w:val="21"/>
                <w:szCs w:val="21"/>
                <w14:textFill>
                  <w14:solidFill>
                    <w14:schemeClr w14:val="tx1"/>
                  </w14:solidFill>
                </w14:textFill>
              </w:rPr>
              <w:t>mg/m</w:t>
            </w:r>
            <w:r>
              <w:rPr>
                <w:rFonts w:hint="default" w:ascii="Times New Roman" w:hAnsi="Times New Roman" w:eastAsia="Times New Roman" w:cs="Times New Roman"/>
                <w:color w:val="000000" w:themeColor="text1"/>
                <w:spacing w:val="0"/>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pacing w:val="0"/>
                <w:sz w:val="21"/>
                <w:szCs w:val="21"/>
                <w:vertAlign w:val="baseline"/>
                <w:lang w:eastAsia="zh-CN"/>
                <w14:textFill>
                  <w14:solidFill>
                    <w14:schemeClr w14:val="tx1"/>
                  </w14:solidFill>
                </w14:textFill>
              </w:rPr>
              <w:t>；</w:t>
            </w:r>
            <w:r>
              <w:rPr>
                <w:rFonts w:hint="default" w:ascii="Times New Roman" w:hAnsi="Times New Roman" w:cs="Times New Roman"/>
                <w:color w:val="000000" w:themeColor="text1"/>
                <w:spacing w:val="0"/>
                <w:sz w:val="21"/>
                <w:szCs w:val="21"/>
                <w:vertAlign w:val="baseline"/>
                <w14:textFill>
                  <w14:solidFill>
                    <w14:schemeClr w14:val="tx1"/>
                  </w14:solidFill>
                </w14:textFill>
              </w:rPr>
              <w:t>厂区内监控点</w:t>
            </w:r>
            <w:r>
              <w:rPr>
                <w:rFonts w:hint="default" w:ascii="Times New Roman" w:hAnsi="Times New Roman" w:cs="Times New Roman"/>
                <w:color w:val="000000" w:themeColor="text1"/>
                <w:spacing w:val="0"/>
                <w:sz w:val="21"/>
                <w:szCs w:val="21"/>
                <w:vertAlign w:val="baseline"/>
                <w:lang w:val="en-US" w:eastAsia="zh-CN"/>
                <w14:textFill>
                  <w14:solidFill>
                    <w14:schemeClr w14:val="tx1"/>
                  </w14:solidFill>
                </w14:textFill>
              </w:rPr>
              <w:t>1h平均</w:t>
            </w:r>
            <w:r>
              <w:rPr>
                <w:rFonts w:hint="default" w:ascii="Times New Roman" w:hAnsi="Times New Roman" w:cs="Times New Roman"/>
                <w:color w:val="000000" w:themeColor="text1"/>
                <w:spacing w:val="0"/>
                <w:sz w:val="21"/>
                <w:szCs w:val="21"/>
                <w:vertAlign w:val="baseline"/>
                <w14:textFill>
                  <w14:solidFill>
                    <w14:schemeClr w14:val="tx1"/>
                  </w14:solidFill>
                </w14:textFill>
              </w:rPr>
              <w:t>浓度限值非甲烷总烃</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Times New Roman" w:cs="Times New Roman"/>
                <w:color w:val="000000" w:themeColor="text1"/>
                <w:spacing w:val="0"/>
                <w:sz w:val="21"/>
                <w:szCs w:val="21"/>
                <w:vertAlign w:val="baseline"/>
                <w14:textFill>
                  <w14:solidFill>
                    <w14:schemeClr w14:val="tx1"/>
                  </w14:solidFill>
                </w14:textFill>
              </w:rPr>
              <w:t>8.0mg/m</w:t>
            </w:r>
            <w:r>
              <w:rPr>
                <w:rFonts w:hint="default" w:ascii="Times New Roman" w:hAnsi="Times New Roman" w:eastAsia="Times New Roman" w:cs="Times New Roman"/>
                <w:color w:val="000000" w:themeColor="text1"/>
                <w:spacing w:val="0"/>
                <w:position w:val="0"/>
                <w:sz w:val="21"/>
                <w:szCs w:val="21"/>
                <w:vertAlign w:val="superscript"/>
                <w14:textFill>
                  <w14:solidFill>
                    <w14:schemeClr w14:val="tx1"/>
                  </w14:solidFill>
                </w14:textFill>
              </w:rPr>
              <w:t>3</w:t>
            </w:r>
            <w:r>
              <w:rPr>
                <w:rFonts w:hint="default" w:ascii="Times New Roman" w:hAnsi="Times New Roman" w:cs="Times New Roman"/>
                <w:color w:val="000000" w:themeColor="text1"/>
                <w:spacing w:val="0"/>
                <w:sz w:val="21"/>
                <w:szCs w:val="21"/>
                <w:vertAlign w:val="baseline"/>
                <w14:textFill>
                  <w14:solidFill>
                    <w14:schemeClr w14:val="tx1"/>
                  </w14:solidFill>
                </w14:textFill>
              </w:rPr>
              <w:t>）。</w:t>
            </w:r>
          </w:p>
          <w:p w14:paraId="0CF2D63A">
            <w:pPr>
              <w:pStyle w:val="87"/>
              <w:keepNext w:val="0"/>
              <w:keepLines w:val="0"/>
              <w:pageBreakBefore w:val="0"/>
              <w:kinsoku/>
              <w:wordWrap/>
              <w:overflowPunct/>
              <w:topLinePunct w:val="0"/>
              <w:bidi w:val="0"/>
              <w:spacing w:line="240" w:lineRule="auto"/>
              <w:ind w:left="0" w:right="0" w:firstLine="0" w:firstLineChars="0"/>
              <w:jc w:val="both"/>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项目无组织排放的</w:t>
            </w:r>
            <w:r>
              <w:rPr>
                <w:rFonts w:hint="default" w:ascii="Times New Roman" w:hAnsi="Times New Roman" w:eastAsia="Times New Roman" w:cs="Times New Roman"/>
                <w:color w:val="000000" w:themeColor="text1"/>
                <w:spacing w:val="0"/>
                <w:sz w:val="21"/>
                <w:szCs w:val="21"/>
                <w14:textFill>
                  <w14:solidFill>
                    <w14:schemeClr w14:val="tx1"/>
                  </w14:solidFill>
                </w14:textFill>
              </w:rPr>
              <w:t>VOCs</w:t>
            </w:r>
            <w:r>
              <w:rPr>
                <w:rFonts w:hint="default" w:ascii="Times New Roman" w:hAnsi="Times New Roman" w:cs="Times New Roman"/>
                <w:color w:val="000000" w:themeColor="text1"/>
                <w:spacing w:val="0"/>
                <w:sz w:val="21"/>
                <w:szCs w:val="21"/>
                <w14:textFill>
                  <w14:solidFill>
                    <w14:schemeClr w14:val="tx1"/>
                  </w14:solidFill>
                </w14:textFill>
              </w:rPr>
              <w:t>厂区内监控点处任意一次</w:t>
            </w:r>
            <w:r>
              <w:rPr>
                <w:rFonts w:hint="default" w:ascii="Times New Roman" w:hAnsi="Times New Roman" w:eastAsia="Times New Roman" w:cs="Times New Roman"/>
                <w:color w:val="000000" w:themeColor="text1"/>
                <w:spacing w:val="0"/>
                <w:sz w:val="21"/>
                <w:szCs w:val="21"/>
                <w14:textFill>
                  <w14:solidFill>
                    <w14:schemeClr w14:val="tx1"/>
                  </w14:solidFill>
                </w14:textFill>
              </w:rPr>
              <w:t>NMHC</w:t>
            </w:r>
            <w:r>
              <w:rPr>
                <w:rFonts w:hint="default" w:ascii="Times New Roman" w:hAnsi="Times New Roman" w:cs="Times New Roman"/>
                <w:color w:val="000000" w:themeColor="text1"/>
                <w:spacing w:val="0"/>
                <w:sz w:val="21"/>
                <w:szCs w:val="21"/>
                <w14:textFill>
                  <w14:solidFill>
                    <w14:schemeClr w14:val="tx1"/>
                  </w14:solidFill>
                </w14:textFill>
              </w:rPr>
              <w:t>浓度值执行</w:t>
            </w:r>
            <w:r>
              <w:rPr>
                <w:rFonts w:hint="eastAsia"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sz w:val="21"/>
                <w:szCs w:val="21"/>
                <w14:textFill>
                  <w14:solidFill>
                    <w14:schemeClr w14:val="tx1"/>
                  </w14:solidFill>
                </w14:textFill>
              </w:rPr>
              <w:t>挥发性有机物无组织排放控制标准</w:t>
            </w:r>
            <w:r>
              <w:rPr>
                <w:rFonts w:hint="eastAsia"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spacing w:val="0"/>
                <w:sz w:val="21"/>
                <w:szCs w:val="21"/>
                <w14:textFill>
                  <w14:solidFill>
                    <w14:schemeClr w14:val="tx1"/>
                  </w14:solidFill>
                </w14:textFill>
              </w:rPr>
              <w:t>(GB37822—2019)</w:t>
            </w:r>
            <w:r>
              <w:rPr>
                <w:rFonts w:hint="default" w:ascii="Times New Roman" w:hAnsi="Times New Roman" w:cs="Times New Roman"/>
                <w:color w:val="000000" w:themeColor="text1"/>
                <w:spacing w:val="0"/>
                <w:sz w:val="21"/>
                <w:szCs w:val="21"/>
                <w14:textFill>
                  <w14:solidFill>
                    <w14:schemeClr w14:val="tx1"/>
                  </w14:solidFill>
                </w14:textFill>
              </w:rPr>
              <w:t>附录</w:t>
            </w:r>
            <w:r>
              <w:rPr>
                <w:rFonts w:hint="default" w:ascii="Times New Roman" w:hAnsi="Times New Roman" w:eastAsia="Times New Roman" w:cs="Times New Roman"/>
                <w:color w:val="000000" w:themeColor="text1"/>
                <w:spacing w:val="0"/>
                <w:sz w:val="21"/>
                <w:szCs w:val="21"/>
                <w14:textFill>
                  <w14:solidFill>
                    <w14:schemeClr w14:val="tx1"/>
                  </w14:solidFill>
                </w14:textFill>
              </w:rPr>
              <w:t>A</w:t>
            </w:r>
            <w:r>
              <w:rPr>
                <w:rFonts w:hint="default" w:ascii="Times New Roman" w:hAnsi="Times New Roman" w:cs="Times New Roman"/>
                <w:color w:val="000000" w:themeColor="text1"/>
                <w:spacing w:val="0"/>
                <w:sz w:val="21"/>
                <w:szCs w:val="21"/>
                <w14:textFill>
                  <w14:solidFill>
                    <w14:schemeClr w14:val="tx1"/>
                  </w14:solidFill>
                </w14:textFill>
              </w:rPr>
              <w:t>的表</w:t>
            </w:r>
            <w:r>
              <w:rPr>
                <w:rFonts w:hint="default" w:ascii="Times New Roman" w:hAnsi="Times New Roman" w:eastAsia="Times New Roman" w:cs="Times New Roman"/>
                <w:color w:val="000000" w:themeColor="text1"/>
                <w:spacing w:val="0"/>
                <w:sz w:val="21"/>
                <w:szCs w:val="21"/>
                <w14:textFill>
                  <w14:solidFill>
                    <w14:schemeClr w14:val="tx1"/>
                  </w14:solidFill>
                </w14:textFill>
              </w:rPr>
              <w:t>A.1</w:t>
            </w:r>
            <w:r>
              <w:rPr>
                <w:rFonts w:hint="default" w:ascii="Times New Roman" w:hAnsi="Times New Roman" w:cs="Times New Roman"/>
                <w:color w:val="000000" w:themeColor="text1"/>
                <w:spacing w:val="0"/>
                <w:sz w:val="21"/>
                <w:szCs w:val="21"/>
                <w14:textFill>
                  <w14:solidFill>
                    <w14:schemeClr w14:val="tx1"/>
                  </w14:solidFill>
                </w14:textFill>
              </w:rPr>
              <w:t>的相应规定</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sz w:val="21"/>
                <w:szCs w:val="21"/>
                <w14:textFill>
                  <w14:solidFill>
                    <w14:schemeClr w14:val="tx1"/>
                  </w14:solidFill>
                </w14:textFill>
              </w:rPr>
              <w:t>非甲烷总烃</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任意一次浓度值≤</w:t>
            </w:r>
            <w:r>
              <w:rPr>
                <w:rFonts w:hint="eastAsia" w:ascii="Times New Roman" w:hAnsi="Times New Roman" w:cs="Times New Roman"/>
                <w:color w:val="000000" w:themeColor="text1"/>
                <w:spacing w:val="0"/>
                <w:sz w:val="21"/>
                <w:szCs w:val="21"/>
                <w:vertAlign w:val="baseline"/>
                <w:lang w:val="en-US" w:eastAsia="zh-CN"/>
                <w14:textFill>
                  <w14:solidFill>
                    <w14:schemeClr w14:val="tx1"/>
                  </w14:solidFill>
                </w14:textFill>
              </w:rPr>
              <w:t>3</w:t>
            </w:r>
            <w:r>
              <w:rPr>
                <w:rFonts w:hint="default" w:ascii="Times New Roman" w:hAnsi="Times New Roman" w:cs="Times New Roman"/>
                <w:color w:val="000000" w:themeColor="text1"/>
                <w:spacing w:val="0"/>
                <w:sz w:val="21"/>
                <w:szCs w:val="21"/>
                <w:vertAlign w:val="baseline"/>
                <w:lang w:val="en-US" w:eastAsia="zh-CN"/>
                <w14:textFill>
                  <w14:solidFill>
                    <w14:schemeClr w14:val="tx1"/>
                  </w14:solidFill>
                </w14:textFill>
              </w:rPr>
              <w:t>0</w:t>
            </w:r>
            <w:r>
              <w:rPr>
                <w:rFonts w:hint="default" w:ascii="Times New Roman" w:hAnsi="Times New Roman" w:eastAsia="Times New Roman" w:cs="Times New Roman"/>
                <w:color w:val="000000" w:themeColor="text1"/>
                <w:spacing w:val="0"/>
                <w:sz w:val="21"/>
                <w:szCs w:val="21"/>
                <w:vertAlign w:val="baseline"/>
                <w14:textFill>
                  <w14:solidFill>
                    <w14:schemeClr w14:val="tx1"/>
                  </w14:solidFill>
                </w14:textFill>
              </w:rPr>
              <w:t>mg/m</w:t>
            </w:r>
            <w:r>
              <w:rPr>
                <w:rFonts w:hint="default" w:ascii="Times New Roman" w:hAnsi="Times New Roman" w:eastAsia="Times New Roman" w:cs="Times New Roman"/>
                <w:color w:val="000000" w:themeColor="text1"/>
                <w:spacing w:val="0"/>
                <w:position w:val="0"/>
                <w:sz w:val="21"/>
                <w:szCs w:val="21"/>
                <w:vertAlign w:val="superscript"/>
                <w14:textFill>
                  <w14:solidFill>
                    <w14:schemeClr w14:val="tx1"/>
                  </w14:solidFill>
                </w14:textFill>
              </w:rPr>
              <w:t>3</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sz w:val="21"/>
                <w:szCs w:val="21"/>
                <w14:textFill>
                  <w14:solidFill>
                    <w14:schemeClr w14:val="tx1"/>
                  </w14:solidFill>
                </w14:textFill>
              </w:rPr>
              <w:t>。</w:t>
            </w:r>
          </w:p>
          <w:p w14:paraId="5DF41B0C">
            <w:pPr>
              <w:pStyle w:val="87"/>
              <w:keepNext w:val="0"/>
              <w:keepLines w:val="0"/>
              <w:pageBreakBefore w:val="0"/>
              <w:kinsoku/>
              <w:wordWrap/>
              <w:overflowPunct/>
              <w:topLinePunct w:val="0"/>
              <w:bidi w:val="0"/>
              <w:spacing w:line="240" w:lineRule="auto"/>
              <w:ind w:left="0" w:right="0" w:firstLine="0" w:firstLineChars="0"/>
              <w:jc w:val="both"/>
              <w:textAlignment w:val="auto"/>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《大气污染物综合排放标准》</w:t>
            </w:r>
            <w:r>
              <w:rPr>
                <w:rFonts w:hint="eastAsia"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spacing w:val="0"/>
                <w:sz w:val="21"/>
                <w:szCs w:val="21"/>
                <w14:textFill>
                  <w14:solidFill>
                    <w14:schemeClr w14:val="tx1"/>
                  </w14:solidFill>
                </w14:textFill>
              </w:rPr>
              <w:t>GB16297-1996</w:t>
            </w:r>
            <w:r>
              <w:rPr>
                <w:rFonts w:hint="eastAsia"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sz w:val="21"/>
                <w:szCs w:val="21"/>
                <w14:textFill>
                  <w14:solidFill>
                    <w14:schemeClr w14:val="tx1"/>
                  </w14:solidFill>
                </w14:textFill>
              </w:rPr>
              <w:t>表</w:t>
            </w:r>
            <w:r>
              <w:rPr>
                <w:rFonts w:hint="default" w:ascii="Times New Roman" w:hAnsi="Times New Roman" w:eastAsia="Times New Roman" w:cs="Times New Roman"/>
                <w:color w:val="000000" w:themeColor="text1"/>
                <w:spacing w:val="0"/>
                <w:sz w:val="21"/>
                <w:szCs w:val="21"/>
                <w14:textFill>
                  <w14:solidFill>
                    <w14:schemeClr w14:val="tx1"/>
                  </w14:solidFill>
                </w14:textFill>
              </w:rPr>
              <w:t>2</w:t>
            </w:r>
            <w:r>
              <w:rPr>
                <w:rFonts w:hint="default" w:ascii="Times New Roman" w:hAnsi="Times New Roman" w:cs="Times New Roman"/>
                <w:color w:val="000000" w:themeColor="text1"/>
                <w:spacing w:val="0"/>
                <w:sz w:val="21"/>
                <w:szCs w:val="21"/>
                <w14:textFill>
                  <w14:solidFill>
                    <w14:schemeClr w14:val="tx1"/>
                  </w14:solidFill>
                </w14:textFill>
              </w:rPr>
              <w:t>中的无组织排放监控浓度限值（周界外浓度最高点颗粒物</w:t>
            </w:r>
            <w:r>
              <w:rPr>
                <w:rFonts w:hint="default" w:ascii="Times New Roman" w:hAnsi="Times New Roman" w:eastAsia="Times New Roman" w:cs="Times New Roman"/>
                <w:color w:val="000000" w:themeColor="text1"/>
                <w:spacing w:val="0"/>
                <w:sz w:val="21"/>
                <w:szCs w:val="21"/>
                <w14:textFill>
                  <w14:solidFill>
                    <w14:schemeClr w14:val="tx1"/>
                  </w14:solidFill>
                </w14:textFill>
              </w:rPr>
              <w:t>≤1.0mg/m</w:t>
            </w:r>
            <w:r>
              <w:rPr>
                <w:rFonts w:hint="default" w:ascii="Times New Roman" w:hAnsi="Times New Roman" w:eastAsia="Times New Roman" w:cs="Times New Roman"/>
                <w:color w:val="000000" w:themeColor="text1"/>
                <w:spacing w:val="0"/>
                <w:position w:val="0"/>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sz w:val="21"/>
                <w:szCs w:val="21"/>
                <w14:textFill>
                  <w14:solidFill>
                    <w14:schemeClr w14:val="tx1"/>
                  </w14:solidFill>
                </w14:textFill>
              </w:rPr>
              <w:t>氮氧化物</w:t>
            </w:r>
            <w:r>
              <w:rPr>
                <w:rFonts w:hint="default" w:ascii="Times New Roman" w:hAnsi="Times New Roman" w:eastAsia="Times New Roman" w:cs="Times New Roman"/>
                <w:color w:val="000000" w:themeColor="text1"/>
                <w:spacing w:val="0"/>
                <w:sz w:val="21"/>
                <w:szCs w:val="21"/>
                <w14:textFill>
                  <w14:solidFill>
                    <w14:schemeClr w14:val="tx1"/>
                  </w14:solidFill>
                </w14:textFill>
              </w:rPr>
              <w:t>≤</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0.12</w:t>
            </w:r>
            <w:r>
              <w:rPr>
                <w:rFonts w:hint="default" w:ascii="Times New Roman" w:hAnsi="Times New Roman" w:eastAsia="Times New Roman" w:cs="Times New Roman"/>
                <w:color w:val="000000" w:themeColor="text1"/>
                <w:spacing w:val="0"/>
                <w:sz w:val="21"/>
                <w:szCs w:val="21"/>
                <w14:textFill>
                  <w14:solidFill>
                    <w14:schemeClr w14:val="tx1"/>
                  </w14:solidFill>
                </w14:textFill>
              </w:rPr>
              <w:t>mg/m</w:t>
            </w:r>
            <w:r>
              <w:rPr>
                <w:rFonts w:hint="default" w:ascii="Times New Roman" w:hAnsi="Times New Roman" w:eastAsia="Times New Roman" w:cs="Times New Roman"/>
                <w:color w:val="000000" w:themeColor="text1"/>
                <w:spacing w:val="0"/>
                <w:position w:val="0"/>
                <w:sz w:val="21"/>
                <w:szCs w:val="21"/>
                <w:vertAlign w:val="superscript"/>
                <w14:textFill>
                  <w14:solidFill>
                    <w14:schemeClr w14:val="tx1"/>
                  </w14:solidFill>
                </w14:textFill>
              </w:rPr>
              <w:t>3</w:t>
            </w:r>
            <w:r>
              <w:rPr>
                <w:rFonts w:hint="eastAsia" w:ascii="Times New Roman" w:hAnsi="Times New Roman" w:cs="Times New Roman"/>
                <w:color w:val="000000" w:themeColor="text1"/>
                <w:spacing w:val="0"/>
                <w:sz w:val="21"/>
                <w:szCs w:val="21"/>
                <w:lang w:eastAsia="zh-CN"/>
                <w14:textFill>
                  <w14:solidFill>
                    <w14:schemeClr w14:val="tx1"/>
                  </w14:solidFill>
                </w14:textFill>
              </w:rPr>
              <w:t>）</w:t>
            </w:r>
          </w:p>
        </w:tc>
      </w:tr>
      <w:tr w14:paraId="107EAD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 w:type="pct"/>
            <w:vMerge w:val="restart"/>
            <w:tcBorders>
              <w:tl2br w:val="nil"/>
              <w:tr2bl w:val="nil"/>
            </w:tcBorders>
            <w:noWrap w:val="0"/>
            <w:vAlign w:val="center"/>
          </w:tcPr>
          <w:p w14:paraId="42B8F80E">
            <w:pPr>
              <w:pStyle w:val="87"/>
              <w:keepNext w:val="0"/>
              <w:keepLines w:val="0"/>
              <w:pageBreakBefore w:val="0"/>
              <w:kinsoku/>
              <w:wordWrap/>
              <w:overflowPunct/>
              <w:topLinePunct w:val="0"/>
              <w:bidi w:val="0"/>
              <w:spacing w:before="0" w:line="240" w:lineRule="auto"/>
              <w:ind w:left="0" w:righ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地表水环境</w:t>
            </w:r>
          </w:p>
        </w:tc>
        <w:tc>
          <w:tcPr>
            <w:tcW w:w="956" w:type="pct"/>
            <w:tcBorders>
              <w:tl2br w:val="nil"/>
              <w:tr2bl w:val="nil"/>
            </w:tcBorders>
            <w:noWrap w:val="0"/>
            <w:vAlign w:val="center"/>
          </w:tcPr>
          <w:p w14:paraId="54BC3321">
            <w:pPr>
              <w:pStyle w:val="87"/>
              <w:keepNext w:val="0"/>
              <w:keepLines w:val="0"/>
              <w:pageBreakBefore w:val="0"/>
              <w:kinsoku/>
              <w:wordWrap/>
              <w:overflowPunct/>
              <w:topLinePunct w:val="0"/>
              <w:bidi w:val="0"/>
              <w:spacing w:before="0" w:line="240" w:lineRule="auto"/>
              <w:ind w:righ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DW001，</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生产</w:t>
            </w:r>
            <w:r>
              <w:rPr>
                <w:rFonts w:hint="default" w:ascii="Times New Roman" w:hAnsi="Times New Roman" w:eastAsia="宋体" w:cs="Times New Roman"/>
                <w:color w:val="000000" w:themeColor="text1"/>
                <w:spacing w:val="0"/>
                <w:sz w:val="21"/>
                <w:szCs w:val="21"/>
                <w14:textFill>
                  <w14:solidFill>
                    <w14:schemeClr w14:val="tx1"/>
                  </w14:solidFill>
                </w14:textFill>
              </w:rPr>
              <w:t>废水排放口</w:t>
            </w:r>
          </w:p>
        </w:tc>
        <w:tc>
          <w:tcPr>
            <w:tcW w:w="731" w:type="pct"/>
            <w:tcBorders>
              <w:tl2br w:val="nil"/>
              <w:tr2bl w:val="nil"/>
            </w:tcBorders>
            <w:noWrap w:val="0"/>
            <w:vAlign w:val="center"/>
          </w:tcPr>
          <w:p w14:paraId="425CC7C7">
            <w:pPr>
              <w:pStyle w:val="87"/>
              <w:keepNext w:val="0"/>
              <w:keepLines w:val="0"/>
              <w:pageBreakBefore w:val="0"/>
              <w:kinsoku/>
              <w:wordWrap/>
              <w:overflowPunct/>
              <w:topLinePunct w:val="0"/>
              <w:bidi w:val="0"/>
              <w:spacing w:before="0" w:line="240" w:lineRule="auto"/>
              <w:ind w:left="0" w:right="0" w:firstLine="0" w:firstLineChars="0"/>
              <w:jc w:val="center"/>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pH、COD</w:t>
            </w:r>
            <w:r>
              <w:rPr>
                <w:rFonts w:hint="default" w:ascii="Times New Roman" w:hAnsi="Times New Roman" w:cs="Times New Roman"/>
                <w:color w:val="000000" w:themeColor="text1"/>
                <w:spacing w:val="0"/>
                <w:sz w:val="21"/>
                <w:szCs w:val="21"/>
                <w:vertAlign w:val="subscript"/>
                <w14:textFill>
                  <w14:solidFill>
                    <w14:schemeClr w14:val="tx1"/>
                  </w14:solidFill>
                </w14:textFill>
              </w:rPr>
              <w:t>Cr</w:t>
            </w:r>
            <w:r>
              <w:rPr>
                <w:rFonts w:hint="default" w:ascii="Times New Roman" w:hAnsi="Times New Roman" w:cs="Times New Roman"/>
                <w:color w:val="000000" w:themeColor="text1"/>
                <w:spacing w:val="0"/>
                <w:sz w:val="21"/>
                <w:szCs w:val="21"/>
                <w14:textFill>
                  <w14:solidFill>
                    <w14:schemeClr w14:val="tx1"/>
                  </w14:solidFill>
                </w14:textFill>
              </w:rPr>
              <w:t>、BOD</w:t>
            </w:r>
            <w:r>
              <w:rPr>
                <w:rFonts w:hint="default" w:ascii="Times New Roman" w:hAnsi="Times New Roman" w:cs="Times New Roman"/>
                <w:color w:val="000000" w:themeColor="text1"/>
                <w:spacing w:val="0"/>
                <w:sz w:val="21"/>
                <w:szCs w:val="21"/>
                <w:vertAlign w:val="subscript"/>
                <w14:textFill>
                  <w14:solidFill>
                    <w14:schemeClr w14:val="tx1"/>
                  </w14:solidFill>
                </w14:textFill>
              </w:rPr>
              <w:t>5</w:t>
            </w:r>
            <w:r>
              <w:rPr>
                <w:rFonts w:hint="default" w:ascii="Times New Roman" w:hAnsi="Times New Roman" w:cs="Times New Roman"/>
                <w:color w:val="000000" w:themeColor="text1"/>
                <w:spacing w:val="0"/>
                <w:sz w:val="21"/>
                <w:szCs w:val="21"/>
                <w14:textFill>
                  <w14:solidFill>
                    <w14:schemeClr w14:val="tx1"/>
                  </w14:solidFill>
                </w14:textFill>
              </w:rPr>
              <w:t>、SS、</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NH</w:t>
            </w:r>
            <w:r>
              <w:rPr>
                <w:rFonts w:hint="default" w:ascii="Times New Roman" w:hAnsi="Times New Roman" w:eastAsia="宋体" w:cs="Times New Roman"/>
                <w:color w:val="000000" w:themeColor="text1"/>
                <w:spacing w:val="0"/>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-N</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石油类、氟化物、磷酸盐、LAS、总锌</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总磷（以P计）</w:t>
            </w:r>
          </w:p>
        </w:tc>
        <w:tc>
          <w:tcPr>
            <w:tcW w:w="802" w:type="pct"/>
            <w:tcBorders>
              <w:tl2br w:val="nil"/>
              <w:tr2bl w:val="nil"/>
            </w:tcBorders>
            <w:noWrap w:val="0"/>
            <w:vAlign w:val="center"/>
          </w:tcPr>
          <w:p w14:paraId="3E0AC5F8">
            <w:pPr>
              <w:pStyle w:val="87"/>
              <w:keepNext w:val="0"/>
              <w:keepLines w:val="0"/>
              <w:pageBreakBefore w:val="0"/>
              <w:kinsoku/>
              <w:wordWrap/>
              <w:overflowPunct/>
              <w:topLinePunct w:val="0"/>
              <w:bidi w:val="0"/>
              <w:spacing w:before="0" w:line="240" w:lineRule="auto"/>
              <w:ind w:right="0" w:firstLine="0" w:firstLineChars="0"/>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lang w:val="en-US" w:eastAsia="zh-CN"/>
                <w14:textFill>
                  <w14:solidFill>
                    <w14:schemeClr w14:val="tx1"/>
                  </w14:solidFill>
                </w14:textFill>
              </w:rPr>
              <w:t>自建</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废水处理设施</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w:t>
            </w:r>
            <w:r>
              <w:rPr>
                <w:rFonts w:hint="eastAsia" w:ascii="Times New Roman" w:hAnsi="Times New Roman" w:eastAsia="宋体" w:cs="Times New Roman"/>
                <w:smallCaps w:val="0"/>
                <w:color w:val="000000" w:themeColor="text1"/>
                <w:sz w:val="21"/>
                <w:szCs w:val="21"/>
                <w:highlight w:val="none"/>
                <w:shd w:val="clear" w:color="auto" w:fill="auto"/>
                <w:lang w:val="en-US" w:eastAsia="zh-CN"/>
                <w14:textFill>
                  <w14:solidFill>
                    <w14:schemeClr w14:val="tx1"/>
                  </w14:solidFill>
                </w14:textFill>
              </w:rPr>
              <w:t>采</w:t>
            </w:r>
            <w:r>
              <w:rPr>
                <w:rFonts w:hint="default" w:ascii="Times New Roman" w:hAnsi="Times New Roman" w:eastAsia="宋体" w:cs="Times New Roman"/>
                <w:smallCaps w:val="0"/>
                <w:color w:val="000000" w:themeColor="text1"/>
                <w:sz w:val="21"/>
                <w:szCs w:val="21"/>
                <w:highlight w:val="none"/>
                <w:shd w:val="clear" w:color="auto" w:fill="auto"/>
                <w:lang w:val="en-US" w:eastAsia="zh-CN"/>
                <w14:textFill>
                  <w14:solidFill>
                    <w14:schemeClr w14:val="tx1"/>
                  </w14:solidFill>
                </w14:textFill>
              </w:rPr>
              <w:t>用</w:t>
            </w:r>
            <w:r>
              <w:rPr>
                <w:rFonts w:hint="default" w:ascii="Times New Roman" w:hAnsi="Times New Roman" w:eastAsia="宋体" w:cs="Times New Roman"/>
                <w:color w:val="000000" w:themeColor="text1"/>
                <w:sz w:val="21"/>
                <w:szCs w:val="21"/>
                <w:lang w:eastAsia="zh-CN" w:bidi="he-IL"/>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芬顿氧化+混凝+絮凝+沉淀</w:t>
            </w:r>
            <w:r>
              <w:rPr>
                <w:rFonts w:hint="default" w:ascii="Times New Roman" w:hAnsi="Times New Roman" w:cs="Times New Roman"/>
                <w:color w:val="000000" w:themeColor="text1"/>
                <w:sz w:val="21"/>
                <w:szCs w:val="21"/>
                <w:lang w:eastAsia="zh-CN" w:bidi="he-IL"/>
                <w14:textFill>
                  <w14:solidFill>
                    <w14:schemeClr w14:val="tx1"/>
                  </w14:solidFill>
                </w14:textFill>
              </w:rPr>
              <w:t>”</w:t>
            </w:r>
            <w:r>
              <w:rPr>
                <w:rFonts w:hint="default" w:ascii="Times New Roman" w:hAnsi="Times New Roman" w:cs="Times New Roman"/>
                <w:color w:val="000000" w:themeColor="text1"/>
                <w:sz w:val="21"/>
                <w:szCs w:val="21"/>
                <w:lang w:val="en-US" w:eastAsia="zh-CN" w:bidi="he-IL"/>
                <w14:textFill>
                  <w14:solidFill>
                    <w14:schemeClr w14:val="tx1"/>
                  </w14:solidFill>
                </w14:textFill>
              </w:rPr>
              <w:t>处理工艺</w:t>
            </w:r>
            <w:r>
              <w:rPr>
                <w:rFonts w:hint="default" w:ascii="Times New Roman" w:hAnsi="Times New Roman" w:cs="Times New Roman"/>
                <w:color w:val="000000" w:themeColor="text1"/>
                <w:sz w:val="21"/>
                <w:szCs w:val="21"/>
                <w:lang w:eastAsia="zh-CN" w:bidi="he-IL"/>
                <w14:textFill>
                  <w14:solidFill>
                    <w14:schemeClr w14:val="tx1"/>
                  </w14:solidFill>
                </w14:textFill>
              </w:rPr>
              <w:t>，</w:t>
            </w:r>
            <w:r>
              <w:rPr>
                <w:rFonts w:hint="default" w:ascii="Times New Roman" w:hAnsi="Times New Roman" w:cs="Times New Roman"/>
                <w:color w:val="000000" w:themeColor="text1"/>
                <w:sz w:val="21"/>
                <w:szCs w:val="21"/>
                <w:lang w:val="en-US" w:eastAsia="zh-CN" w:bidi="he-IL"/>
                <w14:textFill>
                  <w14:solidFill>
                    <w14:schemeClr w14:val="tx1"/>
                  </w14:solidFill>
                </w14:textFill>
              </w:rPr>
              <w:t>处理</w:t>
            </w:r>
            <w:r>
              <w:rPr>
                <w:rFonts w:hint="default" w:ascii="Times New Roman" w:hAnsi="Times New Roman" w:eastAsia="宋体" w:cs="Times New Roman"/>
                <w:color w:val="000000" w:themeColor="text1"/>
                <w:spacing w:val="0"/>
                <w:kern w:val="2"/>
                <w:position w:val="0"/>
                <w:sz w:val="21"/>
                <w:szCs w:val="21"/>
                <w:lang w:val="en-US" w:eastAsia="zh-CN" w:bidi="ar-SA"/>
                <w14:textFill>
                  <w14:solidFill>
                    <w14:schemeClr w14:val="tx1"/>
                  </w14:solidFill>
                </w14:textFill>
              </w:rPr>
              <w:t>规模</w:t>
            </w:r>
            <w:r>
              <w:rPr>
                <w:rFonts w:hint="default" w:ascii="Times New Roman" w:hAnsi="Times New Roman" w:cs="Times New Roman"/>
                <w:color w:val="000000" w:themeColor="text1"/>
                <w:spacing w:val="0"/>
                <w:kern w:val="2"/>
                <w:position w:val="0"/>
                <w:sz w:val="21"/>
                <w:szCs w:val="21"/>
                <w:lang w:val="en-US" w:eastAsia="zh-CN" w:bidi="ar-SA"/>
                <w14:textFill>
                  <w14:solidFill>
                    <w14:schemeClr w14:val="tx1"/>
                  </w14:solidFill>
                </w14:textFill>
              </w:rPr>
              <w:t>14</w:t>
            </w:r>
            <w:r>
              <w:rPr>
                <w:rFonts w:hint="default" w:ascii="Times New Roman" w:hAnsi="Times New Roman" w:eastAsia="宋体" w:cs="Times New Roman"/>
                <w:color w:val="000000" w:themeColor="text1"/>
                <w:spacing w:val="0"/>
                <w:kern w:val="2"/>
                <w:position w:val="0"/>
                <w:sz w:val="21"/>
                <w:szCs w:val="21"/>
                <w:lang w:val="en-US" w:eastAsia="zh-CN" w:bidi="ar-SA"/>
                <w14:textFill>
                  <w14:solidFill>
                    <w14:schemeClr w14:val="tx1"/>
                  </w14:solidFill>
                </w14:textFill>
              </w:rPr>
              <w:t>t/</w:t>
            </w:r>
            <w:r>
              <w:rPr>
                <w:rFonts w:hint="default" w:ascii="Times New Roman" w:hAnsi="Times New Roman" w:cs="Times New Roman"/>
                <w:color w:val="000000" w:themeColor="text1"/>
                <w:spacing w:val="0"/>
                <w:kern w:val="2"/>
                <w:position w:val="0"/>
                <w:sz w:val="21"/>
                <w:szCs w:val="21"/>
                <w:lang w:val="en-US" w:eastAsia="zh-CN" w:bidi="ar-SA"/>
                <w14:textFill>
                  <w14:solidFill>
                    <w14:schemeClr w14:val="tx1"/>
                  </w14:solidFill>
                </w14:textFill>
              </w:rPr>
              <w:t>h</w:t>
            </w:r>
          </w:p>
        </w:tc>
        <w:tc>
          <w:tcPr>
            <w:tcW w:w="2169" w:type="pct"/>
            <w:vMerge w:val="restart"/>
            <w:tcBorders>
              <w:tl2br w:val="nil"/>
              <w:tr2bl w:val="nil"/>
            </w:tcBorders>
            <w:noWrap w:val="0"/>
            <w:vAlign w:val="center"/>
          </w:tcPr>
          <w:p w14:paraId="41E2120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执行</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《污水综合排放标准》(GB8978-1996)表4中三级排放标准</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及</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《污水排入城镇下水道水质标准》(GB/T 31962-2015)表1中B级标准</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限值</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(即pH6~9</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(无量纲)</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COD</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0mg/L</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BOD</w:t>
            </w:r>
            <w:r>
              <w:rPr>
                <w:rFonts w:hint="default" w:ascii="Times New Roman" w:hAnsi="Times New Roman" w:eastAsia="宋体" w:cs="Times New Roman"/>
                <w:color w:val="000000" w:themeColor="text1"/>
                <w:spacing w:val="0"/>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0mg/L</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SS</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0mg/L</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石油类</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mg/L</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LAS</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mg/L</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总锌≤5.0</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mg/L</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氟化物</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mg/L</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NH</w:t>
            </w:r>
            <w:r>
              <w:rPr>
                <w:rFonts w:hint="default" w:ascii="Times New Roman" w:hAnsi="Times New Roman" w:eastAsia="宋体" w:cs="Times New Roman"/>
                <w:color w:val="000000" w:themeColor="text1"/>
                <w:spacing w:val="0"/>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-N≤</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45</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mg/L</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总磷（以P计）</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mg/L</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p>
        </w:tc>
      </w:tr>
      <w:tr w14:paraId="18505C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 w:type="pct"/>
            <w:vMerge w:val="continue"/>
            <w:tcBorders>
              <w:tl2br w:val="nil"/>
              <w:tr2bl w:val="nil"/>
            </w:tcBorders>
            <w:noWrap w:val="0"/>
            <w:vAlign w:val="center"/>
          </w:tcPr>
          <w:p w14:paraId="5334CF28">
            <w:pPr>
              <w:pStyle w:val="87"/>
              <w:keepNext w:val="0"/>
              <w:keepLines w:val="0"/>
              <w:pageBreakBefore w:val="0"/>
              <w:kinsoku/>
              <w:wordWrap/>
              <w:overflowPunct/>
              <w:topLinePunct w:val="0"/>
              <w:bidi w:val="0"/>
              <w:spacing w:before="0" w:line="240" w:lineRule="auto"/>
              <w:ind w:left="0" w:right="0"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p>
        </w:tc>
        <w:tc>
          <w:tcPr>
            <w:tcW w:w="956" w:type="pct"/>
            <w:tcBorders>
              <w:tl2br w:val="nil"/>
              <w:tr2bl w:val="nil"/>
            </w:tcBorders>
            <w:noWrap w:val="0"/>
            <w:vAlign w:val="center"/>
          </w:tcPr>
          <w:p w14:paraId="0BDE7352">
            <w:pPr>
              <w:pStyle w:val="87"/>
              <w:keepNext w:val="0"/>
              <w:keepLines w:val="0"/>
              <w:pageBreakBefore w:val="0"/>
              <w:kinsoku/>
              <w:wordWrap/>
              <w:overflowPunct/>
              <w:topLinePunct w:val="0"/>
              <w:bidi w:val="0"/>
              <w:spacing w:before="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cs="Times New Roman"/>
                <w:bCs/>
                <w:color w:val="000000" w:themeColor="text1"/>
                <w:spacing w:val="0"/>
                <w:sz w:val="21"/>
                <w:szCs w:val="21"/>
                <w14:textFill>
                  <w14:solidFill>
                    <w14:schemeClr w14:val="tx1"/>
                  </w14:solidFill>
                </w14:textFill>
              </w:rPr>
              <w:t>DW002，</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出租方</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生活</w:t>
            </w:r>
            <w:r>
              <w:rPr>
                <w:rFonts w:hint="default" w:ascii="Times New Roman" w:hAnsi="Times New Roman" w:cs="Times New Roman"/>
                <w:color w:val="000000" w:themeColor="text1"/>
                <w:spacing w:val="0"/>
                <w:sz w:val="21"/>
                <w:szCs w:val="21"/>
                <w14:textFill>
                  <w14:solidFill>
                    <w14:schemeClr w14:val="tx1"/>
                  </w14:solidFill>
                </w14:textFill>
              </w:rPr>
              <w:t>污水排</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放</w:t>
            </w:r>
            <w:r>
              <w:rPr>
                <w:rFonts w:hint="default" w:ascii="Times New Roman" w:hAnsi="Times New Roman" w:cs="Times New Roman"/>
                <w:color w:val="000000" w:themeColor="text1"/>
                <w:spacing w:val="0"/>
                <w:sz w:val="21"/>
                <w:szCs w:val="21"/>
                <w14:textFill>
                  <w14:solidFill>
                    <w14:schemeClr w14:val="tx1"/>
                  </w14:solidFill>
                </w14:textFill>
              </w:rPr>
              <w:t>口</w:t>
            </w:r>
          </w:p>
        </w:tc>
        <w:tc>
          <w:tcPr>
            <w:tcW w:w="731" w:type="pct"/>
            <w:tcBorders>
              <w:tl2br w:val="nil"/>
              <w:tr2bl w:val="nil"/>
            </w:tcBorders>
            <w:noWrap w:val="0"/>
            <w:vAlign w:val="center"/>
          </w:tcPr>
          <w:p w14:paraId="4258F322">
            <w:pPr>
              <w:pStyle w:val="87"/>
              <w:keepNext w:val="0"/>
              <w:keepLines w:val="0"/>
              <w:pageBreakBefore w:val="0"/>
              <w:kinsoku/>
              <w:wordWrap/>
              <w:overflowPunct/>
              <w:topLinePunct w:val="0"/>
              <w:bidi w:val="0"/>
              <w:spacing w:before="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Times New Roman" w:cs="Times New Roman"/>
                <w:color w:val="000000" w:themeColor="text1"/>
                <w:spacing w:val="0"/>
                <w:sz w:val="21"/>
                <w:szCs w:val="21"/>
                <w14:textFill>
                  <w14:solidFill>
                    <w14:schemeClr w14:val="tx1"/>
                  </w14:solidFill>
                </w14:textFill>
              </w:rPr>
              <w:t>pH</w:t>
            </w:r>
            <w:r>
              <w:rPr>
                <w:rFonts w:hint="default" w:ascii="Times New Roman" w:hAnsi="Times New Roman" w:cs="Times New Roman"/>
                <w:color w:val="000000" w:themeColor="text1"/>
                <w:spacing w:val="0"/>
                <w:sz w:val="21"/>
                <w:szCs w:val="21"/>
                <w14:textFill>
                  <w14:solidFill>
                    <w14:schemeClr w14:val="tx1"/>
                  </w14:solidFill>
                </w14:textFill>
              </w:rPr>
              <w:t>、</w:t>
            </w:r>
            <w:r>
              <w:rPr>
                <w:rFonts w:hint="default" w:ascii="Times New Roman" w:hAnsi="Times New Roman" w:eastAsia="Times New Roman" w:cs="Times New Roman"/>
                <w:color w:val="000000" w:themeColor="text1"/>
                <w:spacing w:val="0"/>
                <w:sz w:val="21"/>
                <w:szCs w:val="21"/>
                <w14:textFill>
                  <w14:solidFill>
                    <w14:schemeClr w14:val="tx1"/>
                  </w14:solidFill>
                </w14:textFill>
              </w:rPr>
              <w:t>COD</w:t>
            </w:r>
            <w:r>
              <w:rPr>
                <w:rFonts w:hint="default" w:ascii="Times New Roman" w:hAnsi="Times New Roman" w:cs="Times New Roman"/>
                <w:color w:val="000000" w:themeColor="text1"/>
                <w:spacing w:val="0"/>
                <w:sz w:val="21"/>
                <w:szCs w:val="21"/>
                <w14:textFill>
                  <w14:solidFill>
                    <w14:schemeClr w14:val="tx1"/>
                  </w14:solidFill>
                </w14:textFill>
              </w:rPr>
              <w:t>、</w:t>
            </w:r>
            <w:r>
              <w:rPr>
                <w:rFonts w:hint="default" w:ascii="Times New Roman" w:hAnsi="Times New Roman" w:eastAsia="Times New Roman" w:cs="Times New Roman"/>
                <w:color w:val="000000" w:themeColor="text1"/>
                <w:spacing w:val="0"/>
                <w:position w:val="0"/>
                <w:sz w:val="21"/>
                <w:szCs w:val="21"/>
                <w14:textFill>
                  <w14:solidFill>
                    <w14:schemeClr w14:val="tx1"/>
                  </w14:solidFill>
                </w14:textFill>
              </w:rPr>
              <w:t>BOD</w:t>
            </w:r>
            <w:r>
              <w:rPr>
                <w:rFonts w:hint="default" w:ascii="Times New Roman" w:hAnsi="Times New Roman" w:eastAsia="Times New Roman" w:cs="Times New Roman"/>
                <w:color w:val="000000" w:themeColor="text1"/>
                <w:spacing w:val="0"/>
                <w:sz w:val="21"/>
                <w:szCs w:val="21"/>
                <w:vertAlign w:val="subscript"/>
                <w14:textFill>
                  <w14:solidFill>
                    <w14:schemeClr w14:val="tx1"/>
                  </w14:solidFill>
                </w14:textFill>
              </w:rPr>
              <w:t>5</w:t>
            </w:r>
            <w:r>
              <w:rPr>
                <w:rFonts w:hint="default" w:ascii="Times New Roman" w:hAnsi="Times New Roman" w:cs="Times New Roman"/>
                <w:color w:val="000000" w:themeColor="text1"/>
                <w:spacing w:val="0"/>
                <w:position w:val="0"/>
                <w:sz w:val="21"/>
                <w:szCs w:val="21"/>
                <w14:textFill>
                  <w14:solidFill>
                    <w14:schemeClr w14:val="tx1"/>
                  </w14:solidFill>
                </w14:textFill>
              </w:rPr>
              <w:t>、悬浮物、</w:t>
            </w:r>
            <w:r>
              <w:rPr>
                <w:rFonts w:hint="default" w:ascii="Times New Roman" w:hAnsi="Times New Roman" w:cs="Times New Roman"/>
                <w:color w:val="000000" w:themeColor="text1"/>
                <w:spacing w:val="0"/>
                <w:sz w:val="21"/>
                <w:szCs w:val="21"/>
                <w14:textFill>
                  <w14:solidFill>
                    <w14:schemeClr w14:val="tx1"/>
                  </w14:solidFill>
                </w14:textFill>
              </w:rPr>
              <w:t>氨氮</w:t>
            </w:r>
          </w:p>
        </w:tc>
        <w:tc>
          <w:tcPr>
            <w:tcW w:w="802" w:type="pct"/>
            <w:tcBorders>
              <w:tl2br w:val="nil"/>
              <w:tr2bl w:val="nil"/>
            </w:tcBorders>
            <w:noWrap w:val="0"/>
            <w:vAlign w:val="center"/>
          </w:tcPr>
          <w:p w14:paraId="7F151B40">
            <w:pPr>
              <w:pStyle w:val="87"/>
              <w:keepNext w:val="0"/>
              <w:keepLines w:val="0"/>
              <w:pageBreakBefore w:val="0"/>
              <w:kinsoku/>
              <w:wordWrap/>
              <w:overflowPunct/>
              <w:topLinePunct w:val="0"/>
              <w:bidi w:val="0"/>
              <w:spacing w:before="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生活污水</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依托</w:t>
            </w:r>
            <w:r>
              <w:rPr>
                <w:rFonts w:hint="eastAsia" w:ascii="Times New Roman" w:hAnsi="Times New Roman" w:eastAsia="宋体" w:cs="Times New Roman"/>
                <w:smallCaps w:val="0"/>
                <w:color w:val="000000" w:themeColor="text1"/>
                <w:kern w:val="2"/>
                <w:sz w:val="21"/>
                <w:szCs w:val="21"/>
                <w:highlight w:val="none"/>
                <w:shd w:val="clear" w:color="auto" w:fill="auto"/>
                <w:lang w:val="en-US" w:eastAsia="zh-CN" w:bidi="ar-SA"/>
                <w14:textFill>
                  <w14:solidFill>
                    <w14:schemeClr w14:val="tx1"/>
                  </w14:solidFill>
                </w14:textFill>
              </w:rPr>
              <w:t>出租方化粪池</w:t>
            </w:r>
            <w:r>
              <w:rPr>
                <w:rFonts w:hint="default" w:ascii="Times New Roman" w:hAnsi="Times New Roman" w:cs="Times New Roman"/>
                <w:color w:val="000000" w:themeColor="text1"/>
                <w:spacing w:val="0"/>
                <w:sz w:val="21"/>
                <w:szCs w:val="21"/>
                <w14:textFill>
                  <w14:solidFill>
                    <w14:schemeClr w14:val="tx1"/>
                  </w14:solidFill>
                </w14:textFill>
              </w:rPr>
              <w:t>收集预处理后排入市政污水管网</w:t>
            </w:r>
          </w:p>
        </w:tc>
        <w:tc>
          <w:tcPr>
            <w:tcW w:w="2169" w:type="pct"/>
            <w:vMerge w:val="continue"/>
            <w:tcBorders>
              <w:tl2br w:val="nil"/>
              <w:tr2bl w:val="nil"/>
            </w:tcBorders>
            <w:noWrap w:val="0"/>
            <w:vAlign w:val="center"/>
          </w:tcPr>
          <w:p w14:paraId="64254BC0">
            <w:pPr>
              <w:pStyle w:val="87"/>
              <w:keepNext w:val="0"/>
              <w:keepLines w:val="0"/>
              <w:pageBreakBefore w:val="0"/>
              <w:kinsoku/>
              <w:wordWrap/>
              <w:overflowPunct/>
              <w:topLinePunct w:val="0"/>
              <w:bidi w:val="0"/>
              <w:spacing w:before="0" w:line="240" w:lineRule="auto"/>
              <w:ind w:firstLine="0" w:firstLineChars="0"/>
              <w:jc w:val="both"/>
              <w:textAlignment w:val="auto"/>
              <w:rPr>
                <w:rFonts w:hint="default" w:ascii="Times New Roman" w:hAnsi="Times New Roman" w:cs="Times New Roman"/>
                <w:color w:val="000000" w:themeColor="text1"/>
                <w:spacing w:val="0"/>
                <w:sz w:val="21"/>
                <w:szCs w:val="21"/>
                <w14:textFill>
                  <w14:solidFill>
                    <w14:schemeClr w14:val="tx1"/>
                  </w14:solidFill>
                </w14:textFill>
              </w:rPr>
            </w:pPr>
          </w:p>
        </w:tc>
      </w:tr>
      <w:tr w14:paraId="61A68F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 w:type="pct"/>
            <w:tcBorders>
              <w:tl2br w:val="nil"/>
              <w:tr2bl w:val="nil"/>
            </w:tcBorders>
            <w:noWrap w:val="0"/>
            <w:vAlign w:val="center"/>
          </w:tcPr>
          <w:p w14:paraId="504EB1A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声环境</w:t>
            </w:r>
          </w:p>
        </w:tc>
        <w:tc>
          <w:tcPr>
            <w:tcW w:w="956" w:type="pct"/>
            <w:tcBorders>
              <w:tl2br w:val="nil"/>
              <w:tr2bl w:val="nil"/>
            </w:tcBorders>
            <w:noWrap w:val="0"/>
            <w:vAlign w:val="center"/>
          </w:tcPr>
          <w:p w14:paraId="078ED39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厂界四周</w:t>
            </w:r>
            <w:r>
              <w:rPr>
                <w:rFonts w:hint="default" w:ascii="Times New Roman" w:hAnsi="Times New Roman" w:cs="Times New Roman"/>
                <w:color w:val="000000" w:themeColor="text1"/>
                <w:spacing w:val="0"/>
                <w:sz w:val="21"/>
                <w:szCs w:val="21"/>
                <w:lang w:eastAsia="zh-CN"/>
                <w14:textFill>
                  <w14:solidFill>
                    <w14:schemeClr w14:val="tx1"/>
                  </w14:solidFill>
                </w14:textFill>
              </w:rPr>
              <w:t>外</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1m</w:t>
            </w:r>
          </w:p>
        </w:tc>
        <w:tc>
          <w:tcPr>
            <w:tcW w:w="731" w:type="pct"/>
            <w:tcBorders>
              <w:tl2br w:val="nil"/>
              <w:tr2bl w:val="nil"/>
            </w:tcBorders>
            <w:noWrap w:val="0"/>
            <w:vAlign w:val="center"/>
          </w:tcPr>
          <w:p w14:paraId="4E5BC8F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highlight w:val="none"/>
                <w14:textFill>
                  <w14:solidFill>
                    <w14:schemeClr w14:val="tx1"/>
                  </w14:solidFill>
                </w14:textFill>
              </w:rPr>
              <w:t>等效A声级</w:t>
            </w:r>
          </w:p>
        </w:tc>
        <w:tc>
          <w:tcPr>
            <w:tcW w:w="802" w:type="pct"/>
            <w:tcBorders>
              <w:tl2br w:val="nil"/>
              <w:tr2bl w:val="nil"/>
            </w:tcBorders>
            <w:noWrap w:val="0"/>
            <w:vAlign w:val="center"/>
          </w:tcPr>
          <w:p w14:paraId="20B7C34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GB" w:eastAsia="zh-CN"/>
                <w14:textFill>
                  <w14:solidFill>
                    <w14:schemeClr w14:val="tx1"/>
                  </w14:solidFill>
                </w14:textFill>
              </w:rPr>
              <w:t>选用低噪声设备，加强设备维护，</w:t>
            </w:r>
            <w:r>
              <w:rPr>
                <w:rFonts w:hint="default" w:ascii="Times New Roman" w:hAnsi="Times New Roman" w:cs="Times New Roman"/>
                <w:color w:val="000000" w:themeColor="text1"/>
                <w:spacing w:val="0"/>
                <w:sz w:val="21"/>
                <w:szCs w:val="21"/>
                <w:highlight w:val="none"/>
                <w:lang w:val="en-GB"/>
                <w14:textFill>
                  <w14:solidFill>
                    <w14:schemeClr w14:val="tx1"/>
                  </w14:solidFill>
                </w14:textFill>
              </w:rPr>
              <w:t>高噪声设备设置基础减振、隔声等</w:t>
            </w:r>
          </w:p>
        </w:tc>
        <w:tc>
          <w:tcPr>
            <w:tcW w:w="2169" w:type="pct"/>
            <w:tcBorders>
              <w:tl2br w:val="nil"/>
              <w:tr2bl w:val="nil"/>
            </w:tcBorders>
            <w:noWrap w:val="0"/>
            <w:vAlign w:val="center"/>
          </w:tcPr>
          <w:p w14:paraId="3525EDC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满足</w:t>
            </w:r>
            <w:r>
              <w:rPr>
                <w:rFonts w:hint="default" w:ascii="Times New Roman" w:hAnsi="Times New Roman" w:cs="Times New Roman"/>
                <w:color w:val="000000" w:themeColor="text1"/>
                <w:spacing w:val="0"/>
                <w:sz w:val="21"/>
                <w:szCs w:val="21"/>
                <w:highlight w:val="none"/>
                <w14:textFill>
                  <w14:solidFill>
                    <w14:schemeClr w14:val="tx1"/>
                  </w14:solidFill>
                </w14:textFill>
              </w:rPr>
              <w:t>《工业企业厂界环境噪声排放标准》(GB12348-2008)中</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3类标准</w:t>
            </w:r>
            <w:r>
              <w:rPr>
                <w:rFonts w:hint="default" w:ascii="Times New Roman" w:hAnsi="Times New Roman" w:cs="Times New Roman"/>
                <w:color w:val="000000" w:themeColor="text1"/>
                <w:spacing w:val="0"/>
                <w:sz w:val="21"/>
                <w:szCs w:val="21"/>
                <w:highlight w:val="none"/>
                <w14:textFill>
                  <w14:solidFill>
                    <w14:schemeClr w14:val="tx1"/>
                  </w14:solidFill>
                </w14:textFill>
              </w:rPr>
              <w:t>(昼间≤</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65</w:t>
            </w:r>
            <w:r>
              <w:rPr>
                <w:rFonts w:hint="default" w:ascii="Times New Roman" w:hAnsi="Times New Roman" w:cs="Times New Roman"/>
                <w:color w:val="000000" w:themeColor="text1"/>
                <w:spacing w:val="0"/>
                <w:sz w:val="21"/>
                <w:szCs w:val="21"/>
                <w:highlight w:val="none"/>
                <w14:textFill>
                  <w14:solidFill>
                    <w14:schemeClr w14:val="tx1"/>
                  </w14:solidFill>
                </w14:textFill>
              </w:rPr>
              <w:t>dB(A)</w:t>
            </w:r>
            <w:r>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夜间</w:t>
            </w:r>
            <w:r>
              <w:rPr>
                <w:rFonts w:hint="default" w:ascii="Times New Roman" w:hAnsi="Times New Roman" w:cs="Times New Roman"/>
                <w:color w:val="000000" w:themeColor="text1"/>
                <w:spacing w:val="0"/>
                <w:sz w:val="21"/>
                <w:szCs w:val="21"/>
                <w:highlight w:val="none"/>
                <w14:textFill>
                  <w14:solidFill>
                    <w14:schemeClr w14:val="tx1"/>
                  </w14:solidFill>
                </w14:textFill>
              </w:rPr>
              <w:t>≤</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55</w:t>
            </w:r>
            <w:r>
              <w:rPr>
                <w:rFonts w:hint="default" w:ascii="Times New Roman" w:hAnsi="Times New Roman" w:cs="Times New Roman"/>
                <w:color w:val="000000" w:themeColor="text1"/>
                <w:spacing w:val="0"/>
                <w:sz w:val="21"/>
                <w:szCs w:val="21"/>
                <w:highlight w:val="none"/>
                <w14:textFill>
                  <w14:solidFill>
                    <w14:schemeClr w14:val="tx1"/>
                  </w14:solidFill>
                </w14:textFill>
              </w:rPr>
              <w:t>dB(A)</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w:t>
            </w:r>
          </w:p>
        </w:tc>
      </w:tr>
      <w:tr w14:paraId="0F4C10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 w:type="pct"/>
            <w:tcBorders>
              <w:tl2br w:val="nil"/>
              <w:tr2bl w:val="nil"/>
            </w:tcBorders>
            <w:noWrap w:val="0"/>
            <w:vAlign w:val="center"/>
          </w:tcPr>
          <w:p w14:paraId="7C51609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固体废物</w:t>
            </w:r>
          </w:p>
        </w:tc>
        <w:tc>
          <w:tcPr>
            <w:tcW w:w="4660" w:type="pct"/>
            <w:gridSpan w:val="4"/>
            <w:tcBorders>
              <w:tl2br w:val="nil"/>
              <w:tr2bl w:val="nil"/>
            </w:tcBorders>
            <w:noWrap w:val="0"/>
            <w:vAlign w:val="center"/>
          </w:tcPr>
          <w:p w14:paraId="1D98DEA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000000" w:themeColor="text1"/>
                <w:spacing w:val="0"/>
                <w:sz w:val="21"/>
                <w:szCs w:val="21"/>
                <w:lang w:val="en-GB"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GB"/>
                <w14:textFill>
                  <w14:solidFill>
                    <w14:schemeClr w14:val="tx1"/>
                  </w14:solidFill>
                </w14:textFill>
              </w:rPr>
              <w:t>一般工业固废：设置一般工业固废暂存间，满足《一般工业固体废物贮存和填埋污染控制标准》(GB18599-2020)相关要求；</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将滤芯除尘器和布袋除尘器收集的粉尘回收利用</w:t>
            </w:r>
            <w:r>
              <w:rPr>
                <w:rFonts w:hint="default" w:ascii="Times New Roman" w:hAnsi="Times New Roman" w:eastAsia="宋体" w:cs="Times New Roman"/>
                <w:color w:val="000000" w:themeColor="text1"/>
                <w:spacing w:val="0"/>
                <w:sz w:val="21"/>
                <w:szCs w:val="21"/>
                <w:lang w:val="en-GB"/>
                <w14:textFill>
                  <w14:solidFill>
                    <w14:schemeClr w14:val="tx1"/>
                  </w14:solidFill>
                </w14:textFill>
              </w:rPr>
              <w:t>；</w:t>
            </w:r>
            <w:r>
              <w:rPr>
                <w:rFonts w:hint="eastAsia"/>
                <w:color w:val="000000" w:themeColor="text1"/>
                <w:spacing w:val="0"/>
                <w:kern w:val="0"/>
                <w:sz w:val="21"/>
                <w:szCs w:val="21"/>
                <w:lang w:bidi="ar"/>
                <w14:textFill>
                  <w14:solidFill>
                    <w14:schemeClr w14:val="tx1"/>
                  </w14:solidFill>
                </w14:textFill>
              </w:rPr>
              <w:t>废</w:t>
            </w:r>
            <w:r>
              <w:rPr>
                <w:rFonts w:hint="default"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RO</w:t>
            </w: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膜、</w:t>
            </w:r>
            <w:r>
              <w:rPr>
                <w:rFonts w:hint="eastAsia"/>
                <w:color w:val="000000" w:themeColor="text1"/>
                <w:spacing w:val="0"/>
                <w:kern w:val="0"/>
                <w:sz w:val="21"/>
                <w:szCs w:val="21"/>
                <w:lang w:bidi="ar"/>
                <w14:textFill>
                  <w14:solidFill>
                    <w14:schemeClr w14:val="tx1"/>
                  </w14:solidFill>
                </w14:textFill>
              </w:rPr>
              <w:t>废过滤材料</w:t>
            </w:r>
            <w:r>
              <w:rPr>
                <w:rFonts w:hint="eastAsia" w:ascii="宋体" w:hAnsi="宋体" w:cs="宋体"/>
                <w:color w:val="000000" w:themeColor="text1"/>
                <w:spacing w:val="0"/>
                <w:kern w:val="0"/>
                <w:sz w:val="21"/>
                <w:szCs w:val="21"/>
                <w:lang w:bidi="ar"/>
                <w14:textFill>
                  <w14:solidFill>
                    <w14:schemeClr w14:val="tx1"/>
                  </w14:solidFill>
                </w14:textFill>
              </w:rPr>
              <w:t>交由专业回收公司处理</w:t>
            </w:r>
            <w:r>
              <w:rPr>
                <w:rFonts w:hint="eastAsia" w:ascii="宋体" w:hAnsi="宋体" w:cs="宋体"/>
                <w:color w:val="000000" w:themeColor="text1"/>
                <w:spacing w:val="0"/>
                <w:kern w:val="0"/>
                <w:sz w:val="21"/>
                <w:szCs w:val="21"/>
                <w:lang w:eastAsia="zh-CN" w:bidi="ar"/>
                <w14:textFill>
                  <w14:solidFill>
                    <w14:schemeClr w14:val="tx1"/>
                  </w14:solidFill>
                </w14:textFill>
              </w:rPr>
              <w:t>；</w:t>
            </w:r>
            <w:r>
              <w:rPr>
                <w:rFonts w:hint="eastAsia"/>
                <w:color w:val="000000" w:themeColor="text1"/>
                <w:spacing w:val="0"/>
                <w:sz w:val="21"/>
                <w:szCs w:val="21"/>
                <w:lang w:val="en-US" w:eastAsia="zh-CN"/>
                <w14:textFill>
                  <w14:solidFill>
                    <w14:schemeClr w14:val="tx1"/>
                  </w14:solidFill>
                </w14:textFill>
              </w:rPr>
              <w:t>清扫粉尘、废遮蔽膜（喷粉用）、废包装材料外售综合利用</w:t>
            </w:r>
          </w:p>
          <w:p w14:paraId="4AE695BD">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危险废物：设置</w:t>
            </w:r>
            <w:r>
              <w:rPr>
                <w:rFonts w:hint="default" w:ascii="Times New Roman" w:hAnsi="Times New Roman" w:cs="Times New Roman"/>
                <w:color w:val="000000" w:themeColor="text1"/>
                <w:spacing w:val="0"/>
                <w:sz w:val="21"/>
                <w:szCs w:val="21"/>
                <w14:textFill>
                  <w14:solidFill>
                    <w14:schemeClr w14:val="tx1"/>
                  </w14:solidFill>
                </w14:textFill>
              </w:rPr>
              <w:t>危险废物</w:t>
            </w:r>
            <w:r>
              <w:rPr>
                <w:rFonts w:hint="default" w:ascii="Times New Roman" w:hAnsi="Times New Roman" w:cs="Times New Roman"/>
                <w:color w:val="000000" w:themeColor="text1"/>
                <w:spacing w:val="0"/>
                <w:sz w:val="21"/>
                <w:szCs w:val="21"/>
                <w:lang w:eastAsia="zh-CN"/>
                <w14:textFill>
                  <w14:solidFill>
                    <w14:schemeClr w14:val="tx1"/>
                  </w14:solidFill>
                </w14:textFill>
              </w:rPr>
              <w:t>贮存</w:t>
            </w:r>
            <w:r>
              <w:rPr>
                <w:rFonts w:hint="default" w:ascii="Times New Roman" w:hAnsi="Times New Roman" w:cs="Times New Roman"/>
                <w:color w:val="000000" w:themeColor="text1"/>
                <w:spacing w:val="0"/>
                <w:sz w:val="21"/>
                <w:szCs w:val="21"/>
                <w14:textFill>
                  <w14:solidFill>
                    <w14:schemeClr w14:val="tx1"/>
                  </w14:solidFill>
                </w14:textFill>
              </w:rPr>
              <w:t>间，</w:t>
            </w:r>
            <w:r>
              <w:rPr>
                <w:rFonts w:hint="default" w:ascii="Times New Roman" w:hAnsi="Times New Roman" w:cs="Times New Roman"/>
                <w:color w:val="000000" w:themeColor="text1"/>
                <w:spacing w:val="0"/>
                <w:sz w:val="21"/>
                <w:szCs w:val="21"/>
                <w:lang w:val="en-GB"/>
                <w14:textFill>
                  <w14:solidFill>
                    <w14:schemeClr w14:val="tx1"/>
                  </w14:solidFill>
                </w14:textFill>
              </w:rPr>
              <w:t>满足《危险废物贮存污染控制标准》(GB 18597-20</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23</w:t>
            </w:r>
            <w:r>
              <w:rPr>
                <w:rFonts w:hint="default" w:ascii="Times New Roman" w:hAnsi="Times New Roman" w:cs="Times New Roman"/>
                <w:color w:val="000000" w:themeColor="text1"/>
                <w:spacing w:val="0"/>
                <w:sz w:val="21"/>
                <w:szCs w:val="21"/>
                <w:lang w:val="en-GB"/>
                <w14:textFill>
                  <w14:solidFill>
                    <w14:schemeClr w14:val="tx1"/>
                  </w14:solidFill>
                </w14:textFill>
              </w:rPr>
              <w:t>)要求</w:t>
            </w:r>
            <w:r>
              <w:rPr>
                <w:rFonts w:hint="default" w:ascii="Times New Roman" w:hAnsi="Times New Roman" w:cs="Times New Roman"/>
                <w:color w:val="000000" w:themeColor="text1"/>
                <w:spacing w:val="0"/>
                <w:sz w:val="21"/>
                <w:szCs w:val="21"/>
                <w:lang w:val="en-GB"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危险废物标识按照《危险废物识别标志设置技术规范》(HJ 1276-2022)要求进行</w:t>
            </w:r>
            <w:r>
              <w:rPr>
                <w:rFonts w:hint="default" w:ascii="Times New Roman" w:hAnsi="Times New Roman" w:eastAsia="宋体" w:cs="Times New Roman"/>
                <w:color w:val="000000" w:themeColor="text1"/>
                <w:spacing w:val="0"/>
                <w:sz w:val="21"/>
                <w:szCs w:val="21"/>
                <w:lang w:val="en-GB" w:eastAsia="zh-CN"/>
                <w14:textFill>
                  <w14:solidFill>
                    <w14:schemeClr w14:val="tx1"/>
                  </w14:solidFill>
                </w14:textFill>
              </w:rPr>
              <w:t>；</w:t>
            </w:r>
            <w:r>
              <w:rPr>
                <w:rFonts w:hint="eastAsia"/>
                <w:color w:val="000000" w:themeColor="text1"/>
                <w:spacing w:val="0"/>
                <w:sz w:val="21"/>
                <w:szCs w:val="21"/>
                <w:lang w:val="en-US" w:eastAsia="zh-CN"/>
                <w14:textFill>
                  <w14:solidFill>
                    <w14:schemeClr w14:val="tx1"/>
                  </w14:solidFill>
                </w14:textFill>
              </w:rPr>
              <w:t>废槽液更换时联系危险废物运输公司到厂区内转运处置，不在厂区内贮存</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eastAsia"/>
                <w:color w:val="000000" w:themeColor="text1"/>
                <w:spacing w:val="0"/>
                <w:sz w:val="21"/>
                <w:szCs w:val="21"/>
                <w:lang w:val="en-US" w:eastAsia="zh-CN"/>
                <w14:textFill>
                  <w14:solidFill>
                    <w14:schemeClr w14:val="tx1"/>
                  </w14:solidFill>
                </w14:textFill>
              </w:rPr>
              <w:t>废槽液、废脱漆液、</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污泥、</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废活性炭、槽渣、</w:t>
            </w:r>
            <w:r>
              <w:rPr>
                <w:rFonts w:hint="eastAsia" w:cs="Times New Roman"/>
                <w:color w:val="000000" w:themeColor="text1"/>
                <w:spacing w:val="0"/>
                <w:sz w:val="21"/>
                <w:szCs w:val="21"/>
                <w:lang w:val="en-US" w:eastAsia="zh-CN"/>
                <w14:textFill>
                  <w14:solidFill>
                    <w14:schemeClr w14:val="tx1"/>
                  </w14:solidFill>
                </w14:textFill>
              </w:rPr>
              <w:t>涂料渣、废遮蔽膜（喷胶用）、擦拭废布、</w:t>
            </w:r>
            <w:r>
              <w:rPr>
                <w:rFonts w:hint="eastAsia"/>
                <w:color w:val="000000" w:themeColor="text1"/>
                <w:spacing w:val="0"/>
                <w:kern w:val="0"/>
                <w:sz w:val="21"/>
                <w:szCs w:val="21"/>
                <w:lang w:val="en-US" w:eastAsia="zh-CN"/>
                <w14:textFill>
                  <w14:solidFill>
                    <w14:schemeClr w14:val="tx1"/>
                  </w14:solidFill>
                </w14:textFill>
              </w:rPr>
              <w:t>废超滤芯、</w:t>
            </w: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滤筒滤芯、</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浮油、</w:t>
            </w:r>
            <w:r>
              <w:rPr>
                <w:rFonts w:hint="eastAsia" w:ascii="Times New Roman" w:hAnsi="Times New Roman" w:eastAsia="宋体" w:cs="Times New Roman"/>
                <w:b w:val="0"/>
                <w:bCs w:val="0"/>
                <w:color w:val="000000" w:themeColor="text1"/>
                <w:spacing w:val="0"/>
                <w:position w:val="0"/>
                <w:sz w:val="21"/>
                <w:szCs w:val="21"/>
                <w:highlight w:val="none"/>
                <w:u w:val="none"/>
                <w:lang w:val="en-US" w:eastAsia="zh-CN"/>
                <w14:textFill>
                  <w14:solidFill>
                    <w14:schemeClr w14:val="tx1"/>
                  </w14:solidFill>
                </w14:textFill>
              </w:rPr>
              <w:t>废机油、废机油桶、危险化学品包装桶</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等危险废物</w:t>
            </w:r>
            <w:r>
              <w:rPr>
                <w:rFonts w:hint="default" w:ascii="Times New Roman" w:hAnsi="Times New Roman" w:eastAsia="宋体" w:cs="Times New Roman"/>
                <w:color w:val="000000" w:themeColor="text1"/>
                <w:spacing w:val="0"/>
                <w:sz w:val="21"/>
                <w:szCs w:val="21"/>
                <w:lang w:val="en-GB" w:eastAsia="zh-CN"/>
                <w14:textFill>
                  <w14:solidFill>
                    <w14:schemeClr w14:val="tx1"/>
                  </w14:solidFill>
                </w14:textFill>
              </w:rPr>
              <w:t>委托有资质的单位进行处置</w:t>
            </w:r>
            <w:r>
              <w:rPr>
                <w:rFonts w:hint="eastAsia" w:ascii="Times New Roman" w:hAnsi="Times New Roman" w:cs="Times New Roman"/>
                <w:color w:val="000000" w:themeColor="text1"/>
                <w:spacing w:val="0"/>
                <w:sz w:val="21"/>
                <w:szCs w:val="21"/>
                <w:lang w:eastAsia="zh-CN"/>
                <w14:textFill>
                  <w14:solidFill>
                    <w14:schemeClr w14:val="tx1"/>
                  </w14:solidFill>
                </w14:textFill>
              </w:rPr>
              <w:t>。</w:t>
            </w:r>
          </w:p>
          <w:p w14:paraId="1C1C17AC">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sz w:val="21"/>
                <w:szCs w:val="21"/>
                <w:lang w:eastAsia="zh-CN"/>
                <w14:textFill>
                  <w14:solidFill>
                    <w14:schemeClr w14:val="tx1"/>
                  </w14:solidFill>
                </w14:textFill>
              </w:rPr>
              <w:t>生活垃圾：</w:t>
            </w:r>
            <w:r>
              <w:rPr>
                <w:rFonts w:hint="default" w:ascii="Times New Roman" w:hAnsi="Times New Roman" w:cs="Times New Roman"/>
                <w:color w:val="000000" w:themeColor="text1"/>
                <w:spacing w:val="0"/>
                <w:sz w:val="21"/>
                <w:szCs w:val="21"/>
                <w14:textFill>
                  <w14:solidFill>
                    <w14:schemeClr w14:val="tx1"/>
                  </w14:solidFill>
                </w14:textFill>
              </w:rPr>
              <w:t>由垃圾桶收集，由市政环卫部门统一清运处理</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项目生活垃圾</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参照</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《城市环境卫生设施规划标准》</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GB/T 50337-2018</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中的要求进行综合利用和处置。</w:t>
            </w:r>
          </w:p>
        </w:tc>
      </w:tr>
      <w:tr w14:paraId="419434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 w:type="pct"/>
            <w:tcBorders>
              <w:tl2br w:val="nil"/>
              <w:tr2bl w:val="nil"/>
            </w:tcBorders>
            <w:noWrap w:val="0"/>
            <w:vAlign w:val="center"/>
          </w:tcPr>
          <w:p w14:paraId="7D4051D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土壤及地下水污染防治措施</w:t>
            </w:r>
          </w:p>
        </w:tc>
        <w:tc>
          <w:tcPr>
            <w:tcW w:w="4660" w:type="pct"/>
            <w:gridSpan w:val="4"/>
            <w:tcBorders>
              <w:tl2br w:val="nil"/>
              <w:tr2bl w:val="nil"/>
            </w:tcBorders>
            <w:noWrap w:val="0"/>
            <w:vAlign w:val="center"/>
          </w:tcPr>
          <w:p w14:paraId="226B16DA">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default" w:ascii="Times New Roman" w:hAnsi="Times New Roman" w:cs="Times New Roman"/>
                <w:color w:val="000000" w:themeColor="text1"/>
                <w:spacing w:val="0"/>
                <w:sz w:val="21"/>
                <w:szCs w:val="21"/>
                <w:lang w:eastAsia="zh-CN"/>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合理进行防渗区域划分</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eastAsia" w:cs="Times New Roman"/>
                <w:color w:val="000000" w:themeColor="text1"/>
                <w:spacing w:val="0"/>
                <w:sz w:val="21"/>
                <w:szCs w:val="21"/>
                <w:lang w:eastAsia="zh-CN"/>
                <w14:textFill>
                  <w14:solidFill>
                    <w14:schemeClr w14:val="tx1"/>
                  </w14:solidFill>
                </w14:textFill>
              </w:rPr>
              <w:t>危险废物贮存间、</w:t>
            </w:r>
            <w:r>
              <w:rPr>
                <w:rFonts w:hint="eastAsia"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t>化学品仓库、生产车间前处理区和电泳区、</w:t>
            </w:r>
            <w:r>
              <w:rPr>
                <w:rFonts w:hint="eastAsia" w:cs="Times New Roman"/>
                <w:color w:val="000000" w:themeColor="text1"/>
                <w:spacing w:val="0"/>
                <w:kern w:val="0"/>
                <w:position w:val="0"/>
                <w:sz w:val="21"/>
                <w:szCs w:val="21"/>
                <w:highlight w:val="none"/>
                <w:u w:val="none"/>
                <w:lang w:val="en-US" w:eastAsia="zh-CN" w:bidi="he-IL"/>
                <w14:textFill>
                  <w14:solidFill>
                    <w14:schemeClr w14:val="tx1"/>
                  </w14:solidFill>
                </w14:textFill>
              </w:rPr>
              <w:t>钝化区、生产</w:t>
            </w:r>
            <w:r>
              <w:rPr>
                <w:rFonts w:hint="eastAsia"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t>废水收集池</w:t>
            </w:r>
            <w:r>
              <w:rPr>
                <w:rFonts w:hint="eastAsia" w:cs="Times New Roman"/>
                <w:color w:val="000000" w:themeColor="text1"/>
                <w:spacing w:val="0"/>
                <w:kern w:val="0"/>
                <w:position w:val="0"/>
                <w:sz w:val="21"/>
                <w:szCs w:val="21"/>
                <w:highlight w:val="none"/>
                <w:u w:val="none"/>
                <w:lang w:val="en-US" w:eastAsia="zh-CN" w:bidi="he-IL"/>
                <w14:textFill>
                  <w14:solidFill>
                    <w14:schemeClr w14:val="tx1"/>
                  </w14:solidFill>
                </w14:textFill>
              </w:rPr>
              <w:t>、生产废水处理站</w:t>
            </w:r>
            <w:r>
              <w:rPr>
                <w:rFonts w:hint="default" w:ascii="Times New Roman" w:hAnsi="Times New Roman" w:cs="Times New Roman"/>
                <w:color w:val="000000" w:themeColor="text1"/>
                <w:spacing w:val="0"/>
                <w:sz w:val="21"/>
                <w:szCs w:val="21"/>
                <w:lang w:eastAsia="zh-CN"/>
                <w14:textFill>
                  <w14:solidFill>
                    <w14:schemeClr w14:val="tx1"/>
                  </w14:solidFill>
                </w14:textFill>
              </w:rPr>
              <w:t>按</w:t>
            </w:r>
            <w:r>
              <w:rPr>
                <w:rFonts w:hint="default" w:ascii="Times New Roman" w:hAnsi="Times New Roman" w:cs="Times New Roman"/>
                <w:color w:val="000000" w:themeColor="text1"/>
                <w:spacing w:val="0"/>
                <w:sz w:val="21"/>
                <w:szCs w:val="21"/>
                <w14:textFill>
                  <w14:solidFill>
                    <w14:schemeClr w14:val="tx1"/>
                  </w14:solidFill>
                </w14:textFill>
              </w:rPr>
              <w:t>重点污染区防渗要求</w:t>
            </w:r>
            <w:r>
              <w:rPr>
                <w:rFonts w:hint="default" w:ascii="Times New Roman" w:hAnsi="Times New Roman" w:cs="Times New Roman"/>
                <w:color w:val="000000" w:themeColor="text1"/>
                <w:spacing w:val="0"/>
                <w:sz w:val="21"/>
                <w:szCs w:val="21"/>
                <w:lang w:eastAsia="zh-CN"/>
                <w14:textFill>
                  <w14:solidFill>
                    <w14:schemeClr w14:val="tx1"/>
                  </w14:solidFill>
                </w14:textFill>
              </w:rPr>
              <w:t>进行建设；</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生产</w:t>
            </w:r>
            <w:r>
              <w:rPr>
                <w:rFonts w:hint="default" w:ascii="Times New Roman" w:hAnsi="Times New Roman" w:cs="Times New Roman"/>
                <w:color w:val="000000" w:themeColor="text1"/>
                <w:spacing w:val="0"/>
                <w:sz w:val="21"/>
                <w:szCs w:val="21"/>
                <w14:textFill>
                  <w14:solidFill>
                    <w14:schemeClr w14:val="tx1"/>
                  </w14:solidFill>
                </w14:textFill>
              </w:rPr>
              <w:t>车间</w:t>
            </w:r>
            <w:r>
              <w:rPr>
                <w:rFonts w:hint="eastAsia"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t>除前处理区、</w:t>
            </w:r>
            <w:r>
              <w:rPr>
                <w:rFonts w:hint="eastAsia" w:cs="Times New Roman"/>
                <w:color w:val="000000" w:themeColor="text1"/>
                <w:spacing w:val="0"/>
                <w:kern w:val="0"/>
                <w:position w:val="0"/>
                <w:sz w:val="21"/>
                <w:szCs w:val="21"/>
                <w:highlight w:val="none"/>
                <w:u w:val="none"/>
                <w:lang w:val="en-US" w:eastAsia="zh-CN" w:bidi="he-IL"/>
                <w14:textFill>
                  <w14:solidFill>
                    <w14:schemeClr w14:val="tx1"/>
                  </w14:solidFill>
                </w14:textFill>
              </w:rPr>
              <w:t>钝化区</w:t>
            </w:r>
            <w:r>
              <w:rPr>
                <w:rFonts w:hint="eastAsia"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t>和电泳区外的其他</w:t>
            </w:r>
            <w:r>
              <w:rPr>
                <w:rFonts w:hint="eastAsia" w:ascii="Times New Roman" w:hAnsi="Times New Roman" w:eastAsia="宋体" w:cs="Times New Roman"/>
                <w:color w:val="000000" w:themeColor="text1"/>
                <w:spacing w:val="0"/>
                <w:kern w:val="0"/>
                <w:position w:val="0"/>
                <w:sz w:val="21"/>
                <w:szCs w:val="21"/>
                <w:highlight w:val="none"/>
                <w:u w:val="none"/>
                <w:lang w:val="en-US" w:eastAsia="zh-CN" w:bidi="he-IL"/>
                <w14:textFill>
                  <w14:solidFill>
                    <w14:schemeClr w14:val="tx1"/>
                  </w14:solidFill>
                </w14:textFill>
              </w:rPr>
              <w:t>生产区域</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eastAsia" w:cs="Times New Roman"/>
                <w:color w:val="000000" w:themeColor="text1"/>
                <w:spacing w:val="0"/>
                <w:sz w:val="21"/>
                <w:szCs w:val="21"/>
                <w:lang w:val="en-US" w:eastAsia="zh-CN"/>
                <w14:textFill>
                  <w14:solidFill>
                    <w14:schemeClr w14:val="tx1"/>
                  </w14:solidFill>
                </w14:textFill>
              </w:rPr>
              <w:t>生产车间内污水管道（</w:t>
            </w:r>
            <w:r>
              <w:rPr>
                <w:rFonts w:hint="default" w:ascii="Times New Roman" w:hAnsi="Times New Roman" w:cs="Times New Roman"/>
                <w:color w:val="000000" w:themeColor="text1"/>
                <w:spacing w:val="0"/>
                <w:kern w:val="0"/>
                <w:sz w:val="21"/>
                <w:szCs w:val="21"/>
                <w14:textFill>
                  <w14:solidFill>
                    <w14:schemeClr w14:val="tx1"/>
                  </w14:solidFill>
                </w14:textFill>
              </w:rPr>
              <w:t>明管</w:t>
            </w:r>
            <w:r>
              <w:rPr>
                <w:rFonts w:hint="eastAsia"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0"/>
                <w:sz w:val="21"/>
                <w:szCs w:val="21"/>
                <w14:textFill>
                  <w14:solidFill>
                    <w14:schemeClr w14:val="tx1"/>
                  </w14:solidFill>
                </w14:textFill>
              </w:rPr>
              <w:t>、</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喷淋装置区、</w:t>
            </w:r>
            <w:r>
              <w:rPr>
                <w:rFonts w:hint="default" w:ascii="Times New Roman" w:hAnsi="Times New Roman" w:cs="Times New Roman"/>
                <w:color w:val="000000" w:themeColor="text1"/>
                <w:spacing w:val="0"/>
                <w:sz w:val="21"/>
                <w:szCs w:val="21"/>
                <w14:textFill>
                  <w14:solidFill>
                    <w14:schemeClr w14:val="tx1"/>
                  </w14:solidFill>
                </w14:textFill>
              </w:rPr>
              <w:t>一般</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工业</w:t>
            </w:r>
            <w:r>
              <w:rPr>
                <w:rFonts w:hint="default" w:ascii="Times New Roman" w:hAnsi="Times New Roman" w:cs="Times New Roman"/>
                <w:color w:val="000000" w:themeColor="text1"/>
                <w:spacing w:val="0"/>
                <w:sz w:val="21"/>
                <w:szCs w:val="21"/>
                <w14:textFill>
                  <w14:solidFill>
                    <w14:schemeClr w14:val="tx1"/>
                  </w14:solidFill>
                </w14:textFill>
              </w:rPr>
              <w:t>固废暂存</w:t>
            </w:r>
            <w:r>
              <w:rPr>
                <w:rFonts w:hint="eastAsia" w:ascii="Times New Roman" w:hAnsi="Times New Roman" w:cs="Times New Roman"/>
                <w:color w:val="000000" w:themeColor="text1"/>
                <w:spacing w:val="0"/>
                <w:kern w:val="0"/>
                <w:position w:val="0"/>
                <w:sz w:val="21"/>
                <w:szCs w:val="21"/>
                <w:highlight w:val="none"/>
                <w:u w:val="none"/>
                <w:lang w:val="en-US" w:eastAsia="zh-CN" w:bidi="he-IL"/>
                <w14:textFill>
                  <w14:solidFill>
                    <w14:schemeClr w14:val="tx1"/>
                  </w14:solidFill>
                </w14:textFill>
              </w:rPr>
              <w:t>仓库</w:t>
            </w:r>
            <w:r>
              <w:rPr>
                <w:rFonts w:hint="default" w:ascii="Times New Roman" w:hAnsi="Times New Roman" w:cs="Times New Roman"/>
                <w:color w:val="000000" w:themeColor="text1"/>
                <w:spacing w:val="0"/>
                <w:sz w:val="21"/>
                <w:szCs w:val="21"/>
                <w:lang w:eastAsia="zh-CN"/>
                <w14:textFill>
                  <w14:solidFill>
                    <w14:schemeClr w14:val="tx1"/>
                  </w14:solidFill>
                </w14:textFill>
              </w:rPr>
              <w:t>等按</w:t>
            </w:r>
            <w:r>
              <w:rPr>
                <w:rFonts w:hint="default" w:ascii="Times New Roman" w:hAnsi="Times New Roman" w:cs="Times New Roman"/>
                <w:color w:val="000000" w:themeColor="text1"/>
                <w:spacing w:val="0"/>
                <w:sz w:val="21"/>
                <w:szCs w:val="21"/>
                <w14:textFill>
                  <w14:solidFill>
                    <w14:schemeClr w14:val="tx1"/>
                  </w14:solidFill>
                </w14:textFill>
              </w:rPr>
              <w:t>一般污染区防渗要求</w:t>
            </w:r>
            <w:r>
              <w:rPr>
                <w:rFonts w:hint="default" w:ascii="Times New Roman" w:hAnsi="Times New Roman" w:cs="Times New Roman"/>
                <w:color w:val="000000" w:themeColor="text1"/>
                <w:spacing w:val="0"/>
                <w:sz w:val="21"/>
                <w:szCs w:val="21"/>
                <w:lang w:eastAsia="zh-CN"/>
                <w14:textFill>
                  <w14:solidFill>
                    <w14:schemeClr w14:val="tx1"/>
                  </w14:solidFill>
                </w14:textFill>
              </w:rPr>
              <w:t>进行建设，</w:t>
            </w:r>
            <w:r>
              <w:rPr>
                <w:rFonts w:hint="default" w:ascii="Times New Roman" w:hAnsi="Times New Roman" w:cs="Times New Roman"/>
                <w:color w:val="000000" w:themeColor="text1"/>
                <w:spacing w:val="0"/>
                <w:sz w:val="21"/>
                <w:szCs w:val="21"/>
                <w14:textFill>
                  <w14:solidFill>
                    <w14:schemeClr w14:val="tx1"/>
                  </w14:solidFill>
                </w14:textFill>
              </w:rPr>
              <w:t>且具有防雨、防渗、防风、防日晒</w:t>
            </w:r>
            <w:r>
              <w:rPr>
                <w:rFonts w:hint="default" w:ascii="Times New Roman" w:hAnsi="Times New Roman" w:cs="Times New Roman"/>
                <w:color w:val="000000" w:themeColor="text1"/>
                <w:spacing w:val="0"/>
                <w:sz w:val="21"/>
                <w:szCs w:val="21"/>
                <w:lang w:eastAsia="zh-CN"/>
                <w14:textFill>
                  <w14:solidFill>
                    <w14:schemeClr w14:val="tx1"/>
                  </w14:solidFill>
                </w14:textFill>
              </w:rPr>
              <w:t>等</w:t>
            </w:r>
            <w:r>
              <w:rPr>
                <w:rFonts w:hint="default" w:ascii="Times New Roman" w:hAnsi="Times New Roman" w:cs="Times New Roman"/>
                <w:color w:val="000000" w:themeColor="text1"/>
                <w:spacing w:val="0"/>
                <w:sz w:val="21"/>
                <w:szCs w:val="21"/>
                <w14:textFill>
                  <w14:solidFill>
                    <w14:schemeClr w14:val="tx1"/>
                  </w14:solidFill>
                </w14:textFill>
              </w:rPr>
              <w:t>功能</w:t>
            </w:r>
            <w:r>
              <w:rPr>
                <w:rFonts w:hint="default" w:ascii="Times New Roman" w:hAnsi="Times New Roman" w:cs="Times New Roman"/>
                <w:color w:val="000000" w:themeColor="text1"/>
                <w:spacing w:val="0"/>
                <w:sz w:val="21"/>
                <w:szCs w:val="21"/>
                <w:lang w:eastAsia="zh-CN"/>
                <w14:textFill>
                  <w14:solidFill>
                    <w14:schemeClr w14:val="tx1"/>
                  </w14:solidFill>
                </w14:textFill>
              </w:rPr>
              <w:t>。</w:t>
            </w:r>
          </w:p>
        </w:tc>
      </w:tr>
      <w:tr w14:paraId="42F16E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 w:type="pct"/>
            <w:tcBorders>
              <w:tl2br w:val="nil"/>
              <w:tr2bl w:val="nil"/>
            </w:tcBorders>
            <w:noWrap w:val="0"/>
            <w:vAlign w:val="center"/>
          </w:tcPr>
          <w:p w14:paraId="05607E6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14:textFill>
                  <w14:solidFill>
                    <w14:schemeClr w14:val="tx1"/>
                  </w14:solidFill>
                </w14:textFill>
              </w:rPr>
              <w:t>生态保护措施</w:t>
            </w:r>
          </w:p>
        </w:tc>
        <w:tc>
          <w:tcPr>
            <w:tcW w:w="4660" w:type="pct"/>
            <w:gridSpan w:val="4"/>
            <w:tcBorders>
              <w:tl2br w:val="nil"/>
              <w:tr2bl w:val="nil"/>
            </w:tcBorders>
            <w:noWrap w:val="0"/>
            <w:vAlign w:val="center"/>
          </w:tcPr>
          <w:p w14:paraId="4AF49A4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pacing w:val="0"/>
                <w:sz w:val="21"/>
                <w:szCs w:val="21"/>
                <w:lang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无</w:t>
            </w:r>
          </w:p>
        </w:tc>
      </w:tr>
      <w:tr w14:paraId="254BBD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 w:type="pct"/>
            <w:tcBorders>
              <w:tl2br w:val="nil"/>
              <w:tr2bl w:val="nil"/>
            </w:tcBorders>
            <w:noWrap w:val="0"/>
            <w:vAlign w:val="center"/>
          </w:tcPr>
          <w:p w14:paraId="4FE1625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环境</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风</w:t>
            </w:r>
            <w:r>
              <w:rPr>
                <w:rFonts w:hint="default" w:ascii="Times New Roman" w:hAnsi="Times New Roman" w:eastAsia="宋体" w:cs="Times New Roman"/>
                <w:color w:val="000000" w:themeColor="text1"/>
                <w:spacing w:val="0"/>
                <w:sz w:val="21"/>
                <w:szCs w:val="21"/>
                <w14:textFill>
                  <w14:solidFill>
                    <w14:schemeClr w14:val="tx1"/>
                  </w14:solidFill>
                </w14:textFill>
              </w:rPr>
              <w:t>险防范措施</w:t>
            </w:r>
          </w:p>
        </w:tc>
        <w:tc>
          <w:tcPr>
            <w:tcW w:w="4660" w:type="pct"/>
            <w:gridSpan w:val="4"/>
            <w:tcBorders>
              <w:tl2br w:val="nil"/>
              <w:tr2bl w:val="nil"/>
            </w:tcBorders>
            <w:noWrap w:val="0"/>
            <w:vAlign w:val="center"/>
          </w:tcPr>
          <w:p w14:paraId="1B7170EF">
            <w:pPr>
              <w:pStyle w:val="141"/>
              <w:numPr>
                <w:ilvl w:val="0"/>
                <w:numId w:val="0"/>
              </w:numPr>
              <w:ind w:left="0" w:leftChars="0" w:firstLine="0" w:firstLineChars="0"/>
              <w:jc w:val="left"/>
              <w:rPr>
                <w:rFonts w:hint="default" w:ascii="Times New Roman" w:hAnsi="Times New Roman" w:cs="Times New Roman"/>
                <w:color w:val="000000" w:themeColor="text1"/>
                <w:spacing w:val="0"/>
                <w:sz w:val="21"/>
                <w:szCs w:val="21"/>
                <w:lang w:eastAsia="zh-CN"/>
                <w14:textFill>
                  <w14:solidFill>
                    <w14:schemeClr w14:val="tx1"/>
                  </w14:solidFill>
                </w14:textFill>
              </w:rPr>
            </w:pPr>
            <w:r>
              <w:rPr>
                <w:rFonts w:hint="eastAsia" w:ascii="Times New Roman" w:hAnsi="Times New Roman" w:eastAsia="宋体"/>
                <w:snapToGrid w:val="0"/>
                <w:color w:val="000000" w:themeColor="text1"/>
                <w:spacing w:val="0"/>
                <w:lang w:eastAsia="zh-CN"/>
                <w14:textFill>
                  <w14:solidFill>
                    <w14:schemeClr w14:val="tx1"/>
                  </w14:solidFill>
                </w14:textFill>
              </w:rPr>
              <w:t>危险废物贮存</w:t>
            </w:r>
            <w:r>
              <w:rPr>
                <w:rFonts w:hint="eastAsia" w:ascii="Times New Roman" w:hAnsi="Times New Roman" w:eastAsia="宋体"/>
                <w:snapToGrid w:val="0"/>
                <w:color w:val="000000" w:themeColor="text1"/>
                <w:spacing w:val="0"/>
                <w:lang w:val="en-US" w:eastAsia="zh-CN"/>
                <w14:textFill>
                  <w14:solidFill>
                    <w14:schemeClr w14:val="tx1"/>
                  </w14:solidFill>
                </w14:textFill>
              </w:rPr>
              <w:t>间</w:t>
            </w:r>
            <w:r>
              <w:rPr>
                <w:rFonts w:hint="eastAsia" w:ascii="Times New Roman" w:hAnsi="Times New Roman" w:eastAsia="宋体"/>
                <w:snapToGrid w:val="0"/>
                <w:color w:val="000000" w:themeColor="text1"/>
                <w:spacing w:val="0"/>
                <w:lang w:eastAsia="zh-CN"/>
                <w14:textFill>
                  <w14:solidFill>
                    <w14:schemeClr w14:val="tx1"/>
                  </w14:solidFill>
                </w14:textFill>
              </w:rPr>
              <w:t>、化学品仓库四周设置导流沟槽、</w:t>
            </w:r>
            <w:r>
              <w:rPr>
                <w:rFonts w:hint="eastAsia" w:ascii="Times New Roman" w:hAnsi="Times New Roman" w:eastAsia="宋体"/>
                <w:snapToGrid w:val="0"/>
                <w:color w:val="000000" w:themeColor="text1"/>
                <w:spacing w:val="0"/>
                <w:lang w:val="en-US" w:eastAsia="zh-CN"/>
                <w14:textFill>
                  <w14:solidFill>
                    <w14:schemeClr w14:val="tx1"/>
                  </w14:solidFill>
                </w14:textFill>
              </w:rPr>
              <w:t>围堰和收集池</w:t>
            </w:r>
            <w:r>
              <w:rPr>
                <w:rFonts w:hint="eastAsia" w:ascii="Times New Roman" w:hAnsi="Times New Roman" w:eastAsia="宋体"/>
                <w:snapToGrid w:val="0"/>
                <w:color w:val="000000" w:themeColor="text1"/>
                <w:spacing w:val="0"/>
                <w:lang w:eastAsia="zh-CN"/>
                <w14:textFill>
                  <w14:solidFill>
                    <w14:schemeClr w14:val="tx1"/>
                  </w14:solidFill>
                </w14:textFill>
              </w:rPr>
              <w:t>，</w:t>
            </w:r>
            <w:r>
              <w:rPr>
                <w:rFonts w:hint="eastAsia" w:ascii="Times New Roman" w:hAnsi="Times New Roman" w:eastAsia="宋体"/>
                <w:snapToGrid w:val="0"/>
                <w:color w:val="000000" w:themeColor="text1"/>
                <w:spacing w:val="0"/>
                <w:lang w:val="en-US" w:eastAsia="zh-CN"/>
                <w14:textFill>
                  <w14:solidFill>
                    <w14:schemeClr w14:val="tx1"/>
                  </w14:solidFill>
                </w14:textFill>
              </w:rPr>
              <w:t>前处理</w:t>
            </w:r>
            <w:r>
              <w:rPr>
                <w:rFonts w:hint="eastAsia" w:ascii="Times New Roman" w:hAnsi="Times New Roman" w:eastAsia="宋体" w:cs="Times New Roman"/>
                <w:snapToGrid w:val="0"/>
                <w:color w:val="000000" w:themeColor="text1"/>
                <w:spacing w:val="0"/>
                <w:lang w:val="en-US" w:eastAsia="zh-CN"/>
                <w14:textFill>
                  <w14:solidFill>
                    <w14:schemeClr w14:val="tx1"/>
                  </w14:solidFill>
                </w14:textFill>
              </w:rPr>
              <w:t>、钝化区和电泳槽</w:t>
            </w:r>
            <w:r>
              <w:rPr>
                <w:rFonts w:hint="eastAsia" w:ascii="Times New Roman" w:hAnsi="Times New Roman" w:eastAsia="宋体" w:cs="Times New Roman"/>
                <w:snapToGrid w:val="0"/>
                <w:color w:val="000000" w:themeColor="text1"/>
                <w:spacing w:val="0"/>
                <w:lang w:eastAsia="zh-CN"/>
                <w14:textFill>
                  <w14:solidFill>
                    <w14:schemeClr w14:val="tx1"/>
                  </w14:solidFill>
                </w14:textFill>
              </w:rPr>
              <w:t>四周设置导流沟槽、</w:t>
            </w:r>
            <w:r>
              <w:rPr>
                <w:rFonts w:hint="eastAsia" w:ascii="Times New Roman" w:hAnsi="Times New Roman" w:eastAsia="宋体" w:cs="Times New Roman"/>
                <w:snapToGrid w:val="0"/>
                <w:color w:val="000000" w:themeColor="text1"/>
                <w:spacing w:val="0"/>
                <w:lang w:val="en-US" w:eastAsia="zh-CN"/>
                <w14:textFill>
                  <w14:solidFill>
                    <w14:schemeClr w14:val="tx1"/>
                  </w14:solidFill>
                </w14:textFill>
              </w:rPr>
              <w:t>围堰</w:t>
            </w:r>
            <w:r>
              <w:rPr>
                <w:rFonts w:hint="eastAsia" w:ascii="Times New Roman" w:hAnsi="Times New Roman" w:eastAsia="宋体" w:cs="Times New Roman"/>
                <w:snapToGrid w:val="0"/>
                <w:color w:val="000000" w:themeColor="text1"/>
                <w:spacing w:val="0"/>
                <w:lang w:eastAsia="zh-CN"/>
                <w14:textFill>
                  <w14:solidFill>
                    <w14:schemeClr w14:val="tx1"/>
                  </w14:solidFill>
                </w14:textFill>
              </w:rPr>
              <w:t>；定期对设施、管道进行检修及维护保养；定期更换废气处</w:t>
            </w:r>
            <w:r>
              <w:rPr>
                <w:rFonts w:hint="eastAsia" w:ascii="Times New Roman" w:hAnsi="Times New Roman" w:eastAsia="宋体"/>
                <w:snapToGrid w:val="0"/>
                <w:color w:val="000000" w:themeColor="text1"/>
                <w:spacing w:val="0"/>
                <w:lang w:eastAsia="zh-CN"/>
                <w14:textFill>
                  <w14:solidFill>
                    <w14:schemeClr w14:val="tx1"/>
                  </w14:solidFill>
                </w14:textFill>
              </w:rPr>
              <w:t>理设施内过滤吸附介质（活性炭），</w:t>
            </w:r>
            <w:r>
              <w:rPr>
                <w:rFonts w:hint="eastAsia" w:ascii="Times New Roman" w:hAnsi="Times New Roman" w:eastAsia="宋体"/>
                <w:snapToGrid w:val="0"/>
                <w:color w:val="000000" w:themeColor="text1"/>
                <w:spacing w:val="0"/>
                <w:lang w:val="en-US" w:eastAsia="zh-CN"/>
                <w14:textFill>
                  <w14:solidFill>
                    <w14:schemeClr w14:val="tx1"/>
                  </w14:solidFill>
                </w14:textFill>
              </w:rPr>
              <w:t>定期排放喷淋废水</w:t>
            </w:r>
            <w:r>
              <w:rPr>
                <w:rFonts w:hint="eastAsia" w:ascii="Times New Roman" w:hAnsi="Times New Roman" w:eastAsia="宋体"/>
                <w:snapToGrid w:val="0"/>
                <w:color w:val="000000" w:themeColor="text1"/>
                <w:spacing w:val="0"/>
                <w:lang w:eastAsia="zh-CN"/>
                <w14:textFill>
                  <w14:solidFill>
                    <w14:schemeClr w14:val="tx1"/>
                  </w14:solidFill>
                </w14:textFill>
              </w:rPr>
              <w:t>；各生产岗位制定严格的操作规程和注意事项；设置警示标识等，</w:t>
            </w:r>
            <w:r>
              <w:rPr>
                <w:rFonts w:hint="eastAsia" w:ascii="Times New Roman" w:hAnsi="Times New Roman" w:eastAsia="宋体"/>
                <w:snapToGrid w:val="0"/>
                <w:color w:val="000000" w:themeColor="text1"/>
                <w:spacing w:val="0"/>
                <w14:textFill>
                  <w14:solidFill>
                    <w14:schemeClr w14:val="tx1"/>
                  </w14:solidFill>
                </w14:textFill>
              </w:rPr>
              <w:t>厂区内严禁烟火，严格动火审批制度</w:t>
            </w:r>
            <w:r>
              <w:rPr>
                <w:rFonts w:hint="eastAsia" w:ascii="Times New Roman" w:hAnsi="Times New Roman" w:eastAsia="宋体" w:cs="Times New Roman"/>
                <w:snapToGrid w:val="0"/>
                <w:color w:val="000000" w:themeColor="text1"/>
                <w:lang w:val="en-US" w:eastAsia="zh-CN"/>
                <w14:textFill>
                  <w14:solidFill>
                    <w14:schemeClr w14:val="tx1"/>
                  </w14:solidFill>
                </w14:textFill>
              </w:rPr>
              <w:t>。定期进行防火安全检查。配备相应的应急物资(沙袋、吸油毡等)、雨水总排放口设置阀门控制、265m</w:t>
            </w:r>
            <w:r>
              <w:rPr>
                <w:rFonts w:hint="eastAsia" w:ascii="Times New Roman" w:hAnsi="Times New Roman" w:eastAsia="宋体" w:cs="Times New Roman"/>
                <w:snapToGrid w:val="0"/>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lang w:val="en-US" w:eastAsia="zh-CN"/>
                <w14:textFill>
                  <w14:solidFill>
                    <w14:schemeClr w14:val="tx1"/>
                  </w14:solidFill>
                </w14:textFill>
              </w:rPr>
              <w:t>应急池。</w:t>
            </w:r>
            <w:r>
              <w:rPr>
                <w:rFonts w:hint="eastAsia" w:eastAsia="宋体"/>
                <w:snapToGrid w:val="0"/>
                <w:color w:val="000000" w:themeColor="text1"/>
                <w:lang w:val="en-US" w:eastAsia="zh-CN"/>
                <w14:textFill>
                  <w14:solidFill>
                    <w14:schemeClr w14:val="tx1"/>
                  </w14:solidFill>
                </w14:textFill>
              </w:rPr>
              <w:t>修订应急预案并报主管部门备案</w:t>
            </w:r>
            <w:r>
              <w:rPr>
                <w:rFonts w:hint="eastAsia" w:ascii="Times New Roman" w:hAnsi="Times New Roman" w:eastAsia="宋体"/>
                <w:snapToGrid w:val="0"/>
                <w:color w:val="000000" w:themeColor="text1"/>
                <w14:textFill>
                  <w14:solidFill>
                    <w14:schemeClr w14:val="tx1"/>
                  </w14:solidFill>
                </w14:textFill>
              </w:rPr>
              <w:t>。</w:t>
            </w:r>
          </w:p>
        </w:tc>
      </w:tr>
      <w:tr w14:paraId="68D3E4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9" w:type="pct"/>
            <w:tcBorders>
              <w:tl2br w:val="nil"/>
              <w:tr2bl w:val="nil"/>
            </w:tcBorders>
            <w:noWrap w:val="0"/>
            <w:vAlign w:val="center"/>
          </w:tcPr>
          <w:p w14:paraId="7A6EFC6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其他环境管理要求</w:t>
            </w:r>
          </w:p>
        </w:tc>
        <w:tc>
          <w:tcPr>
            <w:tcW w:w="4660" w:type="pct"/>
            <w:gridSpan w:val="4"/>
            <w:tcBorders>
              <w:tl2br w:val="nil"/>
              <w:tr2bl w:val="nil"/>
            </w:tcBorders>
            <w:noWrap w:val="0"/>
            <w:vAlign w:val="center"/>
          </w:tcPr>
          <w:p w14:paraId="540CAF89">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b/>
                <w:bCs/>
                <w:color w:val="000000" w:themeColor="text1"/>
                <w:spacing w:val="0"/>
                <w:lang w:val="en-US" w:eastAsia="zh-CN"/>
                <w14:textFill>
                  <w14:solidFill>
                    <w14:schemeClr w14:val="tx1"/>
                  </w14:solidFill>
                </w14:textFill>
              </w:rPr>
            </w:pPr>
            <w:r>
              <w:rPr>
                <w:rFonts w:hint="default" w:ascii="Times New Roman" w:hAnsi="Times New Roman" w:eastAsia="宋体"/>
                <w:b/>
                <w:bCs/>
                <w:color w:val="000000" w:themeColor="text1"/>
                <w:spacing w:val="0"/>
                <w:lang w:val="en-US" w:eastAsia="zh-CN"/>
                <w14:textFill>
                  <w14:solidFill>
                    <w14:schemeClr w14:val="tx1"/>
                  </w14:solidFill>
                </w14:textFill>
              </w:rPr>
              <w:t>1、</w:t>
            </w:r>
            <w:r>
              <w:rPr>
                <w:rFonts w:hint="default" w:ascii="Times New Roman" w:hAnsi="Times New Roman" w:eastAsia="宋体"/>
                <w:b/>
                <w:bCs/>
                <w:color w:val="000000" w:themeColor="text1"/>
                <w:spacing w:val="0"/>
                <w14:textFill>
                  <w14:solidFill>
                    <w14:schemeClr w14:val="tx1"/>
                  </w14:solidFill>
                </w14:textFill>
              </w:rPr>
              <w:t>竣工环境保护验收</w:t>
            </w:r>
          </w:p>
          <w:p w14:paraId="5F709D94">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left"/>
              <w:textAlignment w:val="auto"/>
              <w:rPr>
                <w:rFonts w:hint="default" w:ascii="Times New Roman" w:hAnsi="Times New Roman" w:eastAsia="宋体"/>
                <w:color w:val="000000" w:themeColor="text1"/>
                <w:spacing w:val="0"/>
                <w:lang w:val="en-US" w:eastAsia="zh-CN"/>
                <w14:textFill>
                  <w14:solidFill>
                    <w14:schemeClr w14:val="tx1"/>
                  </w14:solidFill>
                </w14:textFill>
              </w:rPr>
            </w:pPr>
            <w:r>
              <w:rPr>
                <w:rFonts w:hint="default" w:ascii="Times New Roman" w:hAnsi="Times New Roman" w:eastAsia="宋体"/>
                <w:color w:val="000000" w:themeColor="text1"/>
                <w:spacing w:val="0"/>
                <w14:textFill>
                  <w14:solidFill>
                    <w14:schemeClr w14:val="tx1"/>
                  </w14:solidFill>
                </w14:textFill>
              </w:rPr>
              <w:t>根据《建设项目竣工环境保护验收暂行办法》的规定，建设项目竣工后，建设单位应当如实查验、监测、记载建设项目环境保护设施的建设和调试情况，编制验收监测报告</w:t>
            </w:r>
            <w:r>
              <w:rPr>
                <w:rFonts w:hint="default" w:ascii="Times New Roman" w:hAnsi="Times New Roman" w:eastAsia="宋体"/>
                <w:color w:val="000000" w:themeColor="text1"/>
                <w:spacing w:val="0"/>
                <w:lang w:eastAsia="zh-CN"/>
                <w14:textFill>
                  <w14:solidFill>
                    <w14:schemeClr w14:val="tx1"/>
                  </w14:solidFill>
                </w14:textFill>
              </w:rPr>
              <w:t>表</w:t>
            </w:r>
            <w:r>
              <w:rPr>
                <w:color w:val="000000" w:themeColor="text1"/>
                <w:spacing w:val="0"/>
                <w:szCs w:val="21"/>
                <w14:textFill>
                  <w14:solidFill>
                    <w14:schemeClr w14:val="tx1"/>
                  </w14:solidFill>
                </w14:textFill>
              </w:rPr>
              <w:t>，落实</w:t>
            </w:r>
            <w:r>
              <w:rPr>
                <w:rFonts w:hint="eastAsia"/>
                <w:color w:val="000000" w:themeColor="text1"/>
                <w:spacing w:val="0"/>
                <w:szCs w:val="21"/>
                <w:lang w:eastAsia="zh-CN"/>
                <w14:textFill>
                  <w14:solidFill>
                    <w14:schemeClr w14:val="tx1"/>
                  </w14:solidFill>
                </w14:textFill>
              </w:rPr>
              <w:t>“</w:t>
            </w:r>
            <w:r>
              <w:rPr>
                <w:color w:val="000000" w:themeColor="text1"/>
                <w:spacing w:val="0"/>
                <w:szCs w:val="21"/>
                <w14:textFill>
                  <w14:solidFill>
                    <w14:schemeClr w14:val="tx1"/>
                  </w14:solidFill>
                </w14:textFill>
              </w:rPr>
              <w:t>三同时</w:t>
            </w:r>
            <w:r>
              <w:rPr>
                <w:rFonts w:hint="eastAsia"/>
                <w:color w:val="000000" w:themeColor="text1"/>
                <w:spacing w:val="0"/>
                <w:szCs w:val="21"/>
                <w:lang w:eastAsia="zh-CN"/>
                <w14:textFill>
                  <w14:solidFill>
                    <w14:schemeClr w14:val="tx1"/>
                  </w14:solidFill>
                </w14:textFill>
              </w:rPr>
              <w:t>”</w:t>
            </w:r>
            <w:r>
              <w:rPr>
                <w:color w:val="000000" w:themeColor="text1"/>
                <w:spacing w:val="0"/>
                <w:szCs w:val="21"/>
                <w14:textFill>
                  <w14:solidFill>
                    <w14:schemeClr w14:val="tx1"/>
                  </w14:solidFill>
                </w14:textFill>
              </w:rPr>
              <w:t>环保制度。</w:t>
            </w:r>
          </w:p>
          <w:p w14:paraId="1BC702BB">
            <w:pPr>
              <w:keepNext w:val="0"/>
              <w:keepLines w:val="0"/>
              <w:pageBreakBefore w:val="0"/>
              <w:widowControl w:val="0"/>
              <w:kinsoku/>
              <w:wordWrap/>
              <w:overflowPunct/>
              <w:topLinePunct w:val="0"/>
              <w:bidi w:val="0"/>
              <w:adjustRightInd w:val="0"/>
              <w:snapToGrid w:val="0"/>
              <w:spacing w:line="340" w:lineRule="exact"/>
              <w:jc w:val="both"/>
              <w:textAlignment w:val="auto"/>
              <w:rPr>
                <w:rFonts w:hint="default" w:ascii="Times New Roman" w:hAnsi="Times New Roman" w:eastAsia="宋体"/>
                <w:b/>
                <w:bCs/>
                <w:color w:val="000000" w:themeColor="text1"/>
                <w:spacing w:val="0"/>
                <w:lang w:val="en-US" w:eastAsia="zh-CN"/>
                <w14:textFill>
                  <w14:solidFill>
                    <w14:schemeClr w14:val="tx1"/>
                  </w14:solidFill>
                </w14:textFill>
              </w:rPr>
            </w:pPr>
            <w:r>
              <w:rPr>
                <w:rFonts w:hint="default" w:ascii="Times New Roman" w:hAnsi="Times New Roman" w:eastAsia="宋体"/>
                <w:b/>
                <w:bCs/>
                <w:color w:val="000000" w:themeColor="text1"/>
                <w:spacing w:val="0"/>
                <w:lang w:val="en-US" w:eastAsia="zh-CN"/>
                <w14:textFill>
                  <w14:solidFill>
                    <w14:schemeClr w14:val="tx1"/>
                  </w14:solidFill>
                </w14:textFill>
              </w:rPr>
              <w:t>2、</w:t>
            </w:r>
            <w:r>
              <w:rPr>
                <w:rFonts w:hint="default" w:ascii="Times New Roman" w:hAnsi="Times New Roman" w:eastAsia="宋体"/>
                <w:b/>
                <w:bCs/>
                <w:color w:val="000000" w:themeColor="text1"/>
                <w:spacing w:val="0"/>
                <w14:textFill>
                  <w14:solidFill>
                    <w14:schemeClr w14:val="tx1"/>
                  </w14:solidFill>
                </w14:textFill>
              </w:rPr>
              <w:t>排污许可</w:t>
            </w:r>
            <w:r>
              <w:rPr>
                <w:rFonts w:hint="default" w:ascii="Times New Roman" w:hAnsi="Times New Roman" w:eastAsia="宋体"/>
                <w:b/>
                <w:bCs/>
                <w:color w:val="000000" w:themeColor="text1"/>
                <w:spacing w:val="0"/>
                <w:lang w:eastAsia="zh-CN"/>
                <w14:textFill>
                  <w14:solidFill>
                    <w14:schemeClr w14:val="tx1"/>
                  </w14:solidFill>
                </w14:textFill>
              </w:rPr>
              <w:t>管理要求</w:t>
            </w:r>
          </w:p>
          <w:p w14:paraId="6845007C">
            <w:pPr>
              <w:keepNext w:val="0"/>
              <w:keepLines w:val="0"/>
              <w:pageBreakBefore w:val="0"/>
              <w:widowControl w:val="0"/>
              <w:kinsoku w:val="0"/>
              <w:wordWrap/>
              <w:overflowPunct w:val="0"/>
              <w:topLinePunct w:val="0"/>
              <w:autoSpaceDE/>
              <w:autoSpaceDN/>
              <w:bidi w:val="0"/>
              <w:adjustRightInd w:val="0"/>
              <w:snapToGrid w:val="0"/>
              <w:spacing w:line="340" w:lineRule="exact"/>
              <w:ind w:left="0" w:right="0"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根据《固定污染源排污许可分类管理名录(2019年版)》(生态环境部</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1"/>
                <w:szCs w:val="21"/>
                <w14:textFill>
                  <w14:solidFill>
                    <w14:schemeClr w14:val="tx1"/>
                  </w14:solidFill>
                </w14:textFill>
              </w:rPr>
              <w:t>第11号)可知，本项目实行排污许可</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简化管理</w:t>
            </w:r>
            <w:r>
              <w:rPr>
                <w:rFonts w:hint="default" w:ascii="Times New Roman" w:hAnsi="Times New Roman" w:eastAsia="宋体" w:cs="Times New Roman"/>
                <w:color w:val="000000" w:themeColor="text1"/>
                <w:spacing w:val="0"/>
                <w:sz w:val="21"/>
                <w:szCs w:val="21"/>
                <w14:textFill>
                  <w14:solidFill>
                    <w14:schemeClr w14:val="tx1"/>
                  </w14:solidFill>
                </w14:textFill>
              </w:rPr>
              <w:t>；因此，建设单位应当在启动生产设施或者发生实际排污之前在全国排污许可证管理信息平台进行排污许可</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申报</w:t>
            </w:r>
            <w:r>
              <w:rPr>
                <w:rFonts w:hint="default" w:ascii="Times New Roman" w:hAnsi="Times New Roman" w:eastAsia="宋体" w:cs="Times New Roman"/>
                <w:color w:val="000000" w:themeColor="text1"/>
                <w:spacing w:val="0"/>
                <w:sz w:val="21"/>
                <w:szCs w:val="21"/>
                <w14:textFill>
                  <w14:solidFill>
                    <w14:schemeClr w14:val="tx1"/>
                  </w14:solidFill>
                </w14:textFill>
              </w:rPr>
              <w:t>。</w:t>
            </w:r>
          </w:p>
          <w:p w14:paraId="16AF87D4">
            <w:pPr>
              <w:keepNext w:val="0"/>
              <w:keepLines w:val="0"/>
              <w:pageBreakBefore w:val="0"/>
              <w:widowControl w:val="0"/>
              <w:numPr>
                <w:ilvl w:val="0"/>
                <w:numId w:val="7"/>
              </w:numPr>
              <w:kinsoku/>
              <w:wordWrap/>
              <w:overflowPunct/>
              <w:topLinePunct w:val="0"/>
              <w:autoSpaceDE/>
              <w:autoSpaceDN/>
              <w:bidi w:val="0"/>
              <w:adjustRightInd w:val="0"/>
              <w:snapToGrid w:val="0"/>
              <w:spacing w:before="157" w:beforeLines="50" w:line="340" w:lineRule="exact"/>
              <w:jc w:val="left"/>
              <w:textAlignment w:val="auto"/>
              <w:rPr>
                <w:rFonts w:hint="eastAsia" w:ascii="Times New Roman" w:hAnsi="Times New Roman" w:eastAsia="宋体"/>
                <w:b/>
                <w:bCs/>
                <w:color w:val="000000" w:themeColor="text1"/>
                <w:spacing w:val="0"/>
                <w:lang w:val="en-US" w:eastAsia="zh-CN"/>
                <w14:textFill>
                  <w14:solidFill>
                    <w14:schemeClr w14:val="tx1"/>
                  </w14:solidFill>
                </w14:textFill>
              </w:rPr>
            </w:pPr>
            <w:r>
              <w:rPr>
                <w:rFonts w:hint="eastAsia" w:ascii="Times New Roman" w:hAnsi="Times New Roman" w:eastAsia="宋体"/>
                <w:b/>
                <w:bCs/>
                <w:color w:val="000000" w:themeColor="text1"/>
                <w:spacing w:val="0"/>
                <w:lang w:val="en-US" w:eastAsia="zh-CN"/>
                <w14:textFill>
                  <w14:solidFill>
                    <w14:schemeClr w14:val="tx1"/>
                  </w14:solidFill>
                </w14:textFill>
              </w:rPr>
              <w:t>排污口规范化管理要求</w:t>
            </w:r>
          </w:p>
          <w:p w14:paraId="76C0D19D">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both"/>
              <w:textAlignment w:val="auto"/>
              <w:rPr>
                <w:rFonts w:hint="default" w:ascii="Times New Roman" w:hAnsi="Times New Roman" w:eastAsia="宋体" w:cs="Times New Roman"/>
                <w:color w:val="000000" w:themeColor="text1"/>
                <w:spacing w:val="0"/>
                <w:lang w:val="en-US" w:eastAsia="zh-CN"/>
                <w14:textFill>
                  <w14:solidFill>
                    <w14:schemeClr w14:val="tx1"/>
                  </w14:solidFill>
                </w14:textFill>
              </w:rPr>
            </w:pPr>
            <w:r>
              <w:rPr>
                <w:rFonts w:hint="eastAsia" w:ascii="Times New Roman" w:hAnsi="Times New Roman" w:eastAsia="宋体"/>
                <w:color w:val="000000" w:themeColor="text1"/>
                <w:spacing w:val="0"/>
                <w:lang w:eastAsia="zh-CN"/>
                <w14:textFill>
                  <w14:solidFill>
                    <w14:schemeClr w14:val="tx1"/>
                  </w14:solidFill>
                </w14:textFill>
              </w:rPr>
              <w:t>项目</w:t>
            </w:r>
            <w:r>
              <w:rPr>
                <w:rFonts w:hint="eastAsia" w:ascii="Times New Roman" w:hAnsi="Times New Roman" w:eastAsia="宋体"/>
                <w:color w:val="000000" w:themeColor="text1"/>
                <w:spacing w:val="0"/>
                <w:lang w:val="en-US" w:eastAsia="zh-CN"/>
                <w14:textFill>
                  <w14:solidFill>
                    <w14:schemeClr w14:val="tx1"/>
                  </w14:solidFill>
                </w14:textFill>
              </w:rPr>
              <w:t>排污口规范化</w:t>
            </w:r>
            <w:r>
              <w:rPr>
                <w:rFonts w:hint="default" w:ascii="Times New Roman" w:hAnsi="Times New Roman" w:eastAsia="宋体"/>
                <w:color w:val="000000" w:themeColor="text1"/>
                <w:spacing w:val="0"/>
                <w14:textFill>
                  <w14:solidFill>
                    <w14:schemeClr w14:val="tx1"/>
                  </w14:solidFill>
                </w14:textFill>
              </w:rPr>
              <w:t>图标</w:t>
            </w:r>
            <w:r>
              <w:rPr>
                <w:rFonts w:hint="eastAsia" w:ascii="Times New Roman" w:hAnsi="Times New Roman" w:eastAsia="宋体"/>
                <w:color w:val="000000" w:themeColor="text1"/>
                <w:spacing w:val="0"/>
                <w:lang w:eastAsia="zh-CN"/>
                <w14:textFill>
                  <w14:solidFill>
                    <w14:schemeClr w14:val="tx1"/>
                  </w14:solidFill>
                </w14:textFill>
              </w:rPr>
              <w:t>按照</w:t>
            </w:r>
            <w:r>
              <w:rPr>
                <w:rFonts w:hint="default" w:ascii="Times New Roman" w:hAnsi="Times New Roman" w:eastAsia="宋体"/>
                <w:color w:val="000000" w:themeColor="text1"/>
                <w:spacing w:val="0"/>
                <w14:textFill>
                  <w14:solidFill>
                    <w14:schemeClr w14:val="tx1"/>
                  </w14:solidFill>
                </w14:textFill>
              </w:rPr>
              <w:t>《环境保护图形标志—排放口(源)》(GB15563.1-1995)</w:t>
            </w:r>
            <w:r>
              <w:rPr>
                <w:rFonts w:hint="eastAsia" w:ascii="Times New Roman" w:hAnsi="Times New Roman" w:eastAsia="宋体"/>
                <w:color w:val="000000" w:themeColor="text1"/>
                <w:spacing w:val="0"/>
                <w:lang w:val="en-US" w:eastAsia="zh-CN"/>
                <w14:textFill>
                  <w14:solidFill>
                    <w14:schemeClr w14:val="tx1"/>
                  </w14:solidFill>
                </w14:textFill>
              </w:rPr>
              <w:t>及其修改单</w:t>
            </w:r>
            <w:r>
              <w:rPr>
                <w:rFonts w:hint="eastAsia" w:ascii="Times New Roman" w:hAnsi="Times New Roman" w:eastAsia="宋体"/>
                <w:color w:val="000000" w:themeColor="text1"/>
                <w:spacing w:val="0"/>
                <w:lang w:eastAsia="zh-CN"/>
                <w14:textFill>
                  <w14:solidFill>
                    <w14:schemeClr w14:val="tx1"/>
                  </w14:solidFill>
                </w14:textFill>
              </w:rPr>
              <w:t>要求进行，具体详见表</w:t>
            </w:r>
            <w:r>
              <w:rPr>
                <w:rFonts w:hint="eastAsia" w:ascii="Times New Roman" w:hAnsi="Times New Roman" w:eastAsia="宋体"/>
                <w:color w:val="000000" w:themeColor="text1"/>
                <w:spacing w:val="0"/>
                <w:lang w:val="en-US" w:eastAsia="zh-CN"/>
                <w14:textFill>
                  <w14:solidFill>
                    <w14:schemeClr w14:val="tx1"/>
                  </w14:solidFill>
                </w14:textFill>
              </w:rPr>
              <w:t>5-1。</w:t>
            </w:r>
            <w:r>
              <w:rPr>
                <w:rFonts w:hint="eastAsia" w:ascii="Times New Roman" w:hAnsi="Times New Roman" w:eastAsia="宋体"/>
                <w:color w:val="000000" w:themeColor="text1"/>
                <w:spacing w:val="0"/>
                <w:sz w:val="21"/>
                <w:szCs w:val="21"/>
                <w:lang w:val="en-US" w:eastAsia="zh-CN"/>
                <w14:textFill>
                  <w14:solidFill>
                    <w14:schemeClr w14:val="tx1"/>
                  </w14:solidFill>
                </w14:textFill>
              </w:rPr>
              <w:t>同时根据</w:t>
            </w:r>
            <w:r>
              <w:rPr>
                <w:rFonts w:hint="eastAsia" w:ascii="Times New Roman" w:hAnsi="Times New Roman" w:eastAsia="宋体" w:cs="Times New Roman"/>
                <w:color w:val="000000" w:themeColor="text1"/>
                <w:spacing w:val="0"/>
                <w:lang w:val="en-US" w:eastAsia="zh-CN"/>
                <w14:textFill>
                  <w14:solidFill>
                    <w14:schemeClr w14:val="tx1"/>
                  </w14:solidFill>
                </w14:textFill>
              </w:rPr>
              <w:t>《排污单位污染物排放口二维码标识技术规范》(HJ 1297-2023)，设置规范的排放口二维码标识。</w:t>
            </w:r>
          </w:p>
          <w:p w14:paraId="249384C4">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表</w:t>
            </w: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5-1</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 xml:space="preserve">  排污口图形符号(提示标志)一览表</w:t>
            </w:r>
          </w:p>
          <w:tbl>
            <w:tblPr>
              <w:tblStyle w:val="30"/>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576"/>
              <w:gridCol w:w="1428"/>
              <w:gridCol w:w="1428"/>
              <w:gridCol w:w="1428"/>
              <w:gridCol w:w="1482"/>
              <w:gridCol w:w="1372"/>
            </w:tblGrid>
            <w:tr w14:paraId="3BDEBA58">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12" w:space="0"/>
                    <w:left w:val="nil"/>
                    <w:bottom w:val="single" w:color="auto" w:sz="6" w:space="0"/>
                    <w:right w:val="single" w:color="auto" w:sz="6" w:space="0"/>
                    <w:tl2br w:val="single" w:color="auto" w:sz="4" w:space="0"/>
                  </w:tcBorders>
                  <w:noWrap w:val="0"/>
                  <w:vAlign w:val="center"/>
                </w:tcPr>
                <w:p w14:paraId="2DB69A42">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jc w:val="right"/>
                    <w:textAlignment w:val="auto"/>
                    <w:rPr>
                      <w:rFonts w:ascii="Times New Roman" w:hAnsi="Times New Roman" w:eastAsia="宋体"/>
                      <w:b w:val="0"/>
                      <w:bCs w:val="0"/>
                      <w:color w:val="000000" w:themeColor="text1"/>
                      <w:spacing w:val="0"/>
                      <w:sz w:val="21"/>
                      <w:szCs w:val="21"/>
                      <w:lang w:val="en-GB"/>
                      <w14:textFill>
                        <w14:solidFill>
                          <w14:schemeClr w14:val="tx1"/>
                        </w14:solidFill>
                      </w14:textFill>
                    </w:rPr>
                  </w:pPr>
                  <w:r>
                    <w:rPr>
                      <w:rFonts w:ascii="Times New Roman" w:hAnsi="Times New Roman" w:eastAsia="宋体"/>
                      <w:b w:val="0"/>
                      <w:bCs w:val="0"/>
                      <w:color w:val="000000" w:themeColor="text1"/>
                      <w:spacing w:val="0"/>
                      <w:sz w:val="21"/>
                      <w:szCs w:val="21"/>
                      <w:lang w:val="en-GB"/>
                      <w14:textFill>
                        <w14:solidFill>
                          <w14:schemeClr w14:val="tx1"/>
                        </w14:solidFill>
                      </w14:textFill>
                    </w:rPr>
                    <w:t>排放部位</w:t>
                  </w:r>
                </w:p>
                <w:p w14:paraId="43B55DE5">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jc w:val="both"/>
                    <w:textAlignment w:val="auto"/>
                    <w:rPr>
                      <w:rFonts w:ascii="Times New Roman" w:hAnsi="Times New Roman" w:eastAsia="宋体"/>
                      <w:b w:val="0"/>
                      <w:bCs w:val="0"/>
                      <w:color w:val="000000" w:themeColor="text1"/>
                      <w:spacing w:val="0"/>
                      <w:sz w:val="21"/>
                      <w:szCs w:val="21"/>
                      <w:lang w:val="en-GB"/>
                      <w14:textFill>
                        <w14:solidFill>
                          <w14:schemeClr w14:val="tx1"/>
                        </w14:solidFill>
                      </w14:textFill>
                    </w:rPr>
                  </w:pPr>
                  <w:r>
                    <w:rPr>
                      <w:rFonts w:ascii="Times New Roman" w:hAnsi="Times New Roman" w:eastAsia="宋体"/>
                      <w:b w:val="0"/>
                      <w:bCs w:val="0"/>
                      <w:color w:val="000000" w:themeColor="text1"/>
                      <w:spacing w:val="0"/>
                      <w:sz w:val="21"/>
                      <w:szCs w:val="21"/>
                      <w:lang w:val="en-GB"/>
                      <w14:textFill>
                        <w14:solidFill>
                          <w14:schemeClr w14:val="tx1"/>
                        </w14:solidFill>
                      </w14:textFill>
                    </w:rPr>
                    <w:t>项目</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7313444F">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b w:val="0"/>
                      <w:bCs w:val="0"/>
                      <w:color w:val="000000" w:themeColor="text1"/>
                      <w:spacing w:val="0"/>
                      <w:sz w:val="21"/>
                      <w:szCs w:val="21"/>
                      <w:lang w:val="en-GB"/>
                      <w14:textFill>
                        <w14:solidFill>
                          <w14:schemeClr w14:val="tx1"/>
                        </w14:solidFill>
                      </w14:textFill>
                    </w:rPr>
                  </w:pPr>
                  <w:r>
                    <w:rPr>
                      <w:rFonts w:ascii="Times New Roman" w:hAnsi="Times New Roman" w:eastAsia="宋体"/>
                      <w:b w:val="0"/>
                      <w:bCs w:val="0"/>
                      <w:color w:val="000000" w:themeColor="text1"/>
                      <w:spacing w:val="0"/>
                      <w:sz w:val="21"/>
                      <w:szCs w:val="21"/>
                      <w:lang w:val="en-GB"/>
                      <w14:textFill>
                        <w14:solidFill>
                          <w14:schemeClr w14:val="tx1"/>
                        </w14:solidFill>
                      </w14:textFill>
                    </w:rPr>
                    <w:t>污水排</w:t>
                  </w:r>
                </w:p>
                <w:p w14:paraId="448524E0">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b w:val="0"/>
                      <w:bCs w:val="0"/>
                      <w:color w:val="000000" w:themeColor="text1"/>
                      <w:spacing w:val="0"/>
                      <w:sz w:val="21"/>
                      <w:szCs w:val="21"/>
                      <w:lang w:val="en-GB"/>
                      <w14:textFill>
                        <w14:solidFill>
                          <w14:schemeClr w14:val="tx1"/>
                        </w14:solidFill>
                      </w14:textFill>
                    </w:rPr>
                  </w:pPr>
                  <w:r>
                    <w:rPr>
                      <w:rFonts w:ascii="Times New Roman" w:hAnsi="Times New Roman" w:eastAsia="宋体"/>
                      <w:b w:val="0"/>
                      <w:bCs w:val="0"/>
                      <w:color w:val="000000" w:themeColor="text1"/>
                      <w:spacing w:val="0"/>
                      <w:sz w:val="21"/>
                      <w:szCs w:val="21"/>
                      <w:lang w:val="en-GB"/>
                      <w14:textFill>
                        <w14:solidFill>
                          <w14:schemeClr w14:val="tx1"/>
                        </w14:solidFill>
                      </w14:textFill>
                    </w:rPr>
                    <w:t>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6A966F1B">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b w:val="0"/>
                      <w:bCs w:val="0"/>
                      <w:color w:val="000000" w:themeColor="text1"/>
                      <w:spacing w:val="0"/>
                      <w:sz w:val="21"/>
                      <w:szCs w:val="21"/>
                      <w:lang w:val="en-GB"/>
                      <w14:textFill>
                        <w14:solidFill>
                          <w14:schemeClr w14:val="tx1"/>
                        </w14:solidFill>
                      </w14:textFill>
                    </w:rPr>
                  </w:pPr>
                  <w:r>
                    <w:rPr>
                      <w:rFonts w:ascii="Times New Roman" w:hAnsi="Times New Roman" w:eastAsia="宋体"/>
                      <w:b w:val="0"/>
                      <w:bCs w:val="0"/>
                      <w:color w:val="000000" w:themeColor="text1"/>
                      <w:spacing w:val="0"/>
                      <w:sz w:val="21"/>
                      <w:szCs w:val="21"/>
                      <w:lang w:val="en-GB"/>
                      <w14:textFill>
                        <w14:solidFill>
                          <w14:schemeClr w14:val="tx1"/>
                        </w14:solidFill>
                      </w14:textFill>
                    </w:rPr>
                    <w:t>废气排</w:t>
                  </w:r>
                </w:p>
                <w:p w14:paraId="040488A7">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b w:val="0"/>
                      <w:bCs w:val="0"/>
                      <w:color w:val="000000" w:themeColor="text1"/>
                      <w:spacing w:val="0"/>
                      <w:sz w:val="21"/>
                      <w:szCs w:val="21"/>
                      <w:lang w:val="en-GB"/>
                      <w14:textFill>
                        <w14:solidFill>
                          <w14:schemeClr w14:val="tx1"/>
                        </w14:solidFill>
                      </w14:textFill>
                    </w:rPr>
                  </w:pPr>
                  <w:r>
                    <w:rPr>
                      <w:rFonts w:ascii="Times New Roman" w:hAnsi="Times New Roman" w:eastAsia="宋体"/>
                      <w:b w:val="0"/>
                      <w:bCs w:val="0"/>
                      <w:color w:val="000000" w:themeColor="text1"/>
                      <w:spacing w:val="0"/>
                      <w:sz w:val="21"/>
                      <w:szCs w:val="21"/>
                      <w:lang w:val="en-GB"/>
                      <w14:textFill>
                        <w14:solidFill>
                          <w14:schemeClr w14:val="tx1"/>
                        </w14:solidFill>
                      </w14:textFill>
                    </w:rPr>
                    <w:t>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6085840D">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b w:val="0"/>
                      <w:bCs w:val="0"/>
                      <w:color w:val="000000" w:themeColor="text1"/>
                      <w:spacing w:val="0"/>
                      <w:sz w:val="21"/>
                      <w:szCs w:val="21"/>
                      <w:lang w:val="en-GB"/>
                      <w14:textFill>
                        <w14:solidFill>
                          <w14:schemeClr w14:val="tx1"/>
                        </w14:solidFill>
                      </w14:textFill>
                    </w:rPr>
                  </w:pPr>
                  <w:r>
                    <w:rPr>
                      <w:rFonts w:ascii="Times New Roman" w:hAnsi="Times New Roman" w:eastAsia="宋体"/>
                      <w:b w:val="0"/>
                      <w:bCs w:val="0"/>
                      <w:color w:val="000000" w:themeColor="text1"/>
                      <w:spacing w:val="0"/>
                      <w:sz w:val="21"/>
                      <w:szCs w:val="21"/>
                      <w:lang w:val="en-GB"/>
                      <w14:textFill>
                        <w14:solidFill>
                          <w14:schemeClr w14:val="tx1"/>
                        </w14:solidFill>
                      </w14:textFill>
                    </w:rPr>
                    <w:t>噪声排</w:t>
                  </w:r>
                </w:p>
                <w:p w14:paraId="5B5A323D">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b w:val="0"/>
                      <w:bCs w:val="0"/>
                      <w:color w:val="000000" w:themeColor="text1"/>
                      <w:spacing w:val="0"/>
                      <w:sz w:val="21"/>
                      <w:szCs w:val="21"/>
                      <w:lang w:val="en-GB"/>
                      <w14:textFill>
                        <w14:solidFill>
                          <w14:schemeClr w14:val="tx1"/>
                        </w14:solidFill>
                      </w14:textFill>
                    </w:rPr>
                  </w:pPr>
                  <w:r>
                    <w:rPr>
                      <w:rFonts w:ascii="Times New Roman" w:hAnsi="Times New Roman" w:eastAsia="宋体"/>
                      <w:b w:val="0"/>
                      <w:bCs w:val="0"/>
                      <w:color w:val="000000" w:themeColor="text1"/>
                      <w:spacing w:val="0"/>
                      <w:sz w:val="21"/>
                      <w:szCs w:val="21"/>
                      <w:lang w:val="en-GB"/>
                      <w14:textFill>
                        <w14:solidFill>
                          <w14:schemeClr w14:val="tx1"/>
                        </w14:solidFill>
                      </w14:textFill>
                    </w:rPr>
                    <w:t>放源</w:t>
                  </w:r>
                </w:p>
              </w:tc>
              <w:tc>
                <w:tcPr>
                  <w:tcW w:w="850" w:type="pct"/>
                  <w:tcBorders>
                    <w:top w:val="single" w:color="auto" w:sz="12" w:space="0"/>
                    <w:left w:val="single" w:color="auto" w:sz="6" w:space="0"/>
                    <w:bottom w:val="single" w:color="auto" w:sz="6" w:space="0"/>
                    <w:right w:val="single" w:color="auto" w:sz="6" w:space="0"/>
                  </w:tcBorders>
                  <w:noWrap w:val="0"/>
                  <w:vAlign w:val="center"/>
                </w:tcPr>
                <w:p w14:paraId="4AFA7822">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eastAsia" w:ascii="Times New Roman" w:hAnsi="Times New Roman" w:eastAsia="宋体"/>
                      <w:b w:val="0"/>
                      <w:bCs w:val="0"/>
                      <w:color w:val="000000" w:themeColor="text1"/>
                      <w:spacing w:val="0"/>
                      <w:sz w:val="21"/>
                      <w:szCs w:val="21"/>
                      <w:lang w:val="en-US" w:eastAsia="zh-CN"/>
                      <w14:textFill>
                        <w14:solidFill>
                          <w14:schemeClr w14:val="tx1"/>
                        </w14:solidFill>
                      </w14:textFill>
                    </w:rPr>
                  </w:pPr>
                  <w:r>
                    <w:rPr>
                      <w:rFonts w:ascii="Times New Roman" w:hAnsi="Times New Roman" w:eastAsia="宋体"/>
                      <w:b w:val="0"/>
                      <w:bCs w:val="0"/>
                      <w:color w:val="000000" w:themeColor="text1"/>
                      <w:spacing w:val="0"/>
                      <w:sz w:val="21"/>
                      <w:szCs w:val="21"/>
                      <w:lang w:val="en-GB"/>
                      <w14:textFill>
                        <w14:solidFill>
                          <w14:schemeClr w14:val="tx1"/>
                        </w14:solidFill>
                      </w14:textFill>
                    </w:rPr>
                    <w:t>一般</w:t>
                  </w:r>
                  <w:r>
                    <w:rPr>
                      <w:rFonts w:hint="eastAsia" w:ascii="Times New Roman" w:hAnsi="Times New Roman" w:eastAsia="宋体"/>
                      <w:b w:val="0"/>
                      <w:bCs w:val="0"/>
                      <w:color w:val="000000" w:themeColor="text1"/>
                      <w:spacing w:val="0"/>
                      <w:sz w:val="21"/>
                      <w:szCs w:val="21"/>
                      <w:lang w:val="en-US" w:eastAsia="zh-CN"/>
                      <w14:textFill>
                        <w14:solidFill>
                          <w14:schemeClr w14:val="tx1"/>
                        </w14:solidFill>
                      </w14:textFill>
                    </w:rPr>
                    <w:t>固体</w:t>
                  </w:r>
                </w:p>
                <w:p w14:paraId="6F224A9A">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b w:val="0"/>
                      <w:bCs w:val="0"/>
                      <w:color w:val="000000" w:themeColor="text1"/>
                      <w:spacing w:val="0"/>
                      <w:sz w:val="21"/>
                      <w:szCs w:val="21"/>
                      <w:lang w:val="en-GB"/>
                      <w14:textFill>
                        <w14:solidFill>
                          <w14:schemeClr w14:val="tx1"/>
                        </w14:solidFill>
                      </w14:textFill>
                    </w:rPr>
                  </w:pPr>
                  <w:r>
                    <w:rPr>
                      <w:rFonts w:hint="eastAsia" w:ascii="Times New Roman" w:hAnsi="Times New Roman" w:eastAsia="宋体"/>
                      <w:b w:val="0"/>
                      <w:bCs w:val="0"/>
                      <w:color w:val="000000" w:themeColor="text1"/>
                      <w:spacing w:val="0"/>
                      <w:sz w:val="21"/>
                      <w:szCs w:val="21"/>
                      <w:lang w:val="en-US" w:eastAsia="zh-CN"/>
                      <w14:textFill>
                        <w14:solidFill>
                          <w14:schemeClr w14:val="tx1"/>
                        </w14:solidFill>
                      </w14:textFill>
                    </w:rPr>
                    <w:t>废物</w:t>
                  </w:r>
                </w:p>
              </w:tc>
              <w:tc>
                <w:tcPr>
                  <w:tcW w:w="787" w:type="pct"/>
                  <w:tcBorders>
                    <w:top w:val="single" w:color="auto" w:sz="12" w:space="0"/>
                    <w:left w:val="single" w:color="auto" w:sz="6" w:space="0"/>
                    <w:bottom w:val="single" w:color="auto" w:sz="6" w:space="0"/>
                    <w:right w:val="nil"/>
                  </w:tcBorders>
                  <w:noWrap w:val="0"/>
                  <w:vAlign w:val="center"/>
                </w:tcPr>
                <w:p w14:paraId="430914BD">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b w:val="0"/>
                      <w:bCs w:val="0"/>
                      <w:color w:val="000000" w:themeColor="text1"/>
                      <w:spacing w:val="0"/>
                      <w:sz w:val="21"/>
                      <w:szCs w:val="21"/>
                      <w:lang w:val="en-GB"/>
                      <w14:textFill>
                        <w14:solidFill>
                          <w14:schemeClr w14:val="tx1"/>
                        </w14:solidFill>
                      </w14:textFill>
                    </w:rPr>
                  </w:pPr>
                  <w:r>
                    <w:rPr>
                      <w:rFonts w:ascii="Times New Roman" w:hAnsi="Times New Roman" w:eastAsia="宋体"/>
                      <w:b w:val="0"/>
                      <w:bCs w:val="0"/>
                      <w:color w:val="000000" w:themeColor="text1"/>
                      <w:spacing w:val="0"/>
                      <w:sz w:val="21"/>
                      <w:szCs w:val="21"/>
                      <w:lang w:val="en-GB"/>
                      <w14:textFill>
                        <w14:solidFill>
                          <w14:schemeClr w14:val="tx1"/>
                        </w14:solidFill>
                      </w14:textFill>
                    </w:rPr>
                    <w:t>危险废物</w:t>
                  </w:r>
                </w:p>
              </w:tc>
            </w:tr>
            <w:tr w14:paraId="41F643A9">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5021CACB">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提示</w:t>
                  </w:r>
                  <w:r>
                    <w:rPr>
                      <w:rFonts w:ascii="Times New Roman" w:hAnsi="Times New Roman" w:eastAsia="宋体"/>
                      <w:color w:val="000000" w:themeColor="text1"/>
                      <w:spacing w:val="0"/>
                      <w:sz w:val="21"/>
                      <w:szCs w:val="21"/>
                      <w:lang w:val="en-GB"/>
                      <w14:textFill>
                        <w14:solidFill>
                          <w14:schemeClr w14:val="tx1"/>
                        </w14:solidFill>
                      </w14:textFill>
                    </w:rPr>
                    <w:t>图形</w:t>
                  </w:r>
                </w:p>
                <w:p w14:paraId="58653013">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B8AC19D">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ascii="Times New Roman" w:hAnsi="Times New Roman" w:eastAsia="宋体"/>
                      <w:color w:val="000000" w:themeColor="text1"/>
                      <w:spacing w:val="0"/>
                      <w:sz w:val="21"/>
                      <w:szCs w:val="21"/>
                      <w14:textFill>
                        <w14:solidFill>
                          <w14:schemeClr w14:val="tx1"/>
                        </w14:solidFill>
                      </w14:textFill>
                    </w:rPr>
                    <w:drawing>
                      <wp:anchor distT="0" distB="0" distL="114300" distR="114300" simplePos="0" relativeHeight="251662336" behindDoc="0" locked="0" layoutInCell="1" allowOverlap="1">
                        <wp:simplePos x="0" y="0"/>
                        <wp:positionH relativeFrom="column">
                          <wp:posOffset>72390</wp:posOffset>
                        </wp:positionH>
                        <wp:positionV relativeFrom="paragraph">
                          <wp:posOffset>27940</wp:posOffset>
                        </wp:positionV>
                        <wp:extent cx="480695" cy="480695"/>
                        <wp:effectExtent l="0" t="0" r="14605" b="14605"/>
                        <wp:wrapNone/>
                        <wp:docPr id="89" name="图片 7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54" descr="1"/>
                                <pic:cNvPicPr>
                                  <a:picLocks noChangeAspect="1"/>
                                </pic:cNvPicPr>
                              </pic:nvPicPr>
                              <pic:blipFill>
                                <a:blip r:embed="rId28"/>
                                <a:stretch>
                                  <a:fillRect/>
                                </a:stretch>
                              </pic:blipFill>
                              <pic:spPr>
                                <a:xfrm>
                                  <a:off x="0" y="0"/>
                                  <a:ext cx="480695" cy="480695"/>
                                </a:xfrm>
                                <a:prstGeom prst="rect">
                                  <a:avLst/>
                                </a:prstGeom>
                                <a:noFill/>
                                <a:ln>
                                  <a:noFill/>
                                </a:ln>
                              </pic:spPr>
                            </pic:pic>
                          </a:graphicData>
                        </a:graphic>
                      </wp:anchor>
                    </w:drawing>
                  </w:r>
                </w:p>
                <w:p w14:paraId="1CBEFB55">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p>
                <w:p w14:paraId="15712DDB">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p>
                <w:p w14:paraId="66A09B6C">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48DCB38B">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ascii="Times New Roman" w:hAnsi="Times New Roman" w:eastAsia="宋体"/>
                      <w:color w:val="000000" w:themeColor="text1"/>
                      <w:spacing w:val="0"/>
                      <w:sz w:val="21"/>
                      <w:szCs w:val="21"/>
                      <w14:textFill>
                        <w14:solidFill>
                          <w14:schemeClr w14:val="tx1"/>
                        </w14:solidFill>
                      </w14:textFill>
                    </w:rPr>
                    <w:drawing>
                      <wp:anchor distT="0" distB="0" distL="114300" distR="114300" simplePos="0" relativeHeight="251663360" behindDoc="0" locked="0" layoutInCell="1" allowOverlap="1">
                        <wp:simplePos x="0" y="0"/>
                        <wp:positionH relativeFrom="column">
                          <wp:posOffset>73660</wp:posOffset>
                        </wp:positionH>
                        <wp:positionV relativeFrom="paragraph">
                          <wp:posOffset>32385</wp:posOffset>
                        </wp:positionV>
                        <wp:extent cx="537845" cy="467360"/>
                        <wp:effectExtent l="0" t="0" r="14605" b="8890"/>
                        <wp:wrapNone/>
                        <wp:docPr id="90" name="图片 75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55" descr="点击看大图及详细资料"/>
                                <pic:cNvPicPr>
                                  <a:picLocks noChangeAspect="1"/>
                                </pic:cNvPicPr>
                              </pic:nvPicPr>
                              <pic:blipFill>
                                <a:blip r:embed="rId29"/>
                                <a:stretch>
                                  <a:fillRect/>
                                </a:stretch>
                              </pic:blipFill>
                              <pic:spPr>
                                <a:xfrm>
                                  <a:off x="0" y="0"/>
                                  <a:ext cx="537845" cy="467360"/>
                                </a:xfrm>
                                <a:prstGeom prst="rect">
                                  <a:avLst/>
                                </a:prstGeom>
                                <a:noFill/>
                                <a:ln>
                                  <a:noFill/>
                                </a:ln>
                              </pic:spPr>
                            </pic:pic>
                          </a:graphicData>
                        </a:graphic>
                      </wp:anchor>
                    </w:drawing>
                  </w:r>
                </w:p>
                <w:p w14:paraId="56B8B586">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p>
                <w:p w14:paraId="09325529">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53C9489C">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ascii="Times New Roman" w:hAnsi="Times New Roman" w:eastAsia="宋体"/>
                      <w:color w:val="000000" w:themeColor="text1"/>
                      <w:spacing w:val="0"/>
                      <w:sz w:val="21"/>
                      <w:szCs w:val="21"/>
                      <w14:textFill>
                        <w14:solidFill>
                          <w14:schemeClr w14:val="tx1"/>
                        </w14:solidFill>
                      </w14:textFill>
                    </w:rPr>
                    <w:drawing>
                      <wp:anchor distT="0" distB="0" distL="114300" distR="114300" simplePos="0" relativeHeight="251664384" behindDoc="0" locked="0" layoutInCell="1" allowOverlap="1">
                        <wp:simplePos x="0" y="0"/>
                        <wp:positionH relativeFrom="column">
                          <wp:posOffset>98425</wp:posOffset>
                        </wp:positionH>
                        <wp:positionV relativeFrom="paragraph">
                          <wp:posOffset>18415</wp:posOffset>
                        </wp:positionV>
                        <wp:extent cx="521970" cy="490220"/>
                        <wp:effectExtent l="0" t="0" r="11430" b="5080"/>
                        <wp:wrapNone/>
                        <wp:docPr id="91" name="图片 75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56" descr="点击看大图及详细资料"/>
                                <pic:cNvPicPr>
                                  <a:picLocks noChangeAspect="1"/>
                                </pic:cNvPicPr>
                              </pic:nvPicPr>
                              <pic:blipFill>
                                <a:blip r:embed="rId30"/>
                                <a:stretch>
                                  <a:fillRect/>
                                </a:stretch>
                              </pic:blipFill>
                              <pic:spPr>
                                <a:xfrm>
                                  <a:off x="0" y="0"/>
                                  <a:ext cx="521970" cy="490220"/>
                                </a:xfrm>
                                <a:prstGeom prst="rect">
                                  <a:avLst/>
                                </a:prstGeom>
                                <a:noFill/>
                                <a:ln>
                                  <a:noFill/>
                                </a:ln>
                              </pic:spPr>
                            </pic:pic>
                          </a:graphicData>
                        </a:graphic>
                      </wp:anchor>
                    </w:drawing>
                  </w:r>
                </w:p>
                <w:p w14:paraId="22FF9D50">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p>
                <w:p w14:paraId="7668281F">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p>
              </w:tc>
              <w:tc>
                <w:tcPr>
                  <w:tcW w:w="850" w:type="pct"/>
                  <w:tcBorders>
                    <w:top w:val="single" w:color="auto" w:sz="6" w:space="0"/>
                    <w:left w:val="single" w:color="auto" w:sz="6" w:space="0"/>
                    <w:bottom w:val="single" w:color="auto" w:sz="6" w:space="0"/>
                    <w:right w:val="single" w:color="auto" w:sz="6" w:space="0"/>
                  </w:tcBorders>
                  <w:noWrap w:val="0"/>
                  <w:vAlign w:val="center"/>
                </w:tcPr>
                <w:p w14:paraId="606AAAF3">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ascii="Times New Roman" w:hAnsi="Times New Roman" w:eastAsia="宋体"/>
                      <w:color w:val="000000" w:themeColor="text1"/>
                      <w:spacing w:val="0"/>
                      <w:sz w:val="21"/>
                      <w:szCs w:val="21"/>
                      <w14:textFill>
                        <w14:solidFill>
                          <w14:schemeClr w14:val="tx1"/>
                        </w14:solidFill>
                      </w14:textFill>
                    </w:rPr>
                    <w:drawing>
                      <wp:anchor distT="0" distB="0" distL="114300" distR="114300" simplePos="0" relativeHeight="251666432" behindDoc="0" locked="0" layoutInCell="1" allowOverlap="1">
                        <wp:simplePos x="0" y="0"/>
                        <wp:positionH relativeFrom="column">
                          <wp:posOffset>85090</wp:posOffset>
                        </wp:positionH>
                        <wp:positionV relativeFrom="paragraph">
                          <wp:posOffset>22860</wp:posOffset>
                        </wp:positionV>
                        <wp:extent cx="574040" cy="489585"/>
                        <wp:effectExtent l="0" t="0" r="16510" b="5715"/>
                        <wp:wrapNone/>
                        <wp:docPr id="93" name="图片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217"/>
                                <pic:cNvPicPr>
                                  <a:picLocks noChangeAspect="1"/>
                                </pic:cNvPicPr>
                              </pic:nvPicPr>
                              <pic:blipFill>
                                <a:blip r:embed="rId31"/>
                                <a:srcRect t="1997"/>
                                <a:stretch>
                                  <a:fillRect/>
                                </a:stretch>
                              </pic:blipFill>
                              <pic:spPr>
                                <a:xfrm>
                                  <a:off x="0" y="0"/>
                                  <a:ext cx="574040" cy="489585"/>
                                </a:xfrm>
                                <a:prstGeom prst="rect">
                                  <a:avLst/>
                                </a:prstGeom>
                                <a:noFill/>
                                <a:ln>
                                  <a:noFill/>
                                </a:ln>
                              </pic:spPr>
                            </pic:pic>
                          </a:graphicData>
                        </a:graphic>
                      </wp:anchor>
                    </w:drawing>
                  </w:r>
                </w:p>
              </w:tc>
              <w:tc>
                <w:tcPr>
                  <w:tcW w:w="787" w:type="pct"/>
                  <w:tcBorders>
                    <w:top w:val="single" w:color="auto" w:sz="6" w:space="0"/>
                    <w:left w:val="single" w:color="auto" w:sz="6" w:space="0"/>
                    <w:bottom w:val="single" w:color="auto" w:sz="6" w:space="0"/>
                    <w:right w:val="nil"/>
                  </w:tcBorders>
                  <w:noWrap w:val="0"/>
                  <w:vAlign w:val="center"/>
                </w:tcPr>
                <w:p w14:paraId="5144347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firstLine="0" w:firstLineChars="0"/>
                    <w:jc w:val="center"/>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w:t>
                  </w:r>
                </w:p>
              </w:tc>
            </w:tr>
            <w:tr w14:paraId="7A03A287">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072" w:hRule="atLeast"/>
                <w:jc w:val="center"/>
              </w:trPr>
              <w:tc>
                <w:tcPr>
                  <w:tcW w:w="904" w:type="pct"/>
                  <w:tcBorders>
                    <w:top w:val="single" w:color="auto" w:sz="6" w:space="0"/>
                    <w:left w:val="nil"/>
                    <w:bottom w:val="single" w:color="auto" w:sz="6" w:space="0"/>
                    <w:right w:val="single" w:color="auto" w:sz="6" w:space="0"/>
                  </w:tcBorders>
                  <w:noWrap w:val="0"/>
                  <w:vAlign w:val="center"/>
                </w:tcPr>
                <w:p w14:paraId="698E9C91">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警告</w:t>
                  </w:r>
                  <w:r>
                    <w:rPr>
                      <w:rFonts w:ascii="Times New Roman" w:hAnsi="Times New Roman" w:eastAsia="宋体"/>
                      <w:color w:val="000000" w:themeColor="text1"/>
                      <w:spacing w:val="0"/>
                      <w:sz w:val="21"/>
                      <w:szCs w:val="21"/>
                      <w:lang w:val="en-GB"/>
                      <w14:textFill>
                        <w14:solidFill>
                          <w14:schemeClr w14:val="tx1"/>
                        </w14:solidFill>
                      </w14:textFill>
                    </w:rPr>
                    <w:t>图形</w:t>
                  </w:r>
                </w:p>
                <w:p w14:paraId="67DC90EB">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default" w:ascii="Times New Roman" w:hAnsi="Times New Roman" w:eastAsia="宋体"/>
                      <w:color w:val="000000" w:themeColor="text1"/>
                      <w:spacing w:val="0"/>
                      <w:sz w:val="21"/>
                      <w:szCs w:val="21"/>
                      <w:lang w:val="en-US" w:eastAsia="zh-CN"/>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06A33271">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ascii="Times New Roman" w:hAnsi="Times New Roman" w:eastAsia="宋体"/>
                      <w:color w:val="000000" w:themeColor="text1"/>
                      <w:spacing w:val="0"/>
                      <w:sz w:val="21"/>
                      <w:szCs w:val="21"/>
                      <w14:textFill>
                        <w14:solidFill>
                          <w14:schemeClr w14:val="tx1"/>
                        </w14:solidFill>
                      </w14:textFill>
                    </w:rPr>
                    <w:drawing>
                      <wp:anchor distT="0" distB="0" distL="114300" distR="114300" simplePos="0" relativeHeight="251668480" behindDoc="0" locked="0" layoutInCell="1" allowOverlap="1">
                        <wp:simplePos x="0" y="0"/>
                        <wp:positionH relativeFrom="column">
                          <wp:posOffset>1270</wp:posOffset>
                        </wp:positionH>
                        <wp:positionV relativeFrom="paragraph">
                          <wp:posOffset>45085</wp:posOffset>
                        </wp:positionV>
                        <wp:extent cx="643255" cy="572135"/>
                        <wp:effectExtent l="0" t="0" r="4445" b="18415"/>
                        <wp:wrapNone/>
                        <wp:docPr id="95" name="图片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218"/>
                                <pic:cNvPicPr>
                                  <a:picLocks noChangeAspect="1"/>
                                </pic:cNvPicPr>
                              </pic:nvPicPr>
                              <pic:blipFill>
                                <a:blip r:embed="rId32"/>
                                <a:stretch>
                                  <a:fillRect/>
                                </a:stretch>
                              </pic:blipFill>
                              <pic:spPr>
                                <a:xfrm>
                                  <a:off x="0" y="0"/>
                                  <a:ext cx="643255" cy="572135"/>
                                </a:xfrm>
                                <a:prstGeom prst="rect">
                                  <a:avLst/>
                                </a:prstGeom>
                                <a:noFill/>
                                <a:ln>
                                  <a:noFill/>
                                </a:ln>
                              </pic:spPr>
                            </pic:pic>
                          </a:graphicData>
                        </a:graphic>
                      </wp:anchor>
                    </w:drawing>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7F06873">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ascii="Times New Roman" w:hAnsi="Times New Roman" w:eastAsia="宋体"/>
                      <w:color w:val="000000" w:themeColor="text1"/>
                      <w:spacing w:val="0"/>
                      <w:sz w:val="21"/>
                      <w:szCs w:val="21"/>
                      <w14:textFill>
                        <w14:solidFill>
                          <w14:schemeClr w14:val="tx1"/>
                        </w14:solidFill>
                      </w14:textFill>
                    </w:rPr>
                    <w:drawing>
                      <wp:anchor distT="0" distB="0" distL="114300" distR="114300" simplePos="0" relativeHeight="251669504" behindDoc="0" locked="0" layoutInCell="1" allowOverlap="1">
                        <wp:simplePos x="0" y="0"/>
                        <wp:positionH relativeFrom="column">
                          <wp:posOffset>21590</wp:posOffset>
                        </wp:positionH>
                        <wp:positionV relativeFrom="paragraph">
                          <wp:posOffset>51435</wp:posOffset>
                        </wp:positionV>
                        <wp:extent cx="645160" cy="572770"/>
                        <wp:effectExtent l="0" t="0" r="2540" b="17780"/>
                        <wp:wrapNone/>
                        <wp:docPr id="96" name="图片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219"/>
                                <pic:cNvPicPr>
                                  <a:picLocks noChangeAspect="1"/>
                                </pic:cNvPicPr>
                              </pic:nvPicPr>
                              <pic:blipFill>
                                <a:blip r:embed="rId33"/>
                                <a:stretch>
                                  <a:fillRect/>
                                </a:stretch>
                              </pic:blipFill>
                              <pic:spPr>
                                <a:xfrm>
                                  <a:off x="0" y="0"/>
                                  <a:ext cx="645160" cy="572770"/>
                                </a:xfrm>
                                <a:prstGeom prst="rect">
                                  <a:avLst/>
                                </a:prstGeom>
                                <a:noFill/>
                                <a:ln>
                                  <a:noFill/>
                                </a:ln>
                              </pic:spPr>
                            </pic:pic>
                          </a:graphicData>
                        </a:graphic>
                      </wp:anchor>
                    </w:drawing>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3EFA19FB">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ascii="Times New Roman" w:hAnsi="Times New Roman" w:eastAsia="宋体"/>
                      <w:color w:val="000000" w:themeColor="text1"/>
                      <w:spacing w:val="0"/>
                      <w:sz w:val="21"/>
                      <w:szCs w:val="21"/>
                      <w14:textFill>
                        <w14:solidFill>
                          <w14:schemeClr w14:val="tx1"/>
                        </w14:solidFill>
                      </w14:textFill>
                    </w:rPr>
                    <w:drawing>
                      <wp:anchor distT="0" distB="0" distL="114300" distR="114300" simplePos="0" relativeHeight="251670528" behindDoc="0" locked="0" layoutInCell="1" allowOverlap="1">
                        <wp:simplePos x="0" y="0"/>
                        <wp:positionH relativeFrom="column">
                          <wp:posOffset>34925</wp:posOffset>
                        </wp:positionH>
                        <wp:positionV relativeFrom="paragraph">
                          <wp:posOffset>35560</wp:posOffset>
                        </wp:positionV>
                        <wp:extent cx="642620" cy="601980"/>
                        <wp:effectExtent l="0" t="0" r="5080" b="7620"/>
                        <wp:wrapNone/>
                        <wp:docPr id="97" name="图片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220"/>
                                <pic:cNvPicPr>
                                  <a:picLocks noChangeAspect="1"/>
                                </pic:cNvPicPr>
                              </pic:nvPicPr>
                              <pic:blipFill>
                                <a:blip r:embed="rId34"/>
                                <a:stretch>
                                  <a:fillRect/>
                                </a:stretch>
                              </pic:blipFill>
                              <pic:spPr>
                                <a:xfrm>
                                  <a:off x="0" y="0"/>
                                  <a:ext cx="642620" cy="601980"/>
                                </a:xfrm>
                                <a:prstGeom prst="rect">
                                  <a:avLst/>
                                </a:prstGeom>
                                <a:noFill/>
                                <a:ln>
                                  <a:noFill/>
                                </a:ln>
                              </pic:spPr>
                            </pic:pic>
                          </a:graphicData>
                        </a:graphic>
                      </wp:anchor>
                    </w:drawing>
                  </w:r>
                </w:p>
              </w:tc>
              <w:tc>
                <w:tcPr>
                  <w:tcW w:w="850" w:type="pct"/>
                  <w:tcBorders>
                    <w:top w:val="single" w:color="auto" w:sz="6" w:space="0"/>
                    <w:left w:val="single" w:color="auto" w:sz="6" w:space="0"/>
                    <w:bottom w:val="single" w:color="auto" w:sz="6" w:space="0"/>
                    <w:right w:val="single" w:color="auto" w:sz="6" w:space="0"/>
                  </w:tcBorders>
                  <w:noWrap w:val="0"/>
                  <w:vAlign w:val="center"/>
                </w:tcPr>
                <w:p w14:paraId="1E57BF11">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14:textFill>
                        <w14:solidFill>
                          <w14:schemeClr w14:val="tx1"/>
                        </w14:solidFill>
                      </w14:textFill>
                    </w:rPr>
                  </w:pPr>
                  <w:r>
                    <w:rPr>
                      <w:rFonts w:ascii="Times New Roman" w:hAnsi="Times New Roman" w:eastAsia="宋体"/>
                      <w:color w:val="000000" w:themeColor="text1"/>
                      <w:spacing w:val="0"/>
                      <w:sz w:val="21"/>
                      <w:szCs w:val="21"/>
                      <w14:textFill>
                        <w14:solidFill>
                          <w14:schemeClr w14:val="tx1"/>
                        </w14:solidFill>
                      </w14:textFill>
                    </w:rPr>
                    <w:drawing>
                      <wp:anchor distT="0" distB="0" distL="114300" distR="114300" simplePos="0" relativeHeight="251667456" behindDoc="0" locked="0" layoutInCell="1" allowOverlap="1">
                        <wp:simplePos x="0" y="0"/>
                        <wp:positionH relativeFrom="column">
                          <wp:posOffset>26035</wp:posOffset>
                        </wp:positionH>
                        <wp:positionV relativeFrom="paragraph">
                          <wp:posOffset>36830</wp:posOffset>
                        </wp:positionV>
                        <wp:extent cx="673735" cy="615950"/>
                        <wp:effectExtent l="0" t="0" r="12065" b="12700"/>
                        <wp:wrapNone/>
                        <wp:docPr id="94" name="图片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21"/>
                                <pic:cNvPicPr>
                                  <a:picLocks noChangeAspect="1"/>
                                </pic:cNvPicPr>
                              </pic:nvPicPr>
                              <pic:blipFill>
                                <a:blip r:embed="rId35"/>
                                <a:stretch>
                                  <a:fillRect/>
                                </a:stretch>
                              </pic:blipFill>
                              <pic:spPr>
                                <a:xfrm>
                                  <a:off x="0" y="0"/>
                                  <a:ext cx="673735" cy="615950"/>
                                </a:xfrm>
                                <a:prstGeom prst="rect">
                                  <a:avLst/>
                                </a:prstGeom>
                                <a:noFill/>
                                <a:ln>
                                  <a:noFill/>
                                </a:ln>
                              </pic:spPr>
                            </pic:pic>
                          </a:graphicData>
                        </a:graphic>
                      </wp:anchor>
                    </w:drawing>
                  </w:r>
                </w:p>
              </w:tc>
              <w:tc>
                <w:tcPr>
                  <w:tcW w:w="787" w:type="pct"/>
                  <w:tcBorders>
                    <w:top w:val="single" w:color="auto" w:sz="6" w:space="0"/>
                    <w:left w:val="single" w:color="auto" w:sz="6" w:space="0"/>
                    <w:bottom w:val="single" w:color="auto" w:sz="6" w:space="0"/>
                    <w:right w:val="nil"/>
                  </w:tcBorders>
                  <w:noWrap w:val="0"/>
                  <w:vAlign w:val="center"/>
                </w:tcPr>
                <w:p w14:paraId="5E57396B">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14:textFill>
                        <w14:solidFill>
                          <w14:schemeClr w14:val="tx1"/>
                        </w14:solidFill>
                      </w14:textFill>
                    </w:rPr>
                  </w:pPr>
                  <w:r>
                    <w:rPr>
                      <w:rFonts w:ascii="Times New Roman" w:hAnsi="Times New Roman" w:eastAsia="宋体"/>
                      <w:color w:val="000000" w:themeColor="text1"/>
                      <w:spacing w:val="0"/>
                      <w:sz w:val="21"/>
                      <w:szCs w:val="21"/>
                      <w14:textFill>
                        <w14:solidFill>
                          <w14:schemeClr w14:val="tx1"/>
                        </w14:solidFill>
                      </w14:textFill>
                    </w:rPr>
                    <w:drawing>
                      <wp:anchor distT="0" distB="0" distL="114300" distR="114300" simplePos="0" relativeHeight="251665408" behindDoc="0" locked="0" layoutInCell="1" allowOverlap="1">
                        <wp:simplePos x="0" y="0"/>
                        <wp:positionH relativeFrom="column">
                          <wp:posOffset>-15240</wp:posOffset>
                        </wp:positionH>
                        <wp:positionV relativeFrom="paragraph">
                          <wp:posOffset>46355</wp:posOffset>
                        </wp:positionV>
                        <wp:extent cx="664845" cy="616585"/>
                        <wp:effectExtent l="0" t="0" r="1905" b="12065"/>
                        <wp:wrapNone/>
                        <wp:docPr id="92" name="图片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222"/>
                                <pic:cNvPicPr>
                                  <a:picLocks noChangeAspect="1"/>
                                </pic:cNvPicPr>
                              </pic:nvPicPr>
                              <pic:blipFill>
                                <a:blip r:embed="rId36"/>
                                <a:stretch>
                                  <a:fillRect/>
                                </a:stretch>
                              </pic:blipFill>
                              <pic:spPr>
                                <a:xfrm>
                                  <a:off x="0" y="0"/>
                                  <a:ext cx="664845" cy="616585"/>
                                </a:xfrm>
                                <a:prstGeom prst="rect">
                                  <a:avLst/>
                                </a:prstGeom>
                                <a:noFill/>
                                <a:ln>
                                  <a:noFill/>
                                </a:ln>
                              </pic:spPr>
                            </pic:pic>
                          </a:graphicData>
                        </a:graphic>
                      </wp:anchor>
                    </w:drawing>
                  </w:r>
                </w:p>
                <w:p w14:paraId="76D5C199">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p>
              </w:tc>
            </w:tr>
            <w:tr w14:paraId="04EACAD4">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1EE389A8">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功能</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237ACEFD">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表示污水向水体排放</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8CAB5CB">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eastAsia" w:ascii="Times New Roman" w:hAnsi="Times New Roman" w:eastAsia="宋体" w:cs="Times New Roman"/>
                      <w:color w:val="000000" w:themeColor="text1"/>
                      <w:spacing w:val="0"/>
                      <w:sz w:val="21"/>
                      <w:szCs w:val="21"/>
                      <w:lang w:val="en-GB"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表示废气向大气环境排放</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4D7BDF9">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表示噪声向外环境排放</w:t>
                  </w:r>
                </w:p>
              </w:tc>
              <w:tc>
                <w:tcPr>
                  <w:tcW w:w="850" w:type="pct"/>
                  <w:tcBorders>
                    <w:top w:val="single" w:color="auto" w:sz="6" w:space="0"/>
                    <w:left w:val="single" w:color="auto" w:sz="6" w:space="0"/>
                    <w:bottom w:val="single" w:color="auto" w:sz="6" w:space="0"/>
                    <w:right w:val="single" w:color="auto" w:sz="6" w:space="0"/>
                  </w:tcBorders>
                  <w:noWrap w:val="0"/>
                  <w:vAlign w:val="center"/>
                </w:tcPr>
                <w:p w14:paraId="2428F3FB">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表示一般固体废物贮存、处置场</w:t>
                  </w:r>
                </w:p>
              </w:tc>
              <w:tc>
                <w:tcPr>
                  <w:tcW w:w="787" w:type="pct"/>
                  <w:tcBorders>
                    <w:top w:val="single" w:color="auto" w:sz="6" w:space="0"/>
                    <w:left w:val="single" w:color="auto" w:sz="6" w:space="0"/>
                    <w:bottom w:val="single" w:color="auto" w:sz="6" w:space="0"/>
                    <w:right w:val="nil"/>
                  </w:tcBorders>
                  <w:noWrap w:val="0"/>
                  <w:vAlign w:val="center"/>
                </w:tcPr>
                <w:p w14:paraId="4B028957">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表示危险废物贮存、处置场</w:t>
                  </w:r>
                </w:p>
              </w:tc>
            </w:tr>
            <w:tr w14:paraId="5B7A9B31">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6A1AB80B">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default" w:ascii="Times New Roman" w:hAnsi="Times New Roman" w:eastAsia="宋体"/>
                      <w:color w:val="000000" w:themeColor="text1"/>
                      <w:spacing w:val="0"/>
                      <w:sz w:val="21"/>
                      <w:szCs w:val="21"/>
                      <w:lang w:val="en-US" w:eastAsia="zh-CN"/>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提示标志</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D2443F5">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s="Times New Roman"/>
                      <w:color w:val="000000" w:themeColor="text1"/>
                      <w:spacing w:val="0"/>
                      <w:sz w:val="21"/>
                      <w:szCs w:val="21"/>
                      <w:lang w:val="en-GB"/>
                      <w14:textFill>
                        <w14:solidFill>
                          <w14:schemeClr w14:val="tx1"/>
                        </w14:solidFill>
                      </w14:textFill>
                    </w:rPr>
                  </w:pPr>
                  <w:r>
                    <w:rPr>
                      <w:rFonts w:ascii="Times New Roman" w:hAnsi="Times New Roman" w:eastAsia="宋体" w:cs="Times New Roman"/>
                      <w:color w:val="000000" w:themeColor="text1"/>
                      <w:spacing w:val="0"/>
                      <w:sz w:val="21"/>
                      <w:szCs w:val="21"/>
                      <w:lang w:val="en-GB"/>
                      <w14:textFill>
                        <w14:solidFill>
                          <w14:schemeClr w14:val="tx1"/>
                        </w14:solidFill>
                      </w14:textFill>
                    </w:rPr>
                    <w:t>正方形</w:t>
                  </w:r>
                </w:p>
                <w:p w14:paraId="71E2A36E">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s="Times New Roman"/>
                      <w:color w:val="000000" w:themeColor="text1"/>
                      <w:spacing w:val="0"/>
                      <w:sz w:val="21"/>
                      <w:szCs w:val="21"/>
                      <w:lang w:val="en-GB"/>
                      <w14:textFill>
                        <w14:solidFill>
                          <w14:schemeClr w14:val="tx1"/>
                        </w14:solidFill>
                      </w14:textFill>
                    </w:rPr>
                  </w:pPr>
                  <w:r>
                    <w:rPr>
                      <w:rFonts w:ascii="Times New Roman" w:hAnsi="Times New Roman" w:eastAsia="宋体" w:cs="Times New Roman"/>
                      <w:color w:val="000000" w:themeColor="text1"/>
                      <w:spacing w:val="0"/>
                      <w:sz w:val="21"/>
                      <w:szCs w:val="21"/>
                      <w:lang w:val="en-GB"/>
                      <w14:textFill>
                        <w14:solidFill>
                          <w14:schemeClr w14:val="tx1"/>
                        </w14:solidFill>
                      </w14:textFill>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BC5796A">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正方形</w:t>
                  </w:r>
                </w:p>
                <w:p w14:paraId="1739A4C4">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261166DF">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正方形</w:t>
                  </w:r>
                </w:p>
                <w:p w14:paraId="019393F5">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边框</w:t>
                  </w:r>
                </w:p>
              </w:tc>
              <w:tc>
                <w:tcPr>
                  <w:tcW w:w="850" w:type="pct"/>
                  <w:tcBorders>
                    <w:top w:val="single" w:color="auto" w:sz="6" w:space="0"/>
                    <w:left w:val="single" w:color="auto" w:sz="6" w:space="0"/>
                    <w:bottom w:val="single" w:color="auto" w:sz="6" w:space="0"/>
                    <w:right w:val="single" w:color="auto" w:sz="6" w:space="0"/>
                  </w:tcBorders>
                  <w:noWrap w:val="0"/>
                  <w:vAlign w:val="center"/>
                </w:tcPr>
                <w:p w14:paraId="6CF3A7BD">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正方形</w:t>
                  </w:r>
                </w:p>
                <w:p w14:paraId="27DF8ED8">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边框</w:t>
                  </w:r>
                </w:p>
              </w:tc>
              <w:tc>
                <w:tcPr>
                  <w:tcW w:w="787" w:type="pct"/>
                  <w:tcBorders>
                    <w:top w:val="single" w:color="auto" w:sz="6" w:space="0"/>
                    <w:left w:val="single" w:color="auto" w:sz="6" w:space="0"/>
                    <w:bottom w:val="single" w:color="auto" w:sz="6" w:space="0"/>
                    <w:right w:val="nil"/>
                  </w:tcBorders>
                  <w:noWrap w:val="0"/>
                  <w:vAlign w:val="center"/>
                </w:tcPr>
                <w:p w14:paraId="2BD9DAAE">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default" w:ascii="Times New Roman" w:hAnsi="Times New Roman" w:eastAsia="宋体"/>
                      <w:color w:val="000000" w:themeColor="text1"/>
                      <w:spacing w:val="0"/>
                      <w:sz w:val="21"/>
                      <w:szCs w:val="21"/>
                      <w:lang w:val="en-US" w:eastAsia="zh-CN"/>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w:t>
                  </w:r>
                </w:p>
              </w:tc>
            </w:tr>
            <w:tr w14:paraId="375463DA">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023CC8C1">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eastAsia" w:ascii="Times New Roman" w:hAnsi="Times New Roman" w:eastAsia="宋体"/>
                      <w:color w:val="000000" w:themeColor="text1"/>
                      <w:spacing w:val="0"/>
                      <w:kern w:val="0"/>
                      <w:sz w:val="21"/>
                      <w:szCs w:val="21"/>
                      <w:lang w:val="en-US"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4D846C5">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D7277EF">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00D3A80C">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绿色</w:t>
                  </w:r>
                </w:p>
              </w:tc>
              <w:tc>
                <w:tcPr>
                  <w:tcW w:w="850" w:type="pct"/>
                  <w:tcBorders>
                    <w:top w:val="single" w:color="auto" w:sz="6" w:space="0"/>
                    <w:left w:val="single" w:color="auto" w:sz="6" w:space="0"/>
                    <w:bottom w:val="single" w:color="auto" w:sz="6" w:space="0"/>
                    <w:right w:val="single" w:color="auto" w:sz="6" w:space="0"/>
                  </w:tcBorders>
                  <w:noWrap w:val="0"/>
                  <w:vAlign w:val="center"/>
                </w:tcPr>
                <w:p w14:paraId="51FBE1F7">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绿色</w:t>
                  </w:r>
                </w:p>
              </w:tc>
              <w:tc>
                <w:tcPr>
                  <w:tcW w:w="787" w:type="pct"/>
                  <w:tcBorders>
                    <w:top w:val="single" w:color="auto" w:sz="6" w:space="0"/>
                    <w:left w:val="single" w:color="auto" w:sz="6" w:space="0"/>
                    <w:bottom w:val="single" w:color="auto" w:sz="6" w:space="0"/>
                    <w:right w:val="nil"/>
                  </w:tcBorders>
                  <w:noWrap w:val="0"/>
                  <w:vAlign w:val="center"/>
                </w:tcPr>
                <w:p w14:paraId="7CFE1E3B">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jc w:val="center"/>
                    <w:textAlignment w:val="auto"/>
                    <w:rPr>
                      <w:rFonts w:hint="eastAsia" w:ascii="Times New Roman" w:hAnsi="Times New Roman" w:eastAsia="宋体"/>
                      <w:color w:val="000000" w:themeColor="text1"/>
                      <w:spacing w:val="0"/>
                      <w:kern w:val="0"/>
                      <w:sz w:val="21"/>
                      <w:szCs w:val="21"/>
                      <w:lang w:val="en-US" w:eastAsia="zh-CN" w:bidi="he-IL"/>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w:t>
                  </w:r>
                </w:p>
              </w:tc>
            </w:tr>
            <w:tr w14:paraId="793C5856">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20D7B7D2">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eastAsia" w:ascii="Times New Roman" w:hAnsi="Times New Roman" w:eastAsia="宋体"/>
                      <w:color w:val="000000" w:themeColor="text1"/>
                      <w:spacing w:val="0"/>
                      <w:kern w:val="0"/>
                      <w:sz w:val="21"/>
                      <w:szCs w:val="21"/>
                      <w:lang w:val="en-US"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图形颜色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6C4F3C9">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白色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0F5F8B5C">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白色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E7EA5EC">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白色</w:t>
                  </w:r>
                </w:p>
              </w:tc>
              <w:tc>
                <w:tcPr>
                  <w:tcW w:w="850" w:type="pct"/>
                  <w:tcBorders>
                    <w:top w:val="single" w:color="auto" w:sz="6" w:space="0"/>
                    <w:left w:val="single" w:color="auto" w:sz="6" w:space="0"/>
                    <w:bottom w:val="single" w:color="auto" w:sz="6" w:space="0"/>
                    <w:right w:val="single" w:color="auto" w:sz="6" w:space="0"/>
                  </w:tcBorders>
                  <w:noWrap w:val="0"/>
                  <w:vAlign w:val="center"/>
                </w:tcPr>
                <w:p w14:paraId="741A9162">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白色</w:t>
                  </w:r>
                </w:p>
              </w:tc>
              <w:tc>
                <w:tcPr>
                  <w:tcW w:w="787" w:type="pct"/>
                  <w:tcBorders>
                    <w:top w:val="single" w:color="auto" w:sz="6" w:space="0"/>
                    <w:left w:val="single" w:color="auto" w:sz="6" w:space="0"/>
                    <w:bottom w:val="single" w:color="auto" w:sz="6" w:space="0"/>
                    <w:right w:val="nil"/>
                  </w:tcBorders>
                  <w:noWrap w:val="0"/>
                  <w:vAlign w:val="center"/>
                </w:tcPr>
                <w:p w14:paraId="5EF2F1D5">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jc w:val="center"/>
                    <w:textAlignment w:val="auto"/>
                    <w:rPr>
                      <w:rFonts w:hint="eastAsia" w:ascii="Times New Roman" w:hAnsi="Times New Roman" w:eastAsia="宋体"/>
                      <w:color w:val="000000" w:themeColor="text1"/>
                      <w:spacing w:val="0"/>
                      <w:kern w:val="0"/>
                      <w:sz w:val="21"/>
                      <w:szCs w:val="21"/>
                      <w:lang w:val="en-US" w:eastAsia="zh-CN" w:bidi="he-IL"/>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w:t>
                  </w:r>
                </w:p>
              </w:tc>
            </w:tr>
            <w:tr w14:paraId="2CC94091">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5B129913">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eastAsia" w:ascii="Times New Roman" w:hAnsi="Times New Roman" w:eastAsia="宋体"/>
                      <w:color w:val="000000" w:themeColor="text1"/>
                      <w:spacing w:val="0"/>
                      <w:sz w:val="21"/>
                      <w:szCs w:val="21"/>
                      <w:lang w:val="en-US" w:eastAsia="zh-CN"/>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警告标志</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01B086E7">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三角形</w:t>
                  </w:r>
                </w:p>
                <w:p w14:paraId="32FA9C8C">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81C84F5">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三角形</w:t>
                  </w:r>
                </w:p>
                <w:p w14:paraId="381C555D">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247F823E">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三角形</w:t>
                  </w:r>
                </w:p>
                <w:p w14:paraId="54BDEAB2">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边框</w:t>
                  </w:r>
                </w:p>
              </w:tc>
              <w:tc>
                <w:tcPr>
                  <w:tcW w:w="850" w:type="pct"/>
                  <w:tcBorders>
                    <w:top w:val="single" w:color="auto" w:sz="6" w:space="0"/>
                    <w:left w:val="single" w:color="auto" w:sz="6" w:space="0"/>
                    <w:bottom w:val="single" w:color="auto" w:sz="6" w:space="0"/>
                    <w:right w:val="single" w:color="auto" w:sz="6" w:space="0"/>
                  </w:tcBorders>
                  <w:noWrap w:val="0"/>
                  <w:vAlign w:val="center"/>
                </w:tcPr>
                <w:p w14:paraId="503B181C">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三角形</w:t>
                  </w:r>
                </w:p>
                <w:p w14:paraId="7BF764E4">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sz w:val="21"/>
                      <w:szCs w:val="21"/>
                      <w:lang w:val="en-GB"/>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边框</w:t>
                  </w:r>
                </w:p>
              </w:tc>
              <w:tc>
                <w:tcPr>
                  <w:tcW w:w="787" w:type="pct"/>
                  <w:tcBorders>
                    <w:top w:val="single" w:color="auto" w:sz="6" w:space="0"/>
                    <w:left w:val="single" w:color="auto" w:sz="6" w:space="0"/>
                    <w:bottom w:val="single" w:color="auto" w:sz="6" w:space="0"/>
                    <w:right w:val="nil"/>
                  </w:tcBorders>
                  <w:noWrap w:val="0"/>
                  <w:vAlign w:val="center"/>
                </w:tcPr>
                <w:p w14:paraId="5C7EAFCC">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三角形</w:t>
                  </w:r>
                </w:p>
                <w:p w14:paraId="7F50525F">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eastAsia" w:ascii="Times New Roman" w:hAnsi="Times New Roman" w:eastAsia="宋体"/>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边框</w:t>
                  </w:r>
                </w:p>
              </w:tc>
            </w:tr>
            <w:tr w14:paraId="2A6C5A26">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6" w:space="0"/>
                    <w:right w:val="single" w:color="auto" w:sz="6" w:space="0"/>
                  </w:tcBorders>
                  <w:noWrap w:val="0"/>
                  <w:vAlign w:val="center"/>
                </w:tcPr>
                <w:p w14:paraId="5A9BDF8A">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eastAsia"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A244F86">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jc w:val="center"/>
                    <w:textAlignment w:val="auto"/>
                    <w:rPr>
                      <w:rFonts w:hint="eastAsia"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黄色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58272BCC">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jc w:val="center"/>
                    <w:textAlignment w:val="auto"/>
                    <w:rPr>
                      <w:rFonts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黄色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B566E22">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jc w:val="center"/>
                    <w:textAlignment w:val="auto"/>
                    <w:rPr>
                      <w:rFonts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黄色</w:t>
                  </w:r>
                </w:p>
              </w:tc>
              <w:tc>
                <w:tcPr>
                  <w:tcW w:w="850" w:type="pct"/>
                  <w:tcBorders>
                    <w:top w:val="single" w:color="auto" w:sz="6" w:space="0"/>
                    <w:left w:val="single" w:color="auto" w:sz="6" w:space="0"/>
                    <w:bottom w:val="single" w:color="auto" w:sz="6" w:space="0"/>
                    <w:right w:val="single" w:color="auto" w:sz="6" w:space="0"/>
                  </w:tcBorders>
                  <w:noWrap w:val="0"/>
                  <w:vAlign w:val="center"/>
                </w:tcPr>
                <w:p w14:paraId="0C8828C7">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jc w:val="center"/>
                    <w:textAlignment w:val="auto"/>
                    <w:rPr>
                      <w:rFonts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黄色</w:t>
                  </w:r>
                </w:p>
              </w:tc>
              <w:tc>
                <w:tcPr>
                  <w:tcW w:w="787" w:type="pct"/>
                  <w:tcBorders>
                    <w:top w:val="single" w:color="auto" w:sz="6" w:space="0"/>
                    <w:left w:val="single" w:color="auto" w:sz="6" w:space="0"/>
                    <w:bottom w:val="single" w:color="auto" w:sz="6" w:space="0"/>
                    <w:right w:val="nil"/>
                  </w:tcBorders>
                  <w:noWrap w:val="0"/>
                  <w:vAlign w:val="center"/>
                </w:tcPr>
                <w:p w14:paraId="54F2ACA8">
                  <w:pPr>
                    <w:keepNext w:val="0"/>
                    <w:keepLines w:val="0"/>
                    <w:pageBreakBefore w:val="0"/>
                    <w:widowControl w:val="0"/>
                    <w:kinsoku/>
                    <w:wordWrap/>
                    <w:overflowPunct/>
                    <w:topLinePunct w:val="0"/>
                    <w:bidi w:val="0"/>
                    <w:adjustRightInd w:val="0"/>
                    <w:snapToGrid w:val="0"/>
                    <w:spacing w:beforeAutospacing="0" w:afterAutospacing="0" w:line="240" w:lineRule="auto"/>
                    <w:ind w:left="0" w:firstLine="0" w:firstLineChars="0"/>
                    <w:jc w:val="center"/>
                    <w:textAlignment w:val="auto"/>
                    <w:rPr>
                      <w:rFonts w:hint="eastAsia"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黄色</w:t>
                  </w:r>
                </w:p>
              </w:tc>
            </w:tr>
            <w:tr w14:paraId="4E1B3EC9">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904" w:type="pct"/>
                  <w:tcBorders>
                    <w:top w:val="single" w:color="auto" w:sz="6" w:space="0"/>
                    <w:left w:val="nil"/>
                    <w:bottom w:val="single" w:color="auto" w:sz="12" w:space="0"/>
                    <w:right w:val="single" w:color="auto" w:sz="6" w:space="0"/>
                  </w:tcBorders>
                  <w:noWrap w:val="0"/>
                  <w:vAlign w:val="center"/>
                </w:tcPr>
                <w:p w14:paraId="1D43AAB8">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eastAsia"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图形颜色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2205E9F3">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黑色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34626730">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黑色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753E5146">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黑色</w:t>
                  </w:r>
                </w:p>
              </w:tc>
              <w:tc>
                <w:tcPr>
                  <w:tcW w:w="850" w:type="pct"/>
                  <w:tcBorders>
                    <w:top w:val="single" w:color="auto" w:sz="6" w:space="0"/>
                    <w:left w:val="single" w:color="auto" w:sz="6" w:space="0"/>
                    <w:bottom w:val="single" w:color="auto" w:sz="12" w:space="0"/>
                    <w:right w:val="single" w:color="auto" w:sz="6" w:space="0"/>
                  </w:tcBorders>
                  <w:noWrap w:val="0"/>
                  <w:vAlign w:val="center"/>
                </w:tcPr>
                <w:p w14:paraId="7B5DC70A">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黑色</w:t>
                  </w:r>
                </w:p>
              </w:tc>
              <w:tc>
                <w:tcPr>
                  <w:tcW w:w="787" w:type="pct"/>
                  <w:tcBorders>
                    <w:top w:val="single" w:color="auto" w:sz="6" w:space="0"/>
                    <w:left w:val="single" w:color="auto" w:sz="6" w:space="0"/>
                    <w:bottom w:val="single" w:color="auto" w:sz="12" w:space="0"/>
                    <w:right w:val="nil"/>
                  </w:tcBorders>
                  <w:noWrap w:val="0"/>
                  <w:vAlign w:val="center"/>
                </w:tcPr>
                <w:p w14:paraId="1EE74382">
                  <w:pPr>
                    <w:pStyle w:val="81"/>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eastAsia" w:ascii="Times New Roman" w:hAnsi="Times New Roman" w:eastAsia="宋体"/>
                      <w:color w:val="000000" w:themeColor="text1"/>
                      <w:spacing w:val="0"/>
                      <w:kern w:val="0"/>
                      <w:sz w:val="21"/>
                      <w:szCs w:val="21"/>
                      <w:lang w:val="en-GB" w:eastAsia="zh-CN" w:bidi="he-IL"/>
                      <w14:textFill>
                        <w14:solidFill>
                          <w14:schemeClr w14:val="tx1"/>
                        </w14:solidFill>
                      </w14:textFill>
                    </w:rPr>
                  </w:pPr>
                  <w:r>
                    <w:rPr>
                      <w:rFonts w:ascii="Times New Roman" w:hAnsi="Times New Roman" w:eastAsia="宋体"/>
                      <w:color w:val="000000" w:themeColor="text1"/>
                      <w:spacing w:val="0"/>
                      <w:sz w:val="21"/>
                      <w:szCs w:val="21"/>
                      <w:lang w:val="en-GB"/>
                      <w14:textFill>
                        <w14:solidFill>
                          <w14:schemeClr w14:val="tx1"/>
                        </w14:solidFill>
                      </w14:textFill>
                    </w:rPr>
                    <w:t>黑色</w:t>
                  </w:r>
                </w:p>
              </w:tc>
            </w:tr>
          </w:tbl>
          <w:p w14:paraId="1597F6B5">
            <w:pPr>
              <w:keepNext w:val="0"/>
              <w:keepLines w:val="0"/>
              <w:pageBreakBefore w:val="0"/>
              <w:widowControl w:val="0"/>
              <w:numPr>
                <w:ilvl w:val="0"/>
                <w:numId w:val="7"/>
              </w:numPr>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eastAsia="宋体" w:cs="Times New Roman"/>
                <w:b/>
                <w:bCs/>
                <w:color w:val="000000" w:themeColor="text1"/>
                <w:spacing w:val="0"/>
                <w:lang w:val="en-US" w:eastAsia="zh-CN"/>
                <w14:textFill>
                  <w14:solidFill>
                    <w14:schemeClr w14:val="tx1"/>
                  </w14:solidFill>
                </w14:textFill>
              </w:rPr>
            </w:pPr>
            <w:bookmarkStart w:id="44" w:name="_Toc490031280"/>
            <w:bookmarkStart w:id="45" w:name="_Toc492278677"/>
            <w:r>
              <w:rPr>
                <w:rFonts w:hint="default" w:ascii="Times New Roman" w:hAnsi="Times New Roman" w:eastAsia="宋体" w:cs="Times New Roman"/>
                <w:b/>
                <w:bCs/>
                <w:color w:val="000000" w:themeColor="text1"/>
                <w:spacing w:val="0"/>
                <w:lang w:val="en-US" w:eastAsia="zh-CN"/>
                <w14:textFill>
                  <w14:solidFill>
                    <w14:schemeClr w14:val="tx1"/>
                  </w14:solidFill>
                </w14:textFill>
              </w:rPr>
              <w:t>环保信息公开要求</w:t>
            </w:r>
            <w:bookmarkEnd w:id="44"/>
            <w:bookmarkEnd w:id="45"/>
          </w:p>
          <w:p w14:paraId="1DE1E2E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000000" w:themeColor="text1"/>
                <w:spacing w:val="0"/>
                <w:lang w:val="en-US" w:eastAsia="zh-CN"/>
                <w14:textFill>
                  <w14:solidFill>
                    <w14:schemeClr w14:val="tx1"/>
                  </w14:solidFill>
                </w14:textFill>
              </w:rPr>
            </w:pPr>
            <w:r>
              <w:rPr>
                <w:rFonts w:hint="eastAsia" w:ascii="Times New Roman" w:hAnsi="Times New Roman" w:eastAsia="宋体" w:cs="Times New Roman"/>
                <w:color w:val="000000" w:themeColor="text1"/>
                <w:spacing w:val="0"/>
                <w:lang w:val="en-US" w:eastAsia="zh-CN"/>
                <w14:textFill>
                  <w14:solidFill>
                    <w14:schemeClr w14:val="tx1"/>
                  </w14:solidFill>
                </w14:textFill>
              </w:rPr>
              <w:t>参照</w:t>
            </w:r>
            <w:r>
              <w:rPr>
                <w:rFonts w:hint="default" w:ascii="Times New Roman" w:hAnsi="Times New Roman" w:eastAsia="宋体" w:cs="Times New Roman"/>
                <w:color w:val="000000" w:themeColor="text1"/>
                <w:spacing w:val="0"/>
                <w:lang w:val="en-US" w:eastAsia="zh-CN"/>
                <w14:textFill>
                  <w14:solidFill>
                    <w14:schemeClr w14:val="tx1"/>
                  </w14:solidFill>
                </w14:textFill>
              </w:rPr>
              <w:t>2021年11月26日生态环境部</w:t>
            </w:r>
            <w:r>
              <w:rPr>
                <w:rFonts w:hint="eastAsia" w:ascii="Times New Roman" w:hAnsi="Times New Roman" w:eastAsia="宋体" w:cs="Times New Roman"/>
                <w:color w:val="000000" w:themeColor="text1"/>
                <w:spacing w:val="0"/>
                <w:lang w:val="en-US" w:eastAsia="zh-CN"/>
                <w14:textFill>
                  <w14:solidFill>
                    <w14:schemeClr w14:val="tx1"/>
                  </w14:solidFill>
                </w14:textFill>
              </w:rPr>
              <w:t>发布的</w:t>
            </w:r>
            <w:r>
              <w:rPr>
                <w:rFonts w:hint="default" w:ascii="Times New Roman" w:hAnsi="Times New Roman" w:eastAsia="宋体" w:cs="Times New Roman"/>
                <w:color w:val="000000" w:themeColor="text1"/>
                <w:spacing w:val="0"/>
                <w:lang w:val="en-US" w:eastAsia="zh-CN"/>
                <w14:textFill>
                  <w14:solidFill>
                    <w14:schemeClr w14:val="tx1"/>
                  </w14:solidFill>
                </w14:textFill>
              </w:rPr>
              <w:t>《企业环境信息依法披露管理办法》</w:t>
            </w:r>
            <w:bookmarkStart w:id="50" w:name="_GoBack"/>
            <w:r>
              <w:rPr>
                <w:rFonts w:hint="eastAsia" w:ascii="Times New Roman" w:hAnsi="Times New Roman" w:eastAsia="宋体" w:cs="Times New Roman"/>
                <w:color w:val="000000" w:themeColor="text1"/>
                <w:spacing w:val="0"/>
                <w:lang w:val="en-US" w:eastAsia="zh-CN"/>
                <w14:textFill>
                  <w14:solidFill>
                    <w14:schemeClr w14:val="tx1"/>
                  </w14:solidFill>
                </w14:textFill>
              </w:rPr>
              <w:t>(</w:t>
            </w:r>
            <w:bookmarkEnd w:id="50"/>
            <w:r>
              <w:rPr>
                <w:rFonts w:hint="eastAsia" w:ascii="Times New Roman" w:hAnsi="Times New Roman" w:eastAsia="宋体" w:cs="Times New Roman"/>
                <w:color w:val="000000" w:themeColor="text1"/>
                <w:spacing w:val="0"/>
                <w:lang w:val="en-US" w:eastAsia="zh-CN"/>
                <w14:textFill>
                  <w14:solidFill>
                    <w14:schemeClr w14:val="tx1"/>
                  </w14:solidFill>
                </w14:textFill>
              </w:rPr>
              <w:t>生态环境部令第24号)要求可知，企业应当建立健全环境信息依法披露管理制度，规范工作规程，明确工作职责，建立准确的环境信息管理台账，妥善保存相关原始记录，科学统计归集相关环境信息。</w:t>
            </w:r>
            <w:r>
              <w:rPr>
                <w:rFonts w:hint="default" w:ascii="Times New Roman" w:hAnsi="Times New Roman" w:eastAsia="宋体" w:cs="Times New Roman"/>
                <w:color w:val="000000" w:themeColor="text1"/>
                <w:spacing w:val="0"/>
                <w:lang w:val="en-US" w:eastAsia="zh-CN"/>
                <w14:textFill>
                  <w14:solidFill>
                    <w14:schemeClr w14:val="tx1"/>
                  </w14:solidFill>
                </w14:textFill>
              </w:rPr>
              <w:t>企业年度环境信息依法披露报告应当包括以下内容</w:t>
            </w:r>
            <w:r>
              <w:rPr>
                <w:rFonts w:hint="eastAsia" w:ascii="Times New Roman" w:hAnsi="Times New Roman" w:eastAsia="宋体" w:cs="Times New Roman"/>
                <w:color w:val="000000" w:themeColor="text1"/>
                <w:spacing w:val="0"/>
                <w:lang w:val="en-US" w:eastAsia="zh-CN"/>
                <w14:textFill>
                  <w14:solidFill>
                    <w14:schemeClr w14:val="tx1"/>
                  </w14:solidFill>
                </w14:textFill>
              </w:rPr>
              <w:t>：</w:t>
            </w:r>
          </w:p>
          <w:p w14:paraId="0671FB6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000000" w:themeColor="text1"/>
                <w:spacing w:val="0"/>
                <w:lang w:val="en-US" w:eastAsia="zh-CN"/>
                <w14:textFill>
                  <w14:solidFill>
                    <w14:schemeClr w14:val="tx1"/>
                  </w14:solidFill>
                </w14:textFill>
              </w:rPr>
            </w:pPr>
            <w:r>
              <w:rPr>
                <w:rFonts w:hint="eastAsia" w:ascii="Times New Roman" w:hAnsi="Times New Roman" w:eastAsia="宋体" w:cs="Times New Roman"/>
                <w:color w:val="000000" w:themeColor="text1"/>
                <w:spacing w:val="0"/>
                <w:lang w:val="en-US" w:eastAsia="zh-CN"/>
                <w14:textFill>
                  <w14:solidFill>
                    <w14:schemeClr w14:val="tx1"/>
                  </w14:solidFill>
                </w14:textFill>
              </w:rPr>
              <w:t>（1）企业基本信息，包括企业生产和生态环境保护等方面的基础信息；</w:t>
            </w:r>
          </w:p>
          <w:p w14:paraId="0223A1D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000000" w:themeColor="text1"/>
                <w:spacing w:val="0"/>
                <w:lang w:val="en-US" w:eastAsia="zh-CN"/>
                <w14:textFill>
                  <w14:solidFill>
                    <w14:schemeClr w14:val="tx1"/>
                  </w14:solidFill>
                </w14:textFill>
              </w:rPr>
            </w:pPr>
            <w:r>
              <w:rPr>
                <w:rFonts w:hint="eastAsia" w:ascii="Times New Roman" w:hAnsi="Times New Roman" w:eastAsia="宋体" w:cs="Times New Roman"/>
                <w:color w:val="000000" w:themeColor="text1"/>
                <w:spacing w:val="0"/>
                <w:lang w:val="en-US" w:eastAsia="zh-CN"/>
                <w14:textFill>
                  <w14:solidFill>
                    <w14:schemeClr w14:val="tx1"/>
                  </w14:solidFill>
                </w14:textFill>
              </w:rPr>
              <w:t>（2）企业环境管理信息，包括生态环境行政许可、环境保护税、环境污染责任保险、环保信用评价等方面的信息；</w:t>
            </w:r>
          </w:p>
          <w:p w14:paraId="48F4D0C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000000" w:themeColor="text1"/>
                <w:spacing w:val="0"/>
                <w:lang w:val="en-US" w:eastAsia="zh-CN"/>
                <w14:textFill>
                  <w14:solidFill>
                    <w14:schemeClr w14:val="tx1"/>
                  </w14:solidFill>
                </w14:textFill>
              </w:rPr>
            </w:pPr>
            <w:r>
              <w:rPr>
                <w:rFonts w:hint="eastAsia" w:ascii="Times New Roman" w:hAnsi="Times New Roman" w:eastAsia="宋体" w:cs="Times New Roman"/>
                <w:color w:val="000000" w:themeColor="text1"/>
                <w:spacing w:val="0"/>
                <w:lang w:val="en-US" w:eastAsia="zh-CN"/>
                <w14:textFill>
                  <w14:solidFill>
                    <w14:schemeClr w14:val="tx1"/>
                  </w14:solidFill>
                </w14:textFill>
              </w:rPr>
              <w:t>（3）污染物产生、治理与排放信息，包括污染防治设施，污染物排放，有毒有害物质排放，工业固体废物和危险废物产生、贮存、流向、利用、处置，自行监测等方面的信息；</w:t>
            </w:r>
          </w:p>
          <w:p w14:paraId="489BB97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000000" w:themeColor="text1"/>
                <w:spacing w:val="0"/>
                <w:lang w:val="en-US" w:eastAsia="zh-CN"/>
                <w14:textFill>
                  <w14:solidFill>
                    <w14:schemeClr w14:val="tx1"/>
                  </w14:solidFill>
                </w14:textFill>
              </w:rPr>
            </w:pPr>
            <w:r>
              <w:rPr>
                <w:rFonts w:hint="eastAsia" w:ascii="Times New Roman" w:hAnsi="Times New Roman" w:eastAsia="宋体" w:cs="Times New Roman"/>
                <w:color w:val="000000" w:themeColor="text1"/>
                <w:spacing w:val="0"/>
                <w:lang w:val="en-US" w:eastAsia="zh-CN"/>
                <w14:textFill>
                  <w14:solidFill>
                    <w14:schemeClr w14:val="tx1"/>
                  </w14:solidFill>
                </w14:textFill>
              </w:rPr>
              <w:t>（4）碳排放信息，包括排放量、排放设施等方面的信息；</w:t>
            </w:r>
          </w:p>
          <w:p w14:paraId="42A4E0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000000" w:themeColor="text1"/>
                <w:spacing w:val="0"/>
                <w:lang w:val="en-US" w:eastAsia="zh-CN"/>
                <w14:textFill>
                  <w14:solidFill>
                    <w14:schemeClr w14:val="tx1"/>
                  </w14:solidFill>
                </w14:textFill>
              </w:rPr>
            </w:pPr>
            <w:r>
              <w:rPr>
                <w:rFonts w:hint="eastAsia" w:ascii="Times New Roman" w:hAnsi="Times New Roman" w:eastAsia="宋体" w:cs="Times New Roman"/>
                <w:color w:val="000000" w:themeColor="text1"/>
                <w:spacing w:val="0"/>
                <w:lang w:val="en-US" w:eastAsia="zh-CN"/>
                <w14:textFill>
                  <w14:solidFill>
                    <w14:schemeClr w14:val="tx1"/>
                  </w14:solidFill>
                </w14:textFill>
              </w:rPr>
              <w:t>（5）生态环境应急信息，包括突发环境事件应急预案、重污染天气应急响应等方面的信息；</w:t>
            </w:r>
          </w:p>
          <w:p w14:paraId="531D712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000000" w:themeColor="text1"/>
                <w:spacing w:val="0"/>
                <w:lang w:val="en-US" w:eastAsia="zh-CN"/>
                <w14:textFill>
                  <w14:solidFill>
                    <w14:schemeClr w14:val="tx1"/>
                  </w14:solidFill>
                </w14:textFill>
              </w:rPr>
            </w:pPr>
            <w:r>
              <w:rPr>
                <w:rFonts w:hint="eastAsia" w:ascii="Times New Roman" w:hAnsi="Times New Roman" w:eastAsia="宋体" w:cs="Times New Roman"/>
                <w:color w:val="000000" w:themeColor="text1"/>
                <w:spacing w:val="0"/>
                <w:lang w:val="en-US" w:eastAsia="zh-CN"/>
                <w14:textFill>
                  <w14:solidFill>
                    <w14:schemeClr w14:val="tx1"/>
                  </w14:solidFill>
                </w14:textFill>
              </w:rPr>
              <w:t>（6）生态环境违法信息；</w:t>
            </w:r>
          </w:p>
          <w:p w14:paraId="5D95787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000000" w:themeColor="text1"/>
                <w:spacing w:val="0"/>
                <w:lang w:val="en-US" w:eastAsia="zh-CN"/>
                <w14:textFill>
                  <w14:solidFill>
                    <w14:schemeClr w14:val="tx1"/>
                  </w14:solidFill>
                </w14:textFill>
              </w:rPr>
            </w:pPr>
            <w:r>
              <w:rPr>
                <w:rFonts w:hint="eastAsia" w:ascii="Times New Roman" w:hAnsi="Times New Roman" w:eastAsia="宋体" w:cs="Times New Roman"/>
                <w:color w:val="000000" w:themeColor="text1"/>
                <w:spacing w:val="0"/>
                <w:lang w:val="en-US" w:eastAsia="zh-CN"/>
                <w14:textFill>
                  <w14:solidFill>
                    <w14:schemeClr w14:val="tx1"/>
                  </w14:solidFill>
                </w14:textFill>
              </w:rPr>
              <w:t>（7）本年度临时环境信息依法披露情况；</w:t>
            </w:r>
          </w:p>
          <w:p w14:paraId="52A8AD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000000" w:themeColor="text1"/>
                <w:spacing w:val="0"/>
                <w:lang w:val="en-US" w:eastAsia="zh-CN"/>
                <w14:textFill>
                  <w14:solidFill>
                    <w14:schemeClr w14:val="tx1"/>
                  </w14:solidFill>
                </w14:textFill>
              </w:rPr>
            </w:pPr>
            <w:r>
              <w:rPr>
                <w:rFonts w:hint="eastAsia" w:ascii="Times New Roman" w:hAnsi="Times New Roman" w:eastAsia="宋体" w:cs="Times New Roman"/>
                <w:color w:val="000000" w:themeColor="text1"/>
                <w:spacing w:val="0"/>
                <w:lang w:val="en-US" w:eastAsia="zh-CN"/>
                <w14:textFill>
                  <w14:solidFill>
                    <w14:schemeClr w14:val="tx1"/>
                  </w14:solidFill>
                </w14:textFill>
              </w:rPr>
              <w:t>（8）法律法规规定的其他环境信息。</w:t>
            </w:r>
          </w:p>
          <w:p w14:paraId="245AF5F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olor w:val="000000" w:themeColor="text1"/>
                <w:spacing w:val="0"/>
                <w14:textFill>
                  <w14:solidFill>
                    <w14:schemeClr w14:val="tx1"/>
                  </w14:solidFill>
                </w14:textFill>
              </w:rPr>
            </w:pPr>
            <w:r>
              <w:rPr>
                <w:rFonts w:hint="eastAsia" w:ascii="Times New Roman" w:hAnsi="Times New Roman" w:eastAsia="宋体" w:cs="Times New Roman"/>
                <w:color w:val="000000" w:themeColor="text1"/>
                <w:spacing w:val="0"/>
                <w:lang w:val="en-US" w:eastAsia="zh-CN"/>
                <w14:textFill>
                  <w14:solidFill>
                    <w14:schemeClr w14:val="tx1"/>
                  </w14:solidFill>
                </w14:textFill>
              </w:rPr>
              <w:t>企业可以根据实际情况对已披露的环境信息进行变更；进行变更的，应当以临时环境信息依法披露报告的形式变更，并说明变更事项和理由。企业应当于每年3月15日前披露上一年度1月1日至12月31日的环境信息。</w:t>
            </w:r>
          </w:p>
          <w:p w14:paraId="0469AC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themeColor="text1"/>
                <w:spacing w:val="0"/>
                <w:sz w:val="21"/>
                <w:szCs w:val="21"/>
                <w:lang w:eastAsia="zh-CN"/>
                <w14:textFill>
                  <w14:solidFill>
                    <w14:schemeClr w14:val="tx1"/>
                  </w14:solidFill>
                </w14:textFill>
              </w:rPr>
            </w:pPr>
          </w:p>
        </w:tc>
      </w:tr>
    </w:tbl>
    <w:p w14:paraId="42B3C718">
      <w:pPr>
        <w:pStyle w:val="25"/>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cs="Times New Roman"/>
          <w:snapToGrid w:val="0"/>
          <w:color w:val="000000" w:themeColor="text1"/>
          <w14:textFill>
            <w14:solidFill>
              <w14:schemeClr w14:val="tx1"/>
            </w14:solidFill>
          </w14:textFill>
        </w:rPr>
        <w:br w:type="page"/>
      </w:r>
      <w:bookmarkStart w:id="46" w:name="_Toc18005"/>
      <w:bookmarkStart w:id="47" w:name="_Toc6587"/>
      <w:r>
        <w:drawing>
          <wp:anchor distT="0" distB="0" distL="114300" distR="114300" simplePos="0" relativeHeight="251673600" behindDoc="0" locked="0" layoutInCell="1" allowOverlap="1">
            <wp:simplePos x="0" y="0"/>
            <wp:positionH relativeFrom="column">
              <wp:posOffset>-821055</wp:posOffset>
            </wp:positionH>
            <wp:positionV relativeFrom="paragraph">
              <wp:posOffset>-836295</wp:posOffset>
            </wp:positionV>
            <wp:extent cx="7437120" cy="9533255"/>
            <wp:effectExtent l="0" t="0" r="0" b="0"/>
            <wp:wrapNone/>
            <wp:docPr id="59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15"/>
                    <pic:cNvPicPr>
                      <a:picLocks noChangeAspect="1"/>
                    </pic:cNvPicPr>
                  </pic:nvPicPr>
                  <pic:blipFill>
                    <a:blip r:embed="rId37"/>
                    <a:srcRect b="9380"/>
                    <a:stretch>
                      <a:fillRect/>
                    </a:stretch>
                  </pic:blipFill>
                  <pic:spPr>
                    <a:xfrm>
                      <a:off x="0" y="0"/>
                      <a:ext cx="7437120" cy="9533255"/>
                    </a:xfrm>
                    <a:prstGeom prst="rect">
                      <a:avLst/>
                    </a:prstGeom>
                    <a:noFill/>
                    <a:ln>
                      <a:noFill/>
                    </a:ln>
                  </pic:spPr>
                </pic:pic>
              </a:graphicData>
            </a:graphic>
          </wp:anchor>
        </w:drawing>
      </w:r>
      <w:r>
        <w:rPr>
          <w:rFonts w:hint="default" w:ascii="Times New Roman" w:hAnsi="Times New Roman" w:eastAsia="黑体" w:cs="Times New Roman"/>
          <w:snapToGrid w:val="0"/>
          <w:color w:val="000000" w:themeColor="text1"/>
          <w:sz w:val="30"/>
          <w:szCs w:val="30"/>
          <w14:textFill>
            <w14:solidFill>
              <w14:schemeClr w14:val="tx1"/>
            </w14:solidFill>
          </w14:textFill>
        </w:rPr>
        <w:drawing>
          <wp:inline distT="0" distB="0" distL="114300" distR="114300">
            <wp:extent cx="635" cy="0"/>
            <wp:effectExtent l="0" t="0" r="0" b="0"/>
            <wp:docPr id="138" name="图片 867" descr="2023-09-2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7" descr="2023-09-27_001"/>
                    <pic:cNvPicPr>
                      <a:picLocks noChangeAspect="1"/>
                    </pic:cNvPicPr>
                  </pic:nvPicPr>
                  <pic:blipFill>
                    <a:blip r:embed="rId9"/>
                    <a:stretch>
                      <a:fillRect/>
                    </a:stretch>
                  </pic:blipFill>
                  <pic:spPr>
                    <a:xfrm>
                      <a:off x="0" y="0"/>
                      <a:ext cx="635" cy="0"/>
                    </a:xfrm>
                    <a:prstGeom prst="rect">
                      <a:avLst/>
                    </a:prstGeom>
                    <a:noFill/>
                    <a:ln>
                      <a:noFill/>
                    </a:ln>
                  </pic:spPr>
                </pic:pic>
              </a:graphicData>
            </a:graphic>
          </wp:inline>
        </w:drawing>
      </w:r>
      <w:r>
        <w:rPr>
          <w:rFonts w:hint="default" w:ascii="Times New Roman" w:hAnsi="Times New Roman" w:eastAsia="黑体" w:cs="Times New Roman"/>
          <w:snapToGrid w:val="0"/>
          <w:color w:val="000000" w:themeColor="text1"/>
          <w:sz w:val="30"/>
          <w:szCs w:val="30"/>
          <w14:textFill>
            <w14:solidFill>
              <w14:schemeClr w14:val="tx1"/>
            </w14:solidFill>
          </w14:textFill>
        </w:rPr>
        <w:t>六、结论</w:t>
      </w:r>
      <w:bookmarkEnd w:id="46"/>
      <w:bookmarkEnd w:id="47"/>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DD1EA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334E159D">
            <w:pPr>
              <w:pStyle w:val="56"/>
              <w:keepNext w:val="0"/>
              <w:keepLines w:val="0"/>
              <w:pageBreakBefore w:val="0"/>
              <w:widowControl w:val="0"/>
              <w:kinsoku/>
              <w:wordWrap/>
              <w:overflowPunct/>
              <w:topLinePunct w:val="0"/>
              <w:autoSpaceDE w:val="0"/>
              <w:autoSpaceDN w:val="0"/>
              <w:bidi w:val="0"/>
              <w:adjustRightInd w:val="0"/>
              <w:snapToGrid w:val="0"/>
              <w:spacing w:after="156" w:afterLines="50" w:line="360" w:lineRule="auto"/>
              <w:ind w:left="0" w:leftChars="0" w:firstLine="0" w:firstLineChars="0"/>
              <w:jc w:val="both"/>
              <w:textAlignment w:val="baseline"/>
              <w:outlineLvl w:val="1"/>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bookmarkStart w:id="48" w:name="_Toc16480"/>
            <w:bookmarkStart w:id="49" w:name="_Toc27815"/>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6.1</w:t>
            </w:r>
            <w:r>
              <w:rPr>
                <w:rFonts w:hint="eastAsia" w:ascii="Times New Roman" w:hAnsi="Times New Roman" w:eastAsia="宋体" w:cs="Times New Roman"/>
                <w:b/>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8"/>
                <w:szCs w:val="28"/>
                <w:highlight w:val="none"/>
                <w14:textFill>
                  <w14:solidFill>
                    <w14:schemeClr w14:val="tx1"/>
                  </w14:solidFill>
                </w14:textFill>
              </w:rPr>
              <w:t>总结论</w:t>
            </w:r>
            <w:bookmarkEnd w:id="48"/>
            <w:bookmarkEnd w:id="49"/>
          </w:p>
          <w:p w14:paraId="4D55BA18">
            <w:pPr>
              <w:spacing w:line="360" w:lineRule="auto"/>
              <w:ind w:firstLine="480" w:firstLineChars="200"/>
              <w:jc w:val="both"/>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福州术立新能源科技有限公司</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汽车零部件生产线技术改造项目</w:t>
            </w:r>
            <w:r>
              <w:rPr>
                <w:rFonts w:hint="default" w:ascii="Times New Roman" w:hAnsi="Times New Roman" w:eastAsia="宋体" w:cs="Times New Roman"/>
                <w:color w:val="000000" w:themeColor="text1"/>
                <w:sz w:val="24"/>
                <w:lang w:val="en-US" w:eastAsia="zh-CN"/>
                <w14:textFill>
                  <w14:solidFill>
                    <w14:schemeClr w14:val="tx1"/>
                  </w14:solidFill>
                </w14:textFill>
              </w:rPr>
              <w:t>符合国家产业政策</w:t>
            </w:r>
            <w:r>
              <w:rPr>
                <w:rFonts w:hint="eastAsia" w:ascii="Times New Roman" w:hAnsi="Times New Roman" w:eastAsia="宋体" w:cs="Times New Roman"/>
                <w:color w:val="000000" w:themeColor="text1"/>
                <w:sz w:val="24"/>
                <w:lang w:val="en-US" w:eastAsia="zh-CN"/>
                <w14:textFill>
                  <w14:solidFill>
                    <w14:schemeClr w14:val="tx1"/>
                  </w14:solidFill>
                </w14:textFill>
              </w:rPr>
              <w:t>和区域产业规划，符合规划环评及审查意见要求，</w:t>
            </w:r>
            <w:r>
              <w:rPr>
                <w:rFonts w:hint="default" w:ascii="Times New Roman" w:hAnsi="Times New Roman" w:eastAsia="宋体" w:cs="Times New Roman"/>
                <w:color w:val="000000" w:themeColor="text1"/>
                <w:sz w:val="24"/>
                <w:lang w:val="en-US" w:eastAsia="zh-CN"/>
                <w14:textFill>
                  <w14:solidFill>
                    <w14:schemeClr w14:val="tx1"/>
                  </w14:solidFill>
                </w14:textFill>
              </w:rPr>
              <w:t>符合</w:t>
            </w:r>
            <w:r>
              <w:rPr>
                <w:rFonts w:hint="eastAsia" w:ascii="Times New Roman" w:hAnsi="Times New Roman" w:eastAsia="宋体" w:cs="Times New Roman"/>
                <w:color w:val="000000" w:themeColor="text1"/>
                <w:sz w:val="24"/>
                <w:lang w:val="en-US" w:eastAsia="zh-CN"/>
                <w14:textFill>
                  <w14:solidFill>
                    <w14:schemeClr w14:val="tx1"/>
                  </w14:solidFill>
                </w14:textFill>
              </w:rPr>
              <w:t>生态环境分区管控</w:t>
            </w:r>
            <w:r>
              <w:rPr>
                <w:rFonts w:hint="default" w:ascii="Times New Roman" w:hAnsi="Times New Roman" w:eastAsia="宋体" w:cs="Times New Roman"/>
                <w:color w:val="000000" w:themeColor="text1"/>
                <w:sz w:val="24"/>
                <w:lang w:val="en-US" w:eastAsia="zh-CN"/>
                <w14:textFill>
                  <w14:solidFill>
                    <w14:schemeClr w14:val="tx1"/>
                  </w14:solidFill>
                </w14:textFill>
              </w:rPr>
              <w:t>要求</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选址合理</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通过对本项目的环境影响分析，项目运营过程中</w:t>
            </w:r>
            <w:r>
              <w:rPr>
                <w:rFonts w:hint="eastAsia" w:ascii="Times New Roman" w:hAnsi="Times New Roman" w:eastAsia="宋体" w:cs="Times New Roman"/>
                <w:color w:val="000000" w:themeColor="text1"/>
                <w:sz w:val="24"/>
                <w:lang w:val="en-US" w:eastAsia="zh-CN"/>
                <w14:textFill>
                  <w14:solidFill>
                    <w14:schemeClr w14:val="tx1"/>
                  </w14:solidFill>
                </w14:textFill>
              </w:rPr>
              <w:t>废水</w:t>
            </w:r>
            <w:r>
              <w:rPr>
                <w:rFonts w:hint="default" w:ascii="Times New Roman" w:hAnsi="Times New Roman" w:eastAsia="宋体" w:cs="Times New Roman"/>
                <w:color w:val="000000" w:themeColor="text1"/>
                <w:sz w:val="24"/>
                <w:lang w:eastAsia="zh-CN"/>
                <w14:textFill>
                  <w14:solidFill>
                    <w14:schemeClr w14:val="tx1"/>
                  </w14:solidFill>
                </w14:textFill>
              </w:rPr>
              <w:t>、废气、噪声、固废等污染物对周围环境空气质量、水环境、声环境</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地下水和土壤环境</w:t>
            </w:r>
            <w:r>
              <w:rPr>
                <w:rFonts w:hint="default" w:ascii="Times New Roman" w:hAnsi="Times New Roman" w:eastAsia="宋体" w:cs="Times New Roman"/>
                <w:color w:val="000000" w:themeColor="text1"/>
                <w:sz w:val="24"/>
                <w:lang w:eastAsia="zh-CN"/>
                <w14:textFill>
                  <w14:solidFill>
                    <w14:schemeClr w14:val="tx1"/>
                  </w14:solidFill>
                </w14:textFill>
              </w:rPr>
              <w:t>等</w:t>
            </w:r>
            <w:r>
              <w:rPr>
                <w:rFonts w:hint="eastAsia" w:ascii="Times New Roman" w:hAnsi="Times New Roman" w:eastAsia="宋体" w:cs="Times New Roman"/>
                <w:color w:val="000000" w:themeColor="text1"/>
                <w:sz w:val="24"/>
                <w:lang w:val="en-US" w:eastAsia="zh-CN"/>
                <w14:textFill>
                  <w14:solidFill>
                    <w14:schemeClr w14:val="tx1"/>
                  </w14:solidFill>
                </w14:textFill>
              </w:rPr>
              <w:t>会</w:t>
            </w:r>
            <w:r>
              <w:rPr>
                <w:rFonts w:hint="default" w:ascii="Times New Roman" w:hAnsi="Times New Roman" w:eastAsia="宋体" w:cs="Times New Roman"/>
                <w:color w:val="000000" w:themeColor="text1"/>
                <w:sz w:val="24"/>
                <w:lang w:eastAsia="zh-CN"/>
                <w14:textFill>
                  <w14:solidFill>
                    <w14:schemeClr w14:val="tx1"/>
                  </w14:solidFill>
                </w14:textFill>
              </w:rPr>
              <w:t>造成一定不利影响，经采取综合性、积极有效的防治措施并确保污染物达标排放后，可避免或减少这些不利影响，影响均在环境可接受的范围内。</w:t>
            </w:r>
          </w:p>
          <w:p w14:paraId="265BC6B9">
            <w:pPr>
              <w:spacing w:line="360" w:lineRule="auto"/>
              <w:ind w:firstLine="480" w:firstLineChars="200"/>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综上所述，在严格执行环保</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三同时</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制度，全面落实环境影响报告表提出的各项污染防治措施、加强环境风险管理并确保各类污染物达标排放的前提下，从环境影响的角度分析，项目建设可行。</w:t>
            </w:r>
          </w:p>
          <w:p w14:paraId="65A2E0C5">
            <w:pPr>
              <w:pStyle w:val="2"/>
              <w:outlineLvl w:val="9"/>
              <w:rPr>
                <w:rFonts w:hint="default" w:ascii="Times New Roman" w:hAnsi="Times New Roman"/>
                <w:color w:val="000000" w:themeColor="text1"/>
                <w:lang w:eastAsia="zh-CN"/>
                <w14:textFill>
                  <w14:solidFill>
                    <w14:schemeClr w14:val="tx1"/>
                  </w14:solidFill>
                </w14:textFill>
              </w:rPr>
            </w:pPr>
          </w:p>
          <w:p w14:paraId="2E382213">
            <w:pPr>
              <w:spacing w:line="360" w:lineRule="auto"/>
              <w:jc w:val="right"/>
              <w:rPr>
                <w:rFonts w:hint="default" w:ascii="Times New Roman" w:hAnsi="Times New Roman"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编制单位：</w:t>
            </w:r>
            <w:r>
              <w:rPr>
                <w:rFonts w:hint="eastAsia" w:ascii="Times New Roman" w:hAnsi="Times New Roman" w:cs="Times New Roman"/>
                <w:b/>
                <w:bCs/>
                <w:color w:val="000000" w:themeColor="text1"/>
                <w:sz w:val="24"/>
                <w:lang w:eastAsia="zh-CN"/>
                <w14:textFill>
                  <w14:solidFill>
                    <w14:schemeClr w14:val="tx1"/>
                  </w14:solidFill>
                </w14:textFill>
              </w:rPr>
              <w:t>福建绿川环保科技有限公司</w:t>
            </w:r>
          </w:p>
          <w:p w14:paraId="2C9676F2">
            <w:pPr>
              <w:spacing w:line="360" w:lineRule="auto"/>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 xml:space="preserve">                           </w:t>
            </w:r>
            <w:r>
              <w:rPr>
                <w:rFonts w:hint="eastAsia" w:ascii="Times New Roman" w:hAnsi="Times New Roman"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lang w:val="en-US" w:eastAsia="zh-CN"/>
                <w14:textFill>
                  <w14:solidFill>
                    <w14:schemeClr w14:val="tx1"/>
                  </w14:solidFill>
                </w14:textFill>
              </w:rPr>
              <w:t>编制日期：202</w:t>
            </w:r>
            <w:r>
              <w:rPr>
                <w:rFonts w:hint="eastAsia"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lang w:val="en-US" w:eastAsia="zh-CN"/>
                <w14:textFill>
                  <w14:solidFill>
                    <w14:schemeClr w14:val="tx1"/>
                  </w14:solidFill>
                </w14:textFill>
              </w:rPr>
              <w:t>年</w:t>
            </w:r>
            <w:r>
              <w:rPr>
                <w:rFonts w:hint="eastAsia" w:cs="Times New Roman"/>
                <w:b/>
                <w:bCs/>
                <w:color w:val="000000" w:themeColor="text1"/>
                <w:sz w:val="24"/>
                <w:lang w:val="en-US" w:eastAsia="zh-CN"/>
                <w14:textFill>
                  <w14:solidFill>
                    <w14:schemeClr w14:val="tx1"/>
                  </w14:solidFill>
                </w14:textFill>
              </w:rPr>
              <w:t>1</w:t>
            </w:r>
            <w:r>
              <w:rPr>
                <w:rFonts w:hint="default" w:ascii="Times New Roman" w:hAnsi="Times New Roman" w:cs="Times New Roman"/>
                <w:b/>
                <w:bCs/>
                <w:color w:val="000000" w:themeColor="text1"/>
                <w:sz w:val="24"/>
                <w:lang w:val="en-US" w:eastAsia="zh-CN"/>
                <w14:textFill>
                  <w14:solidFill>
                    <w14:schemeClr w14:val="tx1"/>
                  </w14:solidFill>
                </w14:textFill>
              </w:rPr>
              <w:t>月</w:t>
            </w:r>
          </w:p>
        </w:tc>
      </w:tr>
    </w:tbl>
    <w:p w14:paraId="5148E413">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color w:val="000000" w:themeColor="text1"/>
          <w:lang w:eastAsia="zh-CN"/>
          <w14:textFill>
            <w14:solidFill>
              <w14:schemeClr w14:val="tx1"/>
            </w14:solidFill>
          </w14:textFill>
        </w:rPr>
      </w:pPr>
    </w:p>
    <w:sectPr>
      <w:pgSz w:w="11906" w:h="16838"/>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CE5BE14-6E62-401F-95BC-8433D408996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FE3DFFA6-A877-441C-9885-53D084EF1B34}"/>
  </w:font>
  <w:font w:name="Monotype Corsiva">
    <w:panose1 w:val="03010101010201010101"/>
    <w:charset w:val="00"/>
    <w:family w:val="script"/>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embedRegular r:id="rId3" w:fontKey="{45BC1268-E71F-4C86-92A5-33C9708F7A8B}"/>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entury Gothic">
    <w:panose1 w:val="020B0502020202020204"/>
    <w:charset w:val="00"/>
    <w:family w:val="swiss"/>
    <w:pitch w:val="default"/>
    <w:sig w:usb0="00000287" w:usb1="00000000" w:usb2="00000000" w:usb3="00000000" w:csb0="2000009F" w:csb1="DFD70000"/>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embedRegular r:id="rId4" w:fontKey="{213837C7-EC91-4E3D-9CBB-9B76ADC70129}"/>
  </w:font>
  <w:font w:name="TimesNewRomanPSMT">
    <w:altName w:val="Times New Roman"/>
    <w:panose1 w:val="00000000000000000000"/>
    <w:charset w:val="00"/>
    <w:family w:val="auto"/>
    <w:pitch w:val="default"/>
    <w:sig w:usb0="00000000" w:usb1="00000000" w:usb2="00000000" w:usb3="00000000" w:csb0="00040001" w:csb1="00000000"/>
    <w:embedRegular r:id="rId5" w:fontKey="{F0EB60D7-EDBA-44F3-8BE7-4FBC7AF30DED}"/>
  </w:font>
  <w:font w:name="方正小标宋_GBK">
    <w:panose1 w:val="02000000000000000000"/>
    <w:charset w:val="86"/>
    <w:family w:val="script"/>
    <w:pitch w:val="default"/>
    <w:sig w:usb0="A00002BF" w:usb1="38CF7CFA" w:usb2="00082016" w:usb3="00000000" w:csb0="00040001" w:csb1="00000000"/>
    <w:embedRegular r:id="rId6" w:fontKey="{008A9E7A-D21E-4A65-945D-405FEF3C4A8D}"/>
  </w:font>
  <w:font w:name="华文仿宋">
    <w:panose1 w:val="02010600040101010101"/>
    <w:charset w:val="86"/>
    <w:family w:val="auto"/>
    <w:pitch w:val="default"/>
    <w:sig w:usb0="00000287" w:usb1="080F0000" w:usb2="00000000" w:usb3="00000000" w:csb0="0004009F" w:csb1="DFD70000"/>
    <w:embedRegular r:id="rId7" w:fontKey="{815E59DA-78F8-4168-8E51-0F79B5762D76}"/>
  </w:font>
  <w:font w:name="Wingdings 2">
    <w:panose1 w:val="05020102010507070707"/>
    <w:charset w:val="02"/>
    <w:family w:val="auto"/>
    <w:pitch w:val="default"/>
    <w:sig w:usb0="00000000" w:usb1="00000000" w:usb2="00000000" w:usb3="00000000" w:csb0="80000000" w:csb1="00000000"/>
    <w:embedRegular r:id="rId8" w:fontKey="{150EA8D4-AD39-4814-B0BF-060F0F53021C}"/>
  </w:font>
  <w:font w:name="微软雅黑">
    <w:panose1 w:val="020B0503020204020204"/>
    <w:charset w:val="86"/>
    <w:family w:val="auto"/>
    <w:pitch w:val="default"/>
    <w:sig w:usb0="80000287" w:usb1="280F3C52" w:usb2="00000016" w:usb3="00000000" w:csb0="0004001F" w:csb1="00000000"/>
    <w:embedRegular r:id="rId9" w:fontKey="{309E4623-F892-405B-9FCE-3E64195F1585}"/>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9D5D3">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5E719">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3D5A9">
    <w:pPr>
      <w:pStyle w:val="18"/>
      <w:ind w:right="360" w:firstLine="360"/>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6"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B310C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GJ0H6TjAQAAwwMAAA4A&#10;AAAAAAAAAQAgAAAAHgEAAGRycy9lMm9Eb2MueG1sUEsFBgAAAAAGAAYAWQEAAHMFAAAAAA==&#10;">
              <v:fill on="f" focussize="0,0"/>
              <v:stroke on="f"/>
              <v:imagedata o:title=""/>
              <o:lock v:ext="edit" aspectratio="f"/>
              <v:textbox inset="0mm,0mm,0mm,0mm" style="mso-fit-shape-to-text:t;">
                <w:txbxContent>
                  <w:p w14:paraId="14B310C2">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A9D73">
    <w:pPr>
      <w:pStyle w:val="18"/>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7"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C38B2E">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AeMEevjAQAAwwMAAA4A&#10;AAAAAAAAAQAgAAAAHgEAAGRycy9lMm9Eb2MueG1sUEsFBgAAAAAGAAYAWQEAAHMFAAAAAA==&#10;">
              <v:fill on="f" focussize="0,0"/>
              <v:stroke on="f"/>
              <v:imagedata o:title=""/>
              <o:lock v:ext="edit" aspectratio="f"/>
              <v:textbox inset="0mm,0mm,0mm,0mm" style="mso-fit-shape-to-text:t;">
                <w:txbxContent>
                  <w:p w14:paraId="23C38B2E">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8B1A8C"/>
    <w:multiLevelType w:val="singleLevel"/>
    <w:tmpl w:val="9A8B1A8C"/>
    <w:lvl w:ilvl="0" w:tentative="0">
      <w:start w:val="2"/>
      <w:numFmt w:val="decimal"/>
      <w:suff w:val="nothing"/>
      <w:lvlText w:val="（%1）"/>
      <w:lvlJc w:val="left"/>
    </w:lvl>
  </w:abstractNum>
  <w:abstractNum w:abstractNumId="1">
    <w:nsid w:val="14AC69CA"/>
    <w:multiLevelType w:val="singleLevel"/>
    <w:tmpl w:val="14AC69CA"/>
    <w:lvl w:ilvl="0" w:tentative="0">
      <w:start w:val="1"/>
      <w:numFmt w:val="chineseCounting"/>
      <w:suff w:val="nothing"/>
      <w:lvlText w:val="%1、"/>
      <w:lvlJc w:val="left"/>
      <w:rPr>
        <w:rFonts w:hint="eastAsia"/>
      </w:rPr>
    </w:lvl>
  </w:abstractNum>
  <w:abstractNum w:abstractNumId="2">
    <w:nsid w:val="1B6DA327"/>
    <w:multiLevelType w:val="singleLevel"/>
    <w:tmpl w:val="1B6DA327"/>
    <w:lvl w:ilvl="0" w:tentative="0">
      <w:start w:val="1"/>
      <w:numFmt w:val="upperLetter"/>
      <w:lvlText w:val="%1."/>
      <w:lvlJc w:val="left"/>
      <w:pPr>
        <w:tabs>
          <w:tab w:val="left" w:pos="312"/>
        </w:tabs>
      </w:pPr>
    </w:lvl>
  </w:abstractNum>
  <w:abstractNum w:abstractNumId="3">
    <w:nsid w:val="1CCCB413"/>
    <w:multiLevelType w:val="singleLevel"/>
    <w:tmpl w:val="1CCCB413"/>
    <w:lvl w:ilvl="0" w:tentative="0">
      <w:start w:val="1"/>
      <w:numFmt w:val="decimal"/>
      <w:suff w:val="nothing"/>
      <w:lvlText w:val="（%1）"/>
      <w:lvlJc w:val="left"/>
    </w:lvl>
  </w:abstractNum>
  <w:abstractNum w:abstractNumId="4">
    <w:nsid w:val="320F13A2"/>
    <w:multiLevelType w:val="multilevel"/>
    <w:tmpl w:val="320F13A2"/>
    <w:lvl w:ilvl="0" w:tentative="0">
      <w:start w:val="1"/>
      <w:numFmt w:val="decimal"/>
      <w:pStyle w:val="119"/>
      <w:lvlText w:val="(%1)"/>
      <w:lvlJc w:val="left"/>
      <w:pPr>
        <w:ind w:left="114" w:firstLine="426"/>
      </w:pPr>
      <w:rPr>
        <w:rFonts w:hint="eastAsia"/>
        <w:color w:val="000000"/>
      </w:rPr>
    </w:lvl>
    <w:lvl w:ilvl="1" w:tentative="0">
      <w:start w:val="1"/>
      <w:numFmt w:val="lowerLetter"/>
      <w:lvlText w:val="%2)"/>
      <w:lvlJc w:val="left"/>
      <w:pPr>
        <w:ind w:left="1402" w:hanging="420"/>
      </w:pPr>
      <w:rPr>
        <w:rFonts w:hint="eastAsia"/>
      </w:rPr>
    </w:lvl>
    <w:lvl w:ilvl="2" w:tentative="0">
      <w:start w:val="1"/>
      <w:numFmt w:val="lowerRoman"/>
      <w:lvlText w:val="%3."/>
      <w:lvlJc w:val="right"/>
      <w:pPr>
        <w:ind w:left="1822" w:hanging="420"/>
      </w:pPr>
      <w:rPr>
        <w:rFonts w:hint="eastAsia"/>
      </w:rPr>
    </w:lvl>
    <w:lvl w:ilvl="3" w:tentative="0">
      <w:start w:val="1"/>
      <w:numFmt w:val="decimal"/>
      <w:lvlText w:val="%4."/>
      <w:lvlJc w:val="left"/>
      <w:pPr>
        <w:ind w:left="2242" w:hanging="420"/>
      </w:pPr>
      <w:rPr>
        <w:rFonts w:hint="eastAsia"/>
      </w:rPr>
    </w:lvl>
    <w:lvl w:ilvl="4" w:tentative="0">
      <w:start w:val="1"/>
      <w:numFmt w:val="lowerLetter"/>
      <w:lvlText w:val="%5)"/>
      <w:lvlJc w:val="left"/>
      <w:pPr>
        <w:ind w:left="2662" w:hanging="420"/>
      </w:pPr>
      <w:rPr>
        <w:rFonts w:hint="eastAsia"/>
      </w:rPr>
    </w:lvl>
    <w:lvl w:ilvl="5" w:tentative="0">
      <w:start w:val="1"/>
      <w:numFmt w:val="lowerRoman"/>
      <w:lvlText w:val="%6."/>
      <w:lvlJc w:val="right"/>
      <w:pPr>
        <w:ind w:left="3082" w:hanging="420"/>
      </w:pPr>
      <w:rPr>
        <w:rFonts w:hint="eastAsia"/>
      </w:rPr>
    </w:lvl>
    <w:lvl w:ilvl="6" w:tentative="0">
      <w:start w:val="1"/>
      <w:numFmt w:val="decimal"/>
      <w:lvlText w:val="%7."/>
      <w:lvlJc w:val="left"/>
      <w:pPr>
        <w:ind w:left="3502" w:hanging="420"/>
      </w:pPr>
      <w:rPr>
        <w:rFonts w:hint="eastAsia"/>
      </w:rPr>
    </w:lvl>
    <w:lvl w:ilvl="7" w:tentative="0">
      <w:start w:val="1"/>
      <w:numFmt w:val="lowerLetter"/>
      <w:lvlText w:val="%8)"/>
      <w:lvlJc w:val="left"/>
      <w:pPr>
        <w:ind w:left="3922" w:hanging="420"/>
      </w:pPr>
      <w:rPr>
        <w:rFonts w:hint="eastAsia"/>
      </w:rPr>
    </w:lvl>
    <w:lvl w:ilvl="8" w:tentative="0">
      <w:start w:val="1"/>
      <w:numFmt w:val="lowerRoman"/>
      <w:lvlText w:val="%9."/>
      <w:lvlJc w:val="right"/>
      <w:pPr>
        <w:ind w:left="4342" w:hanging="420"/>
      </w:pPr>
      <w:rPr>
        <w:rFonts w:hint="eastAsia"/>
      </w:rPr>
    </w:lvl>
  </w:abstractNum>
  <w:abstractNum w:abstractNumId="5">
    <w:nsid w:val="6B873479"/>
    <w:multiLevelType w:val="singleLevel"/>
    <w:tmpl w:val="6B873479"/>
    <w:lvl w:ilvl="0" w:tentative="0">
      <w:start w:val="3"/>
      <w:numFmt w:val="decimal"/>
      <w:suff w:val="nothing"/>
      <w:lvlText w:val="%1、"/>
      <w:lvlJc w:val="left"/>
    </w:lvl>
  </w:abstractNum>
  <w:abstractNum w:abstractNumId="6">
    <w:nsid w:val="7F0C3E49"/>
    <w:multiLevelType w:val="multilevel"/>
    <w:tmpl w:val="7F0C3E49"/>
    <w:lvl w:ilvl="0" w:tentative="0">
      <w:start w:val="1"/>
      <w:numFmt w:val="decimal"/>
      <w:pStyle w:val="83"/>
      <w:lvlText w:val="表%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4"/>
  </w:num>
  <w:num w:numId="3">
    <w:abstractNumId w:val="1"/>
  </w:num>
  <w:num w:numId="4">
    <w:abstractNumId w:val="3"/>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2MzE2OGU5M2EzYmRlMjRjMTVmZjcyZGNjNmY1OGQ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113BD"/>
    <w:rsid w:val="0012084D"/>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17EF4"/>
    <w:rsid w:val="00420E6A"/>
    <w:rsid w:val="00425A9E"/>
    <w:rsid w:val="00426D6B"/>
    <w:rsid w:val="00431E6C"/>
    <w:rsid w:val="00433CE7"/>
    <w:rsid w:val="00452738"/>
    <w:rsid w:val="00456091"/>
    <w:rsid w:val="00466321"/>
    <w:rsid w:val="00484B9B"/>
    <w:rsid w:val="004855F6"/>
    <w:rsid w:val="0048661E"/>
    <w:rsid w:val="00490B57"/>
    <w:rsid w:val="00494670"/>
    <w:rsid w:val="004A3823"/>
    <w:rsid w:val="004B0D73"/>
    <w:rsid w:val="004E6946"/>
    <w:rsid w:val="004F10A8"/>
    <w:rsid w:val="004F1AD8"/>
    <w:rsid w:val="005039CB"/>
    <w:rsid w:val="0050558F"/>
    <w:rsid w:val="00506286"/>
    <w:rsid w:val="00510813"/>
    <w:rsid w:val="00511990"/>
    <w:rsid w:val="00511DE0"/>
    <w:rsid w:val="00514870"/>
    <w:rsid w:val="00514B9B"/>
    <w:rsid w:val="00516069"/>
    <w:rsid w:val="00517F02"/>
    <w:rsid w:val="00524303"/>
    <w:rsid w:val="005258A2"/>
    <w:rsid w:val="005401AE"/>
    <w:rsid w:val="00542E07"/>
    <w:rsid w:val="00545424"/>
    <w:rsid w:val="00554A7B"/>
    <w:rsid w:val="00554C63"/>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11F9"/>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756C4"/>
    <w:rsid w:val="007836EA"/>
    <w:rsid w:val="00784CDA"/>
    <w:rsid w:val="007906C4"/>
    <w:rsid w:val="007940EA"/>
    <w:rsid w:val="007967E8"/>
    <w:rsid w:val="007A2170"/>
    <w:rsid w:val="007A22BF"/>
    <w:rsid w:val="007A3323"/>
    <w:rsid w:val="007B72B8"/>
    <w:rsid w:val="007B7A58"/>
    <w:rsid w:val="007C21B5"/>
    <w:rsid w:val="007E4BD2"/>
    <w:rsid w:val="007F27CB"/>
    <w:rsid w:val="00801393"/>
    <w:rsid w:val="00802F88"/>
    <w:rsid w:val="0081293E"/>
    <w:rsid w:val="00815465"/>
    <w:rsid w:val="00817E9A"/>
    <w:rsid w:val="008306BD"/>
    <w:rsid w:val="00831A80"/>
    <w:rsid w:val="00833743"/>
    <w:rsid w:val="008340A4"/>
    <w:rsid w:val="0087135F"/>
    <w:rsid w:val="0087167F"/>
    <w:rsid w:val="00872D94"/>
    <w:rsid w:val="00880364"/>
    <w:rsid w:val="008869A8"/>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8776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303C"/>
    <w:rsid w:val="00AD47A7"/>
    <w:rsid w:val="00AF0CBF"/>
    <w:rsid w:val="00AF257F"/>
    <w:rsid w:val="00AF33CF"/>
    <w:rsid w:val="00AF4D50"/>
    <w:rsid w:val="00AF6179"/>
    <w:rsid w:val="00B02CA0"/>
    <w:rsid w:val="00B06E28"/>
    <w:rsid w:val="00B1295A"/>
    <w:rsid w:val="00B16CD5"/>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19EA"/>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22F9D"/>
    <w:rsid w:val="00F3383E"/>
    <w:rsid w:val="00F465A7"/>
    <w:rsid w:val="00F50B7C"/>
    <w:rsid w:val="00F550E6"/>
    <w:rsid w:val="00F604AB"/>
    <w:rsid w:val="00F74345"/>
    <w:rsid w:val="00F80A0A"/>
    <w:rsid w:val="00F82B19"/>
    <w:rsid w:val="00F9212D"/>
    <w:rsid w:val="00F965DA"/>
    <w:rsid w:val="00FA406A"/>
    <w:rsid w:val="00FB0C37"/>
    <w:rsid w:val="00FB503A"/>
    <w:rsid w:val="00FB516C"/>
    <w:rsid w:val="00FD0236"/>
    <w:rsid w:val="00FD18F4"/>
    <w:rsid w:val="00FD25C6"/>
    <w:rsid w:val="00FD54DB"/>
    <w:rsid w:val="00FD619F"/>
    <w:rsid w:val="010D427B"/>
    <w:rsid w:val="010F7849"/>
    <w:rsid w:val="0111602F"/>
    <w:rsid w:val="0116312F"/>
    <w:rsid w:val="011C3821"/>
    <w:rsid w:val="01290F7E"/>
    <w:rsid w:val="012C234A"/>
    <w:rsid w:val="013771ED"/>
    <w:rsid w:val="01390BCC"/>
    <w:rsid w:val="01395070"/>
    <w:rsid w:val="01426BF8"/>
    <w:rsid w:val="015D1E09"/>
    <w:rsid w:val="016B7C0E"/>
    <w:rsid w:val="016F0A91"/>
    <w:rsid w:val="0179379C"/>
    <w:rsid w:val="017E2A82"/>
    <w:rsid w:val="01950D18"/>
    <w:rsid w:val="01A544B3"/>
    <w:rsid w:val="01A71FD9"/>
    <w:rsid w:val="01B97F5E"/>
    <w:rsid w:val="01CE419D"/>
    <w:rsid w:val="01D34B7C"/>
    <w:rsid w:val="01D46B46"/>
    <w:rsid w:val="01EC1468"/>
    <w:rsid w:val="01F25116"/>
    <w:rsid w:val="01F52C6C"/>
    <w:rsid w:val="01F6217B"/>
    <w:rsid w:val="01F67CF7"/>
    <w:rsid w:val="02094A42"/>
    <w:rsid w:val="02210BE3"/>
    <w:rsid w:val="022B1B43"/>
    <w:rsid w:val="022C2B30"/>
    <w:rsid w:val="022E4A71"/>
    <w:rsid w:val="02353A89"/>
    <w:rsid w:val="02424B0A"/>
    <w:rsid w:val="02464EEF"/>
    <w:rsid w:val="02494A73"/>
    <w:rsid w:val="024A15BE"/>
    <w:rsid w:val="024B183A"/>
    <w:rsid w:val="0250173C"/>
    <w:rsid w:val="02571585"/>
    <w:rsid w:val="02647AB9"/>
    <w:rsid w:val="02691984"/>
    <w:rsid w:val="02693733"/>
    <w:rsid w:val="02697903"/>
    <w:rsid w:val="02785724"/>
    <w:rsid w:val="02931935"/>
    <w:rsid w:val="029F7154"/>
    <w:rsid w:val="02A035A1"/>
    <w:rsid w:val="02A46519"/>
    <w:rsid w:val="02AC36BD"/>
    <w:rsid w:val="02AC3906"/>
    <w:rsid w:val="02B32C00"/>
    <w:rsid w:val="02B46DAB"/>
    <w:rsid w:val="02B9522E"/>
    <w:rsid w:val="02BE1699"/>
    <w:rsid w:val="02C646E1"/>
    <w:rsid w:val="02E37041"/>
    <w:rsid w:val="02EC0724"/>
    <w:rsid w:val="02F94AB6"/>
    <w:rsid w:val="02F96569"/>
    <w:rsid w:val="02FE6917"/>
    <w:rsid w:val="0301742D"/>
    <w:rsid w:val="03021E36"/>
    <w:rsid w:val="03083594"/>
    <w:rsid w:val="03092FC6"/>
    <w:rsid w:val="031A4CAC"/>
    <w:rsid w:val="031F0DA2"/>
    <w:rsid w:val="032A60A3"/>
    <w:rsid w:val="03411FB9"/>
    <w:rsid w:val="03467772"/>
    <w:rsid w:val="036072C8"/>
    <w:rsid w:val="03716D43"/>
    <w:rsid w:val="037B371D"/>
    <w:rsid w:val="03865F45"/>
    <w:rsid w:val="03993BA4"/>
    <w:rsid w:val="039B317F"/>
    <w:rsid w:val="039D7B38"/>
    <w:rsid w:val="03A42634"/>
    <w:rsid w:val="03A67865"/>
    <w:rsid w:val="03B03D9B"/>
    <w:rsid w:val="03C03826"/>
    <w:rsid w:val="03C350C4"/>
    <w:rsid w:val="03C81737"/>
    <w:rsid w:val="03CF75C5"/>
    <w:rsid w:val="03D310BE"/>
    <w:rsid w:val="03D63ACD"/>
    <w:rsid w:val="03DE3E4D"/>
    <w:rsid w:val="03DE5A5A"/>
    <w:rsid w:val="03E07A24"/>
    <w:rsid w:val="03E80687"/>
    <w:rsid w:val="03EA7B21"/>
    <w:rsid w:val="040E27E3"/>
    <w:rsid w:val="04162203"/>
    <w:rsid w:val="042A0FAA"/>
    <w:rsid w:val="042F398A"/>
    <w:rsid w:val="043558C1"/>
    <w:rsid w:val="0435660C"/>
    <w:rsid w:val="0438709F"/>
    <w:rsid w:val="044955CA"/>
    <w:rsid w:val="044A3E16"/>
    <w:rsid w:val="04536448"/>
    <w:rsid w:val="0458477F"/>
    <w:rsid w:val="045A6995"/>
    <w:rsid w:val="0467251E"/>
    <w:rsid w:val="04711F5E"/>
    <w:rsid w:val="04732647"/>
    <w:rsid w:val="0473723F"/>
    <w:rsid w:val="048C3056"/>
    <w:rsid w:val="04906FC6"/>
    <w:rsid w:val="049573FB"/>
    <w:rsid w:val="049973F4"/>
    <w:rsid w:val="049B11E6"/>
    <w:rsid w:val="049D7E4C"/>
    <w:rsid w:val="04AB7CB5"/>
    <w:rsid w:val="04B03C2B"/>
    <w:rsid w:val="04B05649"/>
    <w:rsid w:val="04BD0DDA"/>
    <w:rsid w:val="04BD2D83"/>
    <w:rsid w:val="04C34802"/>
    <w:rsid w:val="04C44C50"/>
    <w:rsid w:val="04C81AE6"/>
    <w:rsid w:val="04D07A99"/>
    <w:rsid w:val="04D36D7B"/>
    <w:rsid w:val="04DD5D12"/>
    <w:rsid w:val="04F17D5C"/>
    <w:rsid w:val="04F60088"/>
    <w:rsid w:val="04FE63B4"/>
    <w:rsid w:val="04FF3FF8"/>
    <w:rsid w:val="050043F7"/>
    <w:rsid w:val="050467CE"/>
    <w:rsid w:val="05080EB6"/>
    <w:rsid w:val="050E5765"/>
    <w:rsid w:val="050F09CD"/>
    <w:rsid w:val="05157BA2"/>
    <w:rsid w:val="051F457C"/>
    <w:rsid w:val="052F4E0E"/>
    <w:rsid w:val="053975EE"/>
    <w:rsid w:val="0548177D"/>
    <w:rsid w:val="05493B2D"/>
    <w:rsid w:val="054D6D4B"/>
    <w:rsid w:val="054E48E8"/>
    <w:rsid w:val="054F60DF"/>
    <w:rsid w:val="05656433"/>
    <w:rsid w:val="056B06A7"/>
    <w:rsid w:val="056B37CA"/>
    <w:rsid w:val="056F6CBD"/>
    <w:rsid w:val="05991E39"/>
    <w:rsid w:val="05AA2098"/>
    <w:rsid w:val="05AD3936"/>
    <w:rsid w:val="05C00253"/>
    <w:rsid w:val="05D26207"/>
    <w:rsid w:val="05D92F1F"/>
    <w:rsid w:val="05DE76BE"/>
    <w:rsid w:val="05E87561"/>
    <w:rsid w:val="05ED6775"/>
    <w:rsid w:val="05F332DC"/>
    <w:rsid w:val="05F83EAE"/>
    <w:rsid w:val="06013579"/>
    <w:rsid w:val="06092EB3"/>
    <w:rsid w:val="060A2B37"/>
    <w:rsid w:val="06174149"/>
    <w:rsid w:val="062D71EF"/>
    <w:rsid w:val="062E41A8"/>
    <w:rsid w:val="063E7D85"/>
    <w:rsid w:val="06436049"/>
    <w:rsid w:val="06441D15"/>
    <w:rsid w:val="064D44B0"/>
    <w:rsid w:val="06551730"/>
    <w:rsid w:val="066C6FCD"/>
    <w:rsid w:val="0671283A"/>
    <w:rsid w:val="067F1668"/>
    <w:rsid w:val="06840B3B"/>
    <w:rsid w:val="06890287"/>
    <w:rsid w:val="068D35F4"/>
    <w:rsid w:val="068F128E"/>
    <w:rsid w:val="069B2462"/>
    <w:rsid w:val="06A61292"/>
    <w:rsid w:val="06AC3700"/>
    <w:rsid w:val="06AE07DE"/>
    <w:rsid w:val="06B55198"/>
    <w:rsid w:val="06BD0FAF"/>
    <w:rsid w:val="06C21366"/>
    <w:rsid w:val="06CF5D6A"/>
    <w:rsid w:val="06E658E3"/>
    <w:rsid w:val="06F07F7E"/>
    <w:rsid w:val="06F51A39"/>
    <w:rsid w:val="06FD74A5"/>
    <w:rsid w:val="0717375D"/>
    <w:rsid w:val="071D6637"/>
    <w:rsid w:val="07293586"/>
    <w:rsid w:val="0729372A"/>
    <w:rsid w:val="07295285"/>
    <w:rsid w:val="07397B77"/>
    <w:rsid w:val="073A5FAD"/>
    <w:rsid w:val="07515FCA"/>
    <w:rsid w:val="075B6A1A"/>
    <w:rsid w:val="075F5CB1"/>
    <w:rsid w:val="07636392"/>
    <w:rsid w:val="07695AA4"/>
    <w:rsid w:val="0773551F"/>
    <w:rsid w:val="077614EF"/>
    <w:rsid w:val="07770C56"/>
    <w:rsid w:val="077741FC"/>
    <w:rsid w:val="07787AAA"/>
    <w:rsid w:val="07825D59"/>
    <w:rsid w:val="07854B6B"/>
    <w:rsid w:val="078C38E8"/>
    <w:rsid w:val="078F6C1D"/>
    <w:rsid w:val="07973C3E"/>
    <w:rsid w:val="07992CD7"/>
    <w:rsid w:val="079C7A50"/>
    <w:rsid w:val="07A969AB"/>
    <w:rsid w:val="07B4564F"/>
    <w:rsid w:val="07BC57CE"/>
    <w:rsid w:val="07C11432"/>
    <w:rsid w:val="07C137E4"/>
    <w:rsid w:val="07CD6512"/>
    <w:rsid w:val="07CF1B65"/>
    <w:rsid w:val="07D77390"/>
    <w:rsid w:val="07D94EB6"/>
    <w:rsid w:val="07ED0962"/>
    <w:rsid w:val="07F318EF"/>
    <w:rsid w:val="07F537BE"/>
    <w:rsid w:val="07FA714A"/>
    <w:rsid w:val="07FB28BC"/>
    <w:rsid w:val="0809500A"/>
    <w:rsid w:val="08102B4F"/>
    <w:rsid w:val="08121AB7"/>
    <w:rsid w:val="081352FB"/>
    <w:rsid w:val="08146607"/>
    <w:rsid w:val="08167F90"/>
    <w:rsid w:val="082F6A38"/>
    <w:rsid w:val="08416866"/>
    <w:rsid w:val="08467795"/>
    <w:rsid w:val="0849203C"/>
    <w:rsid w:val="08513720"/>
    <w:rsid w:val="085140FD"/>
    <w:rsid w:val="08582D70"/>
    <w:rsid w:val="085D1644"/>
    <w:rsid w:val="085E53BC"/>
    <w:rsid w:val="0865499C"/>
    <w:rsid w:val="086C1887"/>
    <w:rsid w:val="086F0524"/>
    <w:rsid w:val="087370B9"/>
    <w:rsid w:val="087D115F"/>
    <w:rsid w:val="08850322"/>
    <w:rsid w:val="089140D4"/>
    <w:rsid w:val="08935065"/>
    <w:rsid w:val="089B216C"/>
    <w:rsid w:val="08A16A84"/>
    <w:rsid w:val="08A365B4"/>
    <w:rsid w:val="08A4745A"/>
    <w:rsid w:val="08B01A1D"/>
    <w:rsid w:val="08C517FC"/>
    <w:rsid w:val="08C72697"/>
    <w:rsid w:val="08CC2CFA"/>
    <w:rsid w:val="08EA2D50"/>
    <w:rsid w:val="08EF07C7"/>
    <w:rsid w:val="08EF5873"/>
    <w:rsid w:val="08F1563F"/>
    <w:rsid w:val="09087E29"/>
    <w:rsid w:val="09100765"/>
    <w:rsid w:val="09171614"/>
    <w:rsid w:val="09174046"/>
    <w:rsid w:val="091C32AD"/>
    <w:rsid w:val="0920136B"/>
    <w:rsid w:val="092217DD"/>
    <w:rsid w:val="09265ED9"/>
    <w:rsid w:val="092C5567"/>
    <w:rsid w:val="09384D9A"/>
    <w:rsid w:val="093A7294"/>
    <w:rsid w:val="09616FB7"/>
    <w:rsid w:val="09646A02"/>
    <w:rsid w:val="096516B6"/>
    <w:rsid w:val="096C29A0"/>
    <w:rsid w:val="09815FC1"/>
    <w:rsid w:val="098350DA"/>
    <w:rsid w:val="09972933"/>
    <w:rsid w:val="099A35B2"/>
    <w:rsid w:val="09A91450"/>
    <w:rsid w:val="09AA37DC"/>
    <w:rsid w:val="09AB054B"/>
    <w:rsid w:val="09AD65FB"/>
    <w:rsid w:val="09AF1A7B"/>
    <w:rsid w:val="09B77892"/>
    <w:rsid w:val="09BB0BDF"/>
    <w:rsid w:val="09D17AC7"/>
    <w:rsid w:val="09DC7CBA"/>
    <w:rsid w:val="09E35B78"/>
    <w:rsid w:val="09F4422A"/>
    <w:rsid w:val="09F57794"/>
    <w:rsid w:val="09FA7F9F"/>
    <w:rsid w:val="09FF49E1"/>
    <w:rsid w:val="0A03356F"/>
    <w:rsid w:val="0A263993"/>
    <w:rsid w:val="0A27723E"/>
    <w:rsid w:val="0A283F31"/>
    <w:rsid w:val="0A2A11E0"/>
    <w:rsid w:val="0A2D3AC2"/>
    <w:rsid w:val="0A38246B"/>
    <w:rsid w:val="0A3D10BE"/>
    <w:rsid w:val="0A441A30"/>
    <w:rsid w:val="0A455A91"/>
    <w:rsid w:val="0A5519E4"/>
    <w:rsid w:val="0A594B8F"/>
    <w:rsid w:val="0A7333A0"/>
    <w:rsid w:val="0A84735B"/>
    <w:rsid w:val="0A956B16"/>
    <w:rsid w:val="0A9B3379"/>
    <w:rsid w:val="0AA34B75"/>
    <w:rsid w:val="0AA755DF"/>
    <w:rsid w:val="0AAC3520"/>
    <w:rsid w:val="0ABF047D"/>
    <w:rsid w:val="0AC7549A"/>
    <w:rsid w:val="0AC97068"/>
    <w:rsid w:val="0AD21E92"/>
    <w:rsid w:val="0AD57AC4"/>
    <w:rsid w:val="0ADD677E"/>
    <w:rsid w:val="0AE40778"/>
    <w:rsid w:val="0AEB0DA5"/>
    <w:rsid w:val="0AEE2A27"/>
    <w:rsid w:val="0AF448C5"/>
    <w:rsid w:val="0AF50E9D"/>
    <w:rsid w:val="0AFA520B"/>
    <w:rsid w:val="0AFA5D29"/>
    <w:rsid w:val="0AFB2620"/>
    <w:rsid w:val="0B09160F"/>
    <w:rsid w:val="0B115FEB"/>
    <w:rsid w:val="0B120D44"/>
    <w:rsid w:val="0B1B52E3"/>
    <w:rsid w:val="0B1C26BE"/>
    <w:rsid w:val="0B220922"/>
    <w:rsid w:val="0B24469B"/>
    <w:rsid w:val="0B275485"/>
    <w:rsid w:val="0B36136D"/>
    <w:rsid w:val="0B41349E"/>
    <w:rsid w:val="0B4E069F"/>
    <w:rsid w:val="0B536D2E"/>
    <w:rsid w:val="0B554854"/>
    <w:rsid w:val="0B5807E8"/>
    <w:rsid w:val="0B5978D7"/>
    <w:rsid w:val="0B5D195B"/>
    <w:rsid w:val="0B612283"/>
    <w:rsid w:val="0B6344A9"/>
    <w:rsid w:val="0B680A2B"/>
    <w:rsid w:val="0B6837DC"/>
    <w:rsid w:val="0B6902FF"/>
    <w:rsid w:val="0B6B7DD5"/>
    <w:rsid w:val="0B767DFD"/>
    <w:rsid w:val="0B7938C7"/>
    <w:rsid w:val="0B7958BA"/>
    <w:rsid w:val="0B7F55E3"/>
    <w:rsid w:val="0B7F7A09"/>
    <w:rsid w:val="0B840FB1"/>
    <w:rsid w:val="0B84224B"/>
    <w:rsid w:val="0B897D8C"/>
    <w:rsid w:val="0B957346"/>
    <w:rsid w:val="0B980BE5"/>
    <w:rsid w:val="0BA13F54"/>
    <w:rsid w:val="0BA61553"/>
    <w:rsid w:val="0BA63CAD"/>
    <w:rsid w:val="0BAC331A"/>
    <w:rsid w:val="0BAD4BBE"/>
    <w:rsid w:val="0BB36DFE"/>
    <w:rsid w:val="0BBA4FFF"/>
    <w:rsid w:val="0BC13F60"/>
    <w:rsid w:val="0BC722A5"/>
    <w:rsid w:val="0BCA02E1"/>
    <w:rsid w:val="0BD27BF6"/>
    <w:rsid w:val="0BDE35D8"/>
    <w:rsid w:val="0BE42B3A"/>
    <w:rsid w:val="0BEF4CA9"/>
    <w:rsid w:val="0BF84058"/>
    <w:rsid w:val="0BFC1173"/>
    <w:rsid w:val="0C0229D3"/>
    <w:rsid w:val="0C0D2B91"/>
    <w:rsid w:val="0C184434"/>
    <w:rsid w:val="0C2C2DE4"/>
    <w:rsid w:val="0C335F90"/>
    <w:rsid w:val="0C395F24"/>
    <w:rsid w:val="0C3B3C7D"/>
    <w:rsid w:val="0C3C3C66"/>
    <w:rsid w:val="0C3D1EB8"/>
    <w:rsid w:val="0C450D6C"/>
    <w:rsid w:val="0C476893"/>
    <w:rsid w:val="0C796D41"/>
    <w:rsid w:val="0C7D59FB"/>
    <w:rsid w:val="0C9A4271"/>
    <w:rsid w:val="0C9F66CF"/>
    <w:rsid w:val="0CA77331"/>
    <w:rsid w:val="0CAB2EAE"/>
    <w:rsid w:val="0CB4027A"/>
    <w:rsid w:val="0CBB102F"/>
    <w:rsid w:val="0CBF5DD4"/>
    <w:rsid w:val="0CC2416B"/>
    <w:rsid w:val="0CC47EE3"/>
    <w:rsid w:val="0CCF2294"/>
    <w:rsid w:val="0CDE1533"/>
    <w:rsid w:val="0CEB4CE0"/>
    <w:rsid w:val="0CEC11E8"/>
    <w:rsid w:val="0CEE33B6"/>
    <w:rsid w:val="0CF61A8A"/>
    <w:rsid w:val="0CF6389B"/>
    <w:rsid w:val="0CFD3DAC"/>
    <w:rsid w:val="0CFE6C42"/>
    <w:rsid w:val="0D0B5B12"/>
    <w:rsid w:val="0D11596A"/>
    <w:rsid w:val="0D1A523D"/>
    <w:rsid w:val="0D233659"/>
    <w:rsid w:val="0D2512B6"/>
    <w:rsid w:val="0D3B7680"/>
    <w:rsid w:val="0D4225A0"/>
    <w:rsid w:val="0D442508"/>
    <w:rsid w:val="0D4508F8"/>
    <w:rsid w:val="0D4B1979"/>
    <w:rsid w:val="0D4F17B7"/>
    <w:rsid w:val="0D5079C9"/>
    <w:rsid w:val="0D560211"/>
    <w:rsid w:val="0D58062B"/>
    <w:rsid w:val="0D621C7D"/>
    <w:rsid w:val="0D731909"/>
    <w:rsid w:val="0D7F2DE6"/>
    <w:rsid w:val="0D811D15"/>
    <w:rsid w:val="0D921D8F"/>
    <w:rsid w:val="0D9442A7"/>
    <w:rsid w:val="0D9C7E20"/>
    <w:rsid w:val="0DAF28A2"/>
    <w:rsid w:val="0DB937C0"/>
    <w:rsid w:val="0DD746D8"/>
    <w:rsid w:val="0DDE75B7"/>
    <w:rsid w:val="0DEC78CD"/>
    <w:rsid w:val="0DFC18FF"/>
    <w:rsid w:val="0E0802A4"/>
    <w:rsid w:val="0E0B29BB"/>
    <w:rsid w:val="0E116616"/>
    <w:rsid w:val="0E163082"/>
    <w:rsid w:val="0E1C3130"/>
    <w:rsid w:val="0E1D3E6F"/>
    <w:rsid w:val="0E2826F4"/>
    <w:rsid w:val="0E2B189E"/>
    <w:rsid w:val="0E2F5830"/>
    <w:rsid w:val="0E38047C"/>
    <w:rsid w:val="0E435AE9"/>
    <w:rsid w:val="0E484B44"/>
    <w:rsid w:val="0E580065"/>
    <w:rsid w:val="0E5B6625"/>
    <w:rsid w:val="0E5C6C65"/>
    <w:rsid w:val="0E6175FF"/>
    <w:rsid w:val="0E686F94"/>
    <w:rsid w:val="0E6E616F"/>
    <w:rsid w:val="0E6E7E2F"/>
    <w:rsid w:val="0E73034D"/>
    <w:rsid w:val="0E77636A"/>
    <w:rsid w:val="0E864114"/>
    <w:rsid w:val="0E8830C5"/>
    <w:rsid w:val="0E8D1678"/>
    <w:rsid w:val="0E905A81"/>
    <w:rsid w:val="0EA43155"/>
    <w:rsid w:val="0EA44204"/>
    <w:rsid w:val="0EA7526D"/>
    <w:rsid w:val="0EAE34B8"/>
    <w:rsid w:val="0EBF2B65"/>
    <w:rsid w:val="0EC04811"/>
    <w:rsid w:val="0EC51CF1"/>
    <w:rsid w:val="0ED23CC3"/>
    <w:rsid w:val="0EE91222"/>
    <w:rsid w:val="0EE9550A"/>
    <w:rsid w:val="0EEC20DC"/>
    <w:rsid w:val="0EFF16A6"/>
    <w:rsid w:val="0F0D3C99"/>
    <w:rsid w:val="0F113188"/>
    <w:rsid w:val="0F13775A"/>
    <w:rsid w:val="0F1D2779"/>
    <w:rsid w:val="0F207817"/>
    <w:rsid w:val="0F2D02A3"/>
    <w:rsid w:val="0F2F1860"/>
    <w:rsid w:val="0F355799"/>
    <w:rsid w:val="0F3D04B7"/>
    <w:rsid w:val="0F4277E5"/>
    <w:rsid w:val="0F486F13"/>
    <w:rsid w:val="0F4E34A0"/>
    <w:rsid w:val="0F500A84"/>
    <w:rsid w:val="0F580DB7"/>
    <w:rsid w:val="0F587009"/>
    <w:rsid w:val="0F5A68DD"/>
    <w:rsid w:val="0F5F45FE"/>
    <w:rsid w:val="0F607C6B"/>
    <w:rsid w:val="0F616722"/>
    <w:rsid w:val="0F7409BF"/>
    <w:rsid w:val="0F892456"/>
    <w:rsid w:val="0F9A112B"/>
    <w:rsid w:val="0F9A2E84"/>
    <w:rsid w:val="0FB05AD4"/>
    <w:rsid w:val="0FB42205"/>
    <w:rsid w:val="0FBB3CEE"/>
    <w:rsid w:val="0FC26DCC"/>
    <w:rsid w:val="0FC65D20"/>
    <w:rsid w:val="0FD350CB"/>
    <w:rsid w:val="0FE75A8E"/>
    <w:rsid w:val="0FE76C49"/>
    <w:rsid w:val="0FEC6E58"/>
    <w:rsid w:val="0FED7751"/>
    <w:rsid w:val="0FFC5D23"/>
    <w:rsid w:val="10044E41"/>
    <w:rsid w:val="10073F0B"/>
    <w:rsid w:val="10100850"/>
    <w:rsid w:val="10296A41"/>
    <w:rsid w:val="10375C5A"/>
    <w:rsid w:val="10384174"/>
    <w:rsid w:val="10390B3D"/>
    <w:rsid w:val="10404CA4"/>
    <w:rsid w:val="106043C7"/>
    <w:rsid w:val="106D2F64"/>
    <w:rsid w:val="107064F9"/>
    <w:rsid w:val="10733097"/>
    <w:rsid w:val="10794A4D"/>
    <w:rsid w:val="107C62CA"/>
    <w:rsid w:val="1080446D"/>
    <w:rsid w:val="108131DF"/>
    <w:rsid w:val="1089496F"/>
    <w:rsid w:val="10923A63"/>
    <w:rsid w:val="10957750"/>
    <w:rsid w:val="109D4989"/>
    <w:rsid w:val="10AB4366"/>
    <w:rsid w:val="10B63710"/>
    <w:rsid w:val="10B97633"/>
    <w:rsid w:val="10BF18EE"/>
    <w:rsid w:val="10C55FD8"/>
    <w:rsid w:val="10CB50AC"/>
    <w:rsid w:val="10CC67A8"/>
    <w:rsid w:val="10CF6E57"/>
    <w:rsid w:val="10D821AF"/>
    <w:rsid w:val="10DB22B3"/>
    <w:rsid w:val="10E741A0"/>
    <w:rsid w:val="10ED7C01"/>
    <w:rsid w:val="10F05263"/>
    <w:rsid w:val="10F10820"/>
    <w:rsid w:val="110765F0"/>
    <w:rsid w:val="110F22A1"/>
    <w:rsid w:val="110F6510"/>
    <w:rsid w:val="11133A55"/>
    <w:rsid w:val="111B73F7"/>
    <w:rsid w:val="111C2F7A"/>
    <w:rsid w:val="111E7E32"/>
    <w:rsid w:val="112D4560"/>
    <w:rsid w:val="112E5B38"/>
    <w:rsid w:val="113B0293"/>
    <w:rsid w:val="114C7258"/>
    <w:rsid w:val="1155307D"/>
    <w:rsid w:val="1156192D"/>
    <w:rsid w:val="11567578"/>
    <w:rsid w:val="11665CA1"/>
    <w:rsid w:val="1173306A"/>
    <w:rsid w:val="118026E4"/>
    <w:rsid w:val="11804CBB"/>
    <w:rsid w:val="119100DB"/>
    <w:rsid w:val="1195386C"/>
    <w:rsid w:val="11A0710A"/>
    <w:rsid w:val="11AB1AC7"/>
    <w:rsid w:val="11C72224"/>
    <w:rsid w:val="11C75D80"/>
    <w:rsid w:val="11CB3AC2"/>
    <w:rsid w:val="11D706B9"/>
    <w:rsid w:val="11D74060"/>
    <w:rsid w:val="11DB39A0"/>
    <w:rsid w:val="11E46AD9"/>
    <w:rsid w:val="11E7481C"/>
    <w:rsid w:val="11F04C5B"/>
    <w:rsid w:val="11F12DFD"/>
    <w:rsid w:val="11F72B09"/>
    <w:rsid w:val="120149B2"/>
    <w:rsid w:val="12080872"/>
    <w:rsid w:val="12105979"/>
    <w:rsid w:val="121F5BBC"/>
    <w:rsid w:val="12282CC2"/>
    <w:rsid w:val="122B3166"/>
    <w:rsid w:val="124675EC"/>
    <w:rsid w:val="124E70EA"/>
    <w:rsid w:val="1254523F"/>
    <w:rsid w:val="1258010D"/>
    <w:rsid w:val="125B4E5A"/>
    <w:rsid w:val="126805E3"/>
    <w:rsid w:val="12761515"/>
    <w:rsid w:val="12771217"/>
    <w:rsid w:val="127D662C"/>
    <w:rsid w:val="12984F2A"/>
    <w:rsid w:val="12AE4CA0"/>
    <w:rsid w:val="12B409FA"/>
    <w:rsid w:val="12B76488"/>
    <w:rsid w:val="12C11B33"/>
    <w:rsid w:val="12C609A0"/>
    <w:rsid w:val="12C97B2F"/>
    <w:rsid w:val="12E017C1"/>
    <w:rsid w:val="12E668BD"/>
    <w:rsid w:val="12FA0A00"/>
    <w:rsid w:val="130346CE"/>
    <w:rsid w:val="1303728B"/>
    <w:rsid w:val="130760D6"/>
    <w:rsid w:val="13280AA0"/>
    <w:rsid w:val="13315BA7"/>
    <w:rsid w:val="134C190C"/>
    <w:rsid w:val="13544DE5"/>
    <w:rsid w:val="13632A8B"/>
    <w:rsid w:val="13712447"/>
    <w:rsid w:val="13730B3A"/>
    <w:rsid w:val="13741F37"/>
    <w:rsid w:val="1378007A"/>
    <w:rsid w:val="13864A1E"/>
    <w:rsid w:val="1389649C"/>
    <w:rsid w:val="13951726"/>
    <w:rsid w:val="13963C5C"/>
    <w:rsid w:val="139748B1"/>
    <w:rsid w:val="13A506CD"/>
    <w:rsid w:val="13A94A3C"/>
    <w:rsid w:val="13C95C2B"/>
    <w:rsid w:val="13D7569E"/>
    <w:rsid w:val="13FA41EA"/>
    <w:rsid w:val="14050D2C"/>
    <w:rsid w:val="140B63F8"/>
    <w:rsid w:val="140D0670"/>
    <w:rsid w:val="14186D67"/>
    <w:rsid w:val="141B5D40"/>
    <w:rsid w:val="141F4C7A"/>
    <w:rsid w:val="142007B3"/>
    <w:rsid w:val="14233895"/>
    <w:rsid w:val="14396509"/>
    <w:rsid w:val="143F2CAE"/>
    <w:rsid w:val="14586713"/>
    <w:rsid w:val="145F58C4"/>
    <w:rsid w:val="146E4BD8"/>
    <w:rsid w:val="14726477"/>
    <w:rsid w:val="148C2B39"/>
    <w:rsid w:val="148F7029"/>
    <w:rsid w:val="14990ECA"/>
    <w:rsid w:val="149F2FE4"/>
    <w:rsid w:val="14AC7D79"/>
    <w:rsid w:val="14B44CE1"/>
    <w:rsid w:val="14C178D8"/>
    <w:rsid w:val="14CD5863"/>
    <w:rsid w:val="14D66B82"/>
    <w:rsid w:val="14DC389F"/>
    <w:rsid w:val="14DC5FE6"/>
    <w:rsid w:val="14DD2C3C"/>
    <w:rsid w:val="14E214E3"/>
    <w:rsid w:val="14E2788C"/>
    <w:rsid w:val="14F450DE"/>
    <w:rsid w:val="14F85871"/>
    <w:rsid w:val="14FB224F"/>
    <w:rsid w:val="14FB28F8"/>
    <w:rsid w:val="14FB2910"/>
    <w:rsid w:val="150A4901"/>
    <w:rsid w:val="15115C90"/>
    <w:rsid w:val="15312A9E"/>
    <w:rsid w:val="1534372C"/>
    <w:rsid w:val="15420546"/>
    <w:rsid w:val="15545B7C"/>
    <w:rsid w:val="157430DC"/>
    <w:rsid w:val="1576762A"/>
    <w:rsid w:val="158A0BB9"/>
    <w:rsid w:val="158D2C7A"/>
    <w:rsid w:val="15A37D01"/>
    <w:rsid w:val="15BD5B3B"/>
    <w:rsid w:val="15C947BC"/>
    <w:rsid w:val="15CA5E3E"/>
    <w:rsid w:val="15D81BF3"/>
    <w:rsid w:val="15DA4B51"/>
    <w:rsid w:val="15DF73AE"/>
    <w:rsid w:val="15EC153F"/>
    <w:rsid w:val="15EE5FD1"/>
    <w:rsid w:val="15EE7D7F"/>
    <w:rsid w:val="15F4079E"/>
    <w:rsid w:val="15FF56A7"/>
    <w:rsid w:val="16087E1D"/>
    <w:rsid w:val="1618057E"/>
    <w:rsid w:val="16184DFC"/>
    <w:rsid w:val="161A3AAB"/>
    <w:rsid w:val="16246EF9"/>
    <w:rsid w:val="16361726"/>
    <w:rsid w:val="163663DF"/>
    <w:rsid w:val="163F4A7E"/>
    <w:rsid w:val="164A4AB2"/>
    <w:rsid w:val="165212F8"/>
    <w:rsid w:val="16573B76"/>
    <w:rsid w:val="16630E82"/>
    <w:rsid w:val="166718DF"/>
    <w:rsid w:val="1669093C"/>
    <w:rsid w:val="166B21D1"/>
    <w:rsid w:val="166F69EA"/>
    <w:rsid w:val="16701EC2"/>
    <w:rsid w:val="1676519C"/>
    <w:rsid w:val="16B8454E"/>
    <w:rsid w:val="16BA4105"/>
    <w:rsid w:val="16BF796D"/>
    <w:rsid w:val="16CA3173"/>
    <w:rsid w:val="16D11335"/>
    <w:rsid w:val="16D21072"/>
    <w:rsid w:val="16EB42BE"/>
    <w:rsid w:val="16ED6288"/>
    <w:rsid w:val="17084BA6"/>
    <w:rsid w:val="17096AC8"/>
    <w:rsid w:val="170B1DAF"/>
    <w:rsid w:val="170C23A9"/>
    <w:rsid w:val="17151931"/>
    <w:rsid w:val="17181F24"/>
    <w:rsid w:val="17232C0B"/>
    <w:rsid w:val="172A7DD3"/>
    <w:rsid w:val="172D5F59"/>
    <w:rsid w:val="173E08FD"/>
    <w:rsid w:val="173F727E"/>
    <w:rsid w:val="17542402"/>
    <w:rsid w:val="175B2228"/>
    <w:rsid w:val="176608FC"/>
    <w:rsid w:val="17664D04"/>
    <w:rsid w:val="1767588B"/>
    <w:rsid w:val="176852CD"/>
    <w:rsid w:val="176B49F8"/>
    <w:rsid w:val="17701D14"/>
    <w:rsid w:val="1770333C"/>
    <w:rsid w:val="17735226"/>
    <w:rsid w:val="1775205D"/>
    <w:rsid w:val="17780248"/>
    <w:rsid w:val="177C015F"/>
    <w:rsid w:val="177F6CC8"/>
    <w:rsid w:val="17992747"/>
    <w:rsid w:val="17A133F8"/>
    <w:rsid w:val="17A3697C"/>
    <w:rsid w:val="17A70B2D"/>
    <w:rsid w:val="17A76594"/>
    <w:rsid w:val="17B374D2"/>
    <w:rsid w:val="17B51CC9"/>
    <w:rsid w:val="17BE7C25"/>
    <w:rsid w:val="17C23271"/>
    <w:rsid w:val="17C27715"/>
    <w:rsid w:val="17DF6AAA"/>
    <w:rsid w:val="17F555C0"/>
    <w:rsid w:val="17FF6B89"/>
    <w:rsid w:val="1813435D"/>
    <w:rsid w:val="18164E57"/>
    <w:rsid w:val="18185587"/>
    <w:rsid w:val="1819170B"/>
    <w:rsid w:val="181A78B3"/>
    <w:rsid w:val="181D07BF"/>
    <w:rsid w:val="18240C92"/>
    <w:rsid w:val="18251A52"/>
    <w:rsid w:val="182D6B76"/>
    <w:rsid w:val="18316649"/>
    <w:rsid w:val="183B6B74"/>
    <w:rsid w:val="183C02AE"/>
    <w:rsid w:val="183E553E"/>
    <w:rsid w:val="1853036D"/>
    <w:rsid w:val="185F5221"/>
    <w:rsid w:val="18614BBC"/>
    <w:rsid w:val="186500A0"/>
    <w:rsid w:val="187A3B4C"/>
    <w:rsid w:val="189D7F41"/>
    <w:rsid w:val="189E74FF"/>
    <w:rsid w:val="189F624C"/>
    <w:rsid w:val="18C528D3"/>
    <w:rsid w:val="18C90C28"/>
    <w:rsid w:val="18CD2296"/>
    <w:rsid w:val="18DC0363"/>
    <w:rsid w:val="18DE2E43"/>
    <w:rsid w:val="18DE36FC"/>
    <w:rsid w:val="18FA73A5"/>
    <w:rsid w:val="18FF79DC"/>
    <w:rsid w:val="19054A6A"/>
    <w:rsid w:val="19092111"/>
    <w:rsid w:val="190D769B"/>
    <w:rsid w:val="190F42FD"/>
    <w:rsid w:val="19103753"/>
    <w:rsid w:val="1912494D"/>
    <w:rsid w:val="191E097B"/>
    <w:rsid w:val="19266B02"/>
    <w:rsid w:val="192B0EB1"/>
    <w:rsid w:val="192C753C"/>
    <w:rsid w:val="193463F1"/>
    <w:rsid w:val="19353F17"/>
    <w:rsid w:val="19355B62"/>
    <w:rsid w:val="193D51E3"/>
    <w:rsid w:val="1946199D"/>
    <w:rsid w:val="194F5120"/>
    <w:rsid w:val="19570331"/>
    <w:rsid w:val="195C2BB7"/>
    <w:rsid w:val="19616ABA"/>
    <w:rsid w:val="196607DC"/>
    <w:rsid w:val="1968609A"/>
    <w:rsid w:val="1969443D"/>
    <w:rsid w:val="19697BEA"/>
    <w:rsid w:val="196D545F"/>
    <w:rsid w:val="19824B64"/>
    <w:rsid w:val="19847D70"/>
    <w:rsid w:val="19864EB7"/>
    <w:rsid w:val="19955547"/>
    <w:rsid w:val="1997569C"/>
    <w:rsid w:val="199766F5"/>
    <w:rsid w:val="19996254"/>
    <w:rsid w:val="199B63AC"/>
    <w:rsid w:val="19A17DAB"/>
    <w:rsid w:val="19A47EFE"/>
    <w:rsid w:val="19B47531"/>
    <w:rsid w:val="19C35411"/>
    <w:rsid w:val="19CF26DE"/>
    <w:rsid w:val="19D358AB"/>
    <w:rsid w:val="19DB2D10"/>
    <w:rsid w:val="19FD4A34"/>
    <w:rsid w:val="1A0C4C78"/>
    <w:rsid w:val="1A112BA6"/>
    <w:rsid w:val="1A1327CE"/>
    <w:rsid w:val="1A1C66C0"/>
    <w:rsid w:val="1A1D6B33"/>
    <w:rsid w:val="1A271AB1"/>
    <w:rsid w:val="1A311A5F"/>
    <w:rsid w:val="1A336CF6"/>
    <w:rsid w:val="1A42393B"/>
    <w:rsid w:val="1A47713F"/>
    <w:rsid w:val="1A513927"/>
    <w:rsid w:val="1A551697"/>
    <w:rsid w:val="1A692698"/>
    <w:rsid w:val="1A6A2679"/>
    <w:rsid w:val="1A6F6087"/>
    <w:rsid w:val="1A766595"/>
    <w:rsid w:val="1A7C336C"/>
    <w:rsid w:val="1A89276C"/>
    <w:rsid w:val="1A8B0292"/>
    <w:rsid w:val="1A9133CF"/>
    <w:rsid w:val="1A9A6727"/>
    <w:rsid w:val="1AA57AC0"/>
    <w:rsid w:val="1AAD45DE"/>
    <w:rsid w:val="1AB0435F"/>
    <w:rsid w:val="1AB13BBD"/>
    <w:rsid w:val="1AC97E26"/>
    <w:rsid w:val="1AE343DA"/>
    <w:rsid w:val="1AE45BF4"/>
    <w:rsid w:val="1AE73BA8"/>
    <w:rsid w:val="1AE9737A"/>
    <w:rsid w:val="1AEC164A"/>
    <w:rsid w:val="1AEC6F64"/>
    <w:rsid w:val="1AFD6EC1"/>
    <w:rsid w:val="1B046F80"/>
    <w:rsid w:val="1B082C83"/>
    <w:rsid w:val="1B0B3181"/>
    <w:rsid w:val="1B3267B5"/>
    <w:rsid w:val="1B40161D"/>
    <w:rsid w:val="1B435C8F"/>
    <w:rsid w:val="1B44047D"/>
    <w:rsid w:val="1B441859"/>
    <w:rsid w:val="1B4437DD"/>
    <w:rsid w:val="1B474293"/>
    <w:rsid w:val="1B4D1E00"/>
    <w:rsid w:val="1B4F69B3"/>
    <w:rsid w:val="1B5C2070"/>
    <w:rsid w:val="1B6606B1"/>
    <w:rsid w:val="1B70269D"/>
    <w:rsid w:val="1B7C5E2D"/>
    <w:rsid w:val="1B8076CB"/>
    <w:rsid w:val="1B8A679C"/>
    <w:rsid w:val="1B8B42C2"/>
    <w:rsid w:val="1B923B59"/>
    <w:rsid w:val="1B9F60E6"/>
    <w:rsid w:val="1BA06C8A"/>
    <w:rsid w:val="1BA2128A"/>
    <w:rsid w:val="1BB63319"/>
    <w:rsid w:val="1BCD7DD7"/>
    <w:rsid w:val="1BD82846"/>
    <w:rsid w:val="1BD90DF2"/>
    <w:rsid w:val="1BDB3A1F"/>
    <w:rsid w:val="1BDD7490"/>
    <w:rsid w:val="1BE15756"/>
    <w:rsid w:val="1C0836E1"/>
    <w:rsid w:val="1C161EEF"/>
    <w:rsid w:val="1C1D13BE"/>
    <w:rsid w:val="1C237506"/>
    <w:rsid w:val="1C2C22BF"/>
    <w:rsid w:val="1C304840"/>
    <w:rsid w:val="1C323285"/>
    <w:rsid w:val="1C3A1B4E"/>
    <w:rsid w:val="1C5E7925"/>
    <w:rsid w:val="1C6A2129"/>
    <w:rsid w:val="1C6E7E6B"/>
    <w:rsid w:val="1C852058"/>
    <w:rsid w:val="1C870F03"/>
    <w:rsid w:val="1C9148C4"/>
    <w:rsid w:val="1CA9552E"/>
    <w:rsid w:val="1CAB2C3D"/>
    <w:rsid w:val="1CDD58F9"/>
    <w:rsid w:val="1CDF6673"/>
    <w:rsid w:val="1CE0110D"/>
    <w:rsid w:val="1CE05C7B"/>
    <w:rsid w:val="1CE343B6"/>
    <w:rsid w:val="1CE65C54"/>
    <w:rsid w:val="1CF26E5D"/>
    <w:rsid w:val="1CF44101"/>
    <w:rsid w:val="1CFA1FA9"/>
    <w:rsid w:val="1CFD070F"/>
    <w:rsid w:val="1D0A1800"/>
    <w:rsid w:val="1D107187"/>
    <w:rsid w:val="1D210FD2"/>
    <w:rsid w:val="1D2A5258"/>
    <w:rsid w:val="1D2E13A9"/>
    <w:rsid w:val="1D4C4E57"/>
    <w:rsid w:val="1D525097"/>
    <w:rsid w:val="1D595962"/>
    <w:rsid w:val="1D5F6196"/>
    <w:rsid w:val="1D6132A5"/>
    <w:rsid w:val="1D796A41"/>
    <w:rsid w:val="1D7C1C09"/>
    <w:rsid w:val="1D8316F5"/>
    <w:rsid w:val="1D831DB9"/>
    <w:rsid w:val="1D85546D"/>
    <w:rsid w:val="1D89444A"/>
    <w:rsid w:val="1D8E56D5"/>
    <w:rsid w:val="1D916209"/>
    <w:rsid w:val="1D9B513F"/>
    <w:rsid w:val="1DA32223"/>
    <w:rsid w:val="1DA653E3"/>
    <w:rsid w:val="1DAE6694"/>
    <w:rsid w:val="1DAF4753"/>
    <w:rsid w:val="1DB211D1"/>
    <w:rsid w:val="1DC10F3F"/>
    <w:rsid w:val="1DDD3BF5"/>
    <w:rsid w:val="1DDF3ADA"/>
    <w:rsid w:val="1DE11F90"/>
    <w:rsid w:val="1DE33F41"/>
    <w:rsid w:val="1DE446AE"/>
    <w:rsid w:val="1DE71C83"/>
    <w:rsid w:val="1DE76FE8"/>
    <w:rsid w:val="1DF941F6"/>
    <w:rsid w:val="1DFB6855"/>
    <w:rsid w:val="1E00677E"/>
    <w:rsid w:val="1E01086B"/>
    <w:rsid w:val="1E0D31CB"/>
    <w:rsid w:val="1E116D00"/>
    <w:rsid w:val="1E160A9C"/>
    <w:rsid w:val="1E1E31CB"/>
    <w:rsid w:val="1E220F0E"/>
    <w:rsid w:val="1E33208F"/>
    <w:rsid w:val="1E3F19AC"/>
    <w:rsid w:val="1E411B3C"/>
    <w:rsid w:val="1E424CCD"/>
    <w:rsid w:val="1E470974"/>
    <w:rsid w:val="1E602BCB"/>
    <w:rsid w:val="1E6B5782"/>
    <w:rsid w:val="1E795C5B"/>
    <w:rsid w:val="1E797BD7"/>
    <w:rsid w:val="1E7A43DA"/>
    <w:rsid w:val="1E8A260F"/>
    <w:rsid w:val="1E9038D9"/>
    <w:rsid w:val="1E915DCA"/>
    <w:rsid w:val="1E9520F2"/>
    <w:rsid w:val="1EA74ACD"/>
    <w:rsid w:val="1EA84B69"/>
    <w:rsid w:val="1EAC2D60"/>
    <w:rsid w:val="1EAD2EAB"/>
    <w:rsid w:val="1EBA0677"/>
    <w:rsid w:val="1EBC5AF0"/>
    <w:rsid w:val="1ECA5375"/>
    <w:rsid w:val="1ECB474B"/>
    <w:rsid w:val="1ECC0E79"/>
    <w:rsid w:val="1ECE2E43"/>
    <w:rsid w:val="1ED5336F"/>
    <w:rsid w:val="1EE26527"/>
    <w:rsid w:val="1EEC32CA"/>
    <w:rsid w:val="1EF87EC0"/>
    <w:rsid w:val="1F244547"/>
    <w:rsid w:val="1F3C6518"/>
    <w:rsid w:val="1F3F789D"/>
    <w:rsid w:val="1F463858"/>
    <w:rsid w:val="1F4D3D68"/>
    <w:rsid w:val="1F5C3FAB"/>
    <w:rsid w:val="1F60301D"/>
    <w:rsid w:val="1F62533A"/>
    <w:rsid w:val="1F641D72"/>
    <w:rsid w:val="1F680D3C"/>
    <w:rsid w:val="1F6B6BD4"/>
    <w:rsid w:val="1F7D482D"/>
    <w:rsid w:val="1F8A7B3D"/>
    <w:rsid w:val="1F9827D4"/>
    <w:rsid w:val="1FA6791C"/>
    <w:rsid w:val="1FAC0C8F"/>
    <w:rsid w:val="1FBC7140"/>
    <w:rsid w:val="1FC956D4"/>
    <w:rsid w:val="1FCB46C6"/>
    <w:rsid w:val="1FD60202"/>
    <w:rsid w:val="1FD65718"/>
    <w:rsid w:val="1FDD2A06"/>
    <w:rsid w:val="1FE741BD"/>
    <w:rsid w:val="1FE7539E"/>
    <w:rsid w:val="1FFF0F48"/>
    <w:rsid w:val="20145022"/>
    <w:rsid w:val="20183C05"/>
    <w:rsid w:val="202A40A9"/>
    <w:rsid w:val="202C7E22"/>
    <w:rsid w:val="20354584"/>
    <w:rsid w:val="20381DF5"/>
    <w:rsid w:val="203E0173"/>
    <w:rsid w:val="20465285"/>
    <w:rsid w:val="2047217B"/>
    <w:rsid w:val="204D5FEA"/>
    <w:rsid w:val="205948D1"/>
    <w:rsid w:val="20625FE5"/>
    <w:rsid w:val="20633D26"/>
    <w:rsid w:val="20671BE0"/>
    <w:rsid w:val="20734C5E"/>
    <w:rsid w:val="2084772E"/>
    <w:rsid w:val="208C23F8"/>
    <w:rsid w:val="20963CB8"/>
    <w:rsid w:val="20A81A1B"/>
    <w:rsid w:val="20B07FB6"/>
    <w:rsid w:val="20B646FB"/>
    <w:rsid w:val="20BB4AD9"/>
    <w:rsid w:val="20C81DA3"/>
    <w:rsid w:val="20C93A29"/>
    <w:rsid w:val="20EE0A9B"/>
    <w:rsid w:val="20EE730A"/>
    <w:rsid w:val="20F12E19"/>
    <w:rsid w:val="20F6042F"/>
    <w:rsid w:val="21095200"/>
    <w:rsid w:val="2110329F"/>
    <w:rsid w:val="21156B08"/>
    <w:rsid w:val="2117509C"/>
    <w:rsid w:val="21244F9D"/>
    <w:rsid w:val="212A5807"/>
    <w:rsid w:val="212B741D"/>
    <w:rsid w:val="213B74B1"/>
    <w:rsid w:val="215524EA"/>
    <w:rsid w:val="215A2310"/>
    <w:rsid w:val="215C25A8"/>
    <w:rsid w:val="21602321"/>
    <w:rsid w:val="216655B5"/>
    <w:rsid w:val="218912A4"/>
    <w:rsid w:val="21937A2C"/>
    <w:rsid w:val="219516F2"/>
    <w:rsid w:val="219F0AC7"/>
    <w:rsid w:val="21A1381F"/>
    <w:rsid w:val="21A41C3A"/>
    <w:rsid w:val="21B843E1"/>
    <w:rsid w:val="21BF4CC5"/>
    <w:rsid w:val="21CA48A9"/>
    <w:rsid w:val="21D267A7"/>
    <w:rsid w:val="21D7200F"/>
    <w:rsid w:val="21DE318A"/>
    <w:rsid w:val="21EF5B80"/>
    <w:rsid w:val="21F62C07"/>
    <w:rsid w:val="2204415F"/>
    <w:rsid w:val="220628F4"/>
    <w:rsid w:val="22237085"/>
    <w:rsid w:val="222D2796"/>
    <w:rsid w:val="22381A61"/>
    <w:rsid w:val="22382350"/>
    <w:rsid w:val="225278E7"/>
    <w:rsid w:val="2253093E"/>
    <w:rsid w:val="225455D2"/>
    <w:rsid w:val="22576990"/>
    <w:rsid w:val="22593517"/>
    <w:rsid w:val="225C2514"/>
    <w:rsid w:val="2289064A"/>
    <w:rsid w:val="228D0920"/>
    <w:rsid w:val="2292788F"/>
    <w:rsid w:val="22953179"/>
    <w:rsid w:val="229626AA"/>
    <w:rsid w:val="229E0689"/>
    <w:rsid w:val="22A87507"/>
    <w:rsid w:val="22AC3B0A"/>
    <w:rsid w:val="22AF1505"/>
    <w:rsid w:val="22B4600F"/>
    <w:rsid w:val="22C97BAA"/>
    <w:rsid w:val="22CA3786"/>
    <w:rsid w:val="22DA697D"/>
    <w:rsid w:val="22E5075C"/>
    <w:rsid w:val="22E75BA9"/>
    <w:rsid w:val="22E83423"/>
    <w:rsid w:val="22F47480"/>
    <w:rsid w:val="22F95FB5"/>
    <w:rsid w:val="22FB192A"/>
    <w:rsid w:val="22FB6766"/>
    <w:rsid w:val="2303386E"/>
    <w:rsid w:val="2306136A"/>
    <w:rsid w:val="231177A3"/>
    <w:rsid w:val="231721EE"/>
    <w:rsid w:val="23177369"/>
    <w:rsid w:val="231B6CA7"/>
    <w:rsid w:val="233139A1"/>
    <w:rsid w:val="233D0598"/>
    <w:rsid w:val="234742FF"/>
    <w:rsid w:val="2364060A"/>
    <w:rsid w:val="23776EA0"/>
    <w:rsid w:val="23882FBC"/>
    <w:rsid w:val="238B30B1"/>
    <w:rsid w:val="239C52BE"/>
    <w:rsid w:val="23B047C7"/>
    <w:rsid w:val="23B73EA6"/>
    <w:rsid w:val="23B754F8"/>
    <w:rsid w:val="23BA5744"/>
    <w:rsid w:val="23BC7C5D"/>
    <w:rsid w:val="23C06D7D"/>
    <w:rsid w:val="23C267B7"/>
    <w:rsid w:val="23CF5209"/>
    <w:rsid w:val="23D83E1C"/>
    <w:rsid w:val="23D9206E"/>
    <w:rsid w:val="23DE1C48"/>
    <w:rsid w:val="23E14E57"/>
    <w:rsid w:val="23E32EED"/>
    <w:rsid w:val="240210CD"/>
    <w:rsid w:val="24030E97"/>
    <w:rsid w:val="24031FD1"/>
    <w:rsid w:val="240A66CC"/>
    <w:rsid w:val="24134E54"/>
    <w:rsid w:val="24246025"/>
    <w:rsid w:val="24275D38"/>
    <w:rsid w:val="24297C4E"/>
    <w:rsid w:val="24305A06"/>
    <w:rsid w:val="243A2317"/>
    <w:rsid w:val="24455956"/>
    <w:rsid w:val="24492EDE"/>
    <w:rsid w:val="245E2574"/>
    <w:rsid w:val="24635DDC"/>
    <w:rsid w:val="24745C0F"/>
    <w:rsid w:val="2475294E"/>
    <w:rsid w:val="247B1377"/>
    <w:rsid w:val="247B2AFE"/>
    <w:rsid w:val="247C6E9E"/>
    <w:rsid w:val="2483022C"/>
    <w:rsid w:val="24945F95"/>
    <w:rsid w:val="24983EA0"/>
    <w:rsid w:val="249841EF"/>
    <w:rsid w:val="249935AC"/>
    <w:rsid w:val="249B46DE"/>
    <w:rsid w:val="24A31B84"/>
    <w:rsid w:val="24B341DB"/>
    <w:rsid w:val="24B96DAC"/>
    <w:rsid w:val="24BF09F7"/>
    <w:rsid w:val="24C224F9"/>
    <w:rsid w:val="24C93A1E"/>
    <w:rsid w:val="24D61965"/>
    <w:rsid w:val="24DD2DFD"/>
    <w:rsid w:val="24DD7798"/>
    <w:rsid w:val="24E3577B"/>
    <w:rsid w:val="24E8008F"/>
    <w:rsid w:val="24E8598F"/>
    <w:rsid w:val="250823F1"/>
    <w:rsid w:val="25103203"/>
    <w:rsid w:val="25247197"/>
    <w:rsid w:val="2527114A"/>
    <w:rsid w:val="252D50A3"/>
    <w:rsid w:val="252D53FE"/>
    <w:rsid w:val="252E1F46"/>
    <w:rsid w:val="25364A86"/>
    <w:rsid w:val="25377627"/>
    <w:rsid w:val="25387269"/>
    <w:rsid w:val="254943F3"/>
    <w:rsid w:val="254A152A"/>
    <w:rsid w:val="25522A8A"/>
    <w:rsid w:val="25524437"/>
    <w:rsid w:val="255567A5"/>
    <w:rsid w:val="2555776D"/>
    <w:rsid w:val="25594ECD"/>
    <w:rsid w:val="255D6CCF"/>
    <w:rsid w:val="2573760B"/>
    <w:rsid w:val="25761E5A"/>
    <w:rsid w:val="258472DA"/>
    <w:rsid w:val="25883FCE"/>
    <w:rsid w:val="258C1362"/>
    <w:rsid w:val="259802D9"/>
    <w:rsid w:val="259B3353"/>
    <w:rsid w:val="259C1499"/>
    <w:rsid w:val="259F1096"/>
    <w:rsid w:val="25AC730F"/>
    <w:rsid w:val="25B848C0"/>
    <w:rsid w:val="25CE22CB"/>
    <w:rsid w:val="25DB430B"/>
    <w:rsid w:val="25DC01E3"/>
    <w:rsid w:val="25E42F4C"/>
    <w:rsid w:val="25EC2D81"/>
    <w:rsid w:val="25F206A4"/>
    <w:rsid w:val="25F747AF"/>
    <w:rsid w:val="26057BD0"/>
    <w:rsid w:val="26062EC3"/>
    <w:rsid w:val="260A4BA1"/>
    <w:rsid w:val="261C1E67"/>
    <w:rsid w:val="261C302C"/>
    <w:rsid w:val="26227E1F"/>
    <w:rsid w:val="262D48F3"/>
    <w:rsid w:val="26485C30"/>
    <w:rsid w:val="26492DAF"/>
    <w:rsid w:val="264A194A"/>
    <w:rsid w:val="2654271D"/>
    <w:rsid w:val="265D6A3D"/>
    <w:rsid w:val="26645AD2"/>
    <w:rsid w:val="266877EA"/>
    <w:rsid w:val="266F7A8A"/>
    <w:rsid w:val="26802C75"/>
    <w:rsid w:val="26852AFD"/>
    <w:rsid w:val="268818C7"/>
    <w:rsid w:val="268A58A2"/>
    <w:rsid w:val="269305C1"/>
    <w:rsid w:val="26A22C4D"/>
    <w:rsid w:val="26A506E8"/>
    <w:rsid w:val="26A55E55"/>
    <w:rsid w:val="26A56238"/>
    <w:rsid w:val="26AE0728"/>
    <w:rsid w:val="26B21DEB"/>
    <w:rsid w:val="26B61D82"/>
    <w:rsid w:val="26BB66FE"/>
    <w:rsid w:val="26BC17D3"/>
    <w:rsid w:val="26D11C78"/>
    <w:rsid w:val="26D47CC3"/>
    <w:rsid w:val="26E4504A"/>
    <w:rsid w:val="26E86A6C"/>
    <w:rsid w:val="26EB53A7"/>
    <w:rsid w:val="26F56364"/>
    <w:rsid w:val="26F64CE5"/>
    <w:rsid w:val="26F84502"/>
    <w:rsid w:val="26F92A28"/>
    <w:rsid w:val="26F93AAC"/>
    <w:rsid w:val="27021403"/>
    <w:rsid w:val="270B702D"/>
    <w:rsid w:val="270C4509"/>
    <w:rsid w:val="27132FF7"/>
    <w:rsid w:val="271950D1"/>
    <w:rsid w:val="272068EE"/>
    <w:rsid w:val="272A748D"/>
    <w:rsid w:val="272E6E40"/>
    <w:rsid w:val="27312075"/>
    <w:rsid w:val="273214E3"/>
    <w:rsid w:val="273656BF"/>
    <w:rsid w:val="27366703"/>
    <w:rsid w:val="273D2914"/>
    <w:rsid w:val="27473793"/>
    <w:rsid w:val="274A5031"/>
    <w:rsid w:val="274E4B21"/>
    <w:rsid w:val="274F6D62"/>
    <w:rsid w:val="275E2C12"/>
    <w:rsid w:val="276A5A12"/>
    <w:rsid w:val="276E51C4"/>
    <w:rsid w:val="276E5CDD"/>
    <w:rsid w:val="277057A2"/>
    <w:rsid w:val="277327DA"/>
    <w:rsid w:val="2773480C"/>
    <w:rsid w:val="277B2031"/>
    <w:rsid w:val="277B43E7"/>
    <w:rsid w:val="278A18D2"/>
    <w:rsid w:val="27902791"/>
    <w:rsid w:val="279544FE"/>
    <w:rsid w:val="27AC5CEC"/>
    <w:rsid w:val="27BF3329"/>
    <w:rsid w:val="27CD05FE"/>
    <w:rsid w:val="27D2569A"/>
    <w:rsid w:val="27E41B78"/>
    <w:rsid w:val="27F136FF"/>
    <w:rsid w:val="27F7755B"/>
    <w:rsid w:val="27FC4641"/>
    <w:rsid w:val="28011E96"/>
    <w:rsid w:val="2802590C"/>
    <w:rsid w:val="28060F58"/>
    <w:rsid w:val="280956C6"/>
    <w:rsid w:val="280E605F"/>
    <w:rsid w:val="281178FD"/>
    <w:rsid w:val="28144AA2"/>
    <w:rsid w:val="2816262F"/>
    <w:rsid w:val="2818512F"/>
    <w:rsid w:val="281964A8"/>
    <w:rsid w:val="281C4C20"/>
    <w:rsid w:val="281F201A"/>
    <w:rsid w:val="283179DB"/>
    <w:rsid w:val="283A50A6"/>
    <w:rsid w:val="284012EE"/>
    <w:rsid w:val="28481571"/>
    <w:rsid w:val="284952E9"/>
    <w:rsid w:val="28497097"/>
    <w:rsid w:val="285F794B"/>
    <w:rsid w:val="286023D9"/>
    <w:rsid w:val="28604C51"/>
    <w:rsid w:val="286619CC"/>
    <w:rsid w:val="286A22BB"/>
    <w:rsid w:val="286B42F4"/>
    <w:rsid w:val="287B7B98"/>
    <w:rsid w:val="288D111C"/>
    <w:rsid w:val="28934727"/>
    <w:rsid w:val="289C18BC"/>
    <w:rsid w:val="289D3FD7"/>
    <w:rsid w:val="28B308D6"/>
    <w:rsid w:val="28B3261D"/>
    <w:rsid w:val="28C271B3"/>
    <w:rsid w:val="28C606E7"/>
    <w:rsid w:val="28C66939"/>
    <w:rsid w:val="28DF17A9"/>
    <w:rsid w:val="28E42AD1"/>
    <w:rsid w:val="28E76FDC"/>
    <w:rsid w:val="28EB5395"/>
    <w:rsid w:val="28EF40E2"/>
    <w:rsid w:val="28F60FCD"/>
    <w:rsid w:val="28FE0F27"/>
    <w:rsid w:val="29006BE8"/>
    <w:rsid w:val="29121B7F"/>
    <w:rsid w:val="29133D29"/>
    <w:rsid w:val="29155EC0"/>
    <w:rsid w:val="2920072C"/>
    <w:rsid w:val="29206EB8"/>
    <w:rsid w:val="29323FE8"/>
    <w:rsid w:val="2939535D"/>
    <w:rsid w:val="2944442E"/>
    <w:rsid w:val="29527F41"/>
    <w:rsid w:val="29595666"/>
    <w:rsid w:val="295B38B9"/>
    <w:rsid w:val="29680939"/>
    <w:rsid w:val="296B0F64"/>
    <w:rsid w:val="297B5976"/>
    <w:rsid w:val="297C6154"/>
    <w:rsid w:val="298429E0"/>
    <w:rsid w:val="29874881"/>
    <w:rsid w:val="29894F63"/>
    <w:rsid w:val="298C1931"/>
    <w:rsid w:val="298F7A4E"/>
    <w:rsid w:val="29937293"/>
    <w:rsid w:val="2999051A"/>
    <w:rsid w:val="299D58EC"/>
    <w:rsid w:val="299D769A"/>
    <w:rsid w:val="29AE41B5"/>
    <w:rsid w:val="29AF73CD"/>
    <w:rsid w:val="29B609C0"/>
    <w:rsid w:val="29BD5815"/>
    <w:rsid w:val="29C4731D"/>
    <w:rsid w:val="29D137E8"/>
    <w:rsid w:val="29E325E0"/>
    <w:rsid w:val="29F92075"/>
    <w:rsid w:val="29F96EFE"/>
    <w:rsid w:val="2A0B2C0A"/>
    <w:rsid w:val="2A173EB4"/>
    <w:rsid w:val="2A181417"/>
    <w:rsid w:val="2A201475"/>
    <w:rsid w:val="2A225DF1"/>
    <w:rsid w:val="2A2645BC"/>
    <w:rsid w:val="2A27165A"/>
    <w:rsid w:val="2A273408"/>
    <w:rsid w:val="2A2F261A"/>
    <w:rsid w:val="2A3603E9"/>
    <w:rsid w:val="2A382673"/>
    <w:rsid w:val="2A3829B1"/>
    <w:rsid w:val="2A3D2C2B"/>
    <w:rsid w:val="2A452503"/>
    <w:rsid w:val="2A495A74"/>
    <w:rsid w:val="2A4F3DAC"/>
    <w:rsid w:val="2A5B3A36"/>
    <w:rsid w:val="2A5C6F97"/>
    <w:rsid w:val="2A63460A"/>
    <w:rsid w:val="2A672D31"/>
    <w:rsid w:val="2A70270B"/>
    <w:rsid w:val="2A732242"/>
    <w:rsid w:val="2A7D127A"/>
    <w:rsid w:val="2A8261D2"/>
    <w:rsid w:val="2A8673CC"/>
    <w:rsid w:val="2A876E11"/>
    <w:rsid w:val="2A8D3BB3"/>
    <w:rsid w:val="2A914B4C"/>
    <w:rsid w:val="2AA97C45"/>
    <w:rsid w:val="2AAA0EC4"/>
    <w:rsid w:val="2AAB228B"/>
    <w:rsid w:val="2AB1521C"/>
    <w:rsid w:val="2AB23472"/>
    <w:rsid w:val="2ABE1FBE"/>
    <w:rsid w:val="2AC04349"/>
    <w:rsid w:val="2AC46EA9"/>
    <w:rsid w:val="2ACD4E25"/>
    <w:rsid w:val="2AD05019"/>
    <w:rsid w:val="2AD565E1"/>
    <w:rsid w:val="2ADC3EFD"/>
    <w:rsid w:val="2AE5579D"/>
    <w:rsid w:val="2AE82B97"/>
    <w:rsid w:val="2AE83824"/>
    <w:rsid w:val="2AEB08D9"/>
    <w:rsid w:val="2AF754D0"/>
    <w:rsid w:val="2AF76832"/>
    <w:rsid w:val="2AFF6982"/>
    <w:rsid w:val="2B051251"/>
    <w:rsid w:val="2B0C5DAB"/>
    <w:rsid w:val="2B1230A3"/>
    <w:rsid w:val="2B1478F6"/>
    <w:rsid w:val="2B1C6987"/>
    <w:rsid w:val="2B1F3364"/>
    <w:rsid w:val="2B223983"/>
    <w:rsid w:val="2B26135F"/>
    <w:rsid w:val="2B261D21"/>
    <w:rsid w:val="2B295E6E"/>
    <w:rsid w:val="2B353BD5"/>
    <w:rsid w:val="2B397896"/>
    <w:rsid w:val="2B4D6E9E"/>
    <w:rsid w:val="2B561713"/>
    <w:rsid w:val="2B6120FD"/>
    <w:rsid w:val="2B644313"/>
    <w:rsid w:val="2B667943"/>
    <w:rsid w:val="2B6A0C4F"/>
    <w:rsid w:val="2B6F5066"/>
    <w:rsid w:val="2B7064F8"/>
    <w:rsid w:val="2B7066BF"/>
    <w:rsid w:val="2B803BB0"/>
    <w:rsid w:val="2B854753"/>
    <w:rsid w:val="2B8723B0"/>
    <w:rsid w:val="2B8B7112"/>
    <w:rsid w:val="2B8F5708"/>
    <w:rsid w:val="2BA1569C"/>
    <w:rsid w:val="2BA72A52"/>
    <w:rsid w:val="2BA818FD"/>
    <w:rsid w:val="2BA936A8"/>
    <w:rsid w:val="2BB718AB"/>
    <w:rsid w:val="2BB92785"/>
    <w:rsid w:val="2BCA60F5"/>
    <w:rsid w:val="2BCA6171"/>
    <w:rsid w:val="2BCC5C57"/>
    <w:rsid w:val="2BD07727"/>
    <w:rsid w:val="2BD32B95"/>
    <w:rsid w:val="2BE20CF6"/>
    <w:rsid w:val="2BE44443"/>
    <w:rsid w:val="2BEC2B5B"/>
    <w:rsid w:val="2BF947FE"/>
    <w:rsid w:val="2C012709"/>
    <w:rsid w:val="2C097269"/>
    <w:rsid w:val="2C0C217F"/>
    <w:rsid w:val="2C163AB1"/>
    <w:rsid w:val="2C1719F0"/>
    <w:rsid w:val="2C24576F"/>
    <w:rsid w:val="2C2B76E3"/>
    <w:rsid w:val="2C2B789E"/>
    <w:rsid w:val="2C315A5A"/>
    <w:rsid w:val="2C3D2BC8"/>
    <w:rsid w:val="2C45176D"/>
    <w:rsid w:val="2C45599A"/>
    <w:rsid w:val="2C46226B"/>
    <w:rsid w:val="2C4B1C25"/>
    <w:rsid w:val="2C5515A3"/>
    <w:rsid w:val="2C554319"/>
    <w:rsid w:val="2C593400"/>
    <w:rsid w:val="2C5C383D"/>
    <w:rsid w:val="2C624BCB"/>
    <w:rsid w:val="2C640943"/>
    <w:rsid w:val="2C663C74"/>
    <w:rsid w:val="2C715F7D"/>
    <w:rsid w:val="2C717752"/>
    <w:rsid w:val="2C7455C5"/>
    <w:rsid w:val="2C834161"/>
    <w:rsid w:val="2C8E4EA2"/>
    <w:rsid w:val="2C920D32"/>
    <w:rsid w:val="2C933DF1"/>
    <w:rsid w:val="2CA84CD4"/>
    <w:rsid w:val="2CB06F6C"/>
    <w:rsid w:val="2CB256D4"/>
    <w:rsid w:val="2CB73169"/>
    <w:rsid w:val="2CC24835"/>
    <w:rsid w:val="2CD5741D"/>
    <w:rsid w:val="2CDA7CD5"/>
    <w:rsid w:val="2CE94D0B"/>
    <w:rsid w:val="2CEA1907"/>
    <w:rsid w:val="2CEF31E1"/>
    <w:rsid w:val="2CFA0A36"/>
    <w:rsid w:val="2CFC5020"/>
    <w:rsid w:val="2D021D14"/>
    <w:rsid w:val="2D0418BA"/>
    <w:rsid w:val="2D0A7B81"/>
    <w:rsid w:val="2D0B0DBF"/>
    <w:rsid w:val="2D0D4B37"/>
    <w:rsid w:val="2D0D4D30"/>
    <w:rsid w:val="2D1D77DD"/>
    <w:rsid w:val="2D1E124A"/>
    <w:rsid w:val="2D2924B4"/>
    <w:rsid w:val="2D353EF6"/>
    <w:rsid w:val="2D371BB4"/>
    <w:rsid w:val="2D387DB7"/>
    <w:rsid w:val="2D3B4EF3"/>
    <w:rsid w:val="2D3D2175"/>
    <w:rsid w:val="2D3D308E"/>
    <w:rsid w:val="2D3E2C06"/>
    <w:rsid w:val="2D426ED6"/>
    <w:rsid w:val="2D436EB3"/>
    <w:rsid w:val="2D4D5433"/>
    <w:rsid w:val="2D6A01DB"/>
    <w:rsid w:val="2D6A2AAB"/>
    <w:rsid w:val="2D74105A"/>
    <w:rsid w:val="2D752857"/>
    <w:rsid w:val="2D7C1CBC"/>
    <w:rsid w:val="2D7E77E3"/>
    <w:rsid w:val="2D880E0C"/>
    <w:rsid w:val="2D8C0442"/>
    <w:rsid w:val="2D9B2143"/>
    <w:rsid w:val="2D9E56F5"/>
    <w:rsid w:val="2DA3330B"/>
    <w:rsid w:val="2DB80F46"/>
    <w:rsid w:val="2DC203DD"/>
    <w:rsid w:val="2DCE4FFC"/>
    <w:rsid w:val="2DD13DB6"/>
    <w:rsid w:val="2DD518C6"/>
    <w:rsid w:val="2DD8346E"/>
    <w:rsid w:val="2E015A5D"/>
    <w:rsid w:val="2E0350FD"/>
    <w:rsid w:val="2E050309"/>
    <w:rsid w:val="2E0B6D13"/>
    <w:rsid w:val="2E0F3D37"/>
    <w:rsid w:val="2E116BB6"/>
    <w:rsid w:val="2E1848FC"/>
    <w:rsid w:val="2E2C30F7"/>
    <w:rsid w:val="2E2D5C84"/>
    <w:rsid w:val="2E3429CF"/>
    <w:rsid w:val="2E346CB0"/>
    <w:rsid w:val="2E3471AD"/>
    <w:rsid w:val="2E4D17B6"/>
    <w:rsid w:val="2E5F5866"/>
    <w:rsid w:val="2E667F96"/>
    <w:rsid w:val="2E693FEF"/>
    <w:rsid w:val="2E6B4E87"/>
    <w:rsid w:val="2E746EDA"/>
    <w:rsid w:val="2E796FC8"/>
    <w:rsid w:val="2E813B76"/>
    <w:rsid w:val="2E8226AB"/>
    <w:rsid w:val="2E906637"/>
    <w:rsid w:val="2E9A6D09"/>
    <w:rsid w:val="2E9D7767"/>
    <w:rsid w:val="2EA175A8"/>
    <w:rsid w:val="2EA414CB"/>
    <w:rsid w:val="2EA66FF1"/>
    <w:rsid w:val="2EA8527E"/>
    <w:rsid w:val="2EAD1233"/>
    <w:rsid w:val="2EB25A33"/>
    <w:rsid w:val="2EB53024"/>
    <w:rsid w:val="2EC05DFC"/>
    <w:rsid w:val="2EC478A7"/>
    <w:rsid w:val="2EC538AA"/>
    <w:rsid w:val="2EE71204"/>
    <w:rsid w:val="2F044E1C"/>
    <w:rsid w:val="2F076ABA"/>
    <w:rsid w:val="2F0D61E6"/>
    <w:rsid w:val="2F104DB2"/>
    <w:rsid w:val="2F1A79DF"/>
    <w:rsid w:val="2F25177A"/>
    <w:rsid w:val="2F342B6F"/>
    <w:rsid w:val="2F350375"/>
    <w:rsid w:val="2F4A5C09"/>
    <w:rsid w:val="2F6161C3"/>
    <w:rsid w:val="2F886A51"/>
    <w:rsid w:val="2F892CF5"/>
    <w:rsid w:val="2F8C057B"/>
    <w:rsid w:val="2F9171CB"/>
    <w:rsid w:val="2F936C13"/>
    <w:rsid w:val="2F961182"/>
    <w:rsid w:val="2FA747F7"/>
    <w:rsid w:val="2FA8323D"/>
    <w:rsid w:val="2FAE23C2"/>
    <w:rsid w:val="2FBC2844"/>
    <w:rsid w:val="2FD065E6"/>
    <w:rsid w:val="2FD96870"/>
    <w:rsid w:val="2FDA6A69"/>
    <w:rsid w:val="2FEE483A"/>
    <w:rsid w:val="2FF43D8C"/>
    <w:rsid w:val="2FFC73F4"/>
    <w:rsid w:val="3009472A"/>
    <w:rsid w:val="300A7A53"/>
    <w:rsid w:val="300C0D22"/>
    <w:rsid w:val="301C5C4B"/>
    <w:rsid w:val="301E4920"/>
    <w:rsid w:val="30230FBF"/>
    <w:rsid w:val="30234689"/>
    <w:rsid w:val="302571F6"/>
    <w:rsid w:val="3034062C"/>
    <w:rsid w:val="30370B05"/>
    <w:rsid w:val="303745E6"/>
    <w:rsid w:val="303E30CF"/>
    <w:rsid w:val="304765B2"/>
    <w:rsid w:val="30580BC9"/>
    <w:rsid w:val="305B3BBD"/>
    <w:rsid w:val="30737DAA"/>
    <w:rsid w:val="30750EE5"/>
    <w:rsid w:val="307A2E8E"/>
    <w:rsid w:val="30850E88"/>
    <w:rsid w:val="3086532C"/>
    <w:rsid w:val="30905AF8"/>
    <w:rsid w:val="3095556F"/>
    <w:rsid w:val="30965C2D"/>
    <w:rsid w:val="309D4442"/>
    <w:rsid w:val="309E1514"/>
    <w:rsid w:val="30A40DE0"/>
    <w:rsid w:val="30A6053F"/>
    <w:rsid w:val="30A9101A"/>
    <w:rsid w:val="30AF7FEE"/>
    <w:rsid w:val="30B434BA"/>
    <w:rsid w:val="30C47C02"/>
    <w:rsid w:val="30C75B50"/>
    <w:rsid w:val="30E3452C"/>
    <w:rsid w:val="30E90748"/>
    <w:rsid w:val="30E96829"/>
    <w:rsid w:val="30EE7E27"/>
    <w:rsid w:val="30F56A6F"/>
    <w:rsid w:val="31076BB2"/>
    <w:rsid w:val="31141CD2"/>
    <w:rsid w:val="311E2ED7"/>
    <w:rsid w:val="3139237E"/>
    <w:rsid w:val="313A43D6"/>
    <w:rsid w:val="313B0DB7"/>
    <w:rsid w:val="31443395"/>
    <w:rsid w:val="31456F95"/>
    <w:rsid w:val="31556AAC"/>
    <w:rsid w:val="315619EE"/>
    <w:rsid w:val="315C449C"/>
    <w:rsid w:val="31797323"/>
    <w:rsid w:val="31857F8C"/>
    <w:rsid w:val="318B098E"/>
    <w:rsid w:val="31912851"/>
    <w:rsid w:val="31926978"/>
    <w:rsid w:val="319677F1"/>
    <w:rsid w:val="319F0434"/>
    <w:rsid w:val="31A33CBC"/>
    <w:rsid w:val="31A4743B"/>
    <w:rsid w:val="31AC0A02"/>
    <w:rsid w:val="31AD6213"/>
    <w:rsid w:val="31B82709"/>
    <w:rsid w:val="31C854D0"/>
    <w:rsid w:val="31C93D41"/>
    <w:rsid w:val="31CA5A2D"/>
    <w:rsid w:val="31CD2BC5"/>
    <w:rsid w:val="31D05482"/>
    <w:rsid w:val="31D06974"/>
    <w:rsid w:val="31D40319"/>
    <w:rsid w:val="31D4754B"/>
    <w:rsid w:val="31DB1DA6"/>
    <w:rsid w:val="31E40298"/>
    <w:rsid w:val="31ED676B"/>
    <w:rsid w:val="31EE5848"/>
    <w:rsid w:val="31F0593E"/>
    <w:rsid w:val="31F167D5"/>
    <w:rsid w:val="31FE0EF2"/>
    <w:rsid w:val="32007F01"/>
    <w:rsid w:val="32026C34"/>
    <w:rsid w:val="32043CC3"/>
    <w:rsid w:val="3216623C"/>
    <w:rsid w:val="321A4B86"/>
    <w:rsid w:val="322748ED"/>
    <w:rsid w:val="32367471"/>
    <w:rsid w:val="323C1A1B"/>
    <w:rsid w:val="323D1D12"/>
    <w:rsid w:val="323E39E4"/>
    <w:rsid w:val="323F2F4E"/>
    <w:rsid w:val="32400B34"/>
    <w:rsid w:val="324A5724"/>
    <w:rsid w:val="324C1D72"/>
    <w:rsid w:val="324E1E79"/>
    <w:rsid w:val="32554C83"/>
    <w:rsid w:val="325A64E5"/>
    <w:rsid w:val="325A6F18"/>
    <w:rsid w:val="32625CD6"/>
    <w:rsid w:val="326B13E0"/>
    <w:rsid w:val="32746D1F"/>
    <w:rsid w:val="32805872"/>
    <w:rsid w:val="32876812"/>
    <w:rsid w:val="32985E8E"/>
    <w:rsid w:val="329E6876"/>
    <w:rsid w:val="329F269C"/>
    <w:rsid w:val="32A334CA"/>
    <w:rsid w:val="32C4007C"/>
    <w:rsid w:val="32C44003"/>
    <w:rsid w:val="32DB1E83"/>
    <w:rsid w:val="32DD31FD"/>
    <w:rsid w:val="32DF117D"/>
    <w:rsid w:val="32DF12A9"/>
    <w:rsid w:val="32E11E5F"/>
    <w:rsid w:val="32F26CA9"/>
    <w:rsid w:val="33027F46"/>
    <w:rsid w:val="332339C6"/>
    <w:rsid w:val="33242BDA"/>
    <w:rsid w:val="3327131B"/>
    <w:rsid w:val="333015F2"/>
    <w:rsid w:val="33327280"/>
    <w:rsid w:val="334071FA"/>
    <w:rsid w:val="334B6320"/>
    <w:rsid w:val="33501C21"/>
    <w:rsid w:val="335A2AA0"/>
    <w:rsid w:val="335F7389"/>
    <w:rsid w:val="33605193"/>
    <w:rsid w:val="338156D7"/>
    <w:rsid w:val="33821BB4"/>
    <w:rsid w:val="33830B20"/>
    <w:rsid w:val="338576BC"/>
    <w:rsid w:val="33873DC4"/>
    <w:rsid w:val="338D0485"/>
    <w:rsid w:val="339A4C4A"/>
    <w:rsid w:val="33A058E5"/>
    <w:rsid w:val="33BC6369"/>
    <w:rsid w:val="33D113EA"/>
    <w:rsid w:val="33D934D4"/>
    <w:rsid w:val="33E13288"/>
    <w:rsid w:val="33FE2F6A"/>
    <w:rsid w:val="33FF5671"/>
    <w:rsid w:val="340622E0"/>
    <w:rsid w:val="340E07E5"/>
    <w:rsid w:val="34153BEE"/>
    <w:rsid w:val="341811A7"/>
    <w:rsid w:val="34235BF7"/>
    <w:rsid w:val="342514D6"/>
    <w:rsid w:val="342E00F1"/>
    <w:rsid w:val="34330DB7"/>
    <w:rsid w:val="343D4D8C"/>
    <w:rsid w:val="344B5A1F"/>
    <w:rsid w:val="344F012B"/>
    <w:rsid w:val="34552737"/>
    <w:rsid w:val="345B6AD0"/>
    <w:rsid w:val="345D45F6"/>
    <w:rsid w:val="345F12BD"/>
    <w:rsid w:val="346040E6"/>
    <w:rsid w:val="346712FF"/>
    <w:rsid w:val="346F4329"/>
    <w:rsid w:val="34711E4F"/>
    <w:rsid w:val="34876543"/>
    <w:rsid w:val="349329BC"/>
    <w:rsid w:val="34945A73"/>
    <w:rsid w:val="349678B0"/>
    <w:rsid w:val="349E074E"/>
    <w:rsid w:val="349E0CE4"/>
    <w:rsid w:val="34AD7A7E"/>
    <w:rsid w:val="34B303B0"/>
    <w:rsid w:val="34B34216"/>
    <w:rsid w:val="34BB317F"/>
    <w:rsid w:val="34BF2BBB"/>
    <w:rsid w:val="34C960B4"/>
    <w:rsid w:val="34CE1050"/>
    <w:rsid w:val="34D726A1"/>
    <w:rsid w:val="34EA7853"/>
    <w:rsid w:val="34F62354"/>
    <w:rsid w:val="34F75D34"/>
    <w:rsid w:val="34F76B49"/>
    <w:rsid w:val="34FA5DF0"/>
    <w:rsid w:val="34FD36E3"/>
    <w:rsid w:val="351153E0"/>
    <w:rsid w:val="351A4352"/>
    <w:rsid w:val="351E3701"/>
    <w:rsid w:val="3534492E"/>
    <w:rsid w:val="35352E7D"/>
    <w:rsid w:val="353E51DF"/>
    <w:rsid w:val="35431A3E"/>
    <w:rsid w:val="35492AA7"/>
    <w:rsid w:val="355A7395"/>
    <w:rsid w:val="356D198A"/>
    <w:rsid w:val="35780FBB"/>
    <w:rsid w:val="3582615E"/>
    <w:rsid w:val="35827F55"/>
    <w:rsid w:val="358C5FA8"/>
    <w:rsid w:val="358F6352"/>
    <w:rsid w:val="35925780"/>
    <w:rsid w:val="359A7184"/>
    <w:rsid w:val="35B35962"/>
    <w:rsid w:val="35B57351"/>
    <w:rsid w:val="35B90AEC"/>
    <w:rsid w:val="35BC76F1"/>
    <w:rsid w:val="35BD6FF3"/>
    <w:rsid w:val="35C15DF1"/>
    <w:rsid w:val="35C40628"/>
    <w:rsid w:val="35E80367"/>
    <w:rsid w:val="35F25212"/>
    <w:rsid w:val="35FF0D20"/>
    <w:rsid w:val="36010FB1"/>
    <w:rsid w:val="36074A7F"/>
    <w:rsid w:val="36174C78"/>
    <w:rsid w:val="36176311"/>
    <w:rsid w:val="361C3CFF"/>
    <w:rsid w:val="362058DB"/>
    <w:rsid w:val="3626270D"/>
    <w:rsid w:val="36265286"/>
    <w:rsid w:val="3627310D"/>
    <w:rsid w:val="36372206"/>
    <w:rsid w:val="363C34A7"/>
    <w:rsid w:val="363C3B54"/>
    <w:rsid w:val="36593955"/>
    <w:rsid w:val="366003CD"/>
    <w:rsid w:val="36603F29"/>
    <w:rsid w:val="36624145"/>
    <w:rsid w:val="366B28CE"/>
    <w:rsid w:val="366D4898"/>
    <w:rsid w:val="36716136"/>
    <w:rsid w:val="367D2D2D"/>
    <w:rsid w:val="367E2601"/>
    <w:rsid w:val="36803352"/>
    <w:rsid w:val="36910587"/>
    <w:rsid w:val="36923549"/>
    <w:rsid w:val="369833CB"/>
    <w:rsid w:val="36A019AD"/>
    <w:rsid w:val="36A246D2"/>
    <w:rsid w:val="36AE6EE6"/>
    <w:rsid w:val="36B231AF"/>
    <w:rsid w:val="36B7071C"/>
    <w:rsid w:val="36B75FBF"/>
    <w:rsid w:val="36BA1FD8"/>
    <w:rsid w:val="36BA2093"/>
    <w:rsid w:val="36BD0C45"/>
    <w:rsid w:val="36BD4F12"/>
    <w:rsid w:val="36BE6EA2"/>
    <w:rsid w:val="36C074C4"/>
    <w:rsid w:val="36D84580"/>
    <w:rsid w:val="36DE1442"/>
    <w:rsid w:val="36E0321F"/>
    <w:rsid w:val="36E67533"/>
    <w:rsid w:val="36FB1EA4"/>
    <w:rsid w:val="3702398B"/>
    <w:rsid w:val="3709636F"/>
    <w:rsid w:val="37112472"/>
    <w:rsid w:val="37152F66"/>
    <w:rsid w:val="371625C8"/>
    <w:rsid w:val="37164F30"/>
    <w:rsid w:val="372376B1"/>
    <w:rsid w:val="372765DB"/>
    <w:rsid w:val="372B44BA"/>
    <w:rsid w:val="372F1B4E"/>
    <w:rsid w:val="374044FF"/>
    <w:rsid w:val="37411DE5"/>
    <w:rsid w:val="37442E34"/>
    <w:rsid w:val="374E78A9"/>
    <w:rsid w:val="37585548"/>
    <w:rsid w:val="37682AA5"/>
    <w:rsid w:val="376A30A7"/>
    <w:rsid w:val="376E08C8"/>
    <w:rsid w:val="377203B8"/>
    <w:rsid w:val="3782640E"/>
    <w:rsid w:val="379F6773"/>
    <w:rsid w:val="37B428EC"/>
    <w:rsid w:val="37B7226F"/>
    <w:rsid w:val="37BF2ED1"/>
    <w:rsid w:val="37CB0FE6"/>
    <w:rsid w:val="37CD55EE"/>
    <w:rsid w:val="37D00539"/>
    <w:rsid w:val="37D40785"/>
    <w:rsid w:val="37E00298"/>
    <w:rsid w:val="37E62B54"/>
    <w:rsid w:val="37E65C18"/>
    <w:rsid w:val="37E805BF"/>
    <w:rsid w:val="37EC5B8A"/>
    <w:rsid w:val="37F54B45"/>
    <w:rsid w:val="37F91AA4"/>
    <w:rsid w:val="37FA7F01"/>
    <w:rsid w:val="380F20AB"/>
    <w:rsid w:val="3832658F"/>
    <w:rsid w:val="383439E9"/>
    <w:rsid w:val="383B6FC3"/>
    <w:rsid w:val="383D7513"/>
    <w:rsid w:val="38414C9C"/>
    <w:rsid w:val="384B436D"/>
    <w:rsid w:val="385769B3"/>
    <w:rsid w:val="38620B02"/>
    <w:rsid w:val="387078CE"/>
    <w:rsid w:val="387A3124"/>
    <w:rsid w:val="387F6141"/>
    <w:rsid w:val="38800011"/>
    <w:rsid w:val="38814199"/>
    <w:rsid w:val="38850867"/>
    <w:rsid w:val="38887767"/>
    <w:rsid w:val="388D2AAF"/>
    <w:rsid w:val="38957B7A"/>
    <w:rsid w:val="38965F72"/>
    <w:rsid w:val="38A0186F"/>
    <w:rsid w:val="38A04282"/>
    <w:rsid w:val="38A65E3F"/>
    <w:rsid w:val="38B02685"/>
    <w:rsid w:val="38B302F9"/>
    <w:rsid w:val="38B47311"/>
    <w:rsid w:val="38BB7B3D"/>
    <w:rsid w:val="38DB1682"/>
    <w:rsid w:val="38E54DAD"/>
    <w:rsid w:val="38F12CD3"/>
    <w:rsid w:val="38F21661"/>
    <w:rsid w:val="38F94775"/>
    <w:rsid w:val="38FD1F03"/>
    <w:rsid w:val="3905700A"/>
    <w:rsid w:val="39091A65"/>
    <w:rsid w:val="390A2872"/>
    <w:rsid w:val="390F3561"/>
    <w:rsid w:val="391D4354"/>
    <w:rsid w:val="39235B92"/>
    <w:rsid w:val="392751D2"/>
    <w:rsid w:val="392971ED"/>
    <w:rsid w:val="392D2EFB"/>
    <w:rsid w:val="3930278C"/>
    <w:rsid w:val="39325651"/>
    <w:rsid w:val="393671C3"/>
    <w:rsid w:val="393B12B4"/>
    <w:rsid w:val="393D64F9"/>
    <w:rsid w:val="393E3E02"/>
    <w:rsid w:val="3949339B"/>
    <w:rsid w:val="395401AB"/>
    <w:rsid w:val="395526F1"/>
    <w:rsid w:val="39593B1B"/>
    <w:rsid w:val="39650CB9"/>
    <w:rsid w:val="397F108E"/>
    <w:rsid w:val="39855800"/>
    <w:rsid w:val="39964B88"/>
    <w:rsid w:val="39AA41B7"/>
    <w:rsid w:val="39AD3437"/>
    <w:rsid w:val="39B21885"/>
    <w:rsid w:val="39CC330E"/>
    <w:rsid w:val="39CF6C2E"/>
    <w:rsid w:val="39DC5FBD"/>
    <w:rsid w:val="39DD50FE"/>
    <w:rsid w:val="39E0364E"/>
    <w:rsid w:val="39E3559D"/>
    <w:rsid w:val="3A105E24"/>
    <w:rsid w:val="3A1439A9"/>
    <w:rsid w:val="3A147C07"/>
    <w:rsid w:val="3A15488F"/>
    <w:rsid w:val="3A165D5D"/>
    <w:rsid w:val="3A2C5416"/>
    <w:rsid w:val="3A3000B7"/>
    <w:rsid w:val="3A396F6B"/>
    <w:rsid w:val="3A414F91"/>
    <w:rsid w:val="3A483652"/>
    <w:rsid w:val="3A4E0A72"/>
    <w:rsid w:val="3A5543C7"/>
    <w:rsid w:val="3A582663"/>
    <w:rsid w:val="3A592492"/>
    <w:rsid w:val="3A665988"/>
    <w:rsid w:val="3A6F31AD"/>
    <w:rsid w:val="3A872856"/>
    <w:rsid w:val="3A886145"/>
    <w:rsid w:val="3A91146C"/>
    <w:rsid w:val="3AA511FE"/>
    <w:rsid w:val="3AA74AE3"/>
    <w:rsid w:val="3AAB7FFF"/>
    <w:rsid w:val="3AB46D50"/>
    <w:rsid w:val="3AB605BC"/>
    <w:rsid w:val="3AC058DE"/>
    <w:rsid w:val="3AC372A7"/>
    <w:rsid w:val="3AD2116E"/>
    <w:rsid w:val="3AD41C34"/>
    <w:rsid w:val="3AD759CB"/>
    <w:rsid w:val="3ADD3456"/>
    <w:rsid w:val="3AE703DC"/>
    <w:rsid w:val="3AED3506"/>
    <w:rsid w:val="3AEF5172"/>
    <w:rsid w:val="3AF86B9F"/>
    <w:rsid w:val="3AFC5082"/>
    <w:rsid w:val="3AFF31AE"/>
    <w:rsid w:val="3B042E3F"/>
    <w:rsid w:val="3B07701A"/>
    <w:rsid w:val="3B140CCD"/>
    <w:rsid w:val="3B1874C8"/>
    <w:rsid w:val="3B190B4B"/>
    <w:rsid w:val="3B255741"/>
    <w:rsid w:val="3B3763D1"/>
    <w:rsid w:val="3B3C0F9A"/>
    <w:rsid w:val="3B3D75CD"/>
    <w:rsid w:val="3B3E1670"/>
    <w:rsid w:val="3B3F7EBC"/>
    <w:rsid w:val="3B4756B8"/>
    <w:rsid w:val="3B475E1A"/>
    <w:rsid w:val="3B4F61DC"/>
    <w:rsid w:val="3B536DBD"/>
    <w:rsid w:val="3B554279"/>
    <w:rsid w:val="3B5548D8"/>
    <w:rsid w:val="3B5C2095"/>
    <w:rsid w:val="3B5D4EDB"/>
    <w:rsid w:val="3B633021"/>
    <w:rsid w:val="3B670217"/>
    <w:rsid w:val="3B6A1044"/>
    <w:rsid w:val="3B6F4C0F"/>
    <w:rsid w:val="3B847B7B"/>
    <w:rsid w:val="3B922211"/>
    <w:rsid w:val="3B984508"/>
    <w:rsid w:val="3B9C5FEF"/>
    <w:rsid w:val="3B9F72A2"/>
    <w:rsid w:val="3BA373A8"/>
    <w:rsid w:val="3BB30DFE"/>
    <w:rsid w:val="3BC5200D"/>
    <w:rsid w:val="3BC72345"/>
    <w:rsid w:val="3BCA1C94"/>
    <w:rsid w:val="3BCE402B"/>
    <w:rsid w:val="3BD43EA0"/>
    <w:rsid w:val="3BD671A5"/>
    <w:rsid w:val="3BE40847"/>
    <w:rsid w:val="3BE949C1"/>
    <w:rsid w:val="3BF12063"/>
    <w:rsid w:val="3BF15D21"/>
    <w:rsid w:val="3BF375EE"/>
    <w:rsid w:val="3C0E61D6"/>
    <w:rsid w:val="3C13510B"/>
    <w:rsid w:val="3C166A9C"/>
    <w:rsid w:val="3C1A1ED9"/>
    <w:rsid w:val="3C1C6B44"/>
    <w:rsid w:val="3C1F4887"/>
    <w:rsid w:val="3C2F6E1E"/>
    <w:rsid w:val="3C357C06"/>
    <w:rsid w:val="3C3C655A"/>
    <w:rsid w:val="3C4F64BA"/>
    <w:rsid w:val="3C543D05"/>
    <w:rsid w:val="3C5725EB"/>
    <w:rsid w:val="3C5746C2"/>
    <w:rsid w:val="3C5C1637"/>
    <w:rsid w:val="3C64072D"/>
    <w:rsid w:val="3C736028"/>
    <w:rsid w:val="3C8010CD"/>
    <w:rsid w:val="3C806756"/>
    <w:rsid w:val="3C880470"/>
    <w:rsid w:val="3C8E413E"/>
    <w:rsid w:val="3C9F06E6"/>
    <w:rsid w:val="3CA5030B"/>
    <w:rsid w:val="3CA628B2"/>
    <w:rsid w:val="3CB76A42"/>
    <w:rsid w:val="3CBA532F"/>
    <w:rsid w:val="3CBB635D"/>
    <w:rsid w:val="3CBC5ACD"/>
    <w:rsid w:val="3CBD0327"/>
    <w:rsid w:val="3CBE5554"/>
    <w:rsid w:val="3CC85361"/>
    <w:rsid w:val="3CC97543"/>
    <w:rsid w:val="3CDA245A"/>
    <w:rsid w:val="3CE533DA"/>
    <w:rsid w:val="3CEA09F1"/>
    <w:rsid w:val="3CEA5A4C"/>
    <w:rsid w:val="3CF140A4"/>
    <w:rsid w:val="3CFB49AC"/>
    <w:rsid w:val="3D05582A"/>
    <w:rsid w:val="3D0777F5"/>
    <w:rsid w:val="3D0A15B1"/>
    <w:rsid w:val="3D0B7F1C"/>
    <w:rsid w:val="3D105B9B"/>
    <w:rsid w:val="3D147C87"/>
    <w:rsid w:val="3D160680"/>
    <w:rsid w:val="3D1E06B7"/>
    <w:rsid w:val="3D261520"/>
    <w:rsid w:val="3D266485"/>
    <w:rsid w:val="3D2C2DB7"/>
    <w:rsid w:val="3D2E4D81"/>
    <w:rsid w:val="3D2E6910"/>
    <w:rsid w:val="3D31587B"/>
    <w:rsid w:val="3D3305EA"/>
    <w:rsid w:val="3D3D5949"/>
    <w:rsid w:val="3D5A37BA"/>
    <w:rsid w:val="3D5D11C3"/>
    <w:rsid w:val="3D5D3ADB"/>
    <w:rsid w:val="3D677F0A"/>
    <w:rsid w:val="3D744703"/>
    <w:rsid w:val="3D7B789B"/>
    <w:rsid w:val="3D89645B"/>
    <w:rsid w:val="3D8E75CE"/>
    <w:rsid w:val="3D941DC6"/>
    <w:rsid w:val="3D96482C"/>
    <w:rsid w:val="3DA00B4F"/>
    <w:rsid w:val="3DAE02D7"/>
    <w:rsid w:val="3DAE30EC"/>
    <w:rsid w:val="3DB31A8E"/>
    <w:rsid w:val="3DBB2627"/>
    <w:rsid w:val="3DC254CA"/>
    <w:rsid w:val="3DCE0312"/>
    <w:rsid w:val="3DCF3B9E"/>
    <w:rsid w:val="3DD60F75"/>
    <w:rsid w:val="3DE35769"/>
    <w:rsid w:val="3DEA3D4B"/>
    <w:rsid w:val="3DFB0073"/>
    <w:rsid w:val="3DFB68FD"/>
    <w:rsid w:val="3DFC1BC3"/>
    <w:rsid w:val="3E06185A"/>
    <w:rsid w:val="3E084DA9"/>
    <w:rsid w:val="3E0A01D9"/>
    <w:rsid w:val="3E210442"/>
    <w:rsid w:val="3E254461"/>
    <w:rsid w:val="3E285C74"/>
    <w:rsid w:val="3E2919ED"/>
    <w:rsid w:val="3E603619"/>
    <w:rsid w:val="3E612F34"/>
    <w:rsid w:val="3E6B790F"/>
    <w:rsid w:val="3E6C6EAB"/>
    <w:rsid w:val="3E726EF0"/>
    <w:rsid w:val="3E740EBA"/>
    <w:rsid w:val="3E8926E5"/>
    <w:rsid w:val="3E8D42F0"/>
    <w:rsid w:val="3E921340"/>
    <w:rsid w:val="3E9450B8"/>
    <w:rsid w:val="3EA90890"/>
    <w:rsid w:val="3EAD7E48"/>
    <w:rsid w:val="3EB74C88"/>
    <w:rsid w:val="3EC8237F"/>
    <w:rsid w:val="3ECC4E0F"/>
    <w:rsid w:val="3ED100BA"/>
    <w:rsid w:val="3ED6694E"/>
    <w:rsid w:val="3ED855D4"/>
    <w:rsid w:val="3EDA0523"/>
    <w:rsid w:val="3EF16159"/>
    <w:rsid w:val="3EFC0C82"/>
    <w:rsid w:val="3F19380F"/>
    <w:rsid w:val="3F1B1335"/>
    <w:rsid w:val="3F2C52F0"/>
    <w:rsid w:val="3F2F4B25"/>
    <w:rsid w:val="3F2F7C07"/>
    <w:rsid w:val="3F32042D"/>
    <w:rsid w:val="3F4E74D7"/>
    <w:rsid w:val="3F591E5E"/>
    <w:rsid w:val="3F5E2A1D"/>
    <w:rsid w:val="3F5F6A1B"/>
    <w:rsid w:val="3F667090"/>
    <w:rsid w:val="3F841CFC"/>
    <w:rsid w:val="3F87052B"/>
    <w:rsid w:val="3F88629F"/>
    <w:rsid w:val="3F8E1B07"/>
    <w:rsid w:val="3FA65787"/>
    <w:rsid w:val="3FAA26B9"/>
    <w:rsid w:val="3FAA4C48"/>
    <w:rsid w:val="3FAB6D2F"/>
    <w:rsid w:val="3FC32BBA"/>
    <w:rsid w:val="3FC90D91"/>
    <w:rsid w:val="3FCC262F"/>
    <w:rsid w:val="3FCD655C"/>
    <w:rsid w:val="3FDA5802"/>
    <w:rsid w:val="3FDE51AA"/>
    <w:rsid w:val="3FEB39BF"/>
    <w:rsid w:val="3FED47AB"/>
    <w:rsid w:val="3FF55064"/>
    <w:rsid w:val="3FFB4CC3"/>
    <w:rsid w:val="40095632"/>
    <w:rsid w:val="400A374B"/>
    <w:rsid w:val="400D08C1"/>
    <w:rsid w:val="40161AFD"/>
    <w:rsid w:val="4019193C"/>
    <w:rsid w:val="401A4DB7"/>
    <w:rsid w:val="40266F6F"/>
    <w:rsid w:val="403536BA"/>
    <w:rsid w:val="40396B1B"/>
    <w:rsid w:val="404448BC"/>
    <w:rsid w:val="4048306E"/>
    <w:rsid w:val="404861F6"/>
    <w:rsid w:val="404B4E86"/>
    <w:rsid w:val="405C64DC"/>
    <w:rsid w:val="4061546E"/>
    <w:rsid w:val="406757E5"/>
    <w:rsid w:val="406838F5"/>
    <w:rsid w:val="406B52E0"/>
    <w:rsid w:val="4077259B"/>
    <w:rsid w:val="407A6407"/>
    <w:rsid w:val="407F58F4"/>
    <w:rsid w:val="407F6492"/>
    <w:rsid w:val="408353E4"/>
    <w:rsid w:val="408D6263"/>
    <w:rsid w:val="408F1714"/>
    <w:rsid w:val="409475F1"/>
    <w:rsid w:val="409D1D6A"/>
    <w:rsid w:val="409E286F"/>
    <w:rsid w:val="40A331F4"/>
    <w:rsid w:val="40A84193"/>
    <w:rsid w:val="40A92971"/>
    <w:rsid w:val="40AD7F08"/>
    <w:rsid w:val="40AF2A41"/>
    <w:rsid w:val="40BC08F6"/>
    <w:rsid w:val="40C357E1"/>
    <w:rsid w:val="40C41559"/>
    <w:rsid w:val="40D62817"/>
    <w:rsid w:val="40EC2740"/>
    <w:rsid w:val="40F25896"/>
    <w:rsid w:val="40FE5853"/>
    <w:rsid w:val="41040A42"/>
    <w:rsid w:val="410F4ECA"/>
    <w:rsid w:val="41111B61"/>
    <w:rsid w:val="4118674B"/>
    <w:rsid w:val="411D7EC4"/>
    <w:rsid w:val="414A2D7B"/>
    <w:rsid w:val="414A450E"/>
    <w:rsid w:val="414E6B3B"/>
    <w:rsid w:val="415A185B"/>
    <w:rsid w:val="41643A58"/>
    <w:rsid w:val="41677169"/>
    <w:rsid w:val="41687EEF"/>
    <w:rsid w:val="416A3ED5"/>
    <w:rsid w:val="4171348E"/>
    <w:rsid w:val="41774922"/>
    <w:rsid w:val="417D0085"/>
    <w:rsid w:val="418048DF"/>
    <w:rsid w:val="41807A0E"/>
    <w:rsid w:val="418B269C"/>
    <w:rsid w:val="418B7E6D"/>
    <w:rsid w:val="418C651A"/>
    <w:rsid w:val="41A2426E"/>
    <w:rsid w:val="41C21A3E"/>
    <w:rsid w:val="41D34149"/>
    <w:rsid w:val="41DE664A"/>
    <w:rsid w:val="41E97960"/>
    <w:rsid w:val="41FD4D93"/>
    <w:rsid w:val="4200449D"/>
    <w:rsid w:val="42042555"/>
    <w:rsid w:val="420D1B0C"/>
    <w:rsid w:val="42162288"/>
    <w:rsid w:val="421F14E3"/>
    <w:rsid w:val="422F2AB6"/>
    <w:rsid w:val="42343402"/>
    <w:rsid w:val="42382A1F"/>
    <w:rsid w:val="423A3BCC"/>
    <w:rsid w:val="423D6684"/>
    <w:rsid w:val="423E1B52"/>
    <w:rsid w:val="42424E2B"/>
    <w:rsid w:val="42483329"/>
    <w:rsid w:val="424C5E3D"/>
    <w:rsid w:val="424E57D2"/>
    <w:rsid w:val="426048D6"/>
    <w:rsid w:val="42626ABA"/>
    <w:rsid w:val="426923CF"/>
    <w:rsid w:val="426B17F7"/>
    <w:rsid w:val="428F45C3"/>
    <w:rsid w:val="4292152A"/>
    <w:rsid w:val="42941C36"/>
    <w:rsid w:val="42943D92"/>
    <w:rsid w:val="42957651"/>
    <w:rsid w:val="42985715"/>
    <w:rsid w:val="429A07C3"/>
    <w:rsid w:val="429F61D3"/>
    <w:rsid w:val="42A3146F"/>
    <w:rsid w:val="42A917D6"/>
    <w:rsid w:val="42AE24C0"/>
    <w:rsid w:val="42B26C49"/>
    <w:rsid w:val="42B7601F"/>
    <w:rsid w:val="42B92AE6"/>
    <w:rsid w:val="42BA70B7"/>
    <w:rsid w:val="42BB366C"/>
    <w:rsid w:val="42CB13C4"/>
    <w:rsid w:val="42D43231"/>
    <w:rsid w:val="42D65A88"/>
    <w:rsid w:val="42D812EB"/>
    <w:rsid w:val="42DA5063"/>
    <w:rsid w:val="42DC64CF"/>
    <w:rsid w:val="42E3216A"/>
    <w:rsid w:val="42E51967"/>
    <w:rsid w:val="42E5425F"/>
    <w:rsid w:val="42E56009"/>
    <w:rsid w:val="42EE0B0F"/>
    <w:rsid w:val="42F44377"/>
    <w:rsid w:val="42F93FDB"/>
    <w:rsid w:val="42FC76D0"/>
    <w:rsid w:val="42FE7D4B"/>
    <w:rsid w:val="43050E9F"/>
    <w:rsid w:val="430F11B1"/>
    <w:rsid w:val="43176F9B"/>
    <w:rsid w:val="43197D89"/>
    <w:rsid w:val="432B141B"/>
    <w:rsid w:val="4332277B"/>
    <w:rsid w:val="433230F1"/>
    <w:rsid w:val="433A6FE6"/>
    <w:rsid w:val="433B4453"/>
    <w:rsid w:val="43425615"/>
    <w:rsid w:val="43480868"/>
    <w:rsid w:val="434A67A6"/>
    <w:rsid w:val="4350713C"/>
    <w:rsid w:val="4356248A"/>
    <w:rsid w:val="43566DE0"/>
    <w:rsid w:val="435C3CCA"/>
    <w:rsid w:val="435F3A1E"/>
    <w:rsid w:val="43611EED"/>
    <w:rsid w:val="4362141C"/>
    <w:rsid w:val="436443AF"/>
    <w:rsid w:val="436653E0"/>
    <w:rsid w:val="43675529"/>
    <w:rsid w:val="43694B1F"/>
    <w:rsid w:val="436E468E"/>
    <w:rsid w:val="43772F50"/>
    <w:rsid w:val="437B05F4"/>
    <w:rsid w:val="439E3259"/>
    <w:rsid w:val="43A776DA"/>
    <w:rsid w:val="43B92ECB"/>
    <w:rsid w:val="43C04259"/>
    <w:rsid w:val="43C4431A"/>
    <w:rsid w:val="43E53148"/>
    <w:rsid w:val="43E90C80"/>
    <w:rsid w:val="43F60936"/>
    <w:rsid w:val="43FF1EAF"/>
    <w:rsid w:val="44064B7A"/>
    <w:rsid w:val="440C56F0"/>
    <w:rsid w:val="440D1DD8"/>
    <w:rsid w:val="441B5933"/>
    <w:rsid w:val="441F459E"/>
    <w:rsid w:val="4420649D"/>
    <w:rsid w:val="442273B7"/>
    <w:rsid w:val="442A428A"/>
    <w:rsid w:val="4431403E"/>
    <w:rsid w:val="44335B68"/>
    <w:rsid w:val="443D7271"/>
    <w:rsid w:val="444440AF"/>
    <w:rsid w:val="44444E8A"/>
    <w:rsid w:val="44466E54"/>
    <w:rsid w:val="44472BCC"/>
    <w:rsid w:val="444F5CC1"/>
    <w:rsid w:val="445122BE"/>
    <w:rsid w:val="44525938"/>
    <w:rsid w:val="44557D25"/>
    <w:rsid w:val="44633023"/>
    <w:rsid w:val="44663053"/>
    <w:rsid w:val="446A2D7A"/>
    <w:rsid w:val="447339C1"/>
    <w:rsid w:val="44744996"/>
    <w:rsid w:val="44860BBD"/>
    <w:rsid w:val="448D4A83"/>
    <w:rsid w:val="44A14C7E"/>
    <w:rsid w:val="44A3316C"/>
    <w:rsid w:val="44B042CE"/>
    <w:rsid w:val="44B050A7"/>
    <w:rsid w:val="44B518E4"/>
    <w:rsid w:val="44B951CC"/>
    <w:rsid w:val="44BA0299"/>
    <w:rsid w:val="44BB3EA6"/>
    <w:rsid w:val="44BE23BB"/>
    <w:rsid w:val="44CB4514"/>
    <w:rsid w:val="44CD14E0"/>
    <w:rsid w:val="44DC1191"/>
    <w:rsid w:val="44E62906"/>
    <w:rsid w:val="44EA0679"/>
    <w:rsid w:val="44EC647A"/>
    <w:rsid w:val="44ED5A81"/>
    <w:rsid w:val="44F20B0B"/>
    <w:rsid w:val="44F44E40"/>
    <w:rsid w:val="44F93EC7"/>
    <w:rsid w:val="4501459F"/>
    <w:rsid w:val="45054E10"/>
    <w:rsid w:val="45077BE4"/>
    <w:rsid w:val="450E01DC"/>
    <w:rsid w:val="45175DF6"/>
    <w:rsid w:val="451B04BB"/>
    <w:rsid w:val="451C1963"/>
    <w:rsid w:val="451C3AEB"/>
    <w:rsid w:val="452627E2"/>
    <w:rsid w:val="452E5F4C"/>
    <w:rsid w:val="4531265B"/>
    <w:rsid w:val="4542101B"/>
    <w:rsid w:val="45527F84"/>
    <w:rsid w:val="45556514"/>
    <w:rsid w:val="45566B67"/>
    <w:rsid w:val="4557299B"/>
    <w:rsid w:val="45612018"/>
    <w:rsid w:val="45630354"/>
    <w:rsid w:val="4564274D"/>
    <w:rsid w:val="456B12E9"/>
    <w:rsid w:val="456F5F37"/>
    <w:rsid w:val="45787FC0"/>
    <w:rsid w:val="457B0D80"/>
    <w:rsid w:val="4582210E"/>
    <w:rsid w:val="458946E9"/>
    <w:rsid w:val="45A47C0E"/>
    <w:rsid w:val="45A6514B"/>
    <w:rsid w:val="45AE68AF"/>
    <w:rsid w:val="45B6570B"/>
    <w:rsid w:val="45C641DB"/>
    <w:rsid w:val="45CD4C42"/>
    <w:rsid w:val="45DD5636"/>
    <w:rsid w:val="45E00BE3"/>
    <w:rsid w:val="45EE77A4"/>
    <w:rsid w:val="45F621B4"/>
    <w:rsid w:val="45FD07FF"/>
    <w:rsid w:val="45FD532F"/>
    <w:rsid w:val="460B4BA9"/>
    <w:rsid w:val="460D3B03"/>
    <w:rsid w:val="46112C35"/>
    <w:rsid w:val="46162603"/>
    <w:rsid w:val="46185E4C"/>
    <w:rsid w:val="461D1E37"/>
    <w:rsid w:val="461F286E"/>
    <w:rsid w:val="46202E05"/>
    <w:rsid w:val="462036D5"/>
    <w:rsid w:val="462E5DF2"/>
    <w:rsid w:val="464078A4"/>
    <w:rsid w:val="46443C20"/>
    <w:rsid w:val="46577FD6"/>
    <w:rsid w:val="465C766C"/>
    <w:rsid w:val="466B0B68"/>
    <w:rsid w:val="466E4440"/>
    <w:rsid w:val="467076C2"/>
    <w:rsid w:val="4676268B"/>
    <w:rsid w:val="467852BF"/>
    <w:rsid w:val="467D2ECA"/>
    <w:rsid w:val="467E61C4"/>
    <w:rsid w:val="468E6452"/>
    <w:rsid w:val="469E3BFD"/>
    <w:rsid w:val="46A566C9"/>
    <w:rsid w:val="46A61E2C"/>
    <w:rsid w:val="46C6427C"/>
    <w:rsid w:val="46D0140A"/>
    <w:rsid w:val="46D03D24"/>
    <w:rsid w:val="46D52711"/>
    <w:rsid w:val="46D955A7"/>
    <w:rsid w:val="46E13E64"/>
    <w:rsid w:val="46E53FC5"/>
    <w:rsid w:val="46E666CD"/>
    <w:rsid w:val="46FA33B3"/>
    <w:rsid w:val="46FE359E"/>
    <w:rsid w:val="46FF153C"/>
    <w:rsid w:val="4708063B"/>
    <w:rsid w:val="47133957"/>
    <w:rsid w:val="471A6376"/>
    <w:rsid w:val="47282841"/>
    <w:rsid w:val="47317875"/>
    <w:rsid w:val="473224EC"/>
    <w:rsid w:val="473478B2"/>
    <w:rsid w:val="47401977"/>
    <w:rsid w:val="47434D7D"/>
    <w:rsid w:val="474F0FCF"/>
    <w:rsid w:val="47574C5A"/>
    <w:rsid w:val="475951FA"/>
    <w:rsid w:val="47610F5E"/>
    <w:rsid w:val="4766336A"/>
    <w:rsid w:val="476C293E"/>
    <w:rsid w:val="47707EEB"/>
    <w:rsid w:val="477514AA"/>
    <w:rsid w:val="47777403"/>
    <w:rsid w:val="47786131"/>
    <w:rsid w:val="477B6AFF"/>
    <w:rsid w:val="47863A0C"/>
    <w:rsid w:val="478D08F6"/>
    <w:rsid w:val="478E0BD6"/>
    <w:rsid w:val="478E2BD5"/>
    <w:rsid w:val="479F43DB"/>
    <w:rsid w:val="47A07E0C"/>
    <w:rsid w:val="47AA049D"/>
    <w:rsid w:val="47AF2807"/>
    <w:rsid w:val="47B26ADF"/>
    <w:rsid w:val="47B42327"/>
    <w:rsid w:val="47B76376"/>
    <w:rsid w:val="47B858F5"/>
    <w:rsid w:val="47BE6D02"/>
    <w:rsid w:val="47C96CD1"/>
    <w:rsid w:val="47CD7C4E"/>
    <w:rsid w:val="47E954F6"/>
    <w:rsid w:val="47F939D7"/>
    <w:rsid w:val="48036E0A"/>
    <w:rsid w:val="4810724D"/>
    <w:rsid w:val="481132D5"/>
    <w:rsid w:val="4811670F"/>
    <w:rsid w:val="481B05F8"/>
    <w:rsid w:val="48265F6A"/>
    <w:rsid w:val="48435459"/>
    <w:rsid w:val="48464D6E"/>
    <w:rsid w:val="48487ACB"/>
    <w:rsid w:val="48490FA1"/>
    <w:rsid w:val="484E1ABB"/>
    <w:rsid w:val="48537D92"/>
    <w:rsid w:val="485C1940"/>
    <w:rsid w:val="485E5503"/>
    <w:rsid w:val="486B6422"/>
    <w:rsid w:val="486C4C87"/>
    <w:rsid w:val="4870135B"/>
    <w:rsid w:val="4870272E"/>
    <w:rsid w:val="48711FC6"/>
    <w:rsid w:val="48723AE3"/>
    <w:rsid w:val="48777776"/>
    <w:rsid w:val="487877F8"/>
    <w:rsid w:val="4883492F"/>
    <w:rsid w:val="48880D20"/>
    <w:rsid w:val="488F12B1"/>
    <w:rsid w:val="48943F06"/>
    <w:rsid w:val="48997C0C"/>
    <w:rsid w:val="48AA7FCC"/>
    <w:rsid w:val="48B9571B"/>
    <w:rsid w:val="48CB3DCC"/>
    <w:rsid w:val="48CE11C6"/>
    <w:rsid w:val="48D6310A"/>
    <w:rsid w:val="48D81B48"/>
    <w:rsid w:val="48F24367"/>
    <w:rsid w:val="48FC7BFD"/>
    <w:rsid w:val="490270C2"/>
    <w:rsid w:val="49033A36"/>
    <w:rsid w:val="49043C15"/>
    <w:rsid w:val="490E3CB9"/>
    <w:rsid w:val="49127986"/>
    <w:rsid w:val="4913415F"/>
    <w:rsid w:val="49177011"/>
    <w:rsid w:val="491B7F95"/>
    <w:rsid w:val="492D3B82"/>
    <w:rsid w:val="493A6DA3"/>
    <w:rsid w:val="493C4382"/>
    <w:rsid w:val="493D634C"/>
    <w:rsid w:val="49490303"/>
    <w:rsid w:val="494A5E2F"/>
    <w:rsid w:val="495A1495"/>
    <w:rsid w:val="496318B2"/>
    <w:rsid w:val="49636B5B"/>
    <w:rsid w:val="496C1943"/>
    <w:rsid w:val="49722C5F"/>
    <w:rsid w:val="49752D8C"/>
    <w:rsid w:val="497A75A0"/>
    <w:rsid w:val="4980029E"/>
    <w:rsid w:val="49884874"/>
    <w:rsid w:val="498A77E3"/>
    <w:rsid w:val="49916FD6"/>
    <w:rsid w:val="49980A36"/>
    <w:rsid w:val="49A63889"/>
    <w:rsid w:val="49A811B8"/>
    <w:rsid w:val="49AD1724"/>
    <w:rsid w:val="49B02B6B"/>
    <w:rsid w:val="49B450BD"/>
    <w:rsid w:val="49CF1DFF"/>
    <w:rsid w:val="49D37A06"/>
    <w:rsid w:val="49D80560"/>
    <w:rsid w:val="49DB5C65"/>
    <w:rsid w:val="49DC7715"/>
    <w:rsid w:val="49DD502C"/>
    <w:rsid w:val="49E13B4D"/>
    <w:rsid w:val="49E64BC1"/>
    <w:rsid w:val="49F7299F"/>
    <w:rsid w:val="49FE5ADB"/>
    <w:rsid w:val="4A007AA5"/>
    <w:rsid w:val="4A023139"/>
    <w:rsid w:val="4A0A4D25"/>
    <w:rsid w:val="4A0F385E"/>
    <w:rsid w:val="4A147E5B"/>
    <w:rsid w:val="4A1A59C4"/>
    <w:rsid w:val="4A3701D7"/>
    <w:rsid w:val="4A3A1A56"/>
    <w:rsid w:val="4A3B0ADD"/>
    <w:rsid w:val="4A3C534C"/>
    <w:rsid w:val="4A45195C"/>
    <w:rsid w:val="4A492083"/>
    <w:rsid w:val="4A4D6AAC"/>
    <w:rsid w:val="4A4E4332"/>
    <w:rsid w:val="4A6E2C61"/>
    <w:rsid w:val="4A7444DE"/>
    <w:rsid w:val="4A7B576F"/>
    <w:rsid w:val="4A805E1E"/>
    <w:rsid w:val="4A8067FC"/>
    <w:rsid w:val="4A841EEE"/>
    <w:rsid w:val="4A84413D"/>
    <w:rsid w:val="4A9A0530"/>
    <w:rsid w:val="4A9D3C92"/>
    <w:rsid w:val="4A9E3A53"/>
    <w:rsid w:val="4AA51EA6"/>
    <w:rsid w:val="4AA701FE"/>
    <w:rsid w:val="4AA91EEB"/>
    <w:rsid w:val="4AB31263"/>
    <w:rsid w:val="4AB8240E"/>
    <w:rsid w:val="4AC06D8E"/>
    <w:rsid w:val="4AC36325"/>
    <w:rsid w:val="4AC46D25"/>
    <w:rsid w:val="4AD9046E"/>
    <w:rsid w:val="4AE610BA"/>
    <w:rsid w:val="4AE9776E"/>
    <w:rsid w:val="4AEC6DA7"/>
    <w:rsid w:val="4AF561A9"/>
    <w:rsid w:val="4B054C48"/>
    <w:rsid w:val="4B0709C0"/>
    <w:rsid w:val="4B1D4687"/>
    <w:rsid w:val="4B2A62AC"/>
    <w:rsid w:val="4B2C1024"/>
    <w:rsid w:val="4B3A6FE7"/>
    <w:rsid w:val="4B404766"/>
    <w:rsid w:val="4B46598C"/>
    <w:rsid w:val="4B4A3101"/>
    <w:rsid w:val="4B537841"/>
    <w:rsid w:val="4B5D3756"/>
    <w:rsid w:val="4B6B53F2"/>
    <w:rsid w:val="4B764D28"/>
    <w:rsid w:val="4B836E1A"/>
    <w:rsid w:val="4B892A19"/>
    <w:rsid w:val="4B932D14"/>
    <w:rsid w:val="4B9F509C"/>
    <w:rsid w:val="4BA238A4"/>
    <w:rsid w:val="4BB00F27"/>
    <w:rsid w:val="4BB67B95"/>
    <w:rsid w:val="4BB75A3E"/>
    <w:rsid w:val="4BC37A8A"/>
    <w:rsid w:val="4BC97813"/>
    <w:rsid w:val="4BCE617D"/>
    <w:rsid w:val="4BCF3D50"/>
    <w:rsid w:val="4BD23A0A"/>
    <w:rsid w:val="4BD710D8"/>
    <w:rsid w:val="4BEF1B80"/>
    <w:rsid w:val="4BF81912"/>
    <w:rsid w:val="4BFD0188"/>
    <w:rsid w:val="4BFE0370"/>
    <w:rsid w:val="4C0D0258"/>
    <w:rsid w:val="4C150567"/>
    <w:rsid w:val="4C26756B"/>
    <w:rsid w:val="4C3103EA"/>
    <w:rsid w:val="4C4A0649"/>
    <w:rsid w:val="4C567AE2"/>
    <w:rsid w:val="4C664A17"/>
    <w:rsid w:val="4C6726C0"/>
    <w:rsid w:val="4C6D6F48"/>
    <w:rsid w:val="4C6E330C"/>
    <w:rsid w:val="4C7107E7"/>
    <w:rsid w:val="4C787DC7"/>
    <w:rsid w:val="4C7E5ECA"/>
    <w:rsid w:val="4C83676C"/>
    <w:rsid w:val="4C876AA5"/>
    <w:rsid w:val="4C894975"/>
    <w:rsid w:val="4C8A7AFA"/>
    <w:rsid w:val="4C8C73CE"/>
    <w:rsid w:val="4C9149E5"/>
    <w:rsid w:val="4C920DBF"/>
    <w:rsid w:val="4CB14022"/>
    <w:rsid w:val="4CB61F07"/>
    <w:rsid w:val="4CC0735A"/>
    <w:rsid w:val="4CC90E7B"/>
    <w:rsid w:val="4CD73316"/>
    <w:rsid w:val="4CDA3071"/>
    <w:rsid w:val="4CDE6919"/>
    <w:rsid w:val="4CE40E60"/>
    <w:rsid w:val="4CF34B40"/>
    <w:rsid w:val="4CF37829"/>
    <w:rsid w:val="4CF466C1"/>
    <w:rsid w:val="4CF972E4"/>
    <w:rsid w:val="4CFB3CB9"/>
    <w:rsid w:val="4D0734F8"/>
    <w:rsid w:val="4D0E00FB"/>
    <w:rsid w:val="4D0F61C4"/>
    <w:rsid w:val="4D153868"/>
    <w:rsid w:val="4D176606"/>
    <w:rsid w:val="4D194E46"/>
    <w:rsid w:val="4D207734"/>
    <w:rsid w:val="4D2B34E9"/>
    <w:rsid w:val="4D2C295F"/>
    <w:rsid w:val="4D495438"/>
    <w:rsid w:val="4D4B1038"/>
    <w:rsid w:val="4D4B758B"/>
    <w:rsid w:val="4D4E2634"/>
    <w:rsid w:val="4D5632D7"/>
    <w:rsid w:val="4D5B0EA9"/>
    <w:rsid w:val="4D613A9A"/>
    <w:rsid w:val="4D6526B7"/>
    <w:rsid w:val="4D6D36A4"/>
    <w:rsid w:val="4D6E2635"/>
    <w:rsid w:val="4D813148"/>
    <w:rsid w:val="4D8612A6"/>
    <w:rsid w:val="4D903FFE"/>
    <w:rsid w:val="4D926BC6"/>
    <w:rsid w:val="4D9A1350"/>
    <w:rsid w:val="4D9A5BA6"/>
    <w:rsid w:val="4DAD1CF2"/>
    <w:rsid w:val="4DB85D23"/>
    <w:rsid w:val="4DCA75CA"/>
    <w:rsid w:val="4DCD148A"/>
    <w:rsid w:val="4DCE1D18"/>
    <w:rsid w:val="4DD3102D"/>
    <w:rsid w:val="4DD86643"/>
    <w:rsid w:val="4DD86FC1"/>
    <w:rsid w:val="4DDC4386"/>
    <w:rsid w:val="4DE1253B"/>
    <w:rsid w:val="4DE35256"/>
    <w:rsid w:val="4DE35303"/>
    <w:rsid w:val="4DE53415"/>
    <w:rsid w:val="4DEC4FB0"/>
    <w:rsid w:val="4DF341B9"/>
    <w:rsid w:val="4DF8125F"/>
    <w:rsid w:val="4DF92400"/>
    <w:rsid w:val="4DFD21DE"/>
    <w:rsid w:val="4E075D8A"/>
    <w:rsid w:val="4E094A4F"/>
    <w:rsid w:val="4E0D1ADE"/>
    <w:rsid w:val="4E0F5885"/>
    <w:rsid w:val="4E3408DC"/>
    <w:rsid w:val="4E3E294A"/>
    <w:rsid w:val="4E465CA3"/>
    <w:rsid w:val="4E49189F"/>
    <w:rsid w:val="4E4D2FFF"/>
    <w:rsid w:val="4E4F6905"/>
    <w:rsid w:val="4E5263F6"/>
    <w:rsid w:val="4E5449F0"/>
    <w:rsid w:val="4E5B79A0"/>
    <w:rsid w:val="4E5D709A"/>
    <w:rsid w:val="4E61488B"/>
    <w:rsid w:val="4E6F35F5"/>
    <w:rsid w:val="4E712899"/>
    <w:rsid w:val="4E7A0F88"/>
    <w:rsid w:val="4E834EB9"/>
    <w:rsid w:val="4E8746E7"/>
    <w:rsid w:val="4E8830AE"/>
    <w:rsid w:val="4E8E1446"/>
    <w:rsid w:val="4E9407BC"/>
    <w:rsid w:val="4EB40E5E"/>
    <w:rsid w:val="4EB946C7"/>
    <w:rsid w:val="4EBC3A66"/>
    <w:rsid w:val="4EC00FAD"/>
    <w:rsid w:val="4EC0182C"/>
    <w:rsid w:val="4EC9545A"/>
    <w:rsid w:val="4ECC46FD"/>
    <w:rsid w:val="4ED05CBC"/>
    <w:rsid w:val="4ED24BC6"/>
    <w:rsid w:val="4ED41501"/>
    <w:rsid w:val="4EF456FF"/>
    <w:rsid w:val="4EF70D4B"/>
    <w:rsid w:val="4F0911AA"/>
    <w:rsid w:val="4F1C0290"/>
    <w:rsid w:val="4F1D6A04"/>
    <w:rsid w:val="4F2705FD"/>
    <w:rsid w:val="4F2D2555"/>
    <w:rsid w:val="4F32174C"/>
    <w:rsid w:val="4F395757"/>
    <w:rsid w:val="4F3B332E"/>
    <w:rsid w:val="4F3B50DC"/>
    <w:rsid w:val="4F494BAD"/>
    <w:rsid w:val="4F524A2A"/>
    <w:rsid w:val="4F5A0E97"/>
    <w:rsid w:val="4F5F0DCA"/>
    <w:rsid w:val="4F7336A7"/>
    <w:rsid w:val="4F9843DC"/>
    <w:rsid w:val="4F9D66F7"/>
    <w:rsid w:val="4FA2674D"/>
    <w:rsid w:val="4FA613A8"/>
    <w:rsid w:val="4FA81066"/>
    <w:rsid w:val="4FB07878"/>
    <w:rsid w:val="4FBA4253"/>
    <w:rsid w:val="4FC62A8C"/>
    <w:rsid w:val="4FC728EB"/>
    <w:rsid w:val="4FD23C92"/>
    <w:rsid w:val="4FD254F4"/>
    <w:rsid w:val="4FD64232"/>
    <w:rsid w:val="4FE20F0D"/>
    <w:rsid w:val="4FE42895"/>
    <w:rsid w:val="4FE47395"/>
    <w:rsid w:val="4FE51552"/>
    <w:rsid w:val="4FEC5606"/>
    <w:rsid w:val="4FF16325"/>
    <w:rsid w:val="4FF5172F"/>
    <w:rsid w:val="4FF62CEE"/>
    <w:rsid w:val="50006977"/>
    <w:rsid w:val="5006393C"/>
    <w:rsid w:val="501E4797"/>
    <w:rsid w:val="502912E2"/>
    <w:rsid w:val="503274BD"/>
    <w:rsid w:val="503B3E9D"/>
    <w:rsid w:val="504812A8"/>
    <w:rsid w:val="50496914"/>
    <w:rsid w:val="50504C4B"/>
    <w:rsid w:val="50556712"/>
    <w:rsid w:val="50720397"/>
    <w:rsid w:val="507F5E99"/>
    <w:rsid w:val="508C6144"/>
    <w:rsid w:val="50915E48"/>
    <w:rsid w:val="50923421"/>
    <w:rsid w:val="509C6E7C"/>
    <w:rsid w:val="50B05655"/>
    <w:rsid w:val="50B213CE"/>
    <w:rsid w:val="50B86129"/>
    <w:rsid w:val="50BB2A2B"/>
    <w:rsid w:val="50C07F8E"/>
    <w:rsid w:val="50C8299F"/>
    <w:rsid w:val="50C90071"/>
    <w:rsid w:val="50CD2087"/>
    <w:rsid w:val="50CD6C5C"/>
    <w:rsid w:val="50D97419"/>
    <w:rsid w:val="50E1219F"/>
    <w:rsid w:val="50E54045"/>
    <w:rsid w:val="50F166B3"/>
    <w:rsid w:val="50F3304E"/>
    <w:rsid w:val="510333FA"/>
    <w:rsid w:val="5107241E"/>
    <w:rsid w:val="51085492"/>
    <w:rsid w:val="5119769F"/>
    <w:rsid w:val="51231542"/>
    <w:rsid w:val="51290053"/>
    <w:rsid w:val="51317A67"/>
    <w:rsid w:val="51346287"/>
    <w:rsid w:val="513F6B23"/>
    <w:rsid w:val="5162104E"/>
    <w:rsid w:val="51675356"/>
    <w:rsid w:val="516A7D32"/>
    <w:rsid w:val="51800EB7"/>
    <w:rsid w:val="51855CFC"/>
    <w:rsid w:val="518C60C3"/>
    <w:rsid w:val="51A341C4"/>
    <w:rsid w:val="51A67184"/>
    <w:rsid w:val="51AB45A4"/>
    <w:rsid w:val="51B41DE8"/>
    <w:rsid w:val="51B57BAE"/>
    <w:rsid w:val="51B66C9C"/>
    <w:rsid w:val="51C736F3"/>
    <w:rsid w:val="51D50DD6"/>
    <w:rsid w:val="51E101BC"/>
    <w:rsid w:val="51EE6435"/>
    <w:rsid w:val="51EF0FDE"/>
    <w:rsid w:val="52007533"/>
    <w:rsid w:val="520A490B"/>
    <w:rsid w:val="5210665D"/>
    <w:rsid w:val="522925FF"/>
    <w:rsid w:val="52293911"/>
    <w:rsid w:val="522E75C0"/>
    <w:rsid w:val="52325181"/>
    <w:rsid w:val="52335987"/>
    <w:rsid w:val="52407CA6"/>
    <w:rsid w:val="52410D39"/>
    <w:rsid w:val="524A3FB4"/>
    <w:rsid w:val="525A3ACB"/>
    <w:rsid w:val="52674B02"/>
    <w:rsid w:val="5268268C"/>
    <w:rsid w:val="527575C2"/>
    <w:rsid w:val="527C0C71"/>
    <w:rsid w:val="52821276"/>
    <w:rsid w:val="52866D12"/>
    <w:rsid w:val="52887CA3"/>
    <w:rsid w:val="528A59CB"/>
    <w:rsid w:val="529415BE"/>
    <w:rsid w:val="529E01D6"/>
    <w:rsid w:val="52A01652"/>
    <w:rsid w:val="52A16A0C"/>
    <w:rsid w:val="52B534C8"/>
    <w:rsid w:val="52B96FD7"/>
    <w:rsid w:val="52C673B2"/>
    <w:rsid w:val="52C67ACF"/>
    <w:rsid w:val="52D715BF"/>
    <w:rsid w:val="52D7336D"/>
    <w:rsid w:val="52D8167B"/>
    <w:rsid w:val="52DB10B0"/>
    <w:rsid w:val="52DD427A"/>
    <w:rsid w:val="52DE6FB6"/>
    <w:rsid w:val="52E11A6D"/>
    <w:rsid w:val="52FE537D"/>
    <w:rsid w:val="53012FD9"/>
    <w:rsid w:val="530F2FAD"/>
    <w:rsid w:val="53100BBE"/>
    <w:rsid w:val="53161DC8"/>
    <w:rsid w:val="532E4509"/>
    <w:rsid w:val="53395DD6"/>
    <w:rsid w:val="53441882"/>
    <w:rsid w:val="534746EF"/>
    <w:rsid w:val="53484B07"/>
    <w:rsid w:val="534C6EE3"/>
    <w:rsid w:val="534D3630"/>
    <w:rsid w:val="5354447A"/>
    <w:rsid w:val="5356417B"/>
    <w:rsid w:val="535F5D8C"/>
    <w:rsid w:val="536A184D"/>
    <w:rsid w:val="536A3BDD"/>
    <w:rsid w:val="53761857"/>
    <w:rsid w:val="53764934"/>
    <w:rsid w:val="53784E84"/>
    <w:rsid w:val="53837051"/>
    <w:rsid w:val="539027D9"/>
    <w:rsid w:val="53970A5A"/>
    <w:rsid w:val="53A039CC"/>
    <w:rsid w:val="53A1505A"/>
    <w:rsid w:val="53AA2830"/>
    <w:rsid w:val="53AB3AAC"/>
    <w:rsid w:val="53B10062"/>
    <w:rsid w:val="53C8086B"/>
    <w:rsid w:val="53C8540A"/>
    <w:rsid w:val="53CF4DC0"/>
    <w:rsid w:val="53E25DD4"/>
    <w:rsid w:val="53E93D93"/>
    <w:rsid w:val="53EF4858"/>
    <w:rsid w:val="53EF7E88"/>
    <w:rsid w:val="53F4463B"/>
    <w:rsid w:val="54063E08"/>
    <w:rsid w:val="542D593B"/>
    <w:rsid w:val="54316AAD"/>
    <w:rsid w:val="543437E8"/>
    <w:rsid w:val="54352A41"/>
    <w:rsid w:val="544164DC"/>
    <w:rsid w:val="54421C2E"/>
    <w:rsid w:val="544667B3"/>
    <w:rsid w:val="544730A5"/>
    <w:rsid w:val="544C7EE0"/>
    <w:rsid w:val="54574766"/>
    <w:rsid w:val="54581222"/>
    <w:rsid w:val="545E5081"/>
    <w:rsid w:val="545F482D"/>
    <w:rsid w:val="54662BFB"/>
    <w:rsid w:val="54680772"/>
    <w:rsid w:val="546E1AAF"/>
    <w:rsid w:val="546E3217"/>
    <w:rsid w:val="548A5EA9"/>
    <w:rsid w:val="548D63DA"/>
    <w:rsid w:val="54982C88"/>
    <w:rsid w:val="54AE5500"/>
    <w:rsid w:val="54B020C8"/>
    <w:rsid w:val="54B4145C"/>
    <w:rsid w:val="54B716A8"/>
    <w:rsid w:val="54BC20F4"/>
    <w:rsid w:val="54D75F6F"/>
    <w:rsid w:val="54DA77FE"/>
    <w:rsid w:val="54F07713"/>
    <w:rsid w:val="54F73313"/>
    <w:rsid w:val="54F80955"/>
    <w:rsid w:val="54FE4BE1"/>
    <w:rsid w:val="5508228B"/>
    <w:rsid w:val="551835BA"/>
    <w:rsid w:val="55191A1B"/>
    <w:rsid w:val="551C078B"/>
    <w:rsid w:val="551C1E83"/>
    <w:rsid w:val="551E34D6"/>
    <w:rsid w:val="552237E2"/>
    <w:rsid w:val="555170A7"/>
    <w:rsid w:val="55605299"/>
    <w:rsid w:val="5563538C"/>
    <w:rsid w:val="556C39DF"/>
    <w:rsid w:val="557061B2"/>
    <w:rsid w:val="5572663A"/>
    <w:rsid w:val="5587536D"/>
    <w:rsid w:val="558E48F3"/>
    <w:rsid w:val="559A1DFE"/>
    <w:rsid w:val="559B174B"/>
    <w:rsid w:val="55A25EB5"/>
    <w:rsid w:val="55AF0C17"/>
    <w:rsid w:val="55C57888"/>
    <w:rsid w:val="55CE0CF4"/>
    <w:rsid w:val="55D35D11"/>
    <w:rsid w:val="55D36A9C"/>
    <w:rsid w:val="55D4649C"/>
    <w:rsid w:val="55DA564E"/>
    <w:rsid w:val="55E65D52"/>
    <w:rsid w:val="55EB2BE9"/>
    <w:rsid w:val="55F61D5C"/>
    <w:rsid w:val="55FB4FCC"/>
    <w:rsid w:val="5604091D"/>
    <w:rsid w:val="560830BA"/>
    <w:rsid w:val="560C0CCD"/>
    <w:rsid w:val="56170651"/>
    <w:rsid w:val="56186795"/>
    <w:rsid w:val="56227A18"/>
    <w:rsid w:val="56242D6E"/>
    <w:rsid w:val="562C598F"/>
    <w:rsid w:val="56314924"/>
    <w:rsid w:val="56316BCC"/>
    <w:rsid w:val="563D424B"/>
    <w:rsid w:val="56457290"/>
    <w:rsid w:val="564B654C"/>
    <w:rsid w:val="56536F44"/>
    <w:rsid w:val="565371AF"/>
    <w:rsid w:val="565A678F"/>
    <w:rsid w:val="565B0D72"/>
    <w:rsid w:val="565C2E77"/>
    <w:rsid w:val="56700F0E"/>
    <w:rsid w:val="56731C7C"/>
    <w:rsid w:val="56A53E84"/>
    <w:rsid w:val="56A62278"/>
    <w:rsid w:val="56A7044E"/>
    <w:rsid w:val="56AB31A6"/>
    <w:rsid w:val="56AD4E40"/>
    <w:rsid w:val="56B22A9C"/>
    <w:rsid w:val="56BD52FC"/>
    <w:rsid w:val="56BE0ACC"/>
    <w:rsid w:val="56BF4B95"/>
    <w:rsid w:val="56C551D7"/>
    <w:rsid w:val="56CB5360"/>
    <w:rsid w:val="56E1576A"/>
    <w:rsid w:val="56E73E9C"/>
    <w:rsid w:val="56EA1935"/>
    <w:rsid w:val="56F24C1A"/>
    <w:rsid w:val="56F269C8"/>
    <w:rsid w:val="56F444EE"/>
    <w:rsid w:val="570311E6"/>
    <w:rsid w:val="570704B7"/>
    <w:rsid w:val="5714693E"/>
    <w:rsid w:val="5718569F"/>
    <w:rsid w:val="5728063B"/>
    <w:rsid w:val="572D17AE"/>
    <w:rsid w:val="573062B7"/>
    <w:rsid w:val="57370660"/>
    <w:rsid w:val="5742218F"/>
    <w:rsid w:val="57433D0B"/>
    <w:rsid w:val="57511940"/>
    <w:rsid w:val="57540152"/>
    <w:rsid w:val="575F3087"/>
    <w:rsid w:val="576F1EA4"/>
    <w:rsid w:val="578C6093"/>
    <w:rsid w:val="5790115E"/>
    <w:rsid w:val="579907B0"/>
    <w:rsid w:val="57A03B2D"/>
    <w:rsid w:val="57A51C8C"/>
    <w:rsid w:val="57AA4565"/>
    <w:rsid w:val="57B67907"/>
    <w:rsid w:val="57B72A76"/>
    <w:rsid w:val="57BD0ECB"/>
    <w:rsid w:val="57C3426C"/>
    <w:rsid w:val="57CA16F3"/>
    <w:rsid w:val="57CD380B"/>
    <w:rsid w:val="57CE1F93"/>
    <w:rsid w:val="57D72F5C"/>
    <w:rsid w:val="57D85600"/>
    <w:rsid w:val="57DA3CB3"/>
    <w:rsid w:val="57E83927"/>
    <w:rsid w:val="57E94E70"/>
    <w:rsid w:val="57EA260F"/>
    <w:rsid w:val="57F66193"/>
    <w:rsid w:val="58003FFE"/>
    <w:rsid w:val="58014AE1"/>
    <w:rsid w:val="580A7D41"/>
    <w:rsid w:val="580C1D0B"/>
    <w:rsid w:val="580D47B7"/>
    <w:rsid w:val="582D27A8"/>
    <w:rsid w:val="583103BB"/>
    <w:rsid w:val="584A0389"/>
    <w:rsid w:val="585316E8"/>
    <w:rsid w:val="585552DC"/>
    <w:rsid w:val="585C5A71"/>
    <w:rsid w:val="58615BB3"/>
    <w:rsid w:val="58711B6E"/>
    <w:rsid w:val="587A08A8"/>
    <w:rsid w:val="587C0C3F"/>
    <w:rsid w:val="588743D1"/>
    <w:rsid w:val="5887701A"/>
    <w:rsid w:val="58892E17"/>
    <w:rsid w:val="588E5A1F"/>
    <w:rsid w:val="589822CB"/>
    <w:rsid w:val="589D2963"/>
    <w:rsid w:val="58BF6C4A"/>
    <w:rsid w:val="58C06694"/>
    <w:rsid w:val="58C251E4"/>
    <w:rsid w:val="58C80368"/>
    <w:rsid w:val="58C83E84"/>
    <w:rsid w:val="58D56319"/>
    <w:rsid w:val="58D85969"/>
    <w:rsid w:val="58DC7930"/>
    <w:rsid w:val="58F152CD"/>
    <w:rsid w:val="58F91919"/>
    <w:rsid w:val="590034B0"/>
    <w:rsid w:val="592A069B"/>
    <w:rsid w:val="592B204C"/>
    <w:rsid w:val="592E2DCE"/>
    <w:rsid w:val="5930080A"/>
    <w:rsid w:val="59304FC1"/>
    <w:rsid w:val="593146CA"/>
    <w:rsid w:val="593777F1"/>
    <w:rsid w:val="593908DE"/>
    <w:rsid w:val="593B5070"/>
    <w:rsid w:val="5948052B"/>
    <w:rsid w:val="594C2116"/>
    <w:rsid w:val="595C637A"/>
    <w:rsid w:val="5964548F"/>
    <w:rsid w:val="596F6E66"/>
    <w:rsid w:val="59703C60"/>
    <w:rsid w:val="599017B1"/>
    <w:rsid w:val="59984033"/>
    <w:rsid w:val="599975CF"/>
    <w:rsid w:val="59A052E4"/>
    <w:rsid w:val="59A146A3"/>
    <w:rsid w:val="59B419C2"/>
    <w:rsid w:val="59C0439F"/>
    <w:rsid w:val="59C842D3"/>
    <w:rsid w:val="59CF2E66"/>
    <w:rsid w:val="59E00D5A"/>
    <w:rsid w:val="59E11446"/>
    <w:rsid w:val="59E80082"/>
    <w:rsid w:val="59FE521F"/>
    <w:rsid w:val="5A017075"/>
    <w:rsid w:val="5A1922B1"/>
    <w:rsid w:val="5A1D0C32"/>
    <w:rsid w:val="5A1E47AC"/>
    <w:rsid w:val="5A2B38C3"/>
    <w:rsid w:val="5A344A67"/>
    <w:rsid w:val="5A3521B8"/>
    <w:rsid w:val="5A3E74C2"/>
    <w:rsid w:val="5A4202F0"/>
    <w:rsid w:val="5A4349F2"/>
    <w:rsid w:val="5A452D7F"/>
    <w:rsid w:val="5A492D43"/>
    <w:rsid w:val="5A523AE4"/>
    <w:rsid w:val="5A551748"/>
    <w:rsid w:val="5A5F6122"/>
    <w:rsid w:val="5A624BEA"/>
    <w:rsid w:val="5A643169"/>
    <w:rsid w:val="5A6C2882"/>
    <w:rsid w:val="5A6C705F"/>
    <w:rsid w:val="5A7C2ADE"/>
    <w:rsid w:val="5A7F2C29"/>
    <w:rsid w:val="5A81253D"/>
    <w:rsid w:val="5A846E54"/>
    <w:rsid w:val="5A8950E2"/>
    <w:rsid w:val="5A967935"/>
    <w:rsid w:val="5A9E1199"/>
    <w:rsid w:val="5A9E332F"/>
    <w:rsid w:val="5AA3063E"/>
    <w:rsid w:val="5AA958C1"/>
    <w:rsid w:val="5AAE70AA"/>
    <w:rsid w:val="5AB346C0"/>
    <w:rsid w:val="5AB67184"/>
    <w:rsid w:val="5ABE2233"/>
    <w:rsid w:val="5AC75730"/>
    <w:rsid w:val="5ACF161D"/>
    <w:rsid w:val="5AD23A7B"/>
    <w:rsid w:val="5AD6250F"/>
    <w:rsid w:val="5AF11A7C"/>
    <w:rsid w:val="5AF20E4A"/>
    <w:rsid w:val="5AF251E8"/>
    <w:rsid w:val="5B0347CC"/>
    <w:rsid w:val="5B213DDD"/>
    <w:rsid w:val="5B256A6B"/>
    <w:rsid w:val="5B2D2380"/>
    <w:rsid w:val="5B3255E5"/>
    <w:rsid w:val="5B394FE8"/>
    <w:rsid w:val="5B3B7A35"/>
    <w:rsid w:val="5B42334E"/>
    <w:rsid w:val="5B4A632A"/>
    <w:rsid w:val="5B584E65"/>
    <w:rsid w:val="5B5E524C"/>
    <w:rsid w:val="5B5E63DA"/>
    <w:rsid w:val="5B61236E"/>
    <w:rsid w:val="5B614A02"/>
    <w:rsid w:val="5B6446D6"/>
    <w:rsid w:val="5B6523E8"/>
    <w:rsid w:val="5B661732"/>
    <w:rsid w:val="5B6D486F"/>
    <w:rsid w:val="5B7200D7"/>
    <w:rsid w:val="5B743E4F"/>
    <w:rsid w:val="5B831E7B"/>
    <w:rsid w:val="5B8449DB"/>
    <w:rsid w:val="5B8B1A48"/>
    <w:rsid w:val="5B8E7C5D"/>
    <w:rsid w:val="5B935894"/>
    <w:rsid w:val="5B9930B0"/>
    <w:rsid w:val="5BB93CDB"/>
    <w:rsid w:val="5BBC673D"/>
    <w:rsid w:val="5BC20119"/>
    <w:rsid w:val="5BC31DD7"/>
    <w:rsid w:val="5BC70423"/>
    <w:rsid w:val="5BD448EE"/>
    <w:rsid w:val="5BD64344"/>
    <w:rsid w:val="5BDB33FF"/>
    <w:rsid w:val="5BDD44F6"/>
    <w:rsid w:val="5BDF5D95"/>
    <w:rsid w:val="5BE92483"/>
    <w:rsid w:val="5BF94355"/>
    <w:rsid w:val="5BFE7528"/>
    <w:rsid w:val="5C0B0043"/>
    <w:rsid w:val="5C0C397A"/>
    <w:rsid w:val="5C0E3A15"/>
    <w:rsid w:val="5C1010A3"/>
    <w:rsid w:val="5C116F21"/>
    <w:rsid w:val="5C1445C4"/>
    <w:rsid w:val="5C196BCE"/>
    <w:rsid w:val="5C1A0B00"/>
    <w:rsid w:val="5C1B076F"/>
    <w:rsid w:val="5C212334"/>
    <w:rsid w:val="5C245AD3"/>
    <w:rsid w:val="5C483BF3"/>
    <w:rsid w:val="5C49174F"/>
    <w:rsid w:val="5C515F3F"/>
    <w:rsid w:val="5C533013"/>
    <w:rsid w:val="5C563555"/>
    <w:rsid w:val="5C641296"/>
    <w:rsid w:val="5C7B2FBB"/>
    <w:rsid w:val="5C800A73"/>
    <w:rsid w:val="5C840A04"/>
    <w:rsid w:val="5C89656F"/>
    <w:rsid w:val="5CA14A69"/>
    <w:rsid w:val="5CA226B5"/>
    <w:rsid w:val="5CA34D05"/>
    <w:rsid w:val="5CA40764"/>
    <w:rsid w:val="5CA81E48"/>
    <w:rsid w:val="5CB610F2"/>
    <w:rsid w:val="5CCC341D"/>
    <w:rsid w:val="5CD32DF8"/>
    <w:rsid w:val="5CD94B1D"/>
    <w:rsid w:val="5CDC05EC"/>
    <w:rsid w:val="5CDD6B6F"/>
    <w:rsid w:val="5CE61362"/>
    <w:rsid w:val="5CEE21E8"/>
    <w:rsid w:val="5D02548B"/>
    <w:rsid w:val="5D0C00B7"/>
    <w:rsid w:val="5D186A5C"/>
    <w:rsid w:val="5D1B16E2"/>
    <w:rsid w:val="5D1E5447"/>
    <w:rsid w:val="5D1F428F"/>
    <w:rsid w:val="5D244575"/>
    <w:rsid w:val="5D2578F7"/>
    <w:rsid w:val="5D2D742E"/>
    <w:rsid w:val="5D383006"/>
    <w:rsid w:val="5D445AA3"/>
    <w:rsid w:val="5D4D7AA3"/>
    <w:rsid w:val="5D5F28DD"/>
    <w:rsid w:val="5D700646"/>
    <w:rsid w:val="5D817715"/>
    <w:rsid w:val="5D9E3405"/>
    <w:rsid w:val="5DA074AA"/>
    <w:rsid w:val="5DA12DE1"/>
    <w:rsid w:val="5DA402F0"/>
    <w:rsid w:val="5DA613C6"/>
    <w:rsid w:val="5DA6243E"/>
    <w:rsid w:val="5DA800EE"/>
    <w:rsid w:val="5DB627D2"/>
    <w:rsid w:val="5DC27658"/>
    <w:rsid w:val="5DD07DDA"/>
    <w:rsid w:val="5DD76703"/>
    <w:rsid w:val="5DE9164E"/>
    <w:rsid w:val="5DED7EE9"/>
    <w:rsid w:val="5DFA7109"/>
    <w:rsid w:val="5E056FE1"/>
    <w:rsid w:val="5E0A1872"/>
    <w:rsid w:val="5E0A6DAD"/>
    <w:rsid w:val="5E2467F1"/>
    <w:rsid w:val="5E385682"/>
    <w:rsid w:val="5E3B1C1C"/>
    <w:rsid w:val="5E3B4B68"/>
    <w:rsid w:val="5E3E1FAB"/>
    <w:rsid w:val="5E3E27ED"/>
    <w:rsid w:val="5E455888"/>
    <w:rsid w:val="5E4E6B3C"/>
    <w:rsid w:val="5E4F02B6"/>
    <w:rsid w:val="5E5434DA"/>
    <w:rsid w:val="5E550ABC"/>
    <w:rsid w:val="5E604B5F"/>
    <w:rsid w:val="5E611AB9"/>
    <w:rsid w:val="5E767EDE"/>
    <w:rsid w:val="5E804C3A"/>
    <w:rsid w:val="5E820631"/>
    <w:rsid w:val="5E951CD1"/>
    <w:rsid w:val="5E966CC0"/>
    <w:rsid w:val="5E9B4BD7"/>
    <w:rsid w:val="5EA678E3"/>
    <w:rsid w:val="5EAE07E6"/>
    <w:rsid w:val="5EB6589B"/>
    <w:rsid w:val="5EB93DB8"/>
    <w:rsid w:val="5EC11C7C"/>
    <w:rsid w:val="5ECF610A"/>
    <w:rsid w:val="5ED14AB3"/>
    <w:rsid w:val="5ED335C0"/>
    <w:rsid w:val="5EDB577F"/>
    <w:rsid w:val="5EE05A4D"/>
    <w:rsid w:val="5EE161F3"/>
    <w:rsid w:val="5EE36B83"/>
    <w:rsid w:val="5EED688A"/>
    <w:rsid w:val="5EEE3F19"/>
    <w:rsid w:val="5F087C26"/>
    <w:rsid w:val="5F0D06C5"/>
    <w:rsid w:val="5F1020E1"/>
    <w:rsid w:val="5F103E8F"/>
    <w:rsid w:val="5F120A73"/>
    <w:rsid w:val="5F1A2B43"/>
    <w:rsid w:val="5F1D2BB8"/>
    <w:rsid w:val="5F1F14D7"/>
    <w:rsid w:val="5F2D60E0"/>
    <w:rsid w:val="5F306B7A"/>
    <w:rsid w:val="5F357D99"/>
    <w:rsid w:val="5F391725"/>
    <w:rsid w:val="5F3E49C0"/>
    <w:rsid w:val="5F454D4C"/>
    <w:rsid w:val="5F465C53"/>
    <w:rsid w:val="5F4D52CC"/>
    <w:rsid w:val="5F507193"/>
    <w:rsid w:val="5F6940CF"/>
    <w:rsid w:val="5F702B80"/>
    <w:rsid w:val="5F8108E9"/>
    <w:rsid w:val="5F8E6A8C"/>
    <w:rsid w:val="5F954C0E"/>
    <w:rsid w:val="5F9675F7"/>
    <w:rsid w:val="5F9745B0"/>
    <w:rsid w:val="5F9F5213"/>
    <w:rsid w:val="5FA8056B"/>
    <w:rsid w:val="5FAC5D62"/>
    <w:rsid w:val="5FB146AF"/>
    <w:rsid w:val="5FB36104"/>
    <w:rsid w:val="5FB62BC7"/>
    <w:rsid w:val="5FB67F58"/>
    <w:rsid w:val="5FB837BB"/>
    <w:rsid w:val="5FC27900"/>
    <w:rsid w:val="5FC35589"/>
    <w:rsid w:val="5FC50A13"/>
    <w:rsid w:val="5FC83DE8"/>
    <w:rsid w:val="5FCD3B2E"/>
    <w:rsid w:val="5FD276B3"/>
    <w:rsid w:val="5FDC63FD"/>
    <w:rsid w:val="5FE57ABA"/>
    <w:rsid w:val="5FF77C28"/>
    <w:rsid w:val="5FFB6F59"/>
    <w:rsid w:val="5FFC2665"/>
    <w:rsid w:val="601542E3"/>
    <w:rsid w:val="601E6260"/>
    <w:rsid w:val="60285B38"/>
    <w:rsid w:val="602A2D2E"/>
    <w:rsid w:val="60311293"/>
    <w:rsid w:val="604F4E8B"/>
    <w:rsid w:val="60516E47"/>
    <w:rsid w:val="60522997"/>
    <w:rsid w:val="60577F47"/>
    <w:rsid w:val="605A2AA3"/>
    <w:rsid w:val="606851B7"/>
    <w:rsid w:val="60714563"/>
    <w:rsid w:val="607246D5"/>
    <w:rsid w:val="60732927"/>
    <w:rsid w:val="607572A4"/>
    <w:rsid w:val="607B7A2E"/>
    <w:rsid w:val="609062E2"/>
    <w:rsid w:val="609800D8"/>
    <w:rsid w:val="60AD570E"/>
    <w:rsid w:val="60AF20BA"/>
    <w:rsid w:val="60B8658C"/>
    <w:rsid w:val="60B94F59"/>
    <w:rsid w:val="60C07A09"/>
    <w:rsid w:val="60C5514D"/>
    <w:rsid w:val="60CC405A"/>
    <w:rsid w:val="60D56FFC"/>
    <w:rsid w:val="60E455D3"/>
    <w:rsid w:val="60EA02FE"/>
    <w:rsid w:val="60EA6962"/>
    <w:rsid w:val="60F021CA"/>
    <w:rsid w:val="60F65306"/>
    <w:rsid w:val="60F82E2D"/>
    <w:rsid w:val="60FF41BB"/>
    <w:rsid w:val="61135EB8"/>
    <w:rsid w:val="61166BB4"/>
    <w:rsid w:val="611E2EDC"/>
    <w:rsid w:val="61240EF5"/>
    <w:rsid w:val="61273712"/>
    <w:rsid w:val="612B3202"/>
    <w:rsid w:val="6133763A"/>
    <w:rsid w:val="613808AB"/>
    <w:rsid w:val="613C540F"/>
    <w:rsid w:val="61504F85"/>
    <w:rsid w:val="61576686"/>
    <w:rsid w:val="615A7643"/>
    <w:rsid w:val="615E6544"/>
    <w:rsid w:val="6162721E"/>
    <w:rsid w:val="61691F7C"/>
    <w:rsid w:val="616A3388"/>
    <w:rsid w:val="61722BDF"/>
    <w:rsid w:val="617F7935"/>
    <w:rsid w:val="6184202A"/>
    <w:rsid w:val="61921224"/>
    <w:rsid w:val="619528A3"/>
    <w:rsid w:val="6196566A"/>
    <w:rsid w:val="61AA1257"/>
    <w:rsid w:val="61B0712A"/>
    <w:rsid w:val="61B21E84"/>
    <w:rsid w:val="61BA0CA0"/>
    <w:rsid w:val="61BA7349"/>
    <w:rsid w:val="61BA7E7F"/>
    <w:rsid w:val="61C244EA"/>
    <w:rsid w:val="61C245F6"/>
    <w:rsid w:val="61C251E9"/>
    <w:rsid w:val="61C333EC"/>
    <w:rsid w:val="61D03A37"/>
    <w:rsid w:val="61D76EE6"/>
    <w:rsid w:val="61DD140E"/>
    <w:rsid w:val="61DF4B3E"/>
    <w:rsid w:val="61E215D8"/>
    <w:rsid w:val="61E810F3"/>
    <w:rsid w:val="61F11D89"/>
    <w:rsid w:val="61F63204"/>
    <w:rsid w:val="61F65A66"/>
    <w:rsid w:val="61F72BA1"/>
    <w:rsid w:val="61FA38FE"/>
    <w:rsid w:val="61FA6349"/>
    <w:rsid w:val="62135016"/>
    <w:rsid w:val="621B3775"/>
    <w:rsid w:val="622932FF"/>
    <w:rsid w:val="622E0F72"/>
    <w:rsid w:val="623048F7"/>
    <w:rsid w:val="62326812"/>
    <w:rsid w:val="62347E99"/>
    <w:rsid w:val="62364782"/>
    <w:rsid w:val="624603DC"/>
    <w:rsid w:val="624A2ECA"/>
    <w:rsid w:val="624A76B8"/>
    <w:rsid w:val="62515322"/>
    <w:rsid w:val="62550E6A"/>
    <w:rsid w:val="6256435C"/>
    <w:rsid w:val="62726527"/>
    <w:rsid w:val="62727BED"/>
    <w:rsid w:val="62741A3C"/>
    <w:rsid w:val="62791D4B"/>
    <w:rsid w:val="62797F9D"/>
    <w:rsid w:val="627E732A"/>
    <w:rsid w:val="627F33D4"/>
    <w:rsid w:val="62832BCA"/>
    <w:rsid w:val="628F2D9A"/>
    <w:rsid w:val="62912FED"/>
    <w:rsid w:val="6295250E"/>
    <w:rsid w:val="62A52FDD"/>
    <w:rsid w:val="62B17FE5"/>
    <w:rsid w:val="62BB05B6"/>
    <w:rsid w:val="62C253F3"/>
    <w:rsid w:val="62C41079"/>
    <w:rsid w:val="62C510AF"/>
    <w:rsid w:val="62CF5E0F"/>
    <w:rsid w:val="62D07A72"/>
    <w:rsid w:val="62EB25D2"/>
    <w:rsid w:val="62FF7245"/>
    <w:rsid w:val="631D5044"/>
    <w:rsid w:val="631F6D97"/>
    <w:rsid w:val="632102B4"/>
    <w:rsid w:val="63263444"/>
    <w:rsid w:val="632945F8"/>
    <w:rsid w:val="632E524A"/>
    <w:rsid w:val="633035A5"/>
    <w:rsid w:val="633345F0"/>
    <w:rsid w:val="633D546F"/>
    <w:rsid w:val="63426D55"/>
    <w:rsid w:val="63460C7D"/>
    <w:rsid w:val="6349526C"/>
    <w:rsid w:val="634B6510"/>
    <w:rsid w:val="63546418"/>
    <w:rsid w:val="635C21B5"/>
    <w:rsid w:val="636475EE"/>
    <w:rsid w:val="636A38F3"/>
    <w:rsid w:val="637C7D45"/>
    <w:rsid w:val="637E058E"/>
    <w:rsid w:val="637F1B3E"/>
    <w:rsid w:val="63893169"/>
    <w:rsid w:val="638B442C"/>
    <w:rsid w:val="639156D3"/>
    <w:rsid w:val="6394356A"/>
    <w:rsid w:val="63983811"/>
    <w:rsid w:val="639F3861"/>
    <w:rsid w:val="63A86D8C"/>
    <w:rsid w:val="63AA3E84"/>
    <w:rsid w:val="63AF3C40"/>
    <w:rsid w:val="63B051D5"/>
    <w:rsid w:val="63BC0679"/>
    <w:rsid w:val="63BD3EBA"/>
    <w:rsid w:val="63BF7C32"/>
    <w:rsid w:val="63C61B2C"/>
    <w:rsid w:val="63CC489F"/>
    <w:rsid w:val="63D40BE9"/>
    <w:rsid w:val="63DE669F"/>
    <w:rsid w:val="63E57025"/>
    <w:rsid w:val="63E67550"/>
    <w:rsid w:val="63E978BB"/>
    <w:rsid w:val="63EF0E7F"/>
    <w:rsid w:val="63F14902"/>
    <w:rsid w:val="63F20007"/>
    <w:rsid w:val="63F518A5"/>
    <w:rsid w:val="64032214"/>
    <w:rsid w:val="64063AB3"/>
    <w:rsid w:val="64102431"/>
    <w:rsid w:val="641066DF"/>
    <w:rsid w:val="64112AD3"/>
    <w:rsid w:val="642B3519"/>
    <w:rsid w:val="643205FD"/>
    <w:rsid w:val="64406FC4"/>
    <w:rsid w:val="644401C9"/>
    <w:rsid w:val="644827FF"/>
    <w:rsid w:val="644B5969"/>
    <w:rsid w:val="64561974"/>
    <w:rsid w:val="646E6E53"/>
    <w:rsid w:val="64887115"/>
    <w:rsid w:val="648A34A2"/>
    <w:rsid w:val="64942F00"/>
    <w:rsid w:val="649718C2"/>
    <w:rsid w:val="64A50CD3"/>
    <w:rsid w:val="64A5243A"/>
    <w:rsid w:val="64AF414A"/>
    <w:rsid w:val="64B02D45"/>
    <w:rsid w:val="64B330A9"/>
    <w:rsid w:val="64B35160"/>
    <w:rsid w:val="64B52AC1"/>
    <w:rsid w:val="64C33378"/>
    <w:rsid w:val="64C824F6"/>
    <w:rsid w:val="64C878F9"/>
    <w:rsid w:val="64CA4AE0"/>
    <w:rsid w:val="64D167B6"/>
    <w:rsid w:val="64DB4EA9"/>
    <w:rsid w:val="64E867D7"/>
    <w:rsid w:val="64F531DE"/>
    <w:rsid w:val="64F921C8"/>
    <w:rsid w:val="64F97173"/>
    <w:rsid w:val="64FB0DC8"/>
    <w:rsid w:val="650224CC"/>
    <w:rsid w:val="650E3D47"/>
    <w:rsid w:val="651038C2"/>
    <w:rsid w:val="65113AC4"/>
    <w:rsid w:val="6517709E"/>
    <w:rsid w:val="65253BCD"/>
    <w:rsid w:val="652E61C3"/>
    <w:rsid w:val="6530585B"/>
    <w:rsid w:val="65366287"/>
    <w:rsid w:val="65373578"/>
    <w:rsid w:val="653F67B6"/>
    <w:rsid w:val="65404DA2"/>
    <w:rsid w:val="654D596F"/>
    <w:rsid w:val="6551131C"/>
    <w:rsid w:val="65516FAF"/>
    <w:rsid w:val="65540E61"/>
    <w:rsid w:val="655E078F"/>
    <w:rsid w:val="655F6C1F"/>
    <w:rsid w:val="65750EF0"/>
    <w:rsid w:val="65827169"/>
    <w:rsid w:val="6584310B"/>
    <w:rsid w:val="65884668"/>
    <w:rsid w:val="65943E61"/>
    <w:rsid w:val="659B647C"/>
    <w:rsid w:val="65A3234E"/>
    <w:rsid w:val="65AC2438"/>
    <w:rsid w:val="65B8702E"/>
    <w:rsid w:val="65CB1352"/>
    <w:rsid w:val="65D65279"/>
    <w:rsid w:val="65D774B5"/>
    <w:rsid w:val="65DE4CE7"/>
    <w:rsid w:val="65E417DC"/>
    <w:rsid w:val="65F01258"/>
    <w:rsid w:val="65F20792"/>
    <w:rsid w:val="65FF6A0B"/>
    <w:rsid w:val="66027884"/>
    <w:rsid w:val="66060F42"/>
    <w:rsid w:val="660647C6"/>
    <w:rsid w:val="66095457"/>
    <w:rsid w:val="66130648"/>
    <w:rsid w:val="661604FF"/>
    <w:rsid w:val="66225BF7"/>
    <w:rsid w:val="6623323A"/>
    <w:rsid w:val="6632293D"/>
    <w:rsid w:val="663761A5"/>
    <w:rsid w:val="663B4A5C"/>
    <w:rsid w:val="664D59C9"/>
    <w:rsid w:val="66530BE3"/>
    <w:rsid w:val="665948F7"/>
    <w:rsid w:val="665A2E03"/>
    <w:rsid w:val="665F56FC"/>
    <w:rsid w:val="6673235B"/>
    <w:rsid w:val="668D20E3"/>
    <w:rsid w:val="66921EDB"/>
    <w:rsid w:val="669A52F6"/>
    <w:rsid w:val="669C425A"/>
    <w:rsid w:val="66AC1D71"/>
    <w:rsid w:val="66AF7B49"/>
    <w:rsid w:val="66B27B59"/>
    <w:rsid w:val="66BE535E"/>
    <w:rsid w:val="66C51A03"/>
    <w:rsid w:val="66C67529"/>
    <w:rsid w:val="66D44738"/>
    <w:rsid w:val="66DB28A9"/>
    <w:rsid w:val="66DE2AC5"/>
    <w:rsid w:val="66E01F64"/>
    <w:rsid w:val="66E16111"/>
    <w:rsid w:val="66E81564"/>
    <w:rsid w:val="66F056F5"/>
    <w:rsid w:val="670C7632"/>
    <w:rsid w:val="670F38E2"/>
    <w:rsid w:val="67103ED9"/>
    <w:rsid w:val="67191D4F"/>
    <w:rsid w:val="671A6361"/>
    <w:rsid w:val="671F124A"/>
    <w:rsid w:val="67240341"/>
    <w:rsid w:val="67254250"/>
    <w:rsid w:val="672674BF"/>
    <w:rsid w:val="6728078D"/>
    <w:rsid w:val="6729338F"/>
    <w:rsid w:val="67293B41"/>
    <w:rsid w:val="672C3830"/>
    <w:rsid w:val="6737210F"/>
    <w:rsid w:val="673F0B91"/>
    <w:rsid w:val="67486190"/>
    <w:rsid w:val="67501013"/>
    <w:rsid w:val="67516203"/>
    <w:rsid w:val="6753700F"/>
    <w:rsid w:val="6760172C"/>
    <w:rsid w:val="67662894"/>
    <w:rsid w:val="67674868"/>
    <w:rsid w:val="676A3115"/>
    <w:rsid w:val="676F196F"/>
    <w:rsid w:val="67784B0E"/>
    <w:rsid w:val="677A33C6"/>
    <w:rsid w:val="677A6CC9"/>
    <w:rsid w:val="67961E67"/>
    <w:rsid w:val="67A7359A"/>
    <w:rsid w:val="67A924E1"/>
    <w:rsid w:val="67AA093A"/>
    <w:rsid w:val="67B74B0F"/>
    <w:rsid w:val="67BF067A"/>
    <w:rsid w:val="67D0240D"/>
    <w:rsid w:val="67D03768"/>
    <w:rsid w:val="67D143D7"/>
    <w:rsid w:val="67D6379C"/>
    <w:rsid w:val="67DB7004"/>
    <w:rsid w:val="67E9768B"/>
    <w:rsid w:val="67EB5499"/>
    <w:rsid w:val="680B53F8"/>
    <w:rsid w:val="681C1641"/>
    <w:rsid w:val="681F6961"/>
    <w:rsid w:val="682B1528"/>
    <w:rsid w:val="683C5EDD"/>
    <w:rsid w:val="68422DF4"/>
    <w:rsid w:val="685422B7"/>
    <w:rsid w:val="68610A2F"/>
    <w:rsid w:val="686142B9"/>
    <w:rsid w:val="686D07AA"/>
    <w:rsid w:val="687A681D"/>
    <w:rsid w:val="68805514"/>
    <w:rsid w:val="68810FB4"/>
    <w:rsid w:val="68886CCA"/>
    <w:rsid w:val="688A4CB2"/>
    <w:rsid w:val="68906041"/>
    <w:rsid w:val="689F6284"/>
    <w:rsid w:val="68A34174"/>
    <w:rsid w:val="68A613C0"/>
    <w:rsid w:val="68B63CF9"/>
    <w:rsid w:val="68BC196C"/>
    <w:rsid w:val="68C036A7"/>
    <w:rsid w:val="68C64184"/>
    <w:rsid w:val="68CB0E27"/>
    <w:rsid w:val="68CF6E1C"/>
    <w:rsid w:val="68D27BA7"/>
    <w:rsid w:val="68DD74D8"/>
    <w:rsid w:val="68E51EE8"/>
    <w:rsid w:val="68ED6FEF"/>
    <w:rsid w:val="68F44821"/>
    <w:rsid w:val="68F95A72"/>
    <w:rsid w:val="68FB5469"/>
    <w:rsid w:val="69020C5E"/>
    <w:rsid w:val="69026556"/>
    <w:rsid w:val="691450BA"/>
    <w:rsid w:val="691C0525"/>
    <w:rsid w:val="69316E2F"/>
    <w:rsid w:val="6934402C"/>
    <w:rsid w:val="693A5050"/>
    <w:rsid w:val="693A7F28"/>
    <w:rsid w:val="693D6F5C"/>
    <w:rsid w:val="6942304B"/>
    <w:rsid w:val="694251E2"/>
    <w:rsid w:val="694E2071"/>
    <w:rsid w:val="694F7614"/>
    <w:rsid w:val="69533DD5"/>
    <w:rsid w:val="695723E0"/>
    <w:rsid w:val="69583D55"/>
    <w:rsid w:val="695C7376"/>
    <w:rsid w:val="696C260A"/>
    <w:rsid w:val="6970578F"/>
    <w:rsid w:val="6974326C"/>
    <w:rsid w:val="69766163"/>
    <w:rsid w:val="697903AE"/>
    <w:rsid w:val="697A3B33"/>
    <w:rsid w:val="697B0A9F"/>
    <w:rsid w:val="69831701"/>
    <w:rsid w:val="69864150"/>
    <w:rsid w:val="69866D21"/>
    <w:rsid w:val="699314D0"/>
    <w:rsid w:val="69986017"/>
    <w:rsid w:val="699E02E9"/>
    <w:rsid w:val="699F478D"/>
    <w:rsid w:val="69A13929"/>
    <w:rsid w:val="69AA6B70"/>
    <w:rsid w:val="69B75B47"/>
    <w:rsid w:val="69CF6220"/>
    <w:rsid w:val="69D34437"/>
    <w:rsid w:val="69D44760"/>
    <w:rsid w:val="69D70D68"/>
    <w:rsid w:val="69D739F8"/>
    <w:rsid w:val="69DC778F"/>
    <w:rsid w:val="69FD1BD6"/>
    <w:rsid w:val="6A02579D"/>
    <w:rsid w:val="6A0A61D8"/>
    <w:rsid w:val="6A107439"/>
    <w:rsid w:val="6A136F29"/>
    <w:rsid w:val="6A1D1B56"/>
    <w:rsid w:val="6A23759D"/>
    <w:rsid w:val="6A3500F1"/>
    <w:rsid w:val="6A3B348A"/>
    <w:rsid w:val="6A4C4156"/>
    <w:rsid w:val="6A4D61FF"/>
    <w:rsid w:val="6A4E61B3"/>
    <w:rsid w:val="6A500B80"/>
    <w:rsid w:val="6A520EC7"/>
    <w:rsid w:val="6A58152E"/>
    <w:rsid w:val="6A5A6906"/>
    <w:rsid w:val="6A5D1F52"/>
    <w:rsid w:val="6A5E178F"/>
    <w:rsid w:val="6A6432E1"/>
    <w:rsid w:val="6A665587"/>
    <w:rsid w:val="6A6C7C0D"/>
    <w:rsid w:val="6A7052DA"/>
    <w:rsid w:val="6A723C50"/>
    <w:rsid w:val="6A724213"/>
    <w:rsid w:val="6A725704"/>
    <w:rsid w:val="6A7B22F8"/>
    <w:rsid w:val="6A8034C9"/>
    <w:rsid w:val="6A81149B"/>
    <w:rsid w:val="6A982CAB"/>
    <w:rsid w:val="6A9C5E97"/>
    <w:rsid w:val="6ABB3A0B"/>
    <w:rsid w:val="6AC36259"/>
    <w:rsid w:val="6AC71BF4"/>
    <w:rsid w:val="6ADE23AA"/>
    <w:rsid w:val="6AE03B49"/>
    <w:rsid w:val="6AE1007C"/>
    <w:rsid w:val="6AEE41FA"/>
    <w:rsid w:val="6AF87E20"/>
    <w:rsid w:val="6B013559"/>
    <w:rsid w:val="6B077971"/>
    <w:rsid w:val="6B105C42"/>
    <w:rsid w:val="6B1673E4"/>
    <w:rsid w:val="6B195BCF"/>
    <w:rsid w:val="6B322639"/>
    <w:rsid w:val="6B3453A9"/>
    <w:rsid w:val="6B3D3F79"/>
    <w:rsid w:val="6B4A24D7"/>
    <w:rsid w:val="6B4E6F53"/>
    <w:rsid w:val="6B4F2748"/>
    <w:rsid w:val="6B543E50"/>
    <w:rsid w:val="6B551871"/>
    <w:rsid w:val="6B5B2913"/>
    <w:rsid w:val="6B621F16"/>
    <w:rsid w:val="6B660CDA"/>
    <w:rsid w:val="6B707B2D"/>
    <w:rsid w:val="6B947BF6"/>
    <w:rsid w:val="6B9B60E3"/>
    <w:rsid w:val="6B9D721F"/>
    <w:rsid w:val="6BA378E4"/>
    <w:rsid w:val="6BA71C27"/>
    <w:rsid w:val="6BA95228"/>
    <w:rsid w:val="6BB75D2F"/>
    <w:rsid w:val="6BCA3387"/>
    <w:rsid w:val="6BE36175"/>
    <w:rsid w:val="6BF42340"/>
    <w:rsid w:val="6BF6014C"/>
    <w:rsid w:val="6BFA0F1A"/>
    <w:rsid w:val="6C021003"/>
    <w:rsid w:val="6C096474"/>
    <w:rsid w:val="6C0C0792"/>
    <w:rsid w:val="6C113893"/>
    <w:rsid w:val="6C141972"/>
    <w:rsid w:val="6C26090F"/>
    <w:rsid w:val="6C262D48"/>
    <w:rsid w:val="6C281E63"/>
    <w:rsid w:val="6C313697"/>
    <w:rsid w:val="6C3B5FC1"/>
    <w:rsid w:val="6C3C105D"/>
    <w:rsid w:val="6C3C4515"/>
    <w:rsid w:val="6C4B29AA"/>
    <w:rsid w:val="6C5272BC"/>
    <w:rsid w:val="6C636C38"/>
    <w:rsid w:val="6C662AF3"/>
    <w:rsid w:val="6C6B36B9"/>
    <w:rsid w:val="6C6F226F"/>
    <w:rsid w:val="6C712677"/>
    <w:rsid w:val="6C7B3ACA"/>
    <w:rsid w:val="6C7B77F4"/>
    <w:rsid w:val="6C7C0DB6"/>
    <w:rsid w:val="6C8A1882"/>
    <w:rsid w:val="6C8B0A4F"/>
    <w:rsid w:val="6C8B0FF9"/>
    <w:rsid w:val="6C8B1F02"/>
    <w:rsid w:val="6C950E4F"/>
    <w:rsid w:val="6CA83A15"/>
    <w:rsid w:val="6CAC3E0C"/>
    <w:rsid w:val="6CB06CB1"/>
    <w:rsid w:val="6CB247D7"/>
    <w:rsid w:val="6CB6041C"/>
    <w:rsid w:val="6CB66579"/>
    <w:rsid w:val="6CB8244A"/>
    <w:rsid w:val="6CC276A7"/>
    <w:rsid w:val="6CC871DB"/>
    <w:rsid w:val="6CCA7F5F"/>
    <w:rsid w:val="6CCC1890"/>
    <w:rsid w:val="6CCE3A0F"/>
    <w:rsid w:val="6CD56A97"/>
    <w:rsid w:val="6CE12B8C"/>
    <w:rsid w:val="6CEA6F45"/>
    <w:rsid w:val="6CEF4C77"/>
    <w:rsid w:val="6CF66AB8"/>
    <w:rsid w:val="6CF87A3D"/>
    <w:rsid w:val="6D0210B5"/>
    <w:rsid w:val="6D1014FE"/>
    <w:rsid w:val="6D136D6B"/>
    <w:rsid w:val="6D140FEE"/>
    <w:rsid w:val="6D1A1F86"/>
    <w:rsid w:val="6D290849"/>
    <w:rsid w:val="6D4228CF"/>
    <w:rsid w:val="6D4F64CA"/>
    <w:rsid w:val="6D5506D8"/>
    <w:rsid w:val="6D550932"/>
    <w:rsid w:val="6D5546C4"/>
    <w:rsid w:val="6D567859"/>
    <w:rsid w:val="6D595A4D"/>
    <w:rsid w:val="6D597CE1"/>
    <w:rsid w:val="6D605FE2"/>
    <w:rsid w:val="6D610AD4"/>
    <w:rsid w:val="6D6668C3"/>
    <w:rsid w:val="6D6D5055"/>
    <w:rsid w:val="6D7B106D"/>
    <w:rsid w:val="6D7C41CB"/>
    <w:rsid w:val="6D82354E"/>
    <w:rsid w:val="6D932CE1"/>
    <w:rsid w:val="6D9E6B0A"/>
    <w:rsid w:val="6DA31C56"/>
    <w:rsid w:val="6DAF5D52"/>
    <w:rsid w:val="6DB34098"/>
    <w:rsid w:val="6DB47563"/>
    <w:rsid w:val="6DB545B6"/>
    <w:rsid w:val="6DD94759"/>
    <w:rsid w:val="6DE02FB4"/>
    <w:rsid w:val="6DE5298B"/>
    <w:rsid w:val="6DF10A22"/>
    <w:rsid w:val="6DF17BD5"/>
    <w:rsid w:val="6E0252EB"/>
    <w:rsid w:val="6E054DDB"/>
    <w:rsid w:val="6E143918"/>
    <w:rsid w:val="6E1C553E"/>
    <w:rsid w:val="6E2039C3"/>
    <w:rsid w:val="6E2326C0"/>
    <w:rsid w:val="6E2A65EF"/>
    <w:rsid w:val="6E326C95"/>
    <w:rsid w:val="6E386F21"/>
    <w:rsid w:val="6E387A7D"/>
    <w:rsid w:val="6E3C1DE6"/>
    <w:rsid w:val="6E514CED"/>
    <w:rsid w:val="6E580C9C"/>
    <w:rsid w:val="6E681920"/>
    <w:rsid w:val="6E6C09B6"/>
    <w:rsid w:val="6E715E96"/>
    <w:rsid w:val="6E7F06FD"/>
    <w:rsid w:val="6E8625DA"/>
    <w:rsid w:val="6E8D72AA"/>
    <w:rsid w:val="6E915531"/>
    <w:rsid w:val="6E91666F"/>
    <w:rsid w:val="6EA87F10"/>
    <w:rsid w:val="6EAB7730"/>
    <w:rsid w:val="6EB563D5"/>
    <w:rsid w:val="6ED20C84"/>
    <w:rsid w:val="6ED276E2"/>
    <w:rsid w:val="6ED463F7"/>
    <w:rsid w:val="6ED56713"/>
    <w:rsid w:val="6ED92677"/>
    <w:rsid w:val="6ED95E83"/>
    <w:rsid w:val="6EDA7F02"/>
    <w:rsid w:val="6EE30C68"/>
    <w:rsid w:val="6EE92007"/>
    <w:rsid w:val="6EEA64E8"/>
    <w:rsid w:val="6EEB5490"/>
    <w:rsid w:val="6EF25870"/>
    <w:rsid w:val="6EF34284"/>
    <w:rsid w:val="6EF36ACF"/>
    <w:rsid w:val="6EF966EE"/>
    <w:rsid w:val="6EFC61DE"/>
    <w:rsid w:val="6EFF7A7C"/>
    <w:rsid w:val="6F0C014F"/>
    <w:rsid w:val="6F2179F2"/>
    <w:rsid w:val="6F225983"/>
    <w:rsid w:val="6F251F6C"/>
    <w:rsid w:val="6F280D81"/>
    <w:rsid w:val="6F2B6AC3"/>
    <w:rsid w:val="6F3D7604"/>
    <w:rsid w:val="6F3E1B71"/>
    <w:rsid w:val="6F5A352C"/>
    <w:rsid w:val="6F6F69B0"/>
    <w:rsid w:val="6F711E10"/>
    <w:rsid w:val="6F76710D"/>
    <w:rsid w:val="6F780CB8"/>
    <w:rsid w:val="6F8166E3"/>
    <w:rsid w:val="6F92269E"/>
    <w:rsid w:val="6F950CA6"/>
    <w:rsid w:val="6F954083"/>
    <w:rsid w:val="6F963F3C"/>
    <w:rsid w:val="6FA6361B"/>
    <w:rsid w:val="6FB619CF"/>
    <w:rsid w:val="6FC22F83"/>
    <w:rsid w:val="6FC860C0"/>
    <w:rsid w:val="6FCE295C"/>
    <w:rsid w:val="6FD2104B"/>
    <w:rsid w:val="6FD3227A"/>
    <w:rsid w:val="6FD809F9"/>
    <w:rsid w:val="6FDD7FCF"/>
    <w:rsid w:val="6FDF2D25"/>
    <w:rsid w:val="6FEC5CE3"/>
    <w:rsid w:val="6FED3085"/>
    <w:rsid w:val="6FFC5590"/>
    <w:rsid w:val="7007308C"/>
    <w:rsid w:val="7013090D"/>
    <w:rsid w:val="701D465E"/>
    <w:rsid w:val="7022593B"/>
    <w:rsid w:val="702F7C24"/>
    <w:rsid w:val="703F70C0"/>
    <w:rsid w:val="7040659E"/>
    <w:rsid w:val="704579CF"/>
    <w:rsid w:val="7047792D"/>
    <w:rsid w:val="704918EA"/>
    <w:rsid w:val="70495453"/>
    <w:rsid w:val="705067E1"/>
    <w:rsid w:val="705D1E6C"/>
    <w:rsid w:val="706C7393"/>
    <w:rsid w:val="706D1DD0"/>
    <w:rsid w:val="706F2877"/>
    <w:rsid w:val="707149AA"/>
    <w:rsid w:val="70735D0A"/>
    <w:rsid w:val="70781894"/>
    <w:rsid w:val="707B1384"/>
    <w:rsid w:val="7084223A"/>
    <w:rsid w:val="70856B87"/>
    <w:rsid w:val="70887C5B"/>
    <w:rsid w:val="709B3E9C"/>
    <w:rsid w:val="70AE175A"/>
    <w:rsid w:val="70B2737D"/>
    <w:rsid w:val="70B7060E"/>
    <w:rsid w:val="70BE0B3A"/>
    <w:rsid w:val="70C8085A"/>
    <w:rsid w:val="70D527EE"/>
    <w:rsid w:val="70D54F38"/>
    <w:rsid w:val="70DC65E5"/>
    <w:rsid w:val="70E43EEB"/>
    <w:rsid w:val="70F26F46"/>
    <w:rsid w:val="70F43420"/>
    <w:rsid w:val="710918CA"/>
    <w:rsid w:val="710A14CC"/>
    <w:rsid w:val="710A421B"/>
    <w:rsid w:val="71147A0F"/>
    <w:rsid w:val="7116102D"/>
    <w:rsid w:val="7117214D"/>
    <w:rsid w:val="712437CA"/>
    <w:rsid w:val="712C5E99"/>
    <w:rsid w:val="7130216F"/>
    <w:rsid w:val="714E0847"/>
    <w:rsid w:val="715A71EC"/>
    <w:rsid w:val="715B5300"/>
    <w:rsid w:val="716B4909"/>
    <w:rsid w:val="71796CC9"/>
    <w:rsid w:val="717E5E26"/>
    <w:rsid w:val="71831F9B"/>
    <w:rsid w:val="718538F7"/>
    <w:rsid w:val="71900E5F"/>
    <w:rsid w:val="7191167F"/>
    <w:rsid w:val="71934328"/>
    <w:rsid w:val="719474CA"/>
    <w:rsid w:val="7199291A"/>
    <w:rsid w:val="71A62431"/>
    <w:rsid w:val="71A855DA"/>
    <w:rsid w:val="71B34AB7"/>
    <w:rsid w:val="71B654A7"/>
    <w:rsid w:val="71BA7C8A"/>
    <w:rsid w:val="71BE25F8"/>
    <w:rsid w:val="71BE574B"/>
    <w:rsid w:val="71C07997"/>
    <w:rsid w:val="71C54FAD"/>
    <w:rsid w:val="71C64881"/>
    <w:rsid w:val="71D0790D"/>
    <w:rsid w:val="71D27F8A"/>
    <w:rsid w:val="71EF5B86"/>
    <w:rsid w:val="71F15DA2"/>
    <w:rsid w:val="71F4319C"/>
    <w:rsid w:val="71F47640"/>
    <w:rsid w:val="71F52013"/>
    <w:rsid w:val="71F87130"/>
    <w:rsid w:val="72020DF7"/>
    <w:rsid w:val="72081E4F"/>
    <w:rsid w:val="7208749C"/>
    <w:rsid w:val="721B4BCD"/>
    <w:rsid w:val="721B697B"/>
    <w:rsid w:val="721E2355"/>
    <w:rsid w:val="7225362E"/>
    <w:rsid w:val="722865A7"/>
    <w:rsid w:val="72286DEC"/>
    <w:rsid w:val="723143F0"/>
    <w:rsid w:val="723652CB"/>
    <w:rsid w:val="7249798C"/>
    <w:rsid w:val="72553024"/>
    <w:rsid w:val="72571E22"/>
    <w:rsid w:val="72582BDC"/>
    <w:rsid w:val="727868A1"/>
    <w:rsid w:val="7278770A"/>
    <w:rsid w:val="727918F3"/>
    <w:rsid w:val="727C2B53"/>
    <w:rsid w:val="72801BC6"/>
    <w:rsid w:val="72895FDA"/>
    <w:rsid w:val="729606F7"/>
    <w:rsid w:val="72990F3C"/>
    <w:rsid w:val="729D55E2"/>
    <w:rsid w:val="729F740B"/>
    <w:rsid w:val="72AB7C9C"/>
    <w:rsid w:val="72B14CA1"/>
    <w:rsid w:val="72B63CCE"/>
    <w:rsid w:val="72B7648B"/>
    <w:rsid w:val="72C5714B"/>
    <w:rsid w:val="72CE714F"/>
    <w:rsid w:val="72DA6836"/>
    <w:rsid w:val="72DB65C4"/>
    <w:rsid w:val="72E80678"/>
    <w:rsid w:val="72E86171"/>
    <w:rsid w:val="72F16998"/>
    <w:rsid w:val="72FF46EB"/>
    <w:rsid w:val="730875B6"/>
    <w:rsid w:val="730E028E"/>
    <w:rsid w:val="73122968"/>
    <w:rsid w:val="73142912"/>
    <w:rsid w:val="73155AC0"/>
    <w:rsid w:val="731F5D5E"/>
    <w:rsid w:val="735008A6"/>
    <w:rsid w:val="73586EA2"/>
    <w:rsid w:val="735D2FC3"/>
    <w:rsid w:val="73666AA3"/>
    <w:rsid w:val="7372081D"/>
    <w:rsid w:val="73737565"/>
    <w:rsid w:val="73877C05"/>
    <w:rsid w:val="738E31E4"/>
    <w:rsid w:val="7399292E"/>
    <w:rsid w:val="73A30C4D"/>
    <w:rsid w:val="73A92B0E"/>
    <w:rsid w:val="73AB119A"/>
    <w:rsid w:val="73C51AD5"/>
    <w:rsid w:val="73C66DBA"/>
    <w:rsid w:val="73CC0845"/>
    <w:rsid w:val="73DA7CD9"/>
    <w:rsid w:val="73E22B02"/>
    <w:rsid w:val="73E70E18"/>
    <w:rsid w:val="73F578AF"/>
    <w:rsid w:val="73F66B2F"/>
    <w:rsid w:val="73F748FD"/>
    <w:rsid w:val="73F77349"/>
    <w:rsid w:val="74082105"/>
    <w:rsid w:val="740A4EF9"/>
    <w:rsid w:val="741059A4"/>
    <w:rsid w:val="741E793C"/>
    <w:rsid w:val="74203E06"/>
    <w:rsid w:val="74232E7B"/>
    <w:rsid w:val="742C0C8D"/>
    <w:rsid w:val="742C28D7"/>
    <w:rsid w:val="743106D8"/>
    <w:rsid w:val="74324450"/>
    <w:rsid w:val="74420908"/>
    <w:rsid w:val="74462F32"/>
    <w:rsid w:val="744A4644"/>
    <w:rsid w:val="744D2866"/>
    <w:rsid w:val="744F43E5"/>
    <w:rsid w:val="74593700"/>
    <w:rsid w:val="745E3944"/>
    <w:rsid w:val="74644F0E"/>
    <w:rsid w:val="747178D8"/>
    <w:rsid w:val="747405C4"/>
    <w:rsid w:val="747B36E0"/>
    <w:rsid w:val="747C5C15"/>
    <w:rsid w:val="74811900"/>
    <w:rsid w:val="74856C75"/>
    <w:rsid w:val="748B74F2"/>
    <w:rsid w:val="749A44CF"/>
    <w:rsid w:val="74A007C9"/>
    <w:rsid w:val="74C9464C"/>
    <w:rsid w:val="74CA1B8B"/>
    <w:rsid w:val="74CC21AE"/>
    <w:rsid w:val="74E406C6"/>
    <w:rsid w:val="74E413C5"/>
    <w:rsid w:val="74E865B3"/>
    <w:rsid w:val="74EA443B"/>
    <w:rsid w:val="74F106F2"/>
    <w:rsid w:val="74F56C0D"/>
    <w:rsid w:val="74F811F5"/>
    <w:rsid w:val="74F82FA3"/>
    <w:rsid w:val="74FF3C92"/>
    <w:rsid w:val="7500577B"/>
    <w:rsid w:val="752D5343"/>
    <w:rsid w:val="752D7B49"/>
    <w:rsid w:val="7530273D"/>
    <w:rsid w:val="753455A1"/>
    <w:rsid w:val="753A2EE2"/>
    <w:rsid w:val="753D110D"/>
    <w:rsid w:val="75546A80"/>
    <w:rsid w:val="75600649"/>
    <w:rsid w:val="757A1B7A"/>
    <w:rsid w:val="758B5EDA"/>
    <w:rsid w:val="75987078"/>
    <w:rsid w:val="759955B8"/>
    <w:rsid w:val="759C41D9"/>
    <w:rsid w:val="75B20343"/>
    <w:rsid w:val="75B54DF7"/>
    <w:rsid w:val="75BF0CCB"/>
    <w:rsid w:val="75BF69AE"/>
    <w:rsid w:val="75C11C10"/>
    <w:rsid w:val="75C607E7"/>
    <w:rsid w:val="75D91027"/>
    <w:rsid w:val="75DA63D6"/>
    <w:rsid w:val="75E023B5"/>
    <w:rsid w:val="75E47D5D"/>
    <w:rsid w:val="75F61BD9"/>
    <w:rsid w:val="75FA0554"/>
    <w:rsid w:val="76181064"/>
    <w:rsid w:val="76193DFA"/>
    <w:rsid w:val="762B4FB9"/>
    <w:rsid w:val="7635099D"/>
    <w:rsid w:val="763B0554"/>
    <w:rsid w:val="764E7E7D"/>
    <w:rsid w:val="765406AD"/>
    <w:rsid w:val="76560C2E"/>
    <w:rsid w:val="76593F16"/>
    <w:rsid w:val="765A7279"/>
    <w:rsid w:val="766745D0"/>
    <w:rsid w:val="766C228B"/>
    <w:rsid w:val="76810FE9"/>
    <w:rsid w:val="768304B6"/>
    <w:rsid w:val="76933888"/>
    <w:rsid w:val="76A333E3"/>
    <w:rsid w:val="76B63116"/>
    <w:rsid w:val="76B739E0"/>
    <w:rsid w:val="76BC494B"/>
    <w:rsid w:val="76BE4E69"/>
    <w:rsid w:val="76BF4FBC"/>
    <w:rsid w:val="76CA157F"/>
    <w:rsid w:val="76CC46E8"/>
    <w:rsid w:val="76D611DA"/>
    <w:rsid w:val="76E42DE4"/>
    <w:rsid w:val="76E54E88"/>
    <w:rsid w:val="76FD2AF3"/>
    <w:rsid w:val="770025E3"/>
    <w:rsid w:val="77073972"/>
    <w:rsid w:val="77087D1E"/>
    <w:rsid w:val="770A75F4"/>
    <w:rsid w:val="770C2D36"/>
    <w:rsid w:val="770E4B0E"/>
    <w:rsid w:val="7712733D"/>
    <w:rsid w:val="772067E2"/>
    <w:rsid w:val="77282AFD"/>
    <w:rsid w:val="7731341A"/>
    <w:rsid w:val="77375D74"/>
    <w:rsid w:val="77545354"/>
    <w:rsid w:val="776D1A65"/>
    <w:rsid w:val="77707769"/>
    <w:rsid w:val="77737259"/>
    <w:rsid w:val="77762421"/>
    <w:rsid w:val="7777140E"/>
    <w:rsid w:val="777A5AB0"/>
    <w:rsid w:val="77843214"/>
    <w:rsid w:val="7789082B"/>
    <w:rsid w:val="77890A02"/>
    <w:rsid w:val="77955421"/>
    <w:rsid w:val="779A2A38"/>
    <w:rsid w:val="77A25449"/>
    <w:rsid w:val="77B56B1F"/>
    <w:rsid w:val="77B87920"/>
    <w:rsid w:val="77BA09E4"/>
    <w:rsid w:val="77BC650A"/>
    <w:rsid w:val="77BE04D4"/>
    <w:rsid w:val="77CF26E1"/>
    <w:rsid w:val="77D65A79"/>
    <w:rsid w:val="77E63081"/>
    <w:rsid w:val="77F263D0"/>
    <w:rsid w:val="77F35CA4"/>
    <w:rsid w:val="77FE23A6"/>
    <w:rsid w:val="78072156"/>
    <w:rsid w:val="780F09F4"/>
    <w:rsid w:val="78197E01"/>
    <w:rsid w:val="781A49C1"/>
    <w:rsid w:val="781A5545"/>
    <w:rsid w:val="781C34BC"/>
    <w:rsid w:val="781D71EE"/>
    <w:rsid w:val="78250553"/>
    <w:rsid w:val="783F43BB"/>
    <w:rsid w:val="78457CA4"/>
    <w:rsid w:val="78653EBF"/>
    <w:rsid w:val="78697C2B"/>
    <w:rsid w:val="786B1DBC"/>
    <w:rsid w:val="787E4B3E"/>
    <w:rsid w:val="78811E11"/>
    <w:rsid w:val="78812026"/>
    <w:rsid w:val="78970267"/>
    <w:rsid w:val="78A141F4"/>
    <w:rsid w:val="78A31478"/>
    <w:rsid w:val="78A61531"/>
    <w:rsid w:val="78A75B70"/>
    <w:rsid w:val="78A90480"/>
    <w:rsid w:val="78AA6CAB"/>
    <w:rsid w:val="78B503B2"/>
    <w:rsid w:val="78B6564F"/>
    <w:rsid w:val="78C340F7"/>
    <w:rsid w:val="78C37D6C"/>
    <w:rsid w:val="78E0091E"/>
    <w:rsid w:val="78E43621"/>
    <w:rsid w:val="78E74258"/>
    <w:rsid w:val="78EE303B"/>
    <w:rsid w:val="78F243DE"/>
    <w:rsid w:val="78F9553C"/>
    <w:rsid w:val="78FF6FF6"/>
    <w:rsid w:val="790B101E"/>
    <w:rsid w:val="790C526F"/>
    <w:rsid w:val="79153CDF"/>
    <w:rsid w:val="792413CA"/>
    <w:rsid w:val="79246A5D"/>
    <w:rsid w:val="792F50BD"/>
    <w:rsid w:val="7947274B"/>
    <w:rsid w:val="79501600"/>
    <w:rsid w:val="7956577C"/>
    <w:rsid w:val="795B6538"/>
    <w:rsid w:val="795C61F7"/>
    <w:rsid w:val="796230E1"/>
    <w:rsid w:val="79694715"/>
    <w:rsid w:val="79820DDA"/>
    <w:rsid w:val="798474FC"/>
    <w:rsid w:val="7985432F"/>
    <w:rsid w:val="798B075D"/>
    <w:rsid w:val="79986B03"/>
    <w:rsid w:val="79A149AA"/>
    <w:rsid w:val="79AC7219"/>
    <w:rsid w:val="79B17BC5"/>
    <w:rsid w:val="79C74A9A"/>
    <w:rsid w:val="79CA2CA8"/>
    <w:rsid w:val="79CE4C1B"/>
    <w:rsid w:val="79DC209C"/>
    <w:rsid w:val="79F070E6"/>
    <w:rsid w:val="79F4223B"/>
    <w:rsid w:val="7A2F491E"/>
    <w:rsid w:val="7A32113D"/>
    <w:rsid w:val="7A32799C"/>
    <w:rsid w:val="7A364017"/>
    <w:rsid w:val="7A3840D2"/>
    <w:rsid w:val="7A395308"/>
    <w:rsid w:val="7A3A5144"/>
    <w:rsid w:val="7A3F7259"/>
    <w:rsid w:val="7A5924AC"/>
    <w:rsid w:val="7A595FED"/>
    <w:rsid w:val="7A5E7D4D"/>
    <w:rsid w:val="7A6E054B"/>
    <w:rsid w:val="7A72067C"/>
    <w:rsid w:val="7A7F1D4F"/>
    <w:rsid w:val="7A7F5090"/>
    <w:rsid w:val="7A8265E1"/>
    <w:rsid w:val="7A8636EA"/>
    <w:rsid w:val="7A8B6668"/>
    <w:rsid w:val="7A8F0905"/>
    <w:rsid w:val="7A94376E"/>
    <w:rsid w:val="7A9D6AC7"/>
    <w:rsid w:val="7AAD3A5C"/>
    <w:rsid w:val="7AAD65DE"/>
    <w:rsid w:val="7AD33987"/>
    <w:rsid w:val="7ADD3367"/>
    <w:rsid w:val="7ADE49EA"/>
    <w:rsid w:val="7AE364A4"/>
    <w:rsid w:val="7AF4480E"/>
    <w:rsid w:val="7AFE283C"/>
    <w:rsid w:val="7AFE7518"/>
    <w:rsid w:val="7B025645"/>
    <w:rsid w:val="7B087CB8"/>
    <w:rsid w:val="7B0E59CA"/>
    <w:rsid w:val="7B14073D"/>
    <w:rsid w:val="7B18439F"/>
    <w:rsid w:val="7B191CA5"/>
    <w:rsid w:val="7B2D5B14"/>
    <w:rsid w:val="7B3373D7"/>
    <w:rsid w:val="7B393159"/>
    <w:rsid w:val="7B3B008E"/>
    <w:rsid w:val="7B470A74"/>
    <w:rsid w:val="7B4D657D"/>
    <w:rsid w:val="7B512C90"/>
    <w:rsid w:val="7B5770BD"/>
    <w:rsid w:val="7B5A48E1"/>
    <w:rsid w:val="7B672C31"/>
    <w:rsid w:val="7B686D42"/>
    <w:rsid w:val="7B6E0463"/>
    <w:rsid w:val="7B722E45"/>
    <w:rsid w:val="7B7B2F65"/>
    <w:rsid w:val="7B7D06A6"/>
    <w:rsid w:val="7B841746"/>
    <w:rsid w:val="7B8732D3"/>
    <w:rsid w:val="7B881C93"/>
    <w:rsid w:val="7BAF255C"/>
    <w:rsid w:val="7BB32F79"/>
    <w:rsid w:val="7BB85132"/>
    <w:rsid w:val="7BC167E5"/>
    <w:rsid w:val="7BC260B9"/>
    <w:rsid w:val="7BC8247B"/>
    <w:rsid w:val="7BD24577"/>
    <w:rsid w:val="7BD55E55"/>
    <w:rsid w:val="7BDF4EBD"/>
    <w:rsid w:val="7BF01008"/>
    <w:rsid w:val="7BF070CA"/>
    <w:rsid w:val="7BF70A74"/>
    <w:rsid w:val="7BFB175E"/>
    <w:rsid w:val="7BFE3DF2"/>
    <w:rsid w:val="7C0641F8"/>
    <w:rsid w:val="7C094F4F"/>
    <w:rsid w:val="7C1C1AFD"/>
    <w:rsid w:val="7C210A01"/>
    <w:rsid w:val="7C2E19A1"/>
    <w:rsid w:val="7C372603"/>
    <w:rsid w:val="7C3A0A24"/>
    <w:rsid w:val="7C3D3992"/>
    <w:rsid w:val="7C533207"/>
    <w:rsid w:val="7C5A4544"/>
    <w:rsid w:val="7C623C46"/>
    <w:rsid w:val="7C63450B"/>
    <w:rsid w:val="7C6453C2"/>
    <w:rsid w:val="7C670AEC"/>
    <w:rsid w:val="7C6C5AC7"/>
    <w:rsid w:val="7C727735"/>
    <w:rsid w:val="7C7E6484"/>
    <w:rsid w:val="7C7F3C25"/>
    <w:rsid w:val="7C804BF8"/>
    <w:rsid w:val="7C8810B1"/>
    <w:rsid w:val="7C896BD7"/>
    <w:rsid w:val="7C9E2682"/>
    <w:rsid w:val="7CA80667"/>
    <w:rsid w:val="7CAF5D73"/>
    <w:rsid w:val="7CB41C31"/>
    <w:rsid w:val="7CC139FD"/>
    <w:rsid w:val="7CC4177B"/>
    <w:rsid w:val="7CC6544B"/>
    <w:rsid w:val="7CCF6CE0"/>
    <w:rsid w:val="7CDA558A"/>
    <w:rsid w:val="7CDC0B2E"/>
    <w:rsid w:val="7CE8640F"/>
    <w:rsid w:val="7CF44998"/>
    <w:rsid w:val="7D017DFF"/>
    <w:rsid w:val="7D0239FF"/>
    <w:rsid w:val="7D0E7883"/>
    <w:rsid w:val="7D0F2603"/>
    <w:rsid w:val="7D1D659E"/>
    <w:rsid w:val="7D1F607A"/>
    <w:rsid w:val="7D2704D6"/>
    <w:rsid w:val="7D387999"/>
    <w:rsid w:val="7D531A96"/>
    <w:rsid w:val="7D5E1E12"/>
    <w:rsid w:val="7D5E40CD"/>
    <w:rsid w:val="7D627B54"/>
    <w:rsid w:val="7D647FF3"/>
    <w:rsid w:val="7D662A79"/>
    <w:rsid w:val="7D761851"/>
    <w:rsid w:val="7D8B4645"/>
    <w:rsid w:val="7D9C067E"/>
    <w:rsid w:val="7D9C705A"/>
    <w:rsid w:val="7D9F2B56"/>
    <w:rsid w:val="7DA22646"/>
    <w:rsid w:val="7DB3215D"/>
    <w:rsid w:val="7DBC6909"/>
    <w:rsid w:val="7DCD56F2"/>
    <w:rsid w:val="7DEA3972"/>
    <w:rsid w:val="7DFD3486"/>
    <w:rsid w:val="7DFE5934"/>
    <w:rsid w:val="7DFF53A3"/>
    <w:rsid w:val="7E24305B"/>
    <w:rsid w:val="7E284761"/>
    <w:rsid w:val="7E286243"/>
    <w:rsid w:val="7E3516F8"/>
    <w:rsid w:val="7E3C65F7"/>
    <w:rsid w:val="7E446BCA"/>
    <w:rsid w:val="7E486D4A"/>
    <w:rsid w:val="7E4A1738"/>
    <w:rsid w:val="7E51692C"/>
    <w:rsid w:val="7E5D6B84"/>
    <w:rsid w:val="7E617E0B"/>
    <w:rsid w:val="7E6A36E6"/>
    <w:rsid w:val="7E6B3434"/>
    <w:rsid w:val="7E7062A0"/>
    <w:rsid w:val="7E7F72F0"/>
    <w:rsid w:val="7E821C80"/>
    <w:rsid w:val="7E834226"/>
    <w:rsid w:val="7E9E243F"/>
    <w:rsid w:val="7EAC3820"/>
    <w:rsid w:val="7EAD4DFF"/>
    <w:rsid w:val="7EB341A2"/>
    <w:rsid w:val="7EBE3837"/>
    <w:rsid w:val="7EC363D0"/>
    <w:rsid w:val="7ED14F91"/>
    <w:rsid w:val="7EDC7FBD"/>
    <w:rsid w:val="7EE875BD"/>
    <w:rsid w:val="7EEF2ABE"/>
    <w:rsid w:val="7EEF3669"/>
    <w:rsid w:val="7EEF71C5"/>
    <w:rsid w:val="7EF06E36"/>
    <w:rsid w:val="7F001CE7"/>
    <w:rsid w:val="7F0215EE"/>
    <w:rsid w:val="7F0D1D41"/>
    <w:rsid w:val="7F1629A4"/>
    <w:rsid w:val="7F1906E6"/>
    <w:rsid w:val="7F1E583B"/>
    <w:rsid w:val="7F370B6C"/>
    <w:rsid w:val="7F392B36"/>
    <w:rsid w:val="7F3E1268"/>
    <w:rsid w:val="7F402117"/>
    <w:rsid w:val="7F471DFC"/>
    <w:rsid w:val="7F49745B"/>
    <w:rsid w:val="7F4E65DD"/>
    <w:rsid w:val="7F553C82"/>
    <w:rsid w:val="7F5654AA"/>
    <w:rsid w:val="7F635236"/>
    <w:rsid w:val="7F64215B"/>
    <w:rsid w:val="7F871C4A"/>
    <w:rsid w:val="7F8B73C1"/>
    <w:rsid w:val="7F8C2C66"/>
    <w:rsid w:val="7F914720"/>
    <w:rsid w:val="7F91726F"/>
    <w:rsid w:val="7F9344DF"/>
    <w:rsid w:val="7F9409BA"/>
    <w:rsid w:val="7F971A9D"/>
    <w:rsid w:val="7FA72A45"/>
    <w:rsid w:val="7FA93818"/>
    <w:rsid w:val="7FAF2360"/>
    <w:rsid w:val="7FB623D9"/>
    <w:rsid w:val="7FB87EFF"/>
    <w:rsid w:val="7FBC14B2"/>
    <w:rsid w:val="7FCA435E"/>
    <w:rsid w:val="7FD839CB"/>
    <w:rsid w:val="7FDA2057"/>
    <w:rsid w:val="7FDA33F8"/>
    <w:rsid w:val="7FE47E50"/>
    <w:rsid w:val="7FFA4FF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qFormat="1"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line="360" w:lineRule="auto"/>
      <w:ind w:firstLine="0"/>
      <w:outlineLvl w:val="1"/>
    </w:pPr>
    <w:rPr>
      <w:rFonts w:ascii="仿宋_GB2312" w:hAnsi="仿宋_GB2312"/>
      <w:sz w:val="28"/>
    </w:rPr>
  </w:style>
  <w:style w:type="paragraph" w:styleId="4">
    <w:name w:val="heading 3"/>
    <w:basedOn w:val="1"/>
    <w:next w:val="1"/>
    <w:qFormat/>
    <w:locked/>
    <w:uiPriority w:val="0"/>
    <w:pPr>
      <w:keepNext/>
      <w:keepLines/>
      <w:ind w:firstLine="0"/>
      <w:outlineLvl w:val="2"/>
    </w:pPr>
  </w:style>
  <w:style w:type="paragraph" w:styleId="5">
    <w:name w:val="heading 4"/>
    <w:basedOn w:val="1"/>
    <w:next w:val="1"/>
    <w:unhideWhenUsed/>
    <w:qFormat/>
    <w:locked/>
    <w:uiPriority w:val="0"/>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character" w:default="1" w:styleId="32">
    <w:name w:val="Default Paragraph Font"/>
    <w:link w:val="33"/>
    <w:semiHidden/>
    <w:qFormat/>
    <w:uiPriority w:val="0"/>
    <w:rPr>
      <w:rFonts w:eastAsia="宋体"/>
      <w:sz w:val="21"/>
      <w:szCs w:val="24"/>
    </w:rPr>
  </w:style>
  <w:style w:type="table" w:default="1" w:styleId="30">
    <w:name w:val="Normal Table"/>
    <w:semiHidden/>
    <w:qFormat/>
    <w:uiPriority w:val="0"/>
    <w:tblPr>
      <w:tblCellMar>
        <w:top w:w="0" w:type="dxa"/>
        <w:left w:w="108" w:type="dxa"/>
        <w:bottom w:w="0" w:type="dxa"/>
        <w:right w:w="108" w:type="dxa"/>
      </w:tblCellMar>
    </w:tblPr>
  </w:style>
  <w:style w:type="paragraph" w:styleId="6">
    <w:name w:val="Note Heading"/>
    <w:basedOn w:val="1"/>
    <w:next w:val="1"/>
    <w:qFormat/>
    <w:locked/>
    <w:uiPriority w:val="0"/>
    <w:pPr>
      <w:jc w:val="center"/>
    </w:pPr>
  </w:style>
  <w:style w:type="paragraph" w:styleId="7">
    <w:name w:val="Normal Indent"/>
    <w:basedOn w:val="1"/>
    <w:next w:val="1"/>
    <w:qFormat/>
    <w:locked/>
    <w:uiPriority w:val="0"/>
    <w:pPr>
      <w:ind w:firstLine="420"/>
    </w:pPr>
  </w:style>
  <w:style w:type="paragraph" w:styleId="8">
    <w:name w:val="caption"/>
    <w:basedOn w:val="1"/>
    <w:next w:val="1"/>
    <w:qFormat/>
    <w:locked/>
    <w:uiPriority w:val="0"/>
    <w:pPr>
      <w:keepNext/>
      <w:spacing w:before="120"/>
      <w:jc w:val="center"/>
    </w:pPr>
    <w:rPr>
      <w:rFonts w:ascii="宋体" w:hAnsi="宋体"/>
      <w:b/>
      <w:sz w:val="21"/>
      <w:szCs w:val="21"/>
    </w:rPr>
  </w:style>
  <w:style w:type="paragraph" w:styleId="9">
    <w:name w:val="annotation text"/>
    <w:basedOn w:val="1"/>
    <w:link w:val="39"/>
    <w:semiHidden/>
    <w:qFormat/>
    <w:uiPriority w:val="0"/>
    <w:pPr>
      <w:jc w:val="left"/>
    </w:pPr>
    <w:rPr>
      <w:kern w:val="0"/>
      <w:sz w:val="24"/>
      <w:szCs w:val="20"/>
    </w:rPr>
  </w:style>
  <w:style w:type="paragraph" w:styleId="10">
    <w:name w:val="Salutation"/>
    <w:basedOn w:val="1"/>
    <w:next w:val="1"/>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1">
    <w:name w:val="Body Text"/>
    <w:basedOn w:val="1"/>
    <w:link w:val="40"/>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41"/>
    <w:qFormat/>
    <w:uiPriority w:val="0"/>
    <w:pPr>
      <w:spacing w:after="120"/>
      <w:ind w:left="420" w:leftChars="200"/>
    </w:pPr>
    <w:rPr>
      <w:kern w:val="0"/>
      <w:sz w:val="24"/>
      <w:szCs w:val="20"/>
    </w:rPr>
  </w:style>
  <w:style w:type="paragraph" w:styleId="13">
    <w:name w:val="Balloon Text"/>
    <w:basedOn w:val="1"/>
    <w:next w:val="11"/>
    <w:link w:val="43"/>
    <w:semiHidden/>
    <w:qFormat/>
    <w:uiPriority w:val="0"/>
    <w:rPr>
      <w:kern w:val="0"/>
      <w:sz w:val="18"/>
      <w:szCs w:val="20"/>
    </w:rPr>
  </w:style>
  <w:style w:type="paragraph" w:styleId="14">
    <w:name w:val="Block Text"/>
    <w:basedOn w:val="1"/>
    <w:qFormat/>
    <w:locked/>
    <w:uiPriority w:val="0"/>
    <w:pPr>
      <w:spacing w:line="440" w:lineRule="exact"/>
      <w:ind w:left="105" w:leftChars="50" w:right="105" w:rightChars="50" w:firstLine="556"/>
    </w:pPr>
    <w:rPr>
      <w:rFonts w:ascii="仿宋_GB2312" w:hAnsi="Monotype Corsiva" w:eastAsia="仿宋_GB2312"/>
      <w:bCs/>
      <w:sz w:val="24"/>
    </w:rPr>
  </w:style>
  <w:style w:type="paragraph" w:styleId="15">
    <w:name w:val="index 4"/>
    <w:basedOn w:val="1"/>
    <w:next w:val="1"/>
    <w:qFormat/>
    <w:locked/>
    <w:uiPriority w:val="0"/>
    <w:pPr>
      <w:ind w:left="600" w:leftChars="600"/>
    </w:pPr>
    <w:rPr>
      <w:sz w:val="21"/>
    </w:rPr>
  </w:style>
  <w:style w:type="paragraph" w:styleId="16">
    <w:name w:val="Plain Text"/>
    <w:basedOn w:val="1"/>
    <w:next w:val="1"/>
    <w:qFormat/>
    <w:locked/>
    <w:uiPriority w:val="0"/>
    <w:pPr>
      <w:ind w:firstLine="0"/>
    </w:pPr>
    <w:rPr>
      <w:rFonts w:ascii="宋体" w:hAnsi="Courier New"/>
      <w:sz w:val="24"/>
    </w:rPr>
  </w:style>
  <w:style w:type="paragraph" w:styleId="17">
    <w:name w:val="Date"/>
    <w:basedOn w:val="1"/>
    <w:next w:val="1"/>
    <w:link w:val="42"/>
    <w:qFormat/>
    <w:uiPriority w:val="0"/>
    <w:pPr>
      <w:ind w:left="100" w:leftChars="2500"/>
    </w:pPr>
    <w:rPr>
      <w:kern w:val="0"/>
      <w:sz w:val="24"/>
      <w:szCs w:val="20"/>
    </w:rPr>
  </w:style>
  <w:style w:type="paragraph" w:styleId="18">
    <w:name w:val="footer"/>
    <w:basedOn w:val="1"/>
    <w:link w:val="44"/>
    <w:qFormat/>
    <w:uiPriority w:val="99"/>
    <w:pPr>
      <w:tabs>
        <w:tab w:val="center" w:pos="4153"/>
        <w:tab w:val="right" w:pos="8306"/>
      </w:tabs>
      <w:snapToGrid w:val="0"/>
      <w:jc w:val="left"/>
    </w:pPr>
    <w:rPr>
      <w:kern w:val="0"/>
      <w:sz w:val="18"/>
      <w:szCs w:val="20"/>
    </w:rPr>
  </w:style>
  <w:style w:type="paragraph" w:styleId="19">
    <w:name w:val="envelope return"/>
    <w:basedOn w:val="1"/>
    <w:qFormat/>
    <w:locked/>
    <w:uiPriority w:val="0"/>
    <w:pPr>
      <w:snapToGrid w:val="0"/>
    </w:pPr>
    <w:rPr>
      <w:rFonts w:ascii="Arial" w:hAnsi="Arial"/>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qFormat/>
    <w:locked/>
    <w:uiPriority w:val="0"/>
  </w:style>
  <w:style w:type="paragraph" w:styleId="22">
    <w:name w:val="List"/>
    <w:basedOn w:val="1"/>
    <w:qFormat/>
    <w:locked/>
    <w:uiPriority w:val="99"/>
    <w:pPr>
      <w:ind w:left="200" w:hanging="200" w:hangingChars="200"/>
    </w:pPr>
  </w:style>
  <w:style w:type="paragraph" w:styleId="23">
    <w:name w:val="toc 2"/>
    <w:basedOn w:val="1"/>
    <w:next w:val="1"/>
    <w:qFormat/>
    <w:locked/>
    <w:uiPriority w:val="0"/>
    <w:pPr>
      <w:ind w:left="420" w:leftChars="200"/>
    </w:pPr>
  </w:style>
  <w:style w:type="paragraph" w:styleId="24">
    <w:name w:val="Body Text 2"/>
    <w:basedOn w:val="1"/>
    <w:qFormat/>
    <w:locked/>
    <w:uiPriority w:val="0"/>
    <w:pPr>
      <w:spacing w:line="0" w:lineRule="atLeast"/>
      <w:ind w:firstLine="0"/>
      <w:jc w:val="center"/>
    </w:pPr>
    <w:rPr>
      <w:rFonts w:eastAsia="宋体"/>
      <w:sz w:val="24"/>
    </w:rPr>
  </w:style>
  <w:style w:type="paragraph" w:styleId="25">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6">
    <w:name w:val="Title"/>
    <w:basedOn w:val="1"/>
    <w:next w:val="1"/>
    <w:qFormat/>
    <w:locked/>
    <w:uiPriority w:val="0"/>
    <w:pPr>
      <w:spacing w:before="240" w:after="60"/>
      <w:jc w:val="center"/>
      <w:outlineLvl w:val="0"/>
    </w:pPr>
    <w:rPr>
      <w:rFonts w:ascii="Cambria" w:hAnsi="Cambria" w:eastAsia="方正小标宋简体"/>
      <w:bCs/>
      <w:spacing w:val="0"/>
      <w:kern w:val="0"/>
      <w:sz w:val="36"/>
      <w:szCs w:val="32"/>
    </w:rPr>
  </w:style>
  <w:style w:type="paragraph" w:styleId="27">
    <w:name w:val="annotation subject"/>
    <w:basedOn w:val="9"/>
    <w:next w:val="9"/>
    <w:link w:val="47"/>
    <w:semiHidden/>
    <w:qFormat/>
    <w:uiPriority w:val="0"/>
    <w:rPr>
      <w:b/>
      <w:sz w:val="24"/>
      <w:szCs w:val="20"/>
    </w:rPr>
  </w:style>
  <w:style w:type="paragraph" w:styleId="28">
    <w:name w:val="Body Text First Indent"/>
    <w:basedOn w:val="11"/>
    <w:next w:val="1"/>
    <w:qFormat/>
    <w:locked/>
    <w:uiPriority w:val="0"/>
    <w:pPr>
      <w:ind w:firstLine="420" w:firstLineChars="100"/>
    </w:pPr>
  </w:style>
  <w:style w:type="paragraph" w:styleId="29">
    <w:name w:val="Body Text First Indent 2"/>
    <w:basedOn w:val="12"/>
    <w:next w:val="28"/>
    <w:qFormat/>
    <w:locked/>
    <w:uiPriority w:val="0"/>
    <w:pPr>
      <w:ind w:firstLine="420" w:firstLineChars="200"/>
    </w:pPr>
    <w:rPr>
      <w:rFonts w:eastAsia="仿宋_GB2312"/>
      <w:snapToGrid w:val="0"/>
      <w:color w:val="000000"/>
      <w:kern w:val="0"/>
      <w:sz w:val="28"/>
      <w:szCs w:val="32"/>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_Style 8"/>
    <w:basedOn w:val="1"/>
    <w:link w:val="32"/>
    <w:qFormat/>
    <w:uiPriority w:val="0"/>
    <w:pPr>
      <w:ind w:firstLine="0"/>
    </w:pPr>
    <w:rPr>
      <w:rFonts w:eastAsia="宋体"/>
      <w:sz w:val="21"/>
      <w:szCs w:val="24"/>
    </w:rPr>
  </w:style>
  <w:style w:type="character" w:styleId="34">
    <w:name w:val="Strong"/>
    <w:basedOn w:val="32"/>
    <w:qFormat/>
    <w:locked/>
    <w:uiPriority w:val="0"/>
    <w:rPr>
      <w:b/>
    </w:rPr>
  </w:style>
  <w:style w:type="character" w:styleId="35">
    <w:name w:val="page number"/>
    <w:basedOn w:val="32"/>
    <w:qFormat/>
    <w:locked/>
    <w:uiPriority w:val="0"/>
  </w:style>
  <w:style w:type="character" w:styleId="36">
    <w:name w:val="Emphasis"/>
    <w:basedOn w:val="32"/>
    <w:qFormat/>
    <w:locked/>
    <w:uiPriority w:val="0"/>
    <w:rPr>
      <w:i/>
    </w:rPr>
  </w:style>
  <w:style w:type="character" w:styleId="37">
    <w:name w:val="Hyperlink"/>
    <w:qFormat/>
    <w:locked/>
    <w:uiPriority w:val="0"/>
    <w:rPr>
      <w:rFonts w:ascii="Times New Roman" w:hAnsi="宋体" w:eastAsia="宋体" w:cs="Courier New"/>
      <w:color w:val="000000"/>
      <w:kern w:val="2"/>
      <w:sz w:val="21"/>
      <w:szCs w:val="24"/>
      <w:u w:val="none"/>
    </w:rPr>
  </w:style>
  <w:style w:type="character" w:styleId="38">
    <w:name w:val="annotation reference"/>
    <w:basedOn w:val="32"/>
    <w:semiHidden/>
    <w:qFormat/>
    <w:uiPriority w:val="0"/>
    <w:rPr>
      <w:sz w:val="21"/>
    </w:rPr>
  </w:style>
  <w:style w:type="character" w:customStyle="1" w:styleId="39">
    <w:name w:val="批注文字 Char"/>
    <w:link w:val="9"/>
    <w:qFormat/>
    <w:locked/>
    <w:uiPriority w:val="0"/>
    <w:rPr>
      <w:rFonts w:ascii="Times New Roman" w:hAnsi="Times New Roman" w:eastAsia="宋体"/>
      <w:sz w:val="24"/>
    </w:rPr>
  </w:style>
  <w:style w:type="character" w:customStyle="1" w:styleId="40">
    <w:name w:val="正文文本 Char"/>
    <w:link w:val="11"/>
    <w:qFormat/>
    <w:locked/>
    <w:uiPriority w:val="0"/>
    <w:rPr>
      <w:sz w:val="18"/>
    </w:rPr>
  </w:style>
  <w:style w:type="character" w:customStyle="1" w:styleId="41">
    <w:name w:val="正文文本缩进 Char"/>
    <w:basedOn w:val="32"/>
    <w:link w:val="12"/>
    <w:semiHidden/>
    <w:qFormat/>
    <w:locked/>
    <w:uiPriority w:val="0"/>
    <w:rPr>
      <w:rFonts w:ascii="Times New Roman" w:hAnsi="Times New Roman" w:eastAsia="宋体"/>
      <w:sz w:val="24"/>
    </w:rPr>
  </w:style>
  <w:style w:type="character" w:customStyle="1" w:styleId="42">
    <w:name w:val="日期 Char"/>
    <w:link w:val="17"/>
    <w:qFormat/>
    <w:locked/>
    <w:uiPriority w:val="0"/>
    <w:rPr>
      <w:rFonts w:ascii="Times New Roman" w:hAnsi="Times New Roman" w:eastAsia="宋体"/>
      <w:sz w:val="24"/>
    </w:rPr>
  </w:style>
  <w:style w:type="character" w:customStyle="1" w:styleId="43">
    <w:name w:val="批注框文本 Char"/>
    <w:link w:val="13"/>
    <w:semiHidden/>
    <w:qFormat/>
    <w:locked/>
    <w:uiPriority w:val="0"/>
    <w:rPr>
      <w:rFonts w:ascii="Times New Roman" w:hAnsi="Times New Roman" w:eastAsia="宋体"/>
      <w:sz w:val="18"/>
    </w:rPr>
  </w:style>
  <w:style w:type="character" w:customStyle="1" w:styleId="44">
    <w:name w:val="页脚 Char"/>
    <w:link w:val="18"/>
    <w:qFormat/>
    <w:locked/>
    <w:uiPriority w:val="99"/>
    <w:rPr>
      <w:sz w:val="18"/>
    </w:rPr>
  </w:style>
  <w:style w:type="character" w:customStyle="1" w:styleId="45">
    <w:name w:val="页眉 Char"/>
    <w:link w:val="20"/>
    <w:qFormat/>
    <w:locked/>
    <w:uiPriority w:val="0"/>
    <w:rPr>
      <w:sz w:val="18"/>
    </w:rPr>
  </w:style>
  <w:style w:type="character" w:customStyle="1" w:styleId="46">
    <w:name w:val="普通(网站) Char"/>
    <w:link w:val="25"/>
    <w:qFormat/>
    <w:locked/>
    <w:uiPriority w:val="0"/>
    <w:rPr>
      <w:rFonts w:ascii="宋体" w:hAnsi="宋体" w:eastAsia="宋体"/>
      <w:sz w:val="24"/>
    </w:rPr>
  </w:style>
  <w:style w:type="character" w:customStyle="1" w:styleId="47">
    <w:name w:val="批注主题 Char"/>
    <w:link w:val="27"/>
    <w:semiHidden/>
    <w:qFormat/>
    <w:locked/>
    <w:uiPriority w:val="0"/>
    <w:rPr>
      <w:rFonts w:ascii="Times New Roman" w:hAnsi="Times New Roman" w:eastAsia="宋体"/>
      <w:b/>
      <w:kern w:val="2"/>
      <w:sz w:val="24"/>
    </w:rPr>
  </w:style>
  <w:style w:type="paragraph" w:customStyle="1" w:styleId="48">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49">
    <w:name w:val="0正文"/>
    <w:basedOn w:val="12"/>
    <w:semiHidden/>
    <w:qFormat/>
    <w:uiPriority w:val="0"/>
    <w:pPr>
      <w:spacing w:line="360" w:lineRule="auto"/>
      <w:ind w:firstLine="720" w:firstLineChars="200"/>
      <w:jc w:val="left"/>
    </w:pPr>
    <w:rPr>
      <w:kern w:val="0"/>
      <w:sz w:val="24"/>
      <w:szCs w:val="24"/>
    </w:rPr>
  </w:style>
  <w:style w:type="paragraph" w:customStyle="1" w:styleId="50">
    <w:name w:val="表格文字"/>
    <w:basedOn w:val="1"/>
    <w:qFormat/>
    <w:uiPriority w:val="0"/>
    <w:pPr>
      <w:ind w:firstLine="0"/>
      <w:jc w:val="center"/>
    </w:pPr>
    <w:rPr>
      <w:rFonts w:eastAsia="宋体"/>
      <w:sz w:val="18"/>
      <w:szCs w:val="18"/>
    </w:rPr>
  </w:style>
  <w:style w:type="paragraph" w:customStyle="1" w:styleId="51">
    <w:name w:val="Default"/>
    <w:basedOn w:val="52"/>
    <w:qForma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paragraph" w:customStyle="1" w:styleId="52">
    <w:name w:val="纯文本1"/>
    <w:basedOn w:val="1"/>
    <w:qFormat/>
    <w:uiPriority w:val="0"/>
    <w:pPr>
      <w:adjustRightInd w:val="0"/>
      <w:textAlignment w:val="baseline"/>
    </w:pPr>
    <w:rPr>
      <w:rFonts w:ascii="宋体" w:hAnsi="Courier New"/>
    </w:rPr>
  </w:style>
  <w:style w:type="paragraph" w:customStyle="1" w:styleId="53">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54">
    <w:name w:val="样式 zhang正文 + 宋体 小四 Char"/>
    <w:basedOn w:val="55"/>
    <w:link w:val="57"/>
    <w:qFormat/>
    <w:uiPriority w:val="0"/>
    <w:rPr>
      <w:rFonts w:ascii="宋体" w:hAnsi="宋体" w:eastAsia="宋体"/>
      <w:sz w:val="24"/>
    </w:rPr>
  </w:style>
  <w:style w:type="character" w:customStyle="1" w:styleId="55">
    <w:name w:val="zhang正文 Char1"/>
    <w:basedOn w:val="41"/>
    <w:link w:val="56"/>
    <w:qFormat/>
    <w:uiPriority w:val="0"/>
    <w:rPr>
      <w:rFonts w:eastAsia="楷体_GB2312"/>
      <w:kern w:val="0"/>
    </w:rPr>
  </w:style>
  <w:style w:type="paragraph" w:customStyle="1" w:styleId="56">
    <w:name w:val="zhang正文"/>
    <w:basedOn w:val="12"/>
    <w:next w:val="1"/>
    <w:link w:val="55"/>
    <w:qFormat/>
    <w:uiPriority w:val="0"/>
    <w:pPr>
      <w:autoSpaceDE w:val="0"/>
      <w:autoSpaceDN w:val="0"/>
      <w:adjustRightInd w:val="0"/>
      <w:snapToGrid w:val="0"/>
      <w:spacing w:line="500" w:lineRule="exact"/>
      <w:ind w:firstLine="539"/>
      <w:textAlignment w:val="baseline"/>
    </w:pPr>
    <w:rPr>
      <w:rFonts w:eastAsia="楷体_GB2312"/>
      <w:kern w:val="0"/>
    </w:rPr>
  </w:style>
  <w:style w:type="paragraph" w:customStyle="1" w:styleId="57">
    <w:name w:val="样式 zhang正文 + 宋体 小四"/>
    <w:basedOn w:val="56"/>
    <w:link w:val="54"/>
    <w:qFormat/>
    <w:uiPriority w:val="0"/>
    <w:rPr>
      <w:rFonts w:ascii="宋体" w:hAnsi="宋体" w:eastAsia="宋体"/>
      <w:sz w:val="24"/>
    </w:rPr>
  </w:style>
  <w:style w:type="character" w:customStyle="1" w:styleId="58">
    <w:name w:val="页脚 字符"/>
    <w:basedOn w:val="32"/>
    <w:qFormat/>
    <w:uiPriority w:val="99"/>
  </w:style>
  <w:style w:type="character" w:customStyle="1" w:styleId="59">
    <w:name w:val="5文章(治) Char1"/>
    <w:qFormat/>
    <w:uiPriority w:val="0"/>
    <w:rPr>
      <w:rFonts w:ascii="Arial" w:hAnsi="Arial" w:eastAsia="宋体" w:cs="Tahoma"/>
      <w:snapToGrid w:val="0"/>
      <w:sz w:val="24"/>
      <w:szCs w:val="21"/>
      <w:lang w:val="en-US" w:eastAsia="zh-CN" w:bidi="ar-SA"/>
    </w:rPr>
  </w:style>
  <w:style w:type="character" w:customStyle="1" w:styleId="60">
    <w:name w:val="正文文本 字符1"/>
    <w:semiHidden/>
    <w:qFormat/>
    <w:uiPriority w:val="0"/>
    <w:rPr>
      <w:rFonts w:ascii="Times New Roman" w:hAnsi="Times New Roman" w:eastAsia="宋体"/>
      <w:sz w:val="24"/>
    </w:rPr>
  </w:style>
  <w:style w:type="character" w:customStyle="1" w:styleId="61">
    <w:name w:val="日期 字符"/>
    <w:semiHidden/>
    <w:qFormat/>
    <w:uiPriority w:val="0"/>
    <w:rPr>
      <w:rFonts w:ascii="Times New Roman" w:hAnsi="Times New Roman" w:eastAsia="宋体"/>
      <w:sz w:val="24"/>
    </w:rPr>
  </w:style>
  <w:style w:type="character" w:customStyle="1" w:styleId="62">
    <w:name w:val="表格 Char"/>
    <w:link w:val="63"/>
    <w:qFormat/>
    <w:locked/>
    <w:uiPriority w:val="0"/>
    <w:rPr>
      <w:rFonts w:ascii="宋体"/>
      <w:sz w:val="21"/>
    </w:rPr>
  </w:style>
  <w:style w:type="paragraph" w:customStyle="1" w:styleId="63">
    <w:name w:val="表格"/>
    <w:basedOn w:val="1"/>
    <w:next w:val="1"/>
    <w:link w:val="62"/>
    <w:qFormat/>
    <w:uiPriority w:val="0"/>
    <w:pPr>
      <w:adjustRightInd w:val="0"/>
      <w:snapToGrid w:val="0"/>
      <w:spacing w:beforeLines="10" w:afterLines="10" w:line="259" w:lineRule="auto"/>
      <w:jc w:val="center"/>
    </w:pPr>
    <w:rPr>
      <w:rFonts w:ascii="宋体"/>
      <w:kern w:val="0"/>
      <w:szCs w:val="20"/>
    </w:rPr>
  </w:style>
  <w:style w:type="character" w:customStyle="1" w:styleId="64">
    <w:name w:val="批注文字 字符1"/>
    <w:semiHidden/>
    <w:qFormat/>
    <w:uiPriority w:val="0"/>
    <w:rPr>
      <w:rFonts w:ascii="Times New Roman" w:hAnsi="Times New Roman" w:eastAsia="宋体"/>
      <w:sz w:val="24"/>
    </w:rPr>
  </w:style>
  <w:style w:type="paragraph" w:customStyle="1" w:styleId="65">
    <w:name w:val="正文小四"/>
    <w:basedOn w:val="1"/>
    <w:qFormat/>
    <w:uiPriority w:val="0"/>
    <w:pPr>
      <w:spacing w:line="360" w:lineRule="auto"/>
      <w:ind w:firstLine="360" w:firstLineChars="150"/>
      <w:jc w:val="left"/>
    </w:pPr>
    <w:rPr>
      <w:rFonts w:eastAsia="Century Gothic"/>
      <w:sz w:val="24"/>
    </w:rPr>
  </w:style>
  <w:style w:type="paragraph" w:customStyle="1" w:styleId="66">
    <w:name w:val="BGZX"/>
    <w:next w:val="1"/>
    <w:qFormat/>
    <w:uiPriority w:val="0"/>
    <w:pPr>
      <w:widowControl w:val="0"/>
      <w:spacing w:line="360" w:lineRule="auto"/>
      <w:ind w:firstLine="480" w:firstLineChars="200"/>
      <w:jc w:val="both"/>
      <w:textAlignment w:val="center"/>
    </w:pPr>
    <w:rPr>
      <w:rFonts w:ascii="Times New Roman" w:hAnsi="Times New Roman" w:eastAsia="宋体" w:cs="Times New Roman"/>
      <w:color w:val="0000FF"/>
      <w:sz w:val="24"/>
      <w:lang w:val="en-US" w:eastAsia="zh-CN" w:bidi="ar-SA"/>
    </w:rPr>
  </w:style>
  <w:style w:type="paragraph" w:customStyle="1" w:styleId="67">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68">
    <w:name w:val="表的标题"/>
    <w:basedOn w:val="1"/>
    <w:next w:val="69"/>
    <w:qFormat/>
    <w:uiPriority w:val="0"/>
    <w:pPr>
      <w:adjustRightInd w:val="0"/>
      <w:snapToGrid w:val="0"/>
      <w:spacing w:before="50" w:beforeLines="50"/>
      <w:jc w:val="center"/>
    </w:pPr>
    <w:rPr>
      <w:rFonts w:eastAsia="黑体" w:cs="宋体"/>
      <w:sz w:val="24"/>
      <w:szCs w:val="20"/>
    </w:rPr>
  </w:style>
  <w:style w:type="paragraph" w:customStyle="1" w:styleId="69">
    <w:name w:val="表中正文"/>
    <w:basedOn w:val="1"/>
    <w:semiHidden/>
    <w:qFormat/>
    <w:uiPriority w:val="0"/>
    <w:pPr>
      <w:autoSpaceDE w:val="0"/>
      <w:autoSpaceDN w:val="0"/>
      <w:adjustRightInd w:val="0"/>
      <w:snapToGrid w:val="0"/>
      <w:spacing w:line="300" w:lineRule="exact"/>
      <w:ind w:firstLine="0" w:firstLineChars="0"/>
      <w:jc w:val="center"/>
    </w:pPr>
    <w:rPr>
      <w:rFonts w:ascii="宋体"/>
      <w:kern w:val="0"/>
      <w:sz w:val="21"/>
      <w:szCs w:val="21"/>
    </w:rPr>
  </w:style>
  <w:style w:type="paragraph" w:customStyle="1" w:styleId="70">
    <w:name w:val="环评 表格"/>
    <w:basedOn w:val="71"/>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71">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72">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73">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74">
    <w:name w:val="样式 宋体 两端对齐 首行缩进:  2 字符"/>
    <w:basedOn w:val="1"/>
    <w:qFormat/>
    <w:uiPriority w:val="0"/>
    <w:pPr>
      <w:spacing w:line="360" w:lineRule="auto"/>
      <w:ind w:firstLine="480" w:firstLineChars="200"/>
    </w:pPr>
    <w:rPr>
      <w:rFonts w:ascii="宋体" w:hAnsi="宋体" w:eastAsia="宋体" w:cs="宋体"/>
      <w:sz w:val="24"/>
    </w:rPr>
  </w:style>
  <w:style w:type="paragraph" w:customStyle="1" w:styleId="75">
    <w:name w:val="表格1"/>
    <w:basedOn w:val="16"/>
    <w:next w:val="1"/>
    <w:qFormat/>
    <w:uiPriority w:val="0"/>
    <w:pPr>
      <w:spacing w:line="340" w:lineRule="exact"/>
      <w:jc w:val="center"/>
    </w:pPr>
    <w:rPr>
      <w:rFonts w:hAnsi="Times New Roman" w:cs="Times New Roman"/>
      <w:sz w:val="18"/>
      <w:szCs w:val="20"/>
    </w:rPr>
  </w:style>
  <w:style w:type="paragraph" w:customStyle="1" w:styleId="76">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77">
    <w:name w:val="缩进"/>
    <w:basedOn w:val="1"/>
    <w:qFormat/>
    <w:uiPriority w:val="0"/>
    <w:pPr>
      <w:autoSpaceDE w:val="0"/>
      <w:autoSpaceDN w:val="0"/>
      <w:adjustRightInd w:val="0"/>
      <w:spacing w:line="400" w:lineRule="atLeast"/>
      <w:ind w:firstLine="425"/>
      <w:textAlignment w:val="baseline"/>
    </w:pPr>
    <w:rPr>
      <w:kern w:val="0"/>
      <w:sz w:val="24"/>
      <w:szCs w:val="20"/>
    </w:rPr>
  </w:style>
  <w:style w:type="paragraph" w:customStyle="1" w:styleId="78">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79">
    <w:name w:val="7表格(治)"/>
    <w:qFormat/>
    <w:uiPriority w:val="0"/>
    <w:pPr>
      <w:jc w:val="center"/>
    </w:pPr>
    <w:rPr>
      <w:rFonts w:ascii="Calibri" w:hAnsi="Calibri" w:eastAsia="宋体" w:cs="Times New Roman"/>
      <w:sz w:val="21"/>
      <w:lang w:val="en-US" w:eastAsia="zh-CN" w:bidi="ar-SA"/>
    </w:rPr>
  </w:style>
  <w:style w:type="paragraph" w:customStyle="1" w:styleId="8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1">
    <w:name w:val="表格内容"/>
    <w:basedOn w:val="22"/>
    <w:next w:val="1"/>
    <w:qFormat/>
    <w:uiPriority w:val="0"/>
    <w:pPr>
      <w:tabs>
        <w:tab w:val="left" w:pos="0"/>
      </w:tabs>
      <w:autoSpaceDE w:val="0"/>
      <w:autoSpaceDN w:val="0"/>
      <w:ind w:firstLine="0"/>
      <w:jc w:val="center"/>
    </w:pPr>
    <w:rPr>
      <w:kern w:val="0"/>
      <w:sz w:val="24"/>
      <w:lang w:bidi="he-IL"/>
    </w:rPr>
  </w:style>
  <w:style w:type="paragraph" w:customStyle="1" w:styleId="82">
    <w:name w:val="内容"/>
    <w:basedOn w:val="1"/>
    <w:qFormat/>
    <w:uiPriority w:val="0"/>
    <w:pPr>
      <w:adjustRightInd w:val="0"/>
      <w:spacing w:before="100" w:beforeLines="50" w:beforeAutospacing="1" w:after="100" w:afterLines="50" w:afterAutospacing="1" w:line="400" w:lineRule="atLeast"/>
      <w:ind w:left="851"/>
      <w:textAlignment w:val="baseline"/>
    </w:pPr>
    <w:rPr>
      <w:kern w:val="0"/>
      <w:sz w:val="24"/>
    </w:rPr>
  </w:style>
  <w:style w:type="paragraph" w:customStyle="1" w:styleId="83">
    <w:name w:val="表格标题"/>
    <w:basedOn w:val="84"/>
    <w:next w:val="81"/>
    <w:qFormat/>
    <w:uiPriority w:val="0"/>
    <w:pPr>
      <w:numPr>
        <w:ilvl w:val="0"/>
        <w:numId w:val="1"/>
      </w:numPr>
      <w:tabs>
        <w:tab w:val="left" w:pos="0"/>
      </w:tabs>
      <w:spacing w:line="360" w:lineRule="auto"/>
      <w:ind w:left="0" w:firstLine="0"/>
      <w:jc w:val="center"/>
      <w:outlineLvl w:val="4"/>
    </w:pPr>
    <w:rPr>
      <w:b/>
      <w:kern w:val="0"/>
      <w:sz w:val="24"/>
    </w:rPr>
  </w:style>
  <w:style w:type="paragraph" w:customStyle="1" w:styleId="84">
    <w:name w:val="闽创报告正文"/>
    <w:basedOn w:val="49"/>
    <w:qFormat/>
    <w:uiPriority w:val="0"/>
    <w:pPr>
      <w:ind w:firstLine="200" w:firstLineChars="200"/>
      <w:jc w:val="both"/>
    </w:pPr>
    <w:rPr>
      <w:color w:val="000000"/>
      <w:szCs w:val="20"/>
    </w:rPr>
  </w:style>
  <w:style w:type="paragraph" w:customStyle="1" w:styleId="85">
    <w:name w:val="5段落"/>
    <w:basedOn w:val="1"/>
    <w:qFormat/>
    <w:uiPriority w:val="0"/>
    <w:pPr>
      <w:spacing w:line="360" w:lineRule="auto"/>
      <w:ind w:firstLine="420" w:firstLineChars="200"/>
    </w:pPr>
  </w:style>
  <w:style w:type="paragraph" w:customStyle="1" w:styleId="86">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paragraph" w:customStyle="1" w:styleId="87">
    <w:name w:val="Table Paragraph"/>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宋体"/>
      <w:kern w:val="0"/>
      <w:sz w:val="22"/>
      <w:szCs w:val="22"/>
      <w:lang w:val="en-US" w:eastAsia="zh-CN" w:bidi="ar"/>
    </w:rPr>
  </w:style>
  <w:style w:type="paragraph" w:customStyle="1" w:styleId="88">
    <w:name w:val="表格内文字"/>
    <w:basedOn w:val="89"/>
    <w:next w:val="1"/>
    <w:qFormat/>
    <w:uiPriority w:val="0"/>
    <w:rPr>
      <w:b w:val="0"/>
      <w:sz w:val="21"/>
    </w:rPr>
  </w:style>
  <w:style w:type="paragraph" w:customStyle="1" w:styleId="89">
    <w:name w:val="表格名称"/>
    <w:basedOn w:val="1"/>
    <w:next w:val="1"/>
    <w:qFormat/>
    <w:uiPriority w:val="0"/>
    <w:pPr>
      <w:adjustRightInd/>
      <w:snapToGrid/>
      <w:spacing w:before="50" w:beforeLines="50" w:line="240" w:lineRule="auto"/>
      <w:ind w:firstLine="0" w:firstLineChars="0"/>
      <w:jc w:val="center"/>
    </w:pPr>
    <w:rPr>
      <w:rFonts w:cs="宋体"/>
      <w:b/>
      <w:bCs/>
      <w:sz w:val="21"/>
      <w:szCs w:val="21"/>
    </w:rPr>
  </w:style>
  <w:style w:type="paragraph" w:customStyle="1" w:styleId="9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1">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92">
    <w:name w:val="样式 样式 样式 首行缩进:  2 字符 + 居中 + 行距: 固定值 17 磅"/>
    <w:basedOn w:val="1"/>
    <w:qFormat/>
    <w:uiPriority w:val="0"/>
    <w:pPr>
      <w:adjustRightInd w:val="0"/>
      <w:snapToGrid w:val="0"/>
      <w:spacing w:line="340" w:lineRule="exact"/>
      <w:ind w:firstLine="0"/>
      <w:jc w:val="center"/>
    </w:pPr>
    <w:rPr>
      <w:rFonts w:eastAsia="宋体" w:cs="宋体"/>
      <w:color w:val="000000"/>
      <w:sz w:val="21"/>
    </w:rPr>
  </w:style>
  <w:style w:type="paragraph" w:customStyle="1" w:styleId="93">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94">
    <w:name w:val="a表格"/>
    <w:basedOn w:val="1"/>
    <w:qFormat/>
    <w:uiPriority w:val="0"/>
    <w:pPr>
      <w:snapToGrid w:val="0"/>
      <w:ind w:firstLine="0"/>
      <w:jc w:val="center"/>
    </w:pPr>
    <w:rPr>
      <w:rFonts w:eastAsia="宋体"/>
      <w:sz w:val="21"/>
      <w:szCs w:val="24"/>
    </w:rPr>
  </w:style>
  <w:style w:type="paragraph" w:customStyle="1" w:styleId="95">
    <w:name w:val="正文1"/>
    <w:basedOn w:val="12"/>
    <w:qFormat/>
    <w:uiPriority w:val="0"/>
    <w:pPr>
      <w:ind w:firstLine="200" w:firstLineChars="200"/>
    </w:pPr>
    <w:rPr>
      <w:rFonts w:eastAsia="宋体" w:cs="宋体"/>
      <w:sz w:val="24"/>
    </w:rPr>
  </w:style>
  <w:style w:type="paragraph" w:customStyle="1" w:styleId="96">
    <w:name w:val="表格固定文字"/>
    <w:basedOn w:val="1"/>
    <w:qFormat/>
    <w:uiPriority w:val="0"/>
    <w:pPr>
      <w:ind w:firstLine="0"/>
    </w:pPr>
    <w:rPr>
      <w:rFonts w:eastAsia="宋体"/>
      <w:sz w:val="21"/>
      <w:szCs w:val="24"/>
    </w:rPr>
  </w:style>
  <w:style w:type="paragraph" w:customStyle="1" w:styleId="97">
    <w:name w:val="一级aaa"/>
    <w:basedOn w:val="2"/>
    <w:next w:val="1"/>
    <w:qFormat/>
    <w:uiPriority w:val="0"/>
    <w:pPr>
      <w:keepNext w:val="0"/>
      <w:keepLines w:val="0"/>
      <w:widowControl w:val="0"/>
      <w:adjustRightInd w:val="0"/>
      <w:snapToGrid w:val="0"/>
      <w:spacing w:before="100" w:beforeLines="100" w:after="100" w:afterLines="100" w:line="360" w:lineRule="auto"/>
    </w:pPr>
    <w:rPr>
      <w:sz w:val="32"/>
    </w:rPr>
  </w:style>
  <w:style w:type="table" w:customStyle="1" w:styleId="98">
    <w:name w:val="样式6"/>
    <w:basedOn w:val="30"/>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99">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0">
    <w:name w:val="文本2"/>
    <w:basedOn w:val="1"/>
    <w:qFormat/>
    <w:uiPriority w:val="0"/>
    <w:pPr>
      <w:spacing w:line="360" w:lineRule="auto"/>
      <w:ind w:firstLine="200" w:firstLineChars="200"/>
    </w:pPr>
    <w:rPr>
      <w:rFonts w:cs="宋体"/>
      <w:sz w:val="24"/>
    </w:rPr>
  </w:style>
  <w:style w:type="paragraph" w:customStyle="1" w:styleId="101">
    <w:name w:val="表格中文字"/>
    <w:basedOn w:val="1"/>
    <w:qFormat/>
    <w:uiPriority w:val="0"/>
    <w:pPr>
      <w:widowControl w:val="0"/>
      <w:spacing w:line="240" w:lineRule="auto"/>
      <w:ind w:firstLine="0" w:firstLineChars="0"/>
      <w:jc w:val="center"/>
    </w:pPr>
    <w:rPr>
      <w:kern w:val="18"/>
      <w:sz w:val="21"/>
      <w:szCs w:val="21"/>
    </w:rPr>
  </w:style>
  <w:style w:type="paragraph" w:customStyle="1" w:styleId="102">
    <w:name w:val="6表格"/>
    <w:basedOn w:val="1"/>
    <w:qFormat/>
    <w:uiPriority w:val="0"/>
    <w:pPr>
      <w:jc w:val="center"/>
    </w:pPr>
  </w:style>
  <w:style w:type="paragraph" w:customStyle="1" w:styleId="103">
    <w:name w:val="C正文"/>
    <w:next w:val="20"/>
    <w:qFormat/>
    <w:uiPriority w:val="0"/>
    <w:pPr>
      <w:wordWrap w:val="0"/>
      <w:adjustRightInd w:val="0"/>
      <w:snapToGrid w:val="0"/>
      <w:spacing w:line="360" w:lineRule="auto"/>
      <w:ind w:firstLine="200" w:firstLineChars="200"/>
      <w:jc w:val="both"/>
    </w:pPr>
    <w:rPr>
      <w:rFonts w:ascii="Times New Roman" w:hAnsi="Times New Roman" w:eastAsia="仿宋_GB2312" w:cs="Arial"/>
      <w:kern w:val="2"/>
      <w:sz w:val="32"/>
      <w:szCs w:val="30"/>
      <w:lang w:val="en-US" w:eastAsia="zh-CN" w:bidi="ar-SA"/>
    </w:rPr>
  </w:style>
  <w:style w:type="paragraph" w:customStyle="1" w:styleId="104">
    <w:name w:val="表内容"/>
    <w:qFormat/>
    <w:uiPriority w:val="0"/>
    <w:pPr>
      <w:jc w:val="center"/>
    </w:pPr>
    <w:rPr>
      <w:rFonts w:ascii="Times New Roman" w:hAnsi="Times New Roman" w:eastAsia="宋体" w:cs="Times New Roman"/>
      <w:sz w:val="21"/>
      <w:lang w:val="en-US" w:eastAsia="zh-CN" w:bidi="ar-SA"/>
    </w:rPr>
  </w:style>
  <w:style w:type="paragraph" w:customStyle="1" w:styleId="105">
    <w:name w:val="金皇-表格内文字"/>
    <w:basedOn w:val="1"/>
    <w:qFormat/>
    <w:uiPriority w:val="0"/>
    <w:pPr>
      <w:tabs>
        <w:tab w:val="left" w:pos="0"/>
      </w:tabs>
      <w:adjustRightInd w:val="0"/>
      <w:snapToGrid w:val="0"/>
      <w:jc w:val="center"/>
    </w:pPr>
    <w:rPr>
      <w:snapToGrid w:val="0"/>
      <w:szCs w:val="21"/>
    </w:rPr>
  </w:style>
  <w:style w:type="table" w:customStyle="1" w:styleId="106">
    <w:name w:val="Table Normal"/>
    <w:unhideWhenUsed/>
    <w:qFormat/>
    <w:uiPriority w:val="0"/>
    <w:tblPr>
      <w:tblCellMar>
        <w:top w:w="0" w:type="dxa"/>
        <w:left w:w="0" w:type="dxa"/>
        <w:bottom w:w="0" w:type="dxa"/>
        <w:right w:w="0" w:type="dxa"/>
      </w:tblCellMar>
    </w:tblPr>
  </w:style>
  <w:style w:type="paragraph" w:customStyle="1" w:styleId="107">
    <w:name w:val="表内文字"/>
    <w:basedOn w:val="1"/>
    <w:qFormat/>
    <w:uiPriority w:val="0"/>
    <w:pPr>
      <w:widowControl/>
      <w:adjustRightInd w:val="0"/>
      <w:snapToGrid w:val="0"/>
      <w:spacing w:line="240" w:lineRule="auto"/>
      <w:ind w:firstLine="0" w:firstLineChars="0"/>
      <w:jc w:val="center"/>
    </w:pPr>
    <w:rPr>
      <w:kern w:val="0"/>
      <w:sz w:val="21"/>
    </w:rPr>
  </w:style>
  <w:style w:type="paragraph" w:customStyle="1" w:styleId="108">
    <w:name w:val="图表标题"/>
    <w:basedOn w:val="1"/>
    <w:qFormat/>
    <w:uiPriority w:val="0"/>
    <w:pPr>
      <w:adjustRightInd w:val="0"/>
      <w:snapToGrid w:val="0"/>
      <w:ind w:firstLine="0" w:firstLineChars="0"/>
      <w:jc w:val="center"/>
    </w:pPr>
    <w:rPr>
      <w:rFonts w:eastAsia="黑体"/>
      <w:szCs w:val="24"/>
    </w:rPr>
  </w:style>
  <w:style w:type="character" w:customStyle="1" w:styleId="109">
    <w:name w:val="NormalCharacter"/>
    <w:semiHidden/>
    <w:qFormat/>
    <w:uiPriority w:val="0"/>
    <w:rPr>
      <w:rFonts w:ascii="Calibri" w:hAnsi="Calibri" w:eastAsia="宋体" w:cs="Times New Roman"/>
      <w:kern w:val="2"/>
      <w:sz w:val="21"/>
      <w:szCs w:val="24"/>
      <w:lang w:val="en-US" w:eastAsia="zh-CN" w:bidi="ar-SA"/>
    </w:rPr>
  </w:style>
  <w:style w:type="paragraph" w:customStyle="1" w:styleId="110">
    <w:name w:val="样式2"/>
    <w:basedOn w:val="15"/>
    <w:next w:val="5"/>
    <w:qFormat/>
    <w:uiPriority w:val="0"/>
    <w:pPr>
      <w:spacing w:line="360" w:lineRule="auto"/>
      <w:ind w:firstLine="482" w:firstLineChars="200"/>
    </w:pPr>
    <w:rPr>
      <w:b/>
      <w:sz w:val="24"/>
    </w:rPr>
  </w:style>
  <w:style w:type="paragraph" w:customStyle="1" w:styleId="111">
    <w:name w:val="木易正文"/>
    <w:basedOn w:val="1"/>
    <w:qFormat/>
    <w:uiPriority w:val="0"/>
    <w:pPr>
      <w:spacing w:line="520" w:lineRule="exact"/>
      <w:ind w:firstLine="200" w:firstLineChars="200"/>
    </w:pPr>
    <w:rPr>
      <w:color w:val="003366"/>
      <w:sz w:val="24"/>
    </w:rPr>
  </w:style>
  <w:style w:type="paragraph" w:customStyle="1" w:styleId="112">
    <w:name w:val="正文_18"/>
    <w:qFormat/>
    <w:uiPriority w:val="0"/>
    <w:pPr>
      <w:widowControl w:val="0"/>
      <w:jc w:val="both"/>
    </w:pPr>
    <w:rPr>
      <w:rFonts w:ascii="等线" w:hAnsi="等线" w:eastAsia="等线" w:cs="Times New Roman"/>
      <w:kern w:val="2"/>
      <w:sz w:val="21"/>
      <w:szCs w:val="22"/>
      <w:lang w:val="en-US" w:eastAsia="zh-CN" w:bidi="ar-SA"/>
    </w:rPr>
  </w:style>
  <w:style w:type="paragraph" w:customStyle="1" w:styleId="113">
    <w:name w:val="正文_19"/>
    <w:qFormat/>
    <w:uiPriority w:val="0"/>
    <w:pPr>
      <w:widowControl w:val="0"/>
      <w:jc w:val="both"/>
    </w:pPr>
    <w:rPr>
      <w:rFonts w:ascii="等线" w:hAnsi="等线" w:eastAsia="等线" w:cs="Times New Roman"/>
      <w:kern w:val="2"/>
      <w:sz w:val="21"/>
      <w:szCs w:val="22"/>
      <w:lang w:val="en-US" w:eastAsia="zh-CN" w:bidi="ar-SA"/>
    </w:rPr>
  </w:style>
  <w:style w:type="paragraph" w:customStyle="1" w:styleId="114">
    <w:name w:val="111正文的格式"/>
    <w:basedOn w:val="1"/>
    <w:qFormat/>
    <w:uiPriority w:val="0"/>
    <w:pPr>
      <w:adjustRightInd w:val="0"/>
      <w:snapToGrid w:val="0"/>
      <w:spacing w:line="360" w:lineRule="auto"/>
      <w:ind w:firstLine="480" w:firstLineChars="200"/>
    </w:pPr>
    <w:rPr>
      <w:color w:val="FF0000"/>
    </w:rPr>
  </w:style>
  <w:style w:type="paragraph" w:customStyle="1" w:styleId="115">
    <w:name w:val="②表格内文字"/>
    <w:basedOn w:val="1"/>
    <w:qFormat/>
    <w:uiPriority w:val="0"/>
    <w:pPr>
      <w:jc w:val="center"/>
    </w:pPr>
    <w:rPr>
      <w:color w:val="000000"/>
      <w:szCs w:val="21"/>
    </w:rPr>
  </w:style>
  <w:style w:type="paragraph" w:customStyle="1" w:styleId="116">
    <w:name w:val="111表格"/>
    <w:basedOn w:val="1"/>
    <w:qFormat/>
    <w:uiPriority w:val="0"/>
    <w:pPr>
      <w:spacing w:line="240" w:lineRule="auto"/>
      <w:ind w:firstLine="0" w:firstLineChars="0"/>
      <w:jc w:val="center"/>
    </w:pPr>
    <w:rPr>
      <w:color w:val="FF0000"/>
      <w:sz w:val="21"/>
      <w:szCs w:val="21"/>
    </w:rPr>
  </w:style>
  <w:style w:type="paragraph" w:customStyle="1" w:styleId="117">
    <w:name w:val="D正文"/>
    <w:basedOn w:val="1"/>
    <w:qFormat/>
    <w:uiPriority w:val="0"/>
    <w:pPr>
      <w:adjustRightInd w:val="0"/>
      <w:snapToGrid w:val="0"/>
      <w:spacing w:line="360" w:lineRule="auto"/>
      <w:ind w:firstLine="200" w:firstLineChars="200"/>
    </w:pPr>
    <w:rPr>
      <w:rFonts w:cs="宋体"/>
      <w:bCs/>
      <w:sz w:val="24"/>
      <w:szCs w:val="21"/>
    </w:rPr>
  </w:style>
  <w:style w:type="paragraph" w:customStyle="1" w:styleId="118">
    <w:name w:val="D表内"/>
    <w:basedOn w:val="63"/>
    <w:qFormat/>
    <w:uiPriority w:val="0"/>
    <w:pPr>
      <w:spacing w:beforeLines="0" w:afterLines="0" w:line="240" w:lineRule="auto"/>
    </w:pPr>
    <w:rPr>
      <w:rFonts w:ascii="Times New Roman"/>
    </w:rPr>
  </w:style>
  <w:style w:type="paragraph" w:customStyle="1" w:styleId="119">
    <w:name w:val="xry正文"/>
    <w:basedOn w:val="1"/>
    <w:qFormat/>
    <w:uiPriority w:val="0"/>
    <w:pPr>
      <w:widowControl w:val="0"/>
      <w:numPr>
        <w:ilvl w:val="0"/>
        <w:numId w:val="2"/>
      </w:numPr>
      <w:spacing w:line="360" w:lineRule="auto"/>
      <w:jc w:val="both"/>
    </w:pPr>
    <w:rPr>
      <w:rFonts w:ascii="Times New Roman" w:hAnsi="Times New Roman"/>
      <w:sz w:val="24"/>
    </w:rPr>
  </w:style>
  <w:style w:type="paragraph" w:customStyle="1" w:styleId="120">
    <w:name w:val="xry表格文字"/>
    <w:basedOn w:val="121"/>
    <w:qFormat/>
    <w:uiPriority w:val="0"/>
    <w:pPr>
      <w:widowControl w:val="0"/>
      <w:jc w:val="center"/>
    </w:pPr>
    <w:rPr>
      <w:rFonts w:ascii="Times New Roman" w:hAnsi="Times New Roman"/>
      <w:szCs w:val="24"/>
    </w:rPr>
  </w:style>
  <w:style w:type="paragraph" w:styleId="121">
    <w:name w:val="No Spacing"/>
    <w:basedOn w:val="1"/>
    <w:qFormat/>
    <w:uiPriority w:val="1"/>
    <w:rPr>
      <w:szCs w:val="32"/>
    </w:rPr>
  </w:style>
  <w:style w:type="paragraph" w:customStyle="1" w:styleId="122">
    <w:name w:val="文"/>
    <w:qFormat/>
    <w:uiPriority w:val="0"/>
    <w:pPr>
      <w:spacing w:line="360" w:lineRule="auto"/>
      <w:ind w:firstLine="200" w:firstLineChars="200"/>
      <w:jc w:val="both"/>
    </w:pPr>
    <w:rPr>
      <w:rFonts w:ascii="Times New Roman" w:hAnsi="Times New Roman" w:eastAsia="宋体" w:cs="Times New Roman"/>
      <w:bCs/>
      <w:sz w:val="24"/>
      <w:szCs w:val="28"/>
      <w:lang w:val="en-US" w:eastAsia="zh-CN" w:bidi="ar-SA"/>
    </w:rPr>
  </w:style>
  <w:style w:type="paragraph" w:customStyle="1" w:styleId="123">
    <w:name w:val="D表头"/>
    <w:basedOn w:val="1"/>
    <w:next w:val="1"/>
    <w:qFormat/>
    <w:uiPriority w:val="0"/>
    <w:pPr>
      <w:tabs>
        <w:tab w:val="left" w:pos="360"/>
      </w:tabs>
      <w:spacing w:before="50" w:beforeLines="50"/>
      <w:jc w:val="center"/>
    </w:pPr>
    <w:rPr>
      <w:b/>
      <w:bCs/>
      <w:sz w:val="24"/>
      <w:szCs w:val="20"/>
    </w:rPr>
  </w:style>
  <w:style w:type="paragraph" w:customStyle="1" w:styleId="124">
    <w:name w:val="样式5"/>
    <w:basedOn w:val="1"/>
    <w:qFormat/>
    <w:uiPriority w:val="0"/>
    <w:pPr>
      <w:widowControl/>
      <w:adjustRightInd w:val="0"/>
      <w:snapToGrid w:val="0"/>
      <w:spacing w:line="240" w:lineRule="exact"/>
      <w:ind w:firstLine="200" w:firstLineChars="200"/>
    </w:pPr>
    <w:rPr>
      <w:rFonts w:ascii="Times New Roman" w:hAnsi="宋体" w:eastAsia="宋体" w:cs="Times New Roman"/>
      <w:spacing w:val="-10"/>
      <w:kern w:val="0"/>
      <w:sz w:val="18"/>
      <w:szCs w:val="24"/>
      <w:lang w:bidi="en-US"/>
    </w:rPr>
  </w:style>
  <w:style w:type="paragraph" w:customStyle="1" w:styleId="125">
    <w:name w:val="表格表头"/>
    <w:basedOn w:val="56"/>
    <w:qFormat/>
    <w:uiPriority w:val="0"/>
    <w:pPr>
      <w:spacing w:before="50" w:beforeLines="50" w:line="240" w:lineRule="auto"/>
      <w:ind w:firstLine="0"/>
      <w:jc w:val="center"/>
    </w:pPr>
    <w:rPr>
      <w:rFonts w:eastAsia="黑体"/>
    </w:rPr>
  </w:style>
  <w:style w:type="paragraph" w:styleId="126">
    <w:name w:val="List Paragraph"/>
    <w:basedOn w:val="1"/>
    <w:qFormat/>
    <w:uiPriority w:val="34"/>
    <w:pPr>
      <w:ind w:firstLine="420" w:firstLineChars="200"/>
    </w:pPr>
    <w:rPr>
      <w:rFonts w:ascii="Times New Roman" w:hAnsi="Times New Roman" w:eastAsia="宋体" w:cs="Times New Roman"/>
      <w:szCs w:val="22"/>
    </w:rPr>
  </w:style>
  <w:style w:type="paragraph" w:customStyle="1" w:styleId="127">
    <w:name w:val="111正文格式111"/>
    <w:basedOn w:val="128"/>
    <w:qFormat/>
    <w:uiPriority w:val="0"/>
    <w:pPr>
      <w:spacing w:line="360" w:lineRule="auto"/>
      <w:ind w:firstLine="480" w:firstLineChars="200"/>
    </w:pPr>
    <w:rPr>
      <w:bCs/>
      <w:sz w:val="24"/>
    </w:rPr>
  </w:style>
  <w:style w:type="paragraph" w:customStyle="1" w:styleId="128">
    <w:name w:val="正文的格式"/>
    <w:basedOn w:val="1"/>
    <w:qFormat/>
    <w:uiPriority w:val="0"/>
    <w:pPr>
      <w:spacing w:line="360" w:lineRule="auto"/>
      <w:ind w:firstLine="200" w:firstLineChars="200"/>
    </w:pPr>
    <w:rPr>
      <w:rFonts w:ascii="Times New Roman" w:hAnsi="Times New Roman"/>
      <w:sz w:val="24"/>
      <w:szCs w:val="24"/>
    </w:rPr>
  </w:style>
  <w:style w:type="paragraph" w:customStyle="1" w:styleId="129">
    <w:name w:val="样式 样式 样式 样式 首行缩进:  2 字符 + 居中 + (中文) 黑体 五号 首行缩进:  2 字符 + 首行缩进:  2..."/>
    <w:basedOn w:val="1"/>
    <w:qFormat/>
    <w:uiPriority w:val="0"/>
    <w:pPr>
      <w:adjustRightInd w:val="0"/>
      <w:snapToGrid w:val="0"/>
      <w:spacing w:before="156" w:beforeLines="50" w:line="360" w:lineRule="auto"/>
      <w:jc w:val="center"/>
    </w:pPr>
    <w:rPr>
      <w:rFonts w:ascii="Times New Roman" w:eastAsia="黑体" w:cs="宋体"/>
      <w:kern w:val="2"/>
      <w:sz w:val="24"/>
    </w:rPr>
  </w:style>
  <w:style w:type="character" w:customStyle="1" w:styleId="130">
    <w:name w:val="ttag"/>
    <w:basedOn w:val="32"/>
    <w:qFormat/>
    <w:uiPriority w:val="0"/>
  </w:style>
  <w:style w:type="paragraph" w:customStyle="1" w:styleId="131">
    <w:name w:val="9表格内容"/>
    <w:basedOn w:val="1"/>
    <w:next w:val="1"/>
    <w:qFormat/>
    <w:uiPriority w:val="0"/>
    <w:pPr>
      <w:jc w:val="center"/>
    </w:pPr>
    <w:rPr>
      <w:szCs w:val="28"/>
    </w:rPr>
  </w:style>
  <w:style w:type="paragraph" w:customStyle="1" w:styleId="132">
    <w:name w:val="Table Text"/>
    <w:basedOn w:val="1"/>
    <w:semiHidden/>
    <w:qFormat/>
    <w:uiPriority w:val="0"/>
    <w:rPr>
      <w:rFonts w:ascii="宋体" w:hAnsi="宋体" w:eastAsia="宋体" w:cs="宋体"/>
      <w:sz w:val="24"/>
      <w:szCs w:val="24"/>
      <w:lang w:val="en-US" w:eastAsia="en-US" w:bidi="ar-SA"/>
    </w:rPr>
  </w:style>
  <w:style w:type="character" w:customStyle="1" w:styleId="133">
    <w:name w:val="font21"/>
    <w:basedOn w:val="32"/>
    <w:qFormat/>
    <w:uiPriority w:val="0"/>
    <w:rPr>
      <w:rFonts w:hint="default" w:ascii="Times New Roman" w:hAnsi="Times New Roman" w:cs="Times New Roman"/>
      <w:color w:val="000000"/>
      <w:sz w:val="21"/>
      <w:szCs w:val="21"/>
      <w:u w:val="none"/>
    </w:rPr>
  </w:style>
  <w:style w:type="character" w:customStyle="1" w:styleId="134">
    <w:name w:val="font11"/>
    <w:basedOn w:val="32"/>
    <w:qFormat/>
    <w:uiPriority w:val="0"/>
    <w:rPr>
      <w:rFonts w:hint="eastAsia" w:ascii="宋体" w:hAnsi="宋体" w:eastAsia="宋体" w:cs="宋体"/>
      <w:color w:val="000000"/>
      <w:sz w:val="21"/>
      <w:szCs w:val="21"/>
      <w:u w:val="none"/>
    </w:rPr>
  </w:style>
  <w:style w:type="character" w:customStyle="1" w:styleId="135">
    <w:name w:val="font31"/>
    <w:basedOn w:val="32"/>
    <w:qFormat/>
    <w:uiPriority w:val="0"/>
    <w:rPr>
      <w:rFonts w:hint="default" w:ascii="Times New Roman" w:hAnsi="Times New Roman" w:cs="Times New Roman"/>
      <w:color w:val="000000"/>
      <w:sz w:val="18"/>
      <w:szCs w:val="18"/>
      <w:u w:val="none"/>
      <w:vertAlign w:val="subscript"/>
    </w:rPr>
  </w:style>
  <w:style w:type="paragraph" w:customStyle="1" w:styleId="136">
    <w:name w:val="标题1.1"/>
    <w:basedOn w:val="1"/>
    <w:qFormat/>
    <w:uiPriority w:val="0"/>
    <w:pPr>
      <w:adjustRightInd w:val="0"/>
      <w:snapToGrid w:val="0"/>
      <w:spacing w:line="360" w:lineRule="auto"/>
      <w:jc w:val="left"/>
    </w:pPr>
    <w:rPr>
      <w:rFonts w:eastAsia="黑体"/>
      <w:bCs/>
      <w:color w:val="000000"/>
      <w:sz w:val="24"/>
    </w:rPr>
  </w:style>
  <w:style w:type="character" w:customStyle="1" w:styleId="137">
    <w:name w:val="font71"/>
    <w:basedOn w:val="32"/>
    <w:qFormat/>
    <w:uiPriority w:val="0"/>
    <w:rPr>
      <w:rFonts w:hint="default" w:ascii="Times New Roman" w:hAnsi="Times New Roman" w:cs="Times New Roman"/>
      <w:b/>
      <w:bCs/>
      <w:color w:val="000000"/>
      <w:sz w:val="21"/>
      <w:szCs w:val="21"/>
      <w:u w:val="none"/>
      <w:vertAlign w:val="subscript"/>
    </w:rPr>
  </w:style>
  <w:style w:type="paragraph" w:customStyle="1" w:styleId="138">
    <w:name w:val="【表格】"/>
    <w:next w:val="28"/>
    <w:qFormat/>
    <w:uiPriority w:val="0"/>
    <w:pPr>
      <w:jc w:val="center"/>
    </w:pPr>
    <w:rPr>
      <w:rFonts w:ascii="Times New Roman" w:hAnsi="Times New Roman" w:eastAsia="宋体" w:cs="Times New Roman"/>
      <w:sz w:val="21"/>
      <w:szCs w:val="24"/>
      <w:lang w:val="en-US" w:eastAsia="zh-CN" w:bidi="ar-SA"/>
    </w:rPr>
  </w:style>
  <w:style w:type="table" w:customStyle="1" w:styleId="139">
    <w:name w:val="样式10"/>
    <w:basedOn w:val="30"/>
    <w:qFormat/>
    <w:uiPriority w:val="99"/>
    <w:pPr>
      <w:jc w:val="center"/>
    </w:pPr>
    <w:rPr>
      <w:sz w:val="21"/>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customStyle="1" w:styleId="140">
    <w:name w:val="15"/>
    <w:basedOn w:val="32"/>
    <w:qFormat/>
    <w:uiPriority w:val="0"/>
    <w:rPr>
      <w:rFonts w:hint="default" w:ascii="Times New Roman" w:hAnsi="Times New Roman" w:cs="Times New Roman"/>
    </w:rPr>
  </w:style>
  <w:style w:type="paragraph" w:customStyle="1" w:styleId="141">
    <w:name w:val="5表格"/>
    <w:basedOn w:val="1"/>
    <w:qFormat/>
    <w:uiPriority w:val="0"/>
    <w:pPr>
      <w:jc w:val="center"/>
    </w:pPr>
    <w:rPr>
      <w:rFonts w:eastAsia="仿宋"/>
      <w:kern w:val="24"/>
      <w:szCs w:val="21"/>
    </w:rPr>
  </w:style>
  <w:style w:type="paragraph" w:customStyle="1" w:styleId="142">
    <w:name w:val="D图表小四"/>
    <w:basedOn w:val="143"/>
    <w:qFormat/>
    <w:uiPriority w:val="0"/>
    <w:pPr>
      <w:keepNext/>
      <w:keepLines/>
    </w:pPr>
    <w:rPr>
      <w:b w:val="0"/>
      <w:szCs w:val="24"/>
    </w:rPr>
  </w:style>
  <w:style w:type="paragraph" w:customStyle="1" w:styleId="143">
    <w:name w:val="D图表"/>
    <w:basedOn w:val="144"/>
    <w:semiHidden/>
    <w:qFormat/>
    <w:uiPriority w:val="0"/>
    <w:rPr>
      <w:b/>
    </w:rPr>
  </w:style>
  <w:style w:type="paragraph" w:customStyle="1" w:styleId="144">
    <w:name w:val="图表"/>
    <w:basedOn w:val="1"/>
    <w:semiHidden/>
    <w:qFormat/>
    <w:uiPriority w:val="0"/>
    <w:pPr>
      <w:spacing w:before="120" w:after="120"/>
      <w:jc w:val="center"/>
    </w:pPr>
    <w:rPr>
      <w:szCs w:val="21"/>
    </w:rPr>
  </w:style>
  <w:style w:type="paragraph" w:customStyle="1" w:styleId="145">
    <w:name w:val="_Style 73"/>
    <w:basedOn w:val="1"/>
    <w:next w:val="126"/>
    <w:qFormat/>
    <w:uiPriority w:val="99"/>
    <w:pPr>
      <w:adjustRightInd w:val="0"/>
      <w:snapToGrid w:val="0"/>
      <w:spacing w:line="360" w:lineRule="auto"/>
      <w:ind w:firstLine="420" w:firstLineChars="200"/>
      <w:textAlignment w:val="center"/>
    </w:pPr>
    <w:rPr>
      <w:kern w:val="24"/>
      <w:sz w:val="24"/>
      <w:szCs w:val="28"/>
    </w:rPr>
  </w:style>
  <w:style w:type="paragraph" w:customStyle="1" w:styleId="146">
    <w:name w:val="表正文"/>
    <w:basedOn w:val="1"/>
    <w:qFormat/>
    <w:uiPriority w:val="0"/>
    <w:pPr>
      <w:spacing w:line="360" w:lineRule="auto"/>
      <w:ind w:firstLine="200" w:firstLineChars="200"/>
    </w:pPr>
    <w:rPr>
      <w:sz w:val="24"/>
    </w:rPr>
  </w:style>
  <w:style w:type="paragraph" w:customStyle="1" w:styleId="147">
    <w:name w:val="z表格内文字"/>
    <w:basedOn w:val="1"/>
    <w:qFormat/>
    <w:uiPriority w:val="0"/>
    <w:pPr>
      <w:jc w:val="center"/>
    </w:pPr>
    <w:rPr>
      <w:color w:val="000000"/>
      <w:szCs w:val="21"/>
    </w:rPr>
  </w:style>
  <w:style w:type="character" w:customStyle="1" w:styleId="148">
    <w:name w:val="font91"/>
    <w:basedOn w:val="32"/>
    <w:qFormat/>
    <w:uiPriority w:val="0"/>
    <w:rPr>
      <w:rFonts w:ascii="宋体" w:hAnsi="宋体" w:eastAsia="宋体" w:cs="宋体"/>
      <w:color w:val="000000"/>
      <w:sz w:val="12"/>
      <w:szCs w:val="12"/>
      <w:u w:val="none"/>
    </w:rPr>
  </w:style>
  <w:style w:type="character" w:customStyle="1" w:styleId="149">
    <w:name w:val="font41"/>
    <w:basedOn w:val="32"/>
    <w:qFormat/>
    <w:uiPriority w:val="0"/>
    <w:rPr>
      <w:rFonts w:ascii="宋体" w:hAnsi="宋体" w:eastAsia="宋体" w:cs="宋体"/>
      <w:color w:val="303040"/>
      <w:sz w:val="12"/>
      <w:szCs w:val="12"/>
      <w:u w:val="none"/>
    </w:rPr>
  </w:style>
  <w:style w:type="character" w:customStyle="1" w:styleId="150">
    <w:name w:val="font51"/>
    <w:basedOn w:val="32"/>
    <w:qFormat/>
    <w:uiPriority w:val="0"/>
    <w:rPr>
      <w:rFonts w:ascii="宋体" w:hAnsi="宋体" w:eastAsia="宋体" w:cs="宋体"/>
      <w:color w:val="807080"/>
      <w:sz w:val="12"/>
      <w:szCs w:val="12"/>
      <w:u w:val="none"/>
    </w:rPr>
  </w:style>
  <w:style w:type="character" w:customStyle="1" w:styleId="151">
    <w:name w:val="font61"/>
    <w:basedOn w:val="32"/>
    <w:qFormat/>
    <w:uiPriority w:val="0"/>
    <w:rPr>
      <w:rFonts w:ascii="宋体" w:hAnsi="宋体" w:eastAsia="宋体" w:cs="宋体"/>
      <w:color w:val="503040"/>
      <w:sz w:val="12"/>
      <w:szCs w:val="12"/>
      <w:u w:val="none"/>
    </w:rPr>
  </w:style>
  <w:style w:type="character" w:customStyle="1" w:styleId="152">
    <w:name w:val="font81"/>
    <w:basedOn w:val="32"/>
    <w:qFormat/>
    <w:uiPriority w:val="0"/>
    <w:rPr>
      <w:rFonts w:ascii="宋体" w:hAnsi="宋体" w:eastAsia="宋体" w:cs="宋体"/>
      <w:color w:val="706070"/>
      <w:sz w:val="12"/>
      <w:szCs w:val="12"/>
      <w:u w:val="none"/>
    </w:rPr>
  </w:style>
  <w:style w:type="paragraph" w:customStyle="1" w:styleId="153">
    <w:name w:val="5文章(壹澜)"/>
    <w:basedOn w:val="1"/>
    <w:qFormat/>
    <w:uiPriority w:val="0"/>
    <w:pPr>
      <w:spacing w:line="360" w:lineRule="auto"/>
      <w:ind w:firstLine="560" w:firstLineChars="200"/>
    </w:pPr>
    <w:rPr>
      <w:rFonts w:ascii="Times New Roman" w:hAnsi="Times New Roman" w:eastAsia="宋体" w:cs="Times New Roman"/>
      <w:sz w:val="24"/>
      <w:szCs w:val="22"/>
    </w:rPr>
  </w:style>
  <w:style w:type="paragraph" w:customStyle="1" w:styleId="154">
    <w:name w:val="6表(图)头(壹澜)"/>
    <w:next w:val="1"/>
    <w:qFormat/>
    <w:uiPriority w:val="0"/>
    <w:pPr>
      <w:widowControl w:val="0"/>
      <w:spacing w:before="120" w:after="120"/>
      <w:jc w:val="center"/>
    </w:pPr>
    <w:rPr>
      <w:rFonts w:ascii="Times New Roman" w:hAnsi="Times New Roman" w:eastAsia="宋体" w:cs="Times New Roman"/>
      <w:b/>
      <w:sz w:val="24"/>
      <w:szCs w:val="28"/>
      <w:lang w:val="en-US" w:eastAsia="zh-CN" w:bidi="ar-SA"/>
    </w:rPr>
  </w:style>
  <w:style w:type="paragraph" w:customStyle="1" w:styleId="155">
    <w:name w:val="7表格(壹澜)"/>
    <w:qFormat/>
    <w:uiPriority w:val="0"/>
    <w:pPr>
      <w:widowControl w:val="0"/>
      <w:jc w:val="center"/>
    </w:pPr>
    <w:rPr>
      <w:rFonts w:ascii="Times New Roman" w:hAnsi="Times New Roman" w:eastAsia="楷体_GB2312" w:cs="Times New Roman"/>
      <w:sz w:val="21"/>
      <w:szCs w:val="21"/>
      <w:lang w:val="en-US" w:eastAsia="zh-CN" w:bidi="ar-SA"/>
    </w:rPr>
  </w:style>
  <w:style w:type="paragraph" w:customStyle="1" w:styleId="156">
    <w:name w:val="注释"/>
    <w:qFormat/>
    <w:uiPriority w:val="0"/>
    <w:pPr>
      <w:widowControl w:val="0"/>
      <w:adjustRightInd w:val="0"/>
      <w:snapToGrid w:val="0"/>
      <w:spacing w:line="360" w:lineRule="auto"/>
      <w:jc w:val="both"/>
      <w:textAlignment w:val="baseline"/>
    </w:pPr>
    <w:rPr>
      <w:rFonts w:ascii="Calibri" w:hAnsi="Calibri" w:eastAsia="宋体" w:cs="宋体"/>
      <w:snapToGrid w:val="0"/>
      <w:spacing w:val="4"/>
      <w:sz w:val="24"/>
      <w:szCs w:val="21"/>
      <w:lang w:val="en-US" w:eastAsia="zh-CN" w:bidi="ar-SA"/>
    </w:rPr>
  </w:style>
  <w:style w:type="character" w:customStyle="1" w:styleId="157">
    <w:name w:val="font01"/>
    <w:basedOn w:val="32"/>
    <w:qFormat/>
    <w:uiPriority w:val="0"/>
    <w:rPr>
      <w:rFonts w:hint="eastAsia" w:ascii="宋体" w:hAnsi="宋体" w:eastAsia="宋体" w:cs="宋体"/>
      <w:color w:val="000000"/>
      <w:sz w:val="22"/>
      <w:szCs w:val="22"/>
      <w:u w:val="none"/>
    </w:rPr>
  </w:style>
  <w:style w:type="character" w:customStyle="1" w:styleId="158">
    <w:name w:val="fontstyle01"/>
    <w:basedOn w:val="32"/>
    <w:qFormat/>
    <w:uiPriority w:val="0"/>
    <w:rPr>
      <w:rFonts w:ascii="宋体" w:hAnsi="宋体" w:eastAsia="宋体" w:cs="宋体"/>
      <w:color w:val="000000"/>
      <w:sz w:val="24"/>
      <w:szCs w:val="24"/>
    </w:rPr>
  </w:style>
  <w:style w:type="character" w:customStyle="1" w:styleId="159">
    <w:name w:val="fontstyle21"/>
    <w:basedOn w:val="32"/>
    <w:qFormat/>
    <w:uiPriority w:val="0"/>
    <w:rPr>
      <w:rFonts w:ascii="TimesNewRomanPSMT" w:hAnsi="TimesNewRomanPSMT" w:eastAsia="TimesNewRomanPSMT" w:cs="TimesNewRomanPSMT"/>
      <w:color w:val="000000"/>
      <w:sz w:val="24"/>
      <w:szCs w:val="24"/>
    </w:rPr>
  </w:style>
  <w:style w:type="character" w:customStyle="1" w:styleId="160">
    <w:name w:val="fontstyle11"/>
    <w:basedOn w:val="32"/>
    <w:qFormat/>
    <w:uiPriority w:val="0"/>
    <w:rPr>
      <w:rFonts w:ascii="TimesNewRomanPSMT" w:hAnsi="TimesNewRomanPSMT" w:eastAsia="TimesNewRomanPSMT" w:cs="TimesNewRomanPSMT"/>
      <w:color w:val="000000"/>
      <w:sz w:val="24"/>
      <w:szCs w:val="24"/>
    </w:rPr>
  </w:style>
  <w:style w:type="paragraph" w:customStyle="1" w:styleId="161">
    <w:name w:val="环保表内字（小五）"/>
    <w:basedOn w:val="162"/>
    <w:qFormat/>
    <w:uiPriority w:val="0"/>
    <w:pPr>
      <w:adjustRightInd w:val="0"/>
      <w:snapToGrid w:val="0"/>
      <w:ind w:left="-115" w:right="-92"/>
      <w:jc w:val="center"/>
    </w:pPr>
    <w:rPr>
      <w:rFonts w:ascii="宋体" w:hAnsi="宋体"/>
      <w:snapToGrid w:val="0"/>
      <w:kern w:val="0"/>
      <w:szCs w:val="21"/>
    </w:rPr>
  </w:style>
  <w:style w:type="paragraph" w:customStyle="1" w:styleId="162">
    <w:name w:val="环保表内字（五号）"/>
    <w:basedOn w:val="1"/>
    <w:qFormat/>
    <w:uiPriority w:val="0"/>
    <w:pPr>
      <w:adjustRightInd w:val="0"/>
      <w:snapToGrid w:val="0"/>
      <w:spacing w:line="240" w:lineRule="atLeast"/>
      <w:jc w:val="center"/>
    </w:pPr>
    <w:rPr>
      <w:snapToGrid w:val="0"/>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jpeg"/><Relationship Id="rId27" Type="http://schemas.openxmlformats.org/officeDocument/2006/relationships/image" Target="media/image17.wmf"/><Relationship Id="rId26" Type="http://schemas.openxmlformats.org/officeDocument/2006/relationships/oleObject" Target="embeddings/oleObject3.bin"/><Relationship Id="rId25" Type="http://schemas.openxmlformats.org/officeDocument/2006/relationships/image" Target="media/image16.emf"/><Relationship Id="rId24" Type="http://schemas.openxmlformats.org/officeDocument/2006/relationships/image" Target="media/image15.png"/><Relationship Id="rId23" Type="http://schemas.openxmlformats.org/officeDocument/2006/relationships/image" Target="media/image14.emf"/><Relationship Id="rId22" Type="http://schemas.openxmlformats.org/officeDocument/2006/relationships/image" Target="media/image13.wmf"/><Relationship Id="rId21" Type="http://schemas.openxmlformats.org/officeDocument/2006/relationships/image" Target="media/image12.wmf"/><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jpeg"/><Relationship Id="rId17" Type="http://schemas.openxmlformats.org/officeDocument/2006/relationships/image" Target="media/image8.wmf"/><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封面"/>
    </customSectPr>
    <customSectPr>
      <sectNamePr val="目录"/>
    </customSectPr>
    <customSectPr>
      <sectNamePr val="一、建设项目基本情况"/>
    </customSectPr>
    <customSectPr/>
    <customSectPr>
      <sectNamePr val="二、建设项目工程分析"/>
    </customSectPr>
    <customSectPr/>
    <customSectPr>
      <sectNamePr val="二、建设项目工程分析"/>
    </customSectPr>
    <customSectPr/>
    <customSectPr/>
    <customSectPr/>
    <customSectPr/>
    <customSectPr/>
    <customSectPr>
      <sectNamePr val="三、区域环境质量现状、环境保护目标及评价标准"/>
    </customSectPr>
    <customSectPr>
      <sectNamePr val="四、主要环境影响和保护措施"/>
    </customSectPr>
    <customSectPr>
      <sectNamePr val="表4.2-4  项目污染物废气污染源源强核算结果及相关参数一览表"/>
    </customSectPr>
    <customSectPr/>
  </customSectProps>
  <customShpExts>
    <customShpInfo spid="_x0000_s1026" textRotate="1"/>
  </customShpExts>
</s:customData>
</file>

<file path=customXml/item2.xml><?xml version="1.0" encoding="utf-8"?>
<contractReview xmlns="http://schemas.wps.cn/vas-ai-hub/contract-review">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f79c15-bbf4-4833-82ef-94af812c2f25}">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113</Pages>
  <Words>15429</Words>
  <Characters>16353</Characters>
  <Lines>13</Lines>
  <Paragraphs>3</Paragraphs>
  <TotalTime>10</TotalTime>
  <ScaleCrop>false</ScaleCrop>
  <LinksUpToDate>false</LinksUpToDate>
  <CharactersWithSpaces>16465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Onethree</cp:lastModifiedBy>
  <cp:lastPrinted>2026-01-12T06:10:00Z</cp:lastPrinted>
  <dcterms:modified xsi:type="dcterms:W3CDTF">2026-01-13T02:54:08Z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B0FF919A73964DB9A544AF6337D856AD_13</vt:lpwstr>
  </property>
  <property fmtid="{D5CDD505-2E9C-101B-9397-08002B2CF9AE}" pid="4" name="KSOTemplateDocerSaveRecord">
    <vt:lpwstr>eyJoZGlkIjoiOGU1NGQ5OTYyNzA1OTI0ZGU2NjI2MmM0NzllMzIwNGIiLCJ1c2VySWQiOiI2NzY1NTk3MzUifQ==</vt:lpwstr>
  </property>
</Properties>
</file>